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60EE2" w14:textId="35E81222" w:rsidR="00433044" w:rsidRDefault="00523521" w:rsidP="00016418">
      <w:pPr>
        <w:pStyle w:val="1-MainHeading"/>
      </w:pPr>
      <w:bookmarkStart w:id="0" w:name="_Toc124841986"/>
      <w:r>
        <w:t>5</w:t>
      </w:r>
      <w:r w:rsidR="00433044" w:rsidRPr="00C12C14">
        <w:t>.</w:t>
      </w:r>
      <w:r>
        <w:t>06</w:t>
      </w:r>
      <w:r w:rsidR="00163F66">
        <w:tab/>
      </w:r>
      <w:bookmarkStart w:id="1" w:name="_Hlk122713768"/>
      <w:r w:rsidR="00BA5594" w:rsidRPr="00BA5594">
        <w:t>FOSNETUPITANT (AS CHLORIDE HYDROCHLORIDE)/PALONOSETRON (AS HYDROCHLORIDE)</w:t>
      </w:r>
      <w:r w:rsidR="00163F66">
        <w:t>,</w:t>
      </w:r>
      <w:bookmarkEnd w:id="1"/>
      <w:r w:rsidR="00163F66">
        <w:br/>
      </w:r>
      <w:r w:rsidR="00BA5594" w:rsidRPr="00BA5594">
        <w:t>Solution concentrate for I.V. infusion containing fosnetupitant 235</w:t>
      </w:r>
      <w:r w:rsidR="009E2338">
        <w:t> mg</w:t>
      </w:r>
      <w:r w:rsidR="00BA5594" w:rsidRPr="00BA5594">
        <w:t xml:space="preserve"> and palonosetron </w:t>
      </w:r>
      <w:r w:rsidR="00BA5594">
        <w:t>0.</w:t>
      </w:r>
      <w:r w:rsidR="00BA5594" w:rsidRPr="00BA5594">
        <w:t>25</w:t>
      </w:r>
      <w:r w:rsidR="009E2338">
        <w:t> mg</w:t>
      </w:r>
      <w:r w:rsidR="00BA5594" w:rsidRPr="00BA5594">
        <w:t xml:space="preserve"> in 20</w:t>
      </w:r>
      <w:r w:rsidR="008C0CB3">
        <w:t> </w:t>
      </w:r>
      <w:r w:rsidR="00BA5594" w:rsidRPr="00BA5594">
        <w:t>mL vial</w:t>
      </w:r>
      <w:r w:rsidR="00163F66">
        <w:t>,</w:t>
      </w:r>
      <w:r w:rsidR="00163F66">
        <w:br/>
      </w:r>
      <w:r w:rsidR="00BA5594">
        <w:t>Akynzeo</w:t>
      </w:r>
      <w:r w:rsidR="00B60939" w:rsidRPr="004A6040">
        <w:rPr>
          <w:vertAlign w:val="superscript"/>
        </w:rPr>
        <w:t>®</w:t>
      </w:r>
      <w:r w:rsidR="00BA5594">
        <w:t>IV</w:t>
      </w:r>
      <w:r w:rsidR="004A6040" w:rsidRPr="004A6040">
        <w:t>,</w:t>
      </w:r>
      <w:r w:rsidR="004A6040" w:rsidRPr="004A6040">
        <w:br/>
      </w:r>
      <w:r w:rsidR="00BA5594" w:rsidRPr="00BA5594">
        <w:t>Juniper Biologics P</w:t>
      </w:r>
      <w:r w:rsidR="000939EA">
        <w:t>ty Ltd</w:t>
      </w:r>
      <w:bookmarkEnd w:id="0"/>
    </w:p>
    <w:p w14:paraId="0CA9FCC5" w14:textId="77777777" w:rsidR="00B50DB8" w:rsidRPr="00EB09CD" w:rsidRDefault="00B50DB8" w:rsidP="004A6040">
      <w:pPr>
        <w:pStyle w:val="2-SectionHeading"/>
      </w:pPr>
      <w:bookmarkStart w:id="2" w:name="_Toc124841988"/>
      <w:r w:rsidRPr="00EB09CD">
        <w:t xml:space="preserve">Purpose of </w:t>
      </w:r>
      <w:r w:rsidR="00CD7193" w:rsidRPr="00EB09CD">
        <w:t>s</w:t>
      </w:r>
      <w:r w:rsidR="00BB3A45" w:rsidRPr="00EB09CD">
        <w:t>ubmission</w:t>
      </w:r>
      <w:bookmarkEnd w:id="2"/>
    </w:p>
    <w:p w14:paraId="7052CA36" w14:textId="73DD270A" w:rsidR="0075027F" w:rsidRDefault="00EB09CD" w:rsidP="00BA5157">
      <w:pPr>
        <w:pStyle w:val="3-BodyText"/>
      </w:pPr>
      <w:r w:rsidRPr="00EB09CD">
        <w:t>The Category 2 submission requested a Section 100 (Efficient Funding of Chemotherapy – Related Benefits (Code CT)) Authority Required (STREAMLINED) listing and a General Schedule Authority Required (STREAMLINED) listing for Akynzeo IV® for the treatment of nausea and vomiting in patients receiving highly or moderately emetogenic chemotherapy</w:t>
      </w:r>
      <w:r w:rsidR="0075027F">
        <w:t xml:space="preserve"> (HEC and MEC, respectively).</w:t>
      </w:r>
    </w:p>
    <w:p w14:paraId="33245FBF" w14:textId="230C7047" w:rsidR="00EB09CD" w:rsidRPr="0075027F" w:rsidRDefault="00EB09CD" w:rsidP="00BA5157">
      <w:pPr>
        <w:pStyle w:val="3-BodyText"/>
      </w:pPr>
      <w:r w:rsidRPr="00EB09CD">
        <w:t>Akynzeo IV® is an intravenous (IV) fixed-dose combination (FDC) of fosnetupitant</w:t>
      </w:r>
      <w:r w:rsidR="001D3771">
        <w:t xml:space="preserve"> (FosNTP)</w:t>
      </w:r>
      <w:r w:rsidRPr="00EB09CD">
        <w:t xml:space="preserve"> </w:t>
      </w:r>
      <w:r w:rsidR="00523521" w:rsidRPr="00EB09CD">
        <w:t>235</w:t>
      </w:r>
      <w:r w:rsidR="009E2338">
        <w:t> mg</w:t>
      </w:r>
      <w:r w:rsidR="00523521" w:rsidRPr="00EB09CD">
        <w:t xml:space="preserve"> (a neurokinin 1 receptor antagonist (NK1 RA)</w:t>
      </w:r>
      <w:r w:rsidR="00523521">
        <w:t>)</w:t>
      </w:r>
      <w:r w:rsidRPr="00EB09CD">
        <w:t xml:space="preserve"> plus palonosetron </w:t>
      </w:r>
      <w:r w:rsidR="001D3771">
        <w:t xml:space="preserve">(PALO) </w:t>
      </w:r>
      <w:r w:rsidRPr="0075027F">
        <w:t>250</w:t>
      </w:r>
      <w:r w:rsidR="00D1113C">
        <w:t xml:space="preserve"> </w:t>
      </w:r>
      <w:r w:rsidRPr="0075027F">
        <w:t>mcg</w:t>
      </w:r>
      <w:r w:rsidR="0075027F" w:rsidRPr="0075027F">
        <w:t xml:space="preserve"> (a 5-hydroxytryptamine-3 receptor antagonist (5-HT3 RA)</w:t>
      </w:r>
      <w:r w:rsidR="00D1113C">
        <w:t>)</w:t>
      </w:r>
      <w:r w:rsidR="0075027F">
        <w:t>.</w:t>
      </w:r>
      <w:r w:rsidR="0075027F" w:rsidRPr="0075027F">
        <w:t xml:space="preserve"> </w:t>
      </w:r>
      <w:r w:rsidR="0075027F" w:rsidRPr="0002340D">
        <w:rPr>
          <w:iCs/>
        </w:rPr>
        <w:t>Akynzeo IV</w:t>
      </w:r>
      <w:r w:rsidR="00D1113C" w:rsidRPr="0002340D">
        <w:rPr>
          <w:iCs/>
        </w:rPr>
        <w:t>®</w:t>
      </w:r>
      <w:r w:rsidR="0075027F" w:rsidRPr="0002340D">
        <w:rPr>
          <w:iCs/>
        </w:rPr>
        <w:t xml:space="preserve"> </w:t>
      </w:r>
      <w:r w:rsidRPr="0002340D">
        <w:rPr>
          <w:iCs/>
        </w:rPr>
        <w:t>is henceforth referred to as NEPA IV.</w:t>
      </w:r>
      <w:r w:rsidR="007B38BF">
        <w:t xml:space="preserve"> </w:t>
      </w:r>
    </w:p>
    <w:p w14:paraId="1579EC0B" w14:textId="3B81C88F" w:rsidR="002F258C" w:rsidRDefault="002F258C" w:rsidP="00BA5157">
      <w:pPr>
        <w:pStyle w:val="3-BodyText"/>
      </w:pPr>
      <w:r w:rsidRPr="002F258C">
        <w:t xml:space="preserve">Listing was requested on the basis of a cost-minimisation approach </w:t>
      </w:r>
      <w:r w:rsidR="00770DB2">
        <w:t xml:space="preserve">(CMA) </w:t>
      </w:r>
      <w:r>
        <w:t>versus</w:t>
      </w:r>
      <w:r w:rsidRPr="002F258C">
        <w:t xml:space="preserve"> the currently PBS listed IV formulation of another NK1 </w:t>
      </w:r>
      <w:r w:rsidR="00D1113C">
        <w:t>RA</w:t>
      </w:r>
      <w:r w:rsidRPr="002F258C">
        <w:t>, fosaprepitant</w:t>
      </w:r>
      <w:r w:rsidR="001D3771">
        <w:t xml:space="preserve"> (FosAPR)</w:t>
      </w:r>
      <w:r w:rsidRPr="002F258C">
        <w:t xml:space="preserve"> 150 </w:t>
      </w:r>
      <w:r w:rsidR="009E2338">
        <w:t> mg</w:t>
      </w:r>
      <w:r w:rsidRPr="002F258C">
        <w:t xml:space="preserve"> </w:t>
      </w:r>
      <w:r w:rsidRPr="0002340D">
        <w:t xml:space="preserve">(henceforth referred to as </w:t>
      </w:r>
      <w:r w:rsidR="00372438" w:rsidRPr="0002340D">
        <w:t>Emend</w:t>
      </w:r>
      <w:r w:rsidRPr="0002340D">
        <w:t xml:space="preserve"> IV),</w:t>
      </w:r>
      <w:r w:rsidRPr="002F258C">
        <w:t xml:space="preserve"> used with a 5-HT3 RA</w:t>
      </w:r>
      <w:r>
        <w:t xml:space="preserve">. </w:t>
      </w:r>
      <w:r w:rsidR="00863E89">
        <w:t xml:space="preserve">The 5-HT3 RA specified in the submission was PALO. </w:t>
      </w:r>
      <w:r>
        <w:t xml:space="preserve">The submission considered </w:t>
      </w:r>
      <w:r w:rsidR="00863E89">
        <w:t xml:space="preserve">Emend IV plus PALO </w:t>
      </w:r>
      <w:r>
        <w:t xml:space="preserve">to be </w:t>
      </w:r>
      <w:r w:rsidRPr="002F258C">
        <w:t xml:space="preserve">the least expensive PBS combination of </w:t>
      </w:r>
      <w:r w:rsidR="0075027F">
        <w:t xml:space="preserve">a </w:t>
      </w:r>
      <w:r w:rsidRPr="002F258C">
        <w:t xml:space="preserve">NK1 </w:t>
      </w:r>
      <w:r w:rsidR="0075027F">
        <w:t xml:space="preserve">RA </w:t>
      </w:r>
      <w:r w:rsidRPr="002F258C">
        <w:t>and 5</w:t>
      </w:r>
      <w:r w:rsidR="007B38BF">
        <w:t>-</w:t>
      </w:r>
      <w:r w:rsidRPr="002F258C">
        <w:t>HT3 RA</w:t>
      </w:r>
      <w:r w:rsidR="0075027F">
        <w:t>,</w:t>
      </w:r>
      <w:r w:rsidRPr="002F258C">
        <w:t xml:space="preserve"> with an </w:t>
      </w:r>
      <w:r w:rsidR="0075027F">
        <w:t>IV</w:t>
      </w:r>
      <w:r w:rsidRPr="002F258C">
        <w:t xml:space="preserve"> manner of administration</w:t>
      </w:r>
      <w:r w:rsidR="0075027F">
        <w:t>.</w:t>
      </w:r>
      <w:r w:rsidRPr="002F258C">
        <w:t xml:space="preserve"> </w:t>
      </w:r>
      <w:r>
        <w:t xml:space="preserve">Both NEPA IV and </w:t>
      </w:r>
      <w:r w:rsidR="00372438">
        <w:t>Emend</w:t>
      </w:r>
      <w:r>
        <w:t xml:space="preserve"> IV + </w:t>
      </w:r>
      <w:r w:rsidRPr="002F258C">
        <w:t>a 5-HT3 RA</w:t>
      </w:r>
      <w:r>
        <w:t xml:space="preserve"> are used in conjunction with dexamethasone (DEX).</w:t>
      </w:r>
    </w:p>
    <w:p w14:paraId="01612AAE" w14:textId="4F1B4DC4" w:rsidR="0075027F" w:rsidRDefault="0075027F" w:rsidP="004E18E9">
      <w:pPr>
        <w:pStyle w:val="3-BodyText"/>
      </w:pPr>
      <w:r>
        <w:t>The k</w:t>
      </w:r>
      <w:r w:rsidRPr="0075027F">
        <w:t xml:space="preserve">ey components of the clinical issue addressed by the submission </w:t>
      </w:r>
      <w:r>
        <w:t xml:space="preserve">are summarised in </w:t>
      </w:r>
      <w:r>
        <w:fldChar w:fldCharType="begin"/>
      </w:r>
      <w:r>
        <w:instrText xml:space="preserve"> REF _Ref122530816 \h </w:instrText>
      </w:r>
      <w:r>
        <w:fldChar w:fldCharType="separate"/>
      </w:r>
      <w:r w:rsidR="00775281">
        <w:t xml:space="preserve">Table </w:t>
      </w:r>
      <w:r w:rsidR="00775281">
        <w:rPr>
          <w:noProof/>
        </w:rPr>
        <w:t>1</w:t>
      </w:r>
      <w:r>
        <w:fldChar w:fldCharType="end"/>
      </w:r>
      <w:r>
        <w:t>.</w:t>
      </w:r>
    </w:p>
    <w:p w14:paraId="07AF1009" w14:textId="43AB0698" w:rsidR="0075027F" w:rsidRPr="003151A9" w:rsidRDefault="0075027F" w:rsidP="0075027F">
      <w:pPr>
        <w:pStyle w:val="Caption"/>
      </w:pPr>
      <w:bookmarkStart w:id="3" w:name="_Ref122530816"/>
      <w:r>
        <w:lastRenderedPageBreak/>
        <w:t xml:space="preserve">Table </w:t>
      </w:r>
      <w:fldSimple w:instr=" SEQ Table \* ARABIC ">
        <w:r w:rsidR="00775281">
          <w:rPr>
            <w:noProof/>
          </w:rPr>
          <w:t>1</w:t>
        </w:r>
      </w:fldSimple>
      <w:bookmarkEnd w:id="3"/>
      <w:r w:rsidR="00747D5F">
        <w:rPr>
          <w:noProof/>
        </w:rPr>
        <w:t>:</w:t>
      </w:r>
      <w:r>
        <w:t xml:space="preserve"> </w:t>
      </w:r>
      <w:r w:rsidRPr="003151A9">
        <w:t>Key components of the clinical issue as stated in the submission</w:t>
      </w:r>
    </w:p>
    <w:tbl>
      <w:tblPr>
        <w:tblStyle w:val="TableGrid"/>
        <w:tblW w:w="5000" w:type="pct"/>
        <w:tblLook w:val="04A0" w:firstRow="1" w:lastRow="0" w:firstColumn="1" w:lastColumn="0" w:noHBand="0" w:noVBand="1"/>
        <w:tblCaption w:val="Table 1: Key components of the clinical issue addressed by the submission (as stated in the submission)"/>
        <w:tblDescription w:val="Key components of the clinical issue addressed by the submission (as stated in the submission)"/>
      </w:tblPr>
      <w:tblGrid>
        <w:gridCol w:w="1666"/>
        <w:gridCol w:w="7351"/>
      </w:tblGrid>
      <w:tr w:rsidR="0075027F" w:rsidRPr="003151A9" w14:paraId="6961D718" w14:textId="77777777" w:rsidTr="00E4227C">
        <w:trPr>
          <w:cantSplit/>
        </w:trPr>
        <w:tc>
          <w:tcPr>
            <w:tcW w:w="924" w:type="pct"/>
          </w:tcPr>
          <w:p w14:paraId="6206CCEF" w14:textId="77777777" w:rsidR="0075027F" w:rsidRPr="003151A9" w:rsidRDefault="0075027F" w:rsidP="0075027F">
            <w:pPr>
              <w:pStyle w:val="TableText0"/>
              <w:rPr>
                <w:b/>
                <w:szCs w:val="20"/>
                <w:lang w:val="en-US"/>
              </w:rPr>
            </w:pPr>
            <w:r w:rsidRPr="003151A9">
              <w:rPr>
                <w:b/>
                <w:lang w:val="en-US"/>
              </w:rPr>
              <w:t>Component</w:t>
            </w:r>
          </w:p>
        </w:tc>
        <w:tc>
          <w:tcPr>
            <w:tcW w:w="4076" w:type="pct"/>
          </w:tcPr>
          <w:p w14:paraId="39F0E3D9" w14:textId="77777777" w:rsidR="0075027F" w:rsidRPr="003151A9" w:rsidRDefault="0075027F" w:rsidP="0075027F">
            <w:pPr>
              <w:pStyle w:val="TableText0"/>
              <w:rPr>
                <w:b/>
                <w:lang w:val="en-US"/>
              </w:rPr>
            </w:pPr>
            <w:r w:rsidRPr="003151A9">
              <w:rPr>
                <w:b/>
                <w:lang w:val="en-US"/>
              </w:rPr>
              <w:t>Description</w:t>
            </w:r>
          </w:p>
        </w:tc>
      </w:tr>
      <w:tr w:rsidR="0075027F" w:rsidRPr="003151A9" w14:paraId="3F72BBD0" w14:textId="77777777" w:rsidTr="00E4227C">
        <w:trPr>
          <w:cantSplit/>
        </w:trPr>
        <w:tc>
          <w:tcPr>
            <w:tcW w:w="924" w:type="pct"/>
          </w:tcPr>
          <w:p w14:paraId="698596B2" w14:textId="77777777" w:rsidR="0075027F" w:rsidRPr="003151A9" w:rsidRDefault="0075027F" w:rsidP="0075027F">
            <w:pPr>
              <w:pStyle w:val="TableText0"/>
            </w:pPr>
            <w:r w:rsidRPr="003151A9">
              <w:t>Population</w:t>
            </w:r>
          </w:p>
        </w:tc>
        <w:tc>
          <w:tcPr>
            <w:tcW w:w="4076" w:type="pct"/>
          </w:tcPr>
          <w:p w14:paraId="44F328D8" w14:textId="62F9A53E" w:rsidR="0075027F" w:rsidRPr="003151A9" w:rsidRDefault="00140744" w:rsidP="0075027F">
            <w:pPr>
              <w:pStyle w:val="TableText0"/>
              <w:rPr>
                <w:szCs w:val="20"/>
              </w:rPr>
            </w:pPr>
            <w:r>
              <w:rPr>
                <w:szCs w:val="20"/>
              </w:rPr>
              <w:t>P</w:t>
            </w:r>
            <w:r w:rsidR="0075027F" w:rsidRPr="003151A9">
              <w:rPr>
                <w:szCs w:val="20"/>
              </w:rPr>
              <w:t>rophylactic treatment of patients treated with highly or moderately emetogenic chemotherapy.</w:t>
            </w:r>
          </w:p>
        </w:tc>
      </w:tr>
      <w:tr w:rsidR="0075027F" w:rsidRPr="003151A9" w14:paraId="28E2E8FB" w14:textId="77777777" w:rsidTr="00E4227C">
        <w:trPr>
          <w:cantSplit/>
        </w:trPr>
        <w:tc>
          <w:tcPr>
            <w:tcW w:w="924" w:type="pct"/>
          </w:tcPr>
          <w:p w14:paraId="2F9BF022" w14:textId="77777777" w:rsidR="0075027F" w:rsidRPr="003151A9" w:rsidRDefault="0075027F" w:rsidP="0075027F">
            <w:pPr>
              <w:pStyle w:val="TableText0"/>
            </w:pPr>
            <w:r w:rsidRPr="003151A9">
              <w:t>Intervention</w:t>
            </w:r>
          </w:p>
        </w:tc>
        <w:tc>
          <w:tcPr>
            <w:tcW w:w="4076" w:type="pct"/>
          </w:tcPr>
          <w:p w14:paraId="0C580C77" w14:textId="4CAEA176" w:rsidR="0075027F" w:rsidRPr="003151A9" w:rsidRDefault="0075027F" w:rsidP="0075027F">
            <w:pPr>
              <w:pStyle w:val="TableText0"/>
              <w:rPr>
                <w:szCs w:val="20"/>
              </w:rPr>
            </w:pPr>
            <w:r w:rsidRPr="003151A9">
              <w:rPr>
                <w:szCs w:val="20"/>
              </w:rPr>
              <w:t xml:space="preserve">Akynzeo IV: fixed dose combination of fosnetupitant 235 </w:t>
            </w:r>
            <w:r w:rsidR="009E2338">
              <w:rPr>
                <w:szCs w:val="20"/>
              </w:rPr>
              <w:t> mg</w:t>
            </w:r>
            <w:r w:rsidRPr="003151A9">
              <w:rPr>
                <w:szCs w:val="20"/>
              </w:rPr>
              <w:t xml:space="preserve"> plus palonosetron 250 mcg powder for intravenous infusion, 20 mL glass vial.</w:t>
            </w:r>
          </w:p>
        </w:tc>
      </w:tr>
      <w:tr w:rsidR="0075027F" w:rsidRPr="003151A9" w14:paraId="1E75F6B2" w14:textId="77777777" w:rsidTr="00E4227C">
        <w:trPr>
          <w:cantSplit/>
        </w:trPr>
        <w:tc>
          <w:tcPr>
            <w:tcW w:w="924" w:type="pct"/>
          </w:tcPr>
          <w:p w14:paraId="24109E0E" w14:textId="77777777" w:rsidR="0075027F" w:rsidRPr="003151A9" w:rsidRDefault="0075027F" w:rsidP="0075027F">
            <w:pPr>
              <w:pStyle w:val="TableText0"/>
            </w:pPr>
            <w:r w:rsidRPr="003151A9">
              <w:t>Comparator</w:t>
            </w:r>
          </w:p>
        </w:tc>
        <w:tc>
          <w:tcPr>
            <w:tcW w:w="4076" w:type="pct"/>
          </w:tcPr>
          <w:p w14:paraId="2C8C53C2" w14:textId="40E6E5B7" w:rsidR="0075027F" w:rsidRPr="003151A9" w:rsidRDefault="0075027F" w:rsidP="0075027F">
            <w:pPr>
              <w:pStyle w:val="TableText0"/>
              <w:rPr>
                <w:szCs w:val="20"/>
              </w:rPr>
            </w:pPr>
            <w:r w:rsidRPr="003151A9">
              <w:rPr>
                <w:szCs w:val="20"/>
              </w:rPr>
              <w:t xml:space="preserve">Fosaprepitant 150 </w:t>
            </w:r>
            <w:r w:rsidR="009E2338">
              <w:rPr>
                <w:szCs w:val="20"/>
              </w:rPr>
              <w:t> mg</w:t>
            </w:r>
            <w:r w:rsidRPr="003151A9">
              <w:rPr>
                <w:szCs w:val="20"/>
              </w:rPr>
              <w:t xml:space="preserve"> injection (</w:t>
            </w:r>
            <w:r w:rsidR="00372438">
              <w:rPr>
                <w:szCs w:val="20"/>
              </w:rPr>
              <w:t>Emend</w:t>
            </w:r>
            <w:r w:rsidRPr="003151A9">
              <w:rPr>
                <w:szCs w:val="20"/>
              </w:rPr>
              <w:t xml:space="preserve"> IV) plus 5</w:t>
            </w:r>
            <w:r>
              <w:rPr>
                <w:szCs w:val="20"/>
              </w:rPr>
              <w:t>-hydroxytryptamine-</w:t>
            </w:r>
            <w:r w:rsidRPr="003151A9">
              <w:rPr>
                <w:szCs w:val="20"/>
              </w:rPr>
              <w:t>3 receptor antagonist</w:t>
            </w:r>
            <w:r>
              <w:rPr>
                <w:szCs w:val="20"/>
              </w:rPr>
              <w:t xml:space="preserve"> (5-HT3 RA)</w:t>
            </w:r>
          </w:p>
        </w:tc>
      </w:tr>
      <w:tr w:rsidR="0075027F" w:rsidRPr="003151A9" w14:paraId="471E4BDF" w14:textId="77777777" w:rsidTr="00E4227C">
        <w:trPr>
          <w:cantSplit/>
        </w:trPr>
        <w:tc>
          <w:tcPr>
            <w:tcW w:w="924" w:type="pct"/>
          </w:tcPr>
          <w:p w14:paraId="2E85CD80" w14:textId="77777777" w:rsidR="0075027F" w:rsidRPr="003151A9" w:rsidRDefault="0075027F" w:rsidP="0075027F">
            <w:pPr>
              <w:pStyle w:val="TableText0"/>
            </w:pPr>
            <w:r w:rsidRPr="003151A9">
              <w:t>Outcomes</w:t>
            </w:r>
          </w:p>
        </w:tc>
        <w:tc>
          <w:tcPr>
            <w:tcW w:w="4076" w:type="pct"/>
          </w:tcPr>
          <w:p w14:paraId="5E29823D" w14:textId="77777777" w:rsidR="0075027F" w:rsidRDefault="0075027F" w:rsidP="0075027F">
            <w:pPr>
              <w:pStyle w:val="TableText0"/>
              <w:rPr>
                <w:szCs w:val="20"/>
              </w:rPr>
            </w:pPr>
            <w:r w:rsidRPr="003151A9">
              <w:rPr>
                <w:szCs w:val="20"/>
              </w:rPr>
              <w:t>Treatment-related adverse events: injection site reactions an</w:t>
            </w:r>
            <w:r>
              <w:rPr>
                <w:szCs w:val="20"/>
              </w:rPr>
              <w:t>d injection site pain</w:t>
            </w:r>
          </w:p>
          <w:p w14:paraId="797636B9" w14:textId="229F195B" w:rsidR="0075027F" w:rsidRPr="003151A9" w:rsidRDefault="0075027F" w:rsidP="0075027F">
            <w:pPr>
              <w:pStyle w:val="TableText0"/>
              <w:rPr>
                <w:szCs w:val="20"/>
              </w:rPr>
            </w:pPr>
            <w:r>
              <w:rPr>
                <w:szCs w:val="20"/>
              </w:rPr>
              <w:t>Effectiveness:  c</w:t>
            </w:r>
            <w:r w:rsidRPr="003151A9">
              <w:rPr>
                <w:szCs w:val="20"/>
              </w:rPr>
              <w:t>omplete response rate (</w:t>
            </w:r>
            <w:r w:rsidRPr="00D1113C">
              <w:rPr>
                <w:i/>
                <w:szCs w:val="20"/>
              </w:rPr>
              <w:t>i.e</w:t>
            </w:r>
            <w:r w:rsidRPr="00B12B27">
              <w:rPr>
                <w:i/>
                <w:szCs w:val="20"/>
              </w:rPr>
              <w:t>.</w:t>
            </w:r>
            <w:r w:rsidR="00D1113C">
              <w:rPr>
                <w:i/>
                <w:szCs w:val="20"/>
              </w:rPr>
              <w:t>,</w:t>
            </w:r>
            <w:r w:rsidRPr="003151A9">
              <w:rPr>
                <w:szCs w:val="20"/>
              </w:rPr>
              <w:t xml:space="preserve"> no emetic episodes and no use of rescue medication) in the acute (0-24 h</w:t>
            </w:r>
            <w:r>
              <w:rPr>
                <w:szCs w:val="20"/>
              </w:rPr>
              <w:t>ours</w:t>
            </w:r>
            <w:r w:rsidRPr="003151A9">
              <w:rPr>
                <w:szCs w:val="20"/>
              </w:rPr>
              <w:t>), delayed (&gt;24-120 h</w:t>
            </w:r>
            <w:r>
              <w:rPr>
                <w:szCs w:val="20"/>
              </w:rPr>
              <w:t>ou</w:t>
            </w:r>
            <w:r w:rsidRPr="003151A9">
              <w:rPr>
                <w:szCs w:val="20"/>
              </w:rPr>
              <w:t>r</w:t>
            </w:r>
            <w:r>
              <w:rPr>
                <w:szCs w:val="20"/>
              </w:rPr>
              <w:t>s</w:t>
            </w:r>
            <w:r w:rsidRPr="003151A9">
              <w:rPr>
                <w:szCs w:val="20"/>
              </w:rPr>
              <w:t>) and total (0-120 h</w:t>
            </w:r>
            <w:r>
              <w:rPr>
                <w:szCs w:val="20"/>
              </w:rPr>
              <w:t>ou</w:t>
            </w:r>
            <w:r w:rsidRPr="003151A9">
              <w:rPr>
                <w:szCs w:val="20"/>
              </w:rPr>
              <w:t>r</w:t>
            </w:r>
            <w:r>
              <w:rPr>
                <w:szCs w:val="20"/>
              </w:rPr>
              <w:t>s</w:t>
            </w:r>
            <w:r w:rsidRPr="003151A9">
              <w:rPr>
                <w:szCs w:val="20"/>
              </w:rPr>
              <w:t>) phases.</w:t>
            </w:r>
          </w:p>
        </w:tc>
      </w:tr>
      <w:tr w:rsidR="0075027F" w:rsidRPr="003151A9" w14:paraId="57F82350" w14:textId="77777777" w:rsidTr="00E4227C">
        <w:trPr>
          <w:cantSplit/>
        </w:trPr>
        <w:tc>
          <w:tcPr>
            <w:tcW w:w="924" w:type="pct"/>
          </w:tcPr>
          <w:p w14:paraId="70517CCE" w14:textId="77777777" w:rsidR="0075027F" w:rsidRPr="003151A9" w:rsidRDefault="0075027F" w:rsidP="0075027F">
            <w:pPr>
              <w:pStyle w:val="TableText0"/>
            </w:pPr>
            <w:r w:rsidRPr="003151A9">
              <w:t>Clinical claim</w:t>
            </w:r>
          </w:p>
        </w:tc>
        <w:tc>
          <w:tcPr>
            <w:tcW w:w="4076" w:type="pct"/>
          </w:tcPr>
          <w:p w14:paraId="012DE007" w14:textId="50CFABAB" w:rsidR="0075027F" w:rsidRPr="003151A9" w:rsidRDefault="0075027F" w:rsidP="002942A1">
            <w:pPr>
              <w:pStyle w:val="TableText0"/>
              <w:rPr>
                <w:rFonts w:cs="Arial"/>
                <w:color w:val="000000"/>
                <w:szCs w:val="20"/>
              </w:rPr>
            </w:pPr>
            <w:r w:rsidRPr="003151A9">
              <w:rPr>
                <w:szCs w:val="20"/>
              </w:rPr>
              <w:t xml:space="preserve">In patients likely to have chemotherapy-induced nausea and vomiting (CINV) with moderately or highly emetogenic chemotherapy, Akynzeo IV (fixed dose combination fosnetupitant/palonosetron) </w:t>
            </w:r>
            <w:r w:rsidR="00140744">
              <w:rPr>
                <w:szCs w:val="20"/>
              </w:rPr>
              <w:t>+</w:t>
            </w:r>
            <w:r w:rsidRPr="003151A9">
              <w:rPr>
                <w:szCs w:val="20"/>
              </w:rPr>
              <w:t xml:space="preserve"> dexamethasone is non-inferior in terms of effectiveness and superior in terms of safety compared with the comparator </w:t>
            </w:r>
            <w:r w:rsidR="002942A1">
              <w:rPr>
                <w:szCs w:val="20"/>
              </w:rPr>
              <w:t>Emend IV</w:t>
            </w:r>
            <w:r w:rsidRPr="003151A9">
              <w:rPr>
                <w:szCs w:val="20"/>
              </w:rPr>
              <w:t xml:space="preserve"> </w:t>
            </w:r>
            <w:r w:rsidR="00140744">
              <w:rPr>
                <w:szCs w:val="20"/>
              </w:rPr>
              <w:t>+ 5HT3 RA +</w:t>
            </w:r>
            <w:r w:rsidRPr="003151A9">
              <w:rPr>
                <w:szCs w:val="20"/>
              </w:rPr>
              <w:t xml:space="preserve"> dexamethasone.</w:t>
            </w:r>
          </w:p>
        </w:tc>
      </w:tr>
    </w:tbl>
    <w:p w14:paraId="444D944A" w14:textId="77777777" w:rsidR="00DC6474" w:rsidRDefault="0075027F" w:rsidP="0075027F">
      <w:pPr>
        <w:pStyle w:val="TableFooter"/>
      </w:pPr>
      <w:r w:rsidRPr="003151A9">
        <w:t>Source: Table 1-2, p14 of the submission</w:t>
      </w:r>
      <w:r w:rsidR="00A862F9">
        <w:t xml:space="preserve">. </w:t>
      </w:r>
    </w:p>
    <w:p w14:paraId="081EA075" w14:textId="2F3C2A09" w:rsidR="004E43B2" w:rsidRPr="004A6040" w:rsidRDefault="009E2338" w:rsidP="00D904F6">
      <w:pPr>
        <w:pStyle w:val="TableFooter"/>
      </w:pPr>
      <w:r>
        <w:t>mg</w:t>
      </w:r>
      <w:r w:rsidR="00A862F9">
        <w:t xml:space="preserve"> = milligrams; mcg = micrograms; mL = millilitres</w:t>
      </w:r>
    </w:p>
    <w:p w14:paraId="19FE58D6" w14:textId="2928FE9A" w:rsidR="005C25FF" w:rsidRPr="0075027F" w:rsidRDefault="005C25FF" w:rsidP="004A6040">
      <w:pPr>
        <w:pStyle w:val="2-SectionHeading"/>
      </w:pPr>
      <w:bookmarkStart w:id="4" w:name="_Toc124841989"/>
      <w:r w:rsidRPr="0075027F">
        <w:t>Background</w:t>
      </w:r>
      <w:bookmarkEnd w:id="4"/>
    </w:p>
    <w:p w14:paraId="4DA2C349" w14:textId="77777777" w:rsidR="005C25FF" w:rsidRPr="0075027F" w:rsidRDefault="005C25FF" w:rsidP="004A6040">
      <w:pPr>
        <w:pStyle w:val="4-SubsectionHeading"/>
      </w:pPr>
      <w:bookmarkStart w:id="5" w:name="_Toc22897638"/>
      <w:bookmarkStart w:id="6" w:name="_Toc124841990"/>
      <w:r w:rsidRPr="0075027F">
        <w:t>Registration status</w:t>
      </w:r>
      <w:bookmarkEnd w:id="5"/>
      <w:bookmarkEnd w:id="6"/>
    </w:p>
    <w:p w14:paraId="782AB489" w14:textId="317496E4" w:rsidR="0075027F" w:rsidRPr="0075027F" w:rsidRDefault="00BA5157" w:rsidP="0075027F">
      <w:pPr>
        <w:pStyle w:val="3-BodyText"/>
        <w:rPr>
          <w:lang w:val="en-GB"/>
        </w:rPr>
      </w:pPr>
      <w:r w:rsidRPr="0075027F">
        <w:t xml:space="preserve">NEPA IV was registered on the </w:t>
      </w:r>
      <w:r w:rsidR="001D3771">
        <w:t>Australian Register of Therapeutic Goods (</w:t>
      </w:r>
      <w:r w:rsidRPr="0075027F">
        <w:t>ARTG</w:t>
      </w:r>
      <w:r w:rsidR="001D3771">
        <w:t>)</w:t>
      </w:r>
      <w:r w:rsidRPr="0075027F">
        <w:t xml:space="preserve"> on 13 March 2020 for the same indications as the oral form</w:t>
      </w:r>
      <w:r w:rsidR="0075027F">
        <w:t xml:space="preserve"> NEPA</w:t>
      </w:r>
      <w:r w:rsidRPr="0075027F">
        <w:t>.</w:t>
      </w:r>
      <w:r w:rsidRPr="00BA5157">
        <w:t xml:space="preserve"> </w:t>
      </w:r>
      <w:r w:rsidR="0075027F" w:rsidRPr="0075027F">
        <w:rPr>
          <w:lang w:val="en-GB"/>
        </w:rPr>
        <w:t>A</w:t>
      </w:r>
      <w:r w:rsidR="001668AA">
        <w:rPr>
          <w:lang w:val="en-GB"/>
        </w:rPr>
        <w:t>kynzeo</w:t>
      </w:r>
      <w:r w:rsidR="0075027F" w:rsidRPr="0075027F">
        <w:rPr>
          <w:lang w:val="en-GB"/>
        </w:rPr>
        <w:t xml:space="preserve"> IV is indicated in adult patients for:</w:t>
      </w:r>
    </w:p>
    <w:p w14:paraId="195CF6FD" w14:textId="77777777" w:rsidR="0075027F" w:rsidRPr="0075027F" w:rsidRDefault="0075027F" w:rsidP="00A723BE">
      <w:pPr>
        <w:pStyle w:val="3-BodyText"/>
        <w:numPr>
          <w:ilvl w:val="0"/>
          <w:numId w:val="9"/>
        </w:numPr>
        <w:rPr>
          <w:lang w:val="en-GB"/>
        </w:rPr>
      </w:pPr>
      <w:r w:rsidRPr="0075027F">
        <w:rPr>
          <w:lang w:val="en-GB"/>
        </w:rPr>
        <w:t>Prevention of acute and delayed nausea and vomiting associated with initial and repeat courses of highly emetogenic cancer chemotherapy.</w:t>
      </w:r>
    </w:p>
    <w:p w14:paraId="1E7C0E45" w14:textId="77777777" w:rsidR="0075027F" w:rsidRDefault="0075027F" w:rsidP="00A723BE">
      <w:pPr>
        <w:pStyle w:val="3-BodyText"/>
        <w:numPr>
          <w:ilvl w:val="0"/>
          <w:numId w:val="9"/>
        </w:numPr>
      </w:pPr>
      <w:r w:rsidRPr="0075027F">
        <w:t>Prevention of acute and delayed nausea and vomiting associated with initial and repeat courses of moderately emetogenic cancer chemotherapy</w:t>
      </w:r>
      <w:r>
        <w:t>.</w:t>
      </w:r>
    </w:p>
    <w:p w14:paraId="58F2410D" w14:textId="3251BF06" w:rsidR="005C25FF" w:rsidRPr="00621ADA" w:rsidRDefault="005C25FF" w:rsidP="004E18E9">
      <w:pPr>
        <w:pStyle w:val="4-SubsectionHeading"/>
      </w:pPr>
      <w:bookmarkStart w:id="7" w:name="_Toc22897639"/>
      <w:bookmarkStart w:id="8" w:name="_Toc124841991"/>
      <w:r w:rsidRPr="00621ADA">
        <w:t>Previous PBAC consideration</w:t>
      </w:r>
      <w:bookmarkEnd w:id="7"/>
      <w:bookmarkEnd w:id="8"/>
    </w:p>
    <w:p w14:paraId="60B66FA1" w14:textId="63240450" w:rsidR="00003773" w:rsidRPr="001A1991" w:rsidRDefault="00E30D34" w:rsidP="00BA5157">
      <w:pPr>
        <w:pStyle w:val="3-BodyText"/>
      </w:pPr>
      <w:r>
        <w:fldChar w:fldCharType="begin"/>
      </w:r>
      <w:r>
        <w:instrText xml:space="preserve"> REF _Ref122531195 \h </w:instrText>
      </w:r>
      <w:r>
        <w:fldChar w:fldCharType="separate"/>
      </w:r>
      <w:r w:rsidR="00775281">
        <w:t xml:space="preserve">Table </w:t>
      </w:r>
      <w:r w:rsidR="00775281">
        <w:rPr>
          <w:noProof/>
        </w:rPr>
        <w:t>2</w:t>
      </w:r>
      <w:r>
        <w:fldChar w:fldCharType="end"/>
      </w:r>
      <w:r>
        <w:t xml:space="preserve"> </w:t>
      </w:r>
      <w:r w:rsidR="001A1991" w:rsidRPr="001A1991">
        <w:t>summarises key characteristics of the previous and current submissions for NEPA</w:t>
      </w:r>
      <w:r>
        <w:t xml:space="preserve"> and </w:t>
      </w:r>
      <w:r w:rsidR="001A1991" w:rsidRPr="001A1991">
        <w:t>NEPA IV.</w:t>
      </w:r>
      <w:r w:rsidR="005B19FB">
        <w:t xml:space="preserve"> </w:t>
      </w:r>
    </w:p>
    <w:p w14:paraId="7C4E4697" w14:textId="792366C8" w:rsidR="00523521" w:rsidRPr="00D5767E" w:rsidRDefault="00E30D34" w:rsidP="00523521">
      <w:pPr>
        <w:pStyle w:val="TableFigureHeading"/>
      </w:pPr>
      <w:bookmarkStart w:id="9" w:name="_Ref122531195"/>
      <w:r>
        <w:t xml:space="preserve">Table </w:t>
      </w:r>
      <w:fldSimple w:instr=" SEQ Table \* ARABIC ">
        <w:r w:rsidR="00775281">
          <w:rPr>
            <w:noProof/>
          </w:rPr>
          <w:t>2</w:t>
        </w:r>
      </w:fldSimple>
      <w:bookmarkEnd w:id="9"/>
      <w:r>
        <w:t xml:space="preserve">: </w:t>
      </w:r>
      <w:r w:rsidR="00523521" w:rsidRPr="00D5767E">
        <w:t xml:space="preserve">Summary of </w:t>
      </w:r>
      <w:r w:rsidR="00523521">
        <w:t xml:space="preserve">key characteristics of the </w:t>
      </w:r>
      <w:r w:rsidR="00523521" w:rsidRPr="00D5767E">
        <w:t>pre</w:t>
      </w:r>
      <w:r w:rsidR="00523521">
        <w:t xml:space="preserve">vious NEPA and NEPA IV submissions and the current NEPA IV </w:t>
      </w:r>
      <w:r w:rsidR="00523521" w:rsidRPr="00D5767E">
        <w:t>submission</w:t>
      </w:r>
      <w:r w:rsidR="00523521">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016"/>
        <w:gridCol w:w="2950"/>
        <w:gridCol w:w="2126"/>
        <w:gridCol w:w="2925"/>
      </w:tblGrid>
      <w:tr w:rsidR="00523521" w:rsidRPr="00132BC0" w14:paraId="6B9BC578" w14:textId="77777777" w:rsidTr="00523521">
        <w:trPr>
          <w:cantSplit/>
          <w:trHeight w:val="220"/>
          <w:tblHeader/>
        </w:trPr>
        <w:tc>
          <w:tcPr>
            <w:tcW w:w="563" w:type="pct"/>
          </w:tcPr>
          <w:p w14:paraId="61F716A0" w14:textId="77777777" w:rsidR="00523521" w:rsidRPr="00132BC0" w:rsidRDefault="00523521" w:rsidP="00523521">
            <w:pPr>
              <w:jc w:val="left"/>
              <w:rPr>
                <w:rFonts w:ascii="Arial Narrow" w:hAnsi="Arial Narrow"/>
                <w:sz w:val="20"/>
              </w:rPr>
            </w:pPr>
          </w:p>
        </w:tc>
        <w:tc>
          <w:tcPr>
            <w:tcW w:w="1636" w:type="pct"/>
          </w:tcPr>
          <w:p w14:paraId="5F2BD70F" w14:textId="77777777" w:rsidR="00523521" w:rsidRDefault="00523521" w:rsidP="00523521">
            <w:pPr>
              <w:jc w:val="center"/>
              <w:rPr>
                <w:rFonts w:ascii="Arial Narrow" w:hAnsi="Arial Narrow"/>
                <w:b/>
                <w:sz w:val="20"/>
              </w:rPr>
            </w:pPr>
            <w:r>
              <w:rPr>
                <w:rFonts w:ascii="Arial Narrow" w:hAnsi="Arial Narrow"/>
                <w:b/>
                <w:sz w:val="20"/>
              </w:rPr>
              <w:t>November 2016</w:t>
            </w:r>
          </w:p>
          <w:p w14:paraId="2FE6399C" w14:textId="77777777" w:rsidR="00523521" w:rsidRDefault="00523521" w:rsidP="00523521">
            <w:pPr>
              <w:jc w:val="center"/>
              <w:rPr>
                <w:rFonts w:ascii="Arial Narrow" w:hAnsi="Arial Narrow"/>
                <w:b/>
                <w:sz w:val="20"/>
              </w:rPr>
            </w:pPr>
            <w:r>
              <w:rPr>
                <w:rFonts w:ascii="Arial Narrow" w:hAnsi="Arial Narrow"/>
                <w:b/>
                <w:sz w:val="20"/>
              </w:rPr>
              <w:t>NEPA (oral capsule)</w:t>
            </w:r>
          </w:p>
          <w:p w14:paraId="2E3CE360" w14:textId="626F2051" w:rsidR="00523521" w:rsidRPr="00132BC0" w:rsidRDefault="00523521" w:rsidP="00523521">
            <w:pPr>
              <w:jc w:val="center"/>
              <w:rPr>
                <w:rFonts w:ascii="Arial Narrow" w:hAnsi="Arial Narrow"/>
                <w:b/>
                <w:sz w:val="20"/>
              </w:rPr>
            </w:pPr>
            <w:r w:rsidRPr="002C3026">
              <w:rPr>
                <w:rFonts w:ascii="Arial Narrow" w:hAnsi="Arial Narrow"/>
                <w:b/>
                <w:sz w:val="20"/>
              </w:rPr>
              <w:t>netupitant 300</w:t>
            </w:r>
            <w:r w:rsidR="009E2338">
              <w:rPr>
                <w:rFonts w:ascii="Arial Narrow" w:hAnsi="Arial Narrow"/>
                <w:b/>
                <w:sz w:val="20"/>
              </w:rPr>
              <w:t> mg</w:t>
            </w:r>
            <w:r w:rsidRPr="002C3026">
              <w:rPr>
                <w:rFonts w:ascii="Arial Narrow" w:hAnsi="Arial Narrow"/>
                <w:b/>
                <w:sz w:val="20"/>
              </w:rPr>
              <w:t xml:space="preserve"> with palonosetron </w:t>
            </w:r>
            <w:r>
              <w:rPr>
                <w:rFonts w:ascii="Arial Narrow" w:hAnsi="Arial Narrow"/>
                <w:b/>
                <w:sz w:val="20"/>
              </w:rPr>
              <w:t>0.5</w:t>
            </w:r>
            <w:r w:rsidR="009E2338">
              <w:rPr>
                <w:rFonts w:ascii="Arial Narrow" w:hAnsi="Arial Narrow"/>
                <w:b/>
                <w:sz w:val="20"/>
              </w:rPr>
              <w:t> mg</w:t>
            </w:r>
          </w:p>
        </w:tc>
        <w:tc>
          <w:tcPr>
            <w:tcW w:w="1179" w:type="pct"/>
          </w:tcPr>
          <w:p w14:paraId="70EB9B36" w14:textId="77777777" w:rsidR="00523521" w:rsidRDefault="00523521" w:rsidP="00523521">
            <w:pPr>
              <w:jc w:val="center"/>
              <w:rPr>
                <w:rFonts w:ascii="Arial Narrow" w:hAnsi="Arial Narrow"/>
                <w:b/>
                <w:sz w:val="20"/>
              </w:rPr>
            </w:pPr>
            <w:r>
              <w:rPr>
                <w:rFonts w:ascii="Arial Narrow" w:hAnsi="Arial Narrow"/>
                <w:b/>
                <w:sz w:val="20"/>
              </w:rPr>
              <w:t>July 2020</w:t>
            </w:r>
          </w:p>
          <w:p w14:paraId="19AE4F72" w14:textId="77777777" w:rsidR="00523521" w:rsidRDefault="00523521" w:rsidP="00523521">
            <w:pPr>
              <w:jc w:val="center"/>
              <w:rPr>
                <w:rFonts w:ascii="Arial Narrow" w:hAnsi="Arial Narrow"/>
                <w:b/>
                <w:sz w:val="20"/>
              </w:rPr>
            </w:pPr>
            <w:r>
              <w:rPr>
                <w:rFonts w:ascii="Arial Narrow" w:hAnsi="Arial Narrow"/>
                <w:b/>
                <w:sz w:val="20"/>
              </w:rPr>
              <w:t>NEPA IV</w:t>
            </w:r>
          </w:p>
          <w:p w14:paraId="4F2A8063" w14:textId="3BD98DAF" w:rsidR="00523521" w:rsidRPr="00132BC0" w:rsidRDefault="00523521" w:rsidP="00523521">
            <w:pPr>
              <w:jc w:val="center"/>
              <w:rPr>
                <w:rFonts w:ascii="Arial Narrow" w:hAnsi="Arial Narrow"/>
                <w:b/>
                <w:sz w:val="20"/>
              </w:rPr>
            </w:pPr>
            <w:r w:rsidRPr="002C3026">
              <w:rPr>
                <w:rFonts w:ascii="Arial Narrow" w:hAnsi="Arial Narrow"/>
                <w:b/>
                <w:sz w:val="20"/>
              </w:rPr>
              <w:t xml:space="preserve">fosnetupitant 235 </w:t>
            </w:r>
            <w:r w:rsidR="009E2338">
              <w:rPr>
                <w:rFonts w:ascii="Arial Narrow" w:hAnsi="Arial Narrow"/>
                <w:b/>
                <w:sz w:val="20"/>
              </w:rPr>
              <w:t> mg</w:t>
            </w:r>
            <w:r w:rsidRPr="002C3026">
              <w:rPr>
                <w:rFonts w:ascii="Arial Narrow" w:hAnsi="Arial Narrow"/>
                <w:b/>
                <w:sz w:val="20"/>
              </w:rPr>
              <w:t xml:space="preserve"> with palonosetron </w:t>
            </w:r>
            <w:r>
              <w:rPr>
                <w:rFonts w:ascii="Arial Narrow" w:hAnsi="Arial Narrow"/>
                <w:b/>
                <w:sz w:val="20"/>
              </w:rPr>
              <w:t xml:space="preserve">0.25 </w:t>
            </w:r>
            <w:r w:rsidR="009E2338">
              <w:rPr>
                <w:rFonts w:ascii="Arial Narrow" w:hAnsi="Arial Narrow"/>
                <w:b/>
                <w:sz w:val="20"/>
              </w:rPr>
              <w:t> mg</w:t>
            </w:r>
          </w:p>
        </w:tc>
        <w:tc>
          <w:tcPr>
            <w:tcW w:w="1622" w:type="pct"/>
          </w:tcPr>
          <w:p w14:paraId="2C8C23BE" w14:textId="77777777" w:rsidR="00523521" w:rsidRDefault="00523521" w:rsidP="00523521">
            <w:pPr>
              <w:jc w:val="center"/>
              <w:rPr>
                <w:rFonts w:ascii="Arial Narrow" w:hAnsi="Arial Narrow"/>
                <w:b/>
                <w:sz w:val="20"/>
              </w:rPr>
            </w:pPr>
            <w:r w:rsidRPr="00132BC0">
              <w:rPr>
                <w:rFonts w:ascii="Arial Narrow" w:hAnsi="Arial Narrow"/>
                <w:b/>
                <w:sz w:val="20"/>
              </w:rPr>
              <w:t>Current submission</w:t>
            </w:r>
          </w:p>
          <w:p w14:paraId="1743F855" w14:textId="77777777" w:rsidR="00523521" w:rsidRDefault="00523521" w:rsidP="00523521">
            <w:pPr>
              <w:jc w:val="center"/>
              <w:rPr>
                <w:rFonts w:ascii="Arial Narrow" w:hAnsi="Arial Narrow"/>
                <w:b/>
                <w:sz w:val="20"/>
              </w:rPr>
            </w:pPr>
            <w:r>
              <w:rPr>
                <w:rFonts w:ascii="Arial Narrow" w:hAnsi="Arial Narrow"/>
                <w:b/>
                <w:sz w:val="20"/>
              </w:rPr>
              <w:t>March 2023</w:t>
            </w:r>
          </w:p>
          <w:p w14:paraId="259A9339" w14:textId="77777777" w:rsidR="00523521" w:rsidRDefault="00523521" w:rsidP="00523521">
            <w:pPr>
              <w:jc w:val="center"/>
              <w:rPr>
                <w:rFonts w:ascii="Arial Narrow" w:hAnsi="Arial Narrow"/>
                <w:b/>
                <w:sz w:val="20"/>
              </w:rPr>
            </w:pPr>
            <w:r>
              <w:rPr>
                <w:rFonts w:ascii="Arial Narrow" w:hAnsi="Arial Narrow"/>
                <w:b/>
                <w:sz w:val="20"/>
              </w:rPr>
              <w:t>NEPA IV</w:t>
            </w:r>
          </w:p>
          <w:p w14:paraId="360EA9FB" w14:textId="7A7D9C3B" w:rsidR="00523521" w:rsidRPr="00132BC0" w:rsidRDefault="00523521" w:rsidP="00523521">
            <w:pPr>
              <w:jc w:val="center"/>
              <w:rPr>
                <w:rFonts w:ascii="Arial Narrow" w:hAnsi="Arial Narrow"/>
                <w:b/>
                <w:sz w:val="20"/>
              </w:rPr>
            </w:pPr>
            <w:r w:rsidRPr="002C3026">
              <w:rPr>
                <w:rFonts w:ascii="Arial Narrow" w:hAnsi="Arial Narrow"/>
                <w:b/>
                <w:sz w:val="20"/>
              </w:rPr>
              <w:t xml:space="preserve">fosnetupitant 235 </w:t>
            </w:r>
            <w:r w:rsidR="009E2338">
              <w:rPr>
                <w:rFonts w:ascii="Arial Narrow" w:hAnsi="Arial Narrow"/>
                <w:b/>
                <w:sz w:val="20"/>
              </w:rPr>
              <w:t> mg</w:t>
            </w:r>
            <w:r w:rsidRPr="002C3026">
              <w:rPr>
                <w:rFonts w:ascii="Arial Narrow" w:hAnsi="Arial Narrow"/>
                <w:b/>
                <w:sz w:val="20"/>
              </w:rPr>
              <w:t xml:space="preserve"> with palonosetron </w:t>
            </w:r>
            <w:r>
              <w:rPr>
                <w:rFonts w:ascii="Arial Narrow" w:hAnsi="Arial Narrow"/>
                <w:b/>
                <w:sz w:val="20"/>
              </w:rPr>
              <w:t xml:space="preserve">0.25 </w:t>
            </w:r>
            <w:r w:rsidR="009E2338">
              <w:rPr>
                <w:rFonts w:ascii="Arial Narrow" w:hAnsi="Arial Narrow"/>
                <w:b/>
                <w:sz w:val="20"/>
              </w:rPr>
              <w:t> mg</w:t>
            </w:r>
          </w:p>
        </w:tc>
      </w:tr>
      <w:tr w:rsidR="00523521" w:rsidRPr="00132BC0" w14:paraId="3A9BC602" w14:textId="77777777" w:rsidTr="00523521">
        <w:trPr>
          <w:cantSplit/>
          <w:trHeight w:val="794"/>
        </w:trPr>
        <w:tc>
          <w:tcPr>
            <w:tcW w:w="563" w:type="pct"/>
          </w:tcPr>
          <w:p w14:paraId="51F36AC7" w14:textId="77777777" w:rsidR="00523521" w:rsidRPr="00132BC0" w:rsidRDefault="00523521" w:rsidP="00523521">
            <w:pPr>
              <w:jc w:val="left"/>
              <w:rPr>
                <w:rFonts w:ascii="Arial Narrow" w:hAnsi="Arial Narrow"/>
                <w:sz w:val="20"/>
              </w:rPr>
            </w:pPr>
            <w:r w:rsidRPr="00132BC0">
              <w:rPr>
                <w:rFonts w:ascii="Arial Narrow" w:hAnsi="Arial Narrow"/>
                <w:sz w:val="20"/>
              </w:rPr>
              <w:t>Requested PBS listing</w:t>
            </w:r>
          </w:p>
        </w:tc>
        <w:tc>
          <w:tcPr>
            <w:tcW w:w="1636" w:type="pct"/>
          </w:tcPr>
          <w:p w14:paraId="02543A93" w14:textId="77777777" w:rsidR="00523521" w:rsidRDefault="00523521" w:rsidP="00A723BE">
            <w:pPr>
              <w:numPr>
                <w:ilvl w:val="0"/>
                <w:numId w:val="7"/>
              </w:numPr>
              <w:ind w:left="276" w:hanging="278"/>
              <w:jc w:val="left"/>
              <w:rPr>
                <w:rFonts w:ascii="Arial Narrow" w:hAnsi="Arial Narrow"/>
                <w:sz w:val="20"/>
              </w:rPr>
            </w:pPr>
            <w:r>
              <w:rPr>
                <w:rFonts w:ascii="Arial Narrow" w:hAnsi="Arial Narrow"/>
                <w:sz w:val="20"/>
              </w:rPr>
              <w:t>Primary prophylaxis of CINV for carboplatin/oxalip</w:t>
            </w:r>
            <w:r w:rsidRPr="0032413D">
              <w:rPr>
                <w:rFonts w:ascii="Arial Narrow" w:hAnsi="Arial Narrow"/>
                <w:sz w:val="20"/>
              </w:rPr>
              <w:t>latin regimens</w:t>
            </w:r>
          </w:p>
          <w:p w14:paraId="7457CA8D" w14:textId="77777777" w:rsidR="00523521" w:rsidRPr="00566B17" w:rsidRDefault="00523521" w:rsidP="00A723BE">
            <w:pPr>
              <w:numPr>
                <w:ilvl w:val="0"/>
                <w:numId w:val="7"/>
              </w:numPr>
              <w:ind w:left="276" w:hanging="278"/>
              <w:jc w:val="left"/>
              <w:rPr>
                <w:rFonts w:ascii="Arial Narrow" w:hAnsi="Arial Narrow"/>
                <w:sz w:val="20"/>
              </w:rPr>
            </w:pPr>
            <w:r w:rsidRPr="0032413D">
              <w:rPr>
                <w:rFonts w:ascii="Arial Narrow" w:hAnsi="Arial Narrow"/>
                <w:sz w:val="20"/>
              </w:rPr>
              <w:t xml:space="preserve">Secondary prophylaxis of </w:t>
            </w:r>
            <w:r>
              <w:rPr>
                <w:rFonts w:ascii="Arial Narrow" w:hAnsi="Arial Narrow"/>
                <w:sz w:val="20"/>
              </w:rPr>
              <w:t xml:space="preserve">CINV for </w:t>
            </w:r>
            <w:r w:rsidRPr="0032413D">
              <w:rPr>
                <w:rFonts w:ascii="Arial Narrow" w:hAnsi="Arial Narrow"/>
                <w:sz w:val="20"/>
              </w:rPr>
              <w:t>MEC</w:t>
            </w:r>
          </w:p>
        </w:tc>
        <w:tc>
          <w:tcPr>
            <w:tcW w:w="1179" w:type="pct"/>
          </w:tcPr>
          <w:p w14:paraId="6702896B" w14:textId="77777777" w:rsidR="00523521" w:rsidRPr="0032413D" w:rsidRDefault="00523521" w:rsidP="00523521">
            <w:pPr>
              <w:ind w:left="-2"/>
              <w:jc w:val="left"/>
              <w:rPr>
                <w:rFonts w:ascii="Arial Narrow" w:hAnsi="Arial Narrow"/>
                <w:sz w:val="20"/>
              </w:rPr>
            </w:pPr>
            <w:r>
              <w:rPr>
                <w:rFonts w:ascii="Arial Narrow" w:hAnsi="Arial Narrow"/>
                <w:bCs/>
                <w:sz w:val="20"/>
              </w:rPr>
              <w:t>Four restrictions with specified chemotherapy regimens for each including AC</w:t>
            </w:r>
            <w:r w:rsidRPr="005B19FB">
              <w:rPr>
                <w:rFonts w:ascii="Arial Narrow" w:hAnsi="Arial Narrow"/>
                <w:bCs/>
                <w:sz w:val="20"/>
              </w:rPr>
              <w:t xml:space="preserve"> for breast cancer</w:t>
            </w:r>
            <w:r>
              <w:rPr>
                <w:rFonts w:ascii="Arial Narrow" w:hAnsi="Arial Narrow"/>
                <w:bCs/>
                <w:sz w:val="20"/>
              </w:rPr>
              <w:t xml:space="preserve">, secondary prophylaxis for MEC, and </w:t>
            </w:r>
            <w:r w:rsidRPr="005B19FB">
              <w:rPr>
                <w:rFonts w:ascii="Arial Narrow" w:hAnsi="Arial Narrow"/>
                <w:bCs/>
                <w:sz w:val="20"/>
              </w:rPr>
              <w:t>carboplatin or oxaliplatin</w:t>
            </w:r>
            <w:r>
              <w:rPr>
                <w:rFonts w:ascii="Arial Narrow" w:hAnsi="Arial Narrow"/>
                <w:bCs/>
                <w:sz w:val="20"/>
              </w:rPr>
              <w:t>.</w:t>
            </w:r>
          </w:p>
        </w:tc>
        <w:tc>
          <w:tcPr>
            <w:tcW w:w="1622" w:type="pct"/>
          </w:tcPr>
          <w:p w14:paraId="675ECAED" w14:textId="77CFC99E" w:rsidR="00523521" w:rsidRPr="0032413D" w:rsidRDefault="00523521" w:rsidP="00523521">
            <w:pPr>
              <w:ind w:left="-2"/>
              <w:jc w:val="left"/>
              <w:rPr>
                <w:rFonts w:ascii="Arial Narrow" w:hAnsi="Arial Narrow"/>
                <w:sz w:val="20"/>
              </w:rPr>
            </w:pPr>
            <w:r>
              <w:rPr>
                <w:rFonts w:ascii="Arial Narrow" w:hAnsi="Arial Narrow"/>
                <w:bCs/>
                <w:sz w:val="20"/>
              </w:rPr>
              <w:t>The specified chemotherapy agents were similar to those specified in the July 2020 submission</w:t>
            </w:r>
            <w:r w:rsidR="00677FEE">
              <w:rPr>
                <w:rFonts w:ascii="Arial Narrow" w:hAnsi="Arial Narrow"/>
                <w:bCs/>
                <w:sz w:val="20"/>
              </w:rPr>
              <w:t xml:space="preserve"> and are consistent with current Emend IV listings (with relevant differences noting Emend IV requires concomitant </w:t>
            </w:r>
            <w:r w:rsidR="00570B21">
              <w:rPr>
                <w:rFonts w:ascii="Arial Narrow" w:hAnsi="Arial Narrow"/>
                <w:bCs/>
                <w:sz w:val="20"/>
              </w:rPr>
              <w:t xml:space="preserve">use of a </w:t>
            </w:r>
            <w:r w:rsidR="00677FEE">
              <w:rPr>
                <w:rFonts w:ascii="Arial Narrow" w:hAnsi="Arial Narrow"/>
                <w:bCs/>
                <w:sz w:val="20"/>
              </w:rPr>
              <w:t>5</w:t>
            </w:r>
            <w:r w:rsidR="00570B21">
              <w:rPr>
                <w:rFonts w:ascii="Arial Narrow" w:hAnsi="Arial Narrow"/>
                <w:bCs/>
                <w:sz w:val="20"/>
              </w:rPr>
              <w:t>-</w:t>
            </w:r>
            <w:r w:rsidR="00677FEE">
              <w:rPr>
                <w:rFonts w:ascii="Arial Narrow" w:hAnsi="Arial Narrow"/>
                <w:bCs/>
                <w:sz w:val="20"/>
              </w:rPr>
              <w:t>HT3 RA)</w:t>
            </w:r>
            <w:r>
              <w:rPr>
                <w:rFonts w:ascii="Arial Narrow" w:hAnsi="Arial Narrow"/>
                <w:bCs/>
                <w:sz w:val="20"/>
              </w:rPr>
              <w:t>.</w:t>
            </w:r>
          </w:p>
        </w:tc>
      </w:tr>
      <w:tr w:rsidR="00523521" w:rsidRPr="00132BC0" w14:paraId="4DFC119D" w14:textId="77777777" w:rsidTr="00523521">
        <w:trPr>
          <w:cantSplit/>
          <w:trHeight w:val="422"/>
        </w:trPr>
        <w:tc>
          <w:tcPr>
            <w:tcW w:w="563" w:type="pct"/>
          </w:tcPr>
          <w:p w14:paraId="05080163" w14:textId="518C261E" w:rsidR="00523521" w:rsidRPr="00132BC0" w:rsidRDefault="00041015" w:rsidP="00523521">
            <w:pPr>
              <w:jc w:val="left"/>
              <w:rPr>
                <w:rFonts w:ascii="Arial Narrow" w:hAnsi="Arial Narrow"/>
                <w:sz w:val="20"/>
              </w:rPr>
            </w:pPr>
            <w:r>
              <w:rPr>
                <w:rFonts w:ascii="Arial Narrow" w:hAnsi="Arial Narrow"/>
                <w:sz w:val="20"/>
              </w:rPr>
              <w:t xml:space="preserve">Requested </w:t>
            </w:r>
            <w:r w:rsidR="00523521" w:rsidRPr="00663050">
              <w:rPr>
                <w:rFonts w:ascii="Arial Narrow" w:hAnsi="Arial Narrow"/>
                <w:sz w:val="20"/>
              </w:rPr>
              <w:t>AEMP</w:t>
            </w:r>
          </w:p>
        </w:tc>
        <w:tc>
          <w:tcPr>
            <w:tcW w:w="1636" w:type="pct"/>
          </w:tcPr>
          <w:p w14:paraId="1F29F175" w14:textId="77777777" w:rsidR="00523521" w:rsidRPr="00132BC0" w:rsidRDefault="00523521" w:rsidP="00523521">
            <w:pPr>
              <w:rPr>
                <w:rFonts w:ascii="Arial Narrow" w:hAnsi="Arial Narrow"/>
                <w:sz w:val="20"/>
              </w:rPr>
            </w:pPr>
            <w:r w:rsidRPr="00ED3EAE">
              <w:rPr>
                <w:rFonts w:ascii="Arial Narrow" w:hAnsi="Arial Narrow"/>
                <w:sz w:val="20"/>
              </w:rPr>
              <w:t>$103.01</w:t>
            </w:r>
            <w:r>
              <w:rPr>
                <w:rFonts w:ascii="Arial Narrow" w:hAnsi="Arial Narrow"/>
                <w:sz w:val="20"/>
              </w:rPr>
              <w:t xml:space="preserve"> per capsule</w:t>
            </w:r>
          </w:p>
        </w:tc>
        <w:tc>
          <w:tcPr>
            <w:tcW w:w="1179" w:type="pct"/>
          </w:tcPr>
          <w:p w14:paraId="2720DBB7" w14:textId="799C5A7C" w:rsidR="00523521" w:rsidRPr="00132BC0" w:rsidRDefault="00523521" w:rsidP="002942A1">
            <w:pPr>
              <w:jc w:val="left"/>
              <w:rPr>
                <w:rFonts w:ascii="Arial Narrow" w:hAnsi="Arial Narrow"/>
                <w:color w:val="0000FF"/>
                <w:sz w:val="20"/>
              </w:rPr>
            </w:pPr>
            <w:r w:rsidRPr="001A1991">
              <w:rPr>
                <w:rFonts w:ascii="Arial Narrow" w:hAnsi="Arial Narrow"/>
                <w:sz w:val="20"/>
              </w:rPr>
              <w:t xml:space="preserve">The minor submission proposed the same AEMP for NEPA IV as NEPA </w:t>
            </w:r>
            <w:r w:rsidRPr="007E09EC">
              <w:rPr>
                <w:rFonts w:ascii="Arial Narrow" w:hAnsi="Arial Narrow"/>
                <w:sz w:val="20"/>
              </w:rPr>
              <w:t>($97.16 per vial</w:t>
            </w:r>
            <w:r w:rsidRPr="001A1991">
              <w:rPr>
                <w:rFonts w:ascii="Arial Narrow" w:hAnsi="Arial Narrow"/>
                <w:sz w:val="20"/>
              </w:rPr>
              <w:t xml:space="preserve">). The proposed AEMP was equivalent to that of </w:t>
            </w:r>
            <w:r w:rsidR="00F07F5D">
              <w:rPr>
                <w:rFonts w:ascii="Arial Narrow" w:hAnsi="Arial Narrow"/>
                <w:sz w:val="20"/>
              </w:rPr>
              <w:t>Emend IV</w:t>
            </w:r>
            <w:r w:rsidR="002942A1">
              <w:rPr>
                <w:rFonts w:ascii="Arial Narrow" w:hAnsi="Arial Narrow"/>
                <w:sz w:val="20"/>
              </w:rPr>
              <w:t xml:space="preserve"> (</w:t>
            </w:r>
            <w:r w:rsidR="002942A1" w:rsidRPr="00C2616A">
              <w:rPr>
                <w:rFonts w:ascii="Arial Narrow" w:hAnsi="Arial Narrow"/>
                <w:sz w:val="20"/>
              </w:rPr>
              <w:t xml:space="preserve">fosaprepitant 150 </w:t>
            </w:r>
            <w:r w:rsidR="009E2338">
              <w:rPr>
                <w:rFonts w:ascii="Arial Narrow" w:hAnsi="Arial Narrow"/>
                <w:sz w:val="20"/>
              </w:rPr>
              <w:t> mg</w:t>
            </w:r>
            <w:r w:rsidR="002942A1">
              <w:rPr>
                <w:rFonts w:ascii="Arial Narrow" w:hAnsi="Arial Narrow"/>
                <w:sz w:val="20"/>
              </w:rPr>
              <w:t>)</w:t>
            </w:r>
          </w:p>
        </w:tc>
        <w:tc>
          <w:tcPr>
            <w:tcW w:w="1622" w:type="pct"/>
          </w:tcPr>
          <w:p w14:paraId="3299B686" w14:textId="03884E8F" w:rsidR="00523521" w:rsidRPr="00132BC0" w:rsidRDefault="00523521" w:rsidP="00523521">
            <w:pPr>
              <w:jc w:val="left"/>
              <w:rPr>
                <w:rFonts w:ascii="Arial Narrow" w:hAnsi="Arial Narrow"/>
                <w:color w:val="0000FF"/>
                <w:sz w:val="20"/>
              </w:rPr>
            </w:pPr>
            <w:r w:rsidRPr="00355C55">
              <w:rPr>
                <w:rFonts w:ascii="Arial Narrow" w:hAnsi="Arial Narrow"/>
                <w:sz w:val="20"/>
              </w:rPr>
              <w:t>$</w:t>
            </w:r>
            <w:r w:rsidR="00D25BE4" w:rsidRPr="00D25BE4">
              <w:rPr>
                <w:rFonts w:ascii="Arial Narrow" w:hAnsi="Arial Narrow"/>
                <w:color w:val="000000"/>
                <w:spacing w:val="45"/>
                <w:sz w:val="20"/>
                <w:shd w:val="solid" w:color="000000" w:fill="000000"/>
                <w:fitText w:val="330" w:id="-1233420288"/>
                <w14:textFill>
                  <w14:solidFill>
                    <w14:srgbClr w14:val="000000">
                      <w14:alpha w14:val="100000"/>
                    </w14:srgbClr>
                  </w14:solidFill>
                </w14:textFill>
              </w:rPr>
              <w:t>|||</w:t>
            </w:r>
            <w:r w:rsidR="00D25BE4" w:rsidRPr="00D25BE4">
              <w:rPr>
                <w:rFonts w:ascii="Arial Narrow" w:hAnsi="Arial Narrow"/>
                <w:color w:val="000000"/>
                <w:spacing w:val="15"/>
                <w:sz w:val="20"/>
                <w:shd w:val="solid" w:color="000000" w:fill="000000"/>
                <w:fitText w:val="330" w:id="-1233420288"/>
                <w14:textFill>
                  <w14:solidFill>
                    <w14:srgbClr w14:val="000000">
                      <w14:alpha w14:val="100000"/>
                    </w14:srgbClr>
                  </w14:solidFill>
                </w14:textFill>
              </w:rPr>
              <w:t>|</w:t>
            </w:r>
            <w:r>
              <w:rPr>
                <w:rFonts w:ascii="Arial Narrow" w:hAnsi="Arial Narrow"/>
                <w:sz w:val="20"/>
              </w:rPr>
              <w:t xml:space="preserve"> per vial</w:t>
            </w:r>
          </w:p>
        </w:tc>
      </w:tr>
      <w:tr w:rsidR="00523521" w:rsidRPr="00132BC0" w14:paraId="2B74FDC6" w14:textId="77777777" w:rsidTr="00523521">
        <w:trPr>
          <w:cantSplit/>
          <w:trHeight w:val="457"/>
        </w:trPr>
        <w:tc>
          <w:tcPr>
            <w:tcW w:w="563" w:type="pct"/>
          </w:tcPr>
          <w:p w14:paraId="5A3C9331" w14:textId="77777777" w:rsidR="00523521" w:rsidRPr="00132BC0" w:rsidRDefault="00523521" w:rsidP="00523521">
            <w:pPr>
              <w:jc w:val="left"/>
              <w:rPr>
                <w:rFonts w:ascii="Arial Narrow" w:hAnsi="Arial Narrow"/>
                <w:sz w:val="20"/>
              </w:rPr>
            </w:pPr>
            <w:r w:rsidRPr="00132BC0">
              <w:rPr>
                <w:rFonts w:ascii="Arial Narrow" w:hAnsi="Arial Narrow"/>
                <w:sz w:val="20"/>
              </w:rPr>
              <w:t>Main comparator</w:t>
            </w:r>
          </w:p>
        </w:tc>
        <w:tc>
          <w:tcPr>
            <w:tcW w:w="1636" w:type="pct"/>
          </w:tcPr>
          <w:p w14:paraId="60E7B2DD" w14:textId="77777777" w:rsidR="00523521" w:rsidRPr="00132BC0" w:rsidRDefault="00523521" w:rsidP="00523521">
            <w:pPr>
              <w:jc w:val="left"/>
              <w:rPr>
                <w:rFonts w:ascii="Arial Narrow" w:hAnsi="Arial Narrow"/>
                <w:sz w:val="20"/>
              </w:rPr>
            </w:pPr>
            <w:r>
              <w:rPr>
                <w:rFonts w:ascii="Arial Narrow" w:hAnsi="Arial Narrow"/>
                <w:sz w:val="20"/>
              </w:rPr>
              <w:t>Aprepitant + 5-HT</w:t>
            </w:r>
            <w:r w:rsidRPr="001A1991">
              <w:rPr>
                <w:rFonts w:ascii="Arial Narrow" w:hAnsi="Arial Narrow"/>
                <w:sz w:val="20"/>
              </w:rPr>
              <w:t>3</w:t>
            </w:r>
            <w:r>
              <w:rPr>
                <w:rFonts w:ascii="Arial Narrow" w:hAnsi="Arial Narrow"/>
                <w:sz w:val="20"/>
              </w:rPr>
              <w:t xml:space="preserve"> RA</w:t>
            </w:r>
          </w:p>
        </w:tc>
        <w:tc>
          <w:tcPr>
            <w:tcW w:w="1179" w:type="pct"/>
          </w:tcPr>
          <w:p w14:paraId="33C5AFFD" w14:textId="77777777" w:rsidR="00523521" w:rsidRPr="00132BC0" w:rsidRDefault="00523521" w:rsidP="00523521">
            <w:pPr>
              <w:jc w:val="left"/>
              <w:rPr>
                <w:rFonts w:ascii="Arial Narrow" w:hAnsi="Arial Narrow"/>
                <w:sz w:val="20"/>
              </w:rPr>
            </w:pPr>
            <w:r>
              <w:rPr>
                <w:rFonts w:ascii="Arial Narrow" w:hAnsi="Arial Narrow"/>
                <w:sz w:val="20"/>
              </w:rPr>
              <w:t>NEPA</w:t>
            </w:r>
          </w:p>
        </w:tc>
        <w:tc>
          <w:tcPr>
            <w:tcW w:w="1622" w:type="pct"/>
          </w:tcPr>
          <w:p w14:paraId="41FD3F5F" w14:textId="0EF30076" w:rsidR="00523521" w:rsidRPr="00132BC0" w:rsidRDefault="00523521" w:rsidP="002942A1">
            <w:pPr>
              <w:jc w:val="left"/>
              <w:rPr>
                <w:rFonts w:ascii="Arial Narrow" w:hAnsi="Arial Narrow"/>
                <w:sz w:val="20"/>
              </w:rPr>
            </w:pPr>
            <w:r>
              <w:rPr>
                <w:rFonts w:ascii="Arial Narrow" w:hAnsi="Arial Narrow"/>
                <w:sz w:val="20"/>
              </w:rPr>
              <w:t>Emend IV + 5-HT3 RA (specified as palonosetron)</w:t>
            </w:r>
          </w:p>
        </w:tc>
      </w:tr>
      <w:tr w:rsidR="00523521" w:rsidRPr="00132BC0" w14:paraId="671B221F" w14:textId="77777777" w:rsidTr="00523521">
        <w:trPr>
          <w:cantSplit/>
          <w:trHeight w:val="860"/>
        </w:trPr>
        <w:tc>
          <w:tcPr>
            <w:tcW w:w="563" w:type="pct"/>
          </w:tcPr>
          <w:p w14:paraId="42385BBD" w14:textId="77777777" w:rsidR="00523521" w:rsidRPr="00132BC0" w:rsidRDefault="00523521" w:rsidP="00523521">
            <w:pPr>
              <w:jc w:val="left"/>
              <w:rPr>
                <w:rFonts w:ascii="Arial Narrow" w:hAnsi="Arial Narrow"/>
                <w:sz w:val="20"/>
              </w:rPr>
            </w:pPr>
            <w:r w:rsidRPr="00132BC0">
              <w:rPr>
                <w:rFonts w:ascii="Arial Narrow" w:hAnsi="Arial Narrow"/>
                <w:sz w:val="20"/>
              </w:rPr>
              <w:t>Clinical evidence</w:t>
            </w:r>
          </w:p>
        </w:tc>
        <w:tc>
          <w:tcPr>
            <w:tcW w:w="1636" w:type="pct"/>
          </w:tcPr>
          <w:p w14:paraId="07242E17" w14:textId="77777777" w:rsidR="00523521" w:rsidRPr="00132BC0" w:rsidRDefault="00523521" w:rsidP="00523521">
            <w:pPr>
              <w:jc w:val="left"/>
              <w:rPr>
                <w:rFonts w:ascii="Arial Narrow" w:hAnsi="Arial Narrow"/>
                <w:sz w:val="20"/>
              </w:rPr>
            </w:pPr>
            <w:r>
              <w:rPr>
                <w:rFonts w:ascii="Arial Narrow" w:hAnsi="Arial Narrow"/>
                <w:sz w:val="20"/>
              </w:rPr>
              <w:t xml:space="preserve">Direct evidence (one trial </w:t>
            </w:r>
            <w:r w:rsidRPr="00320F24">
              <w:rPr>
                <w:rFonts w:ascii="Arial Narrow" w:hAnsi="Arial Narrow"/>
                <w:sz w:val="20"/>
              </w:rPr>
              <w:t>N</w:t>
            </w:r>
            <w:r>
              <w:rPr>
                <w:rFonts w:ascii="Arial Narrow" w:hAnsi="Arial Narrow"/>
                <w:sz w:val="20"/>
              </w:rPr>
              <w:t xml:space="preserve">ETU-10-29 </w:t>
            </w:r>
            <w:r w:rsidRPr="00320F24">
              <w:rPr>
                <w:rFonts w:ascii="Arial Narrow" w:hAnsi="Arial Narrow"/>
                <w:sz w:val="20"/>
              </w:rPr>
              <w:t xml:space="preserve">HEC </w:t>
            </w:r>
            <w:r>
              <w:rPr>
                <w:rFonts w:ascii="Arial Narrow" w:hAnsi="Arial Narrow"/>
                <w:sz w:val="20"/>
              </w:rPr>
              <w:t xml:space="preserve">and </w:t>
            </w:r>
            <w:r w:rsidRPr="00320F24">
              <w:rPr>
                <w:rFonts w:ascii="Arial Narrow" w:hAnsi="Arial Narrow"/>
                <w:sz w:val="20"/>
              </w:rPr>
              <w:t>MEC</w:t>
            </w:r>
            <w:r>
              <w:rPr>
                <w:rFonts w:ascii="Arial Narrow" w:hAnsi="Arial Narrow"/>
                <w:sz w:val="20"/>
              </w:rPr>
              <w:t xml:space="preserve">). Additional subgroup analysis of MEC patients treated with and without carboplatin/oxaliplatin </w:t>
            </w:r>
          </w:p>
        </w:tc>
        <w:tc>
          <w:tcPr>
            <w:tcW w:w="1179" w:type="pct"/>
          </w:tcPr>
          <w:p w14:paraId="1208E653" w14:textId="77777777" w:rsidR="00523521" w:rsidRPr="00132BC0" w:rsidRDefault="00523521" w:rsidP="00523521">
            <w:pPr>
              <w:jc w:val="left"/>
              <w:rPr>
                <w:rFonts w:ascii="Arial Narrow" w:hAnsi="Arial Narrow"/>
                <w:sz w:val="20"/>
              </w:rPr>
            </w:pPr>
            <w:r>
              <w:rPr>
                <w:rFonts w:ascii="Arial Narrow" w:hAnsi="Arial Narrow"/>
                <w:sz w:val="20"/>
              </w:rPr>
              <w:t>Direct evidence (f</w:t>
            </w:r>
            <w:r w:rsidRPr="001A1991">
              <w:rPr>
                <w:rFonts w:ascii="Arial Narrow" w:hAnsi="Arial Narrow"/>
                <w:sz w:val="20"/>
              </w:rPr>
              <w:t xml:space="preserve">our trials </w:t>
            </w:r>
            <w:r>
              <w:rPr>
                <w:rFonts w:ascii="Arial Narrow" w:hAnsi="Arial Narrow"/>
                <w:sz w:val="20"/>
              </w:rPr>
              <w:t>(HEC/</w:t>
            </w:r>
            <w:r w:rsidRPr="002F3D59">
              <w:rPr>
                <w:rFonts w:ascii="Arial Narrow" w:hAnsi="Arial Narrow"/>
                <w:sz w:val="20"/>
              </w:rPr>
              <w:t>AC</w:t>
            </w:r>
            <w:r>
              <w:rPr>
                <w:rFonts w:ascii="Arial Narrow" w:hAnsi="Arial Narrow"/>
                <w:sz w:val="20"/>
              </w:rPr>
              <w:t>)</w:t>
            </w:r>
            <w:r w:rsidRPr="002F3D59">
              <w:rPr>
                <w:rFonts w:ascii="Arial Narrow" w:hAnsi="Arial Narrow"/>
                <w:sz w:val="20"/>
              </w:rPr>
              <w:t xml:space="preserve"> </w:t>
            </w:r>
            <w:r w:rsidRPr="001A1991">
              <w:rPr>
                <w:rFonts w:ascii="Arial Narrow" w:hAnsi="Arial Narrow"/>
                <w:sz w:val="20"/>
              </w:rPr>
              <w:t>to demonstrate that NEPA IV and NEPA were equivalent.</w:t>
            </w:r>
          </w:p>
        </w:tc>
        <w:tc>
          <w:tcPr>
            <w:tcW w:w="1622" w:type="pct"/>
          </w:tcPr>
          <w:p w14:paraId="7A78B9F1" w14:textId="77777777" w:rsidR="00523521" w:rsidRDefault="00523521" w:rsidP="00523521">
            <w:pPr>
              <w:jc w:val="left"/>
              <w:rPr>
                <w:rFonts w:ascii="Arial Narrow" w:hAnsi="Arial Narrow"/>
                <w:sz w:val="20"/>
              </w:rPr>
            </w:pPr>
            <w:r>
              <w:rPr>
                <w:rFonts w:ascii="Arial Narrow" w:hAnsi="Arial Narrow"/>
                <w:sz w:val="20"/>
              </w:rPr>
              <w:t>Direct evidence (two trials):</w:t>
            </w:r>
          </w:p>
          <w:p w14:paraId="048250CF" w14:textId="77777777" w:rsidR="00523521" w:rsidRDefault="00523521" w:rsidP="00523521">
            <w:pPr>
              <w:jc w:val="left"/>
              <w:rPr>
                <w:rFonts w:ascii="Arial Narrow" w:hAnsi="Arial Narrow"/>
                <w:sz w:val="20"/>
              </w:rPr>
            </w:pPr>
            <w:r>
              <w:rPr>
                <w:rFonts w:ascii="Arial Narrow" w:hAnsi="Arial Narrow"/>
                <w:sz w:val="20"/>
              </w:rPr>
              <w:t>CONSOLE (primarily lung cancer patients on cisplatin chemotherapy).</w:t>
            </w:r>
          </w:p>
          <w:p w14:paraId="1662CB3A" w14:textId="77777777" w:rsidR="00523521" w:rsidRPr="00132BC0" w:rsidRDefault="00523521" w:rsidP="00523521">
            <w:pPr>
              <w:jc w:val="left"/>
              <w:rPr>
                <w:rFonts w:ascii="Arial Narrow" w:hAnsi="Arial Narrow"/>
                <w:sz w:val="20"/>
              </w:rPr>
            </w:pPr>
            <w:r>
              <w:rPr>
                <w:rFonts w:ascii="Arial Narrow" w:hAnsi="Arial Narrow"/>
                <w:sz w:val="20"/>
              </w:rPr>
              <w:t>CONSOLE-BC (breast cancer patients on AC chemotherapy).</w:t>
            </w:r>
          </w:p>
        </w:tc>
      </w:tr>
      <w:tr w:rsidR="00523521" w:rsidRPr="00132BC0" w14:paraId="57D4CCA2" w14:textId="77777777" w:rsidTr="00523521">
        <w:trPr>
          <w:cantSplit/>
          <w:trHeight w:val="624"/>
        </w:trPr>
        <w:tc>
          <w:tcPr>
            <w:tcW w:w="563" w:type="pct"/>
          </w:tcPr>
          <w:p w14:paraId="6BF30B83" w14:textId="77777777" w:rsidR="00523521" w:rsidRPr="00132BC0" w:rsidRDefault="00523521" w:rsidP="00523521">
            <w:pPr>
              <w:jc w:val="left"/>
              <w:rPr>
                <w:rFonts w:ascii="Arial Narrow" w:hAnsi="Arial Narrow"/>
                <w:sz w:val="20"/>
              </w:rPr>
            </w:pPr>
            <w:r w:rsidRPr="00132BC0">
              <w:rPr>
                <w:rFonts w:ascii="Arial Narrow" w:hAnsi="Arial Narrow"/>
                <w:sz w:val="20"/>
              </w:rPr>
              <w:t>Clinical claim</w:t>
            </w:r>
          </w:p>
        </w:tc>
        <w:tc>
          <w:tcPr>
            <w:tcW w:w="1636" w:type="pct"/>
          </w:tcPr>
          <w:p w14:paraId="660DA2AA" w14:textId="77777777" w:rsidR="00523521" w:rsidRPr="00132BC0" w:rsidRDefault="00523521" w:rsidP="00523521">
            <w:pPr>
              <w:jc w:val="left"/>
              <w:rPr>
                <w:rFonts w:ascii="Arial Narrow" w:hAnsi="Arial Narrow"/>
                <w:sz w:val="20"/>
              </w:rPr>
            </w:pPr>
            <w:r>
              <w:rPr>
                <w:rFonts w:ascii="Arial Narrow" w:hAnsi="Arial Narrow"/>
                <w:sz w:val="20"/>
              </w:rPr>
              <w:t>NEPA</w:t>
            </w:r>
            <w:r w:rsidRPr="00132BC0">
              <w:rPr>
                <w:rFonts w:ascii="Arial Narrow" w:hAnsi="Arial Narrow"/>
                <w:sz w:val="20"/>
              </w:rPr>
              <w:t xml:space="preserve"> </w:t>
            </w:r>
            <w:r>
              <w:rPr>
                <w:rFonts w:ascii="Arial Narrow" w:hAnsi="Arial Narrow"/>
                <w:sz w:val="20"/>
              </w:rPr>
              <w:t>i</w:t>
            </w:r>
            <w:r w:rsidRPr="00132BC0">
              <w:rPr>
                <w:rFonts w:ascii="Arial Narrow" w:hAnsi="Arial Narrow"/>
                <w:sz w:val="20"/>
              </w:rPr>
              <w:t xml:space="preserve">s </w:t>
            </w:r>
            <w:r>
              <w:rPr>
                <w:rFonts w:ascii="Arial Narrow" w:hAnsi="Arial Narrow"/>
                <w:sz w:val="20"/>
              </w:rPr>
              <w:t>non-inferior</w:t>
            </w:r>
            <w:r w:rsidRPr="00132BC0">
              <w:rPr>
                <w:rFonts w:ascii="Arial Narrow" w:hAnsi="Arial Narrow"/>
                <w:sz w:val="20"/>
              </w:rPr>
              <w:t xml:space="preserve"> to aprepitant </w:t>
            </w:r>
            <w:r>
              <w:rPr>
                <w:rFonts w:ascii="Arial Narrow" w:hAnsi="Arial Narrow"/>
                <w:sz w:val="20"/>
              </w:rPr>
              <w:t>+</w:t>
            </w:r>
            <w:r w:rsidRPr="00132BC0">
              <w:rPr>
                <w:rFonts w:ascii="Arial Narrow" w:hAnsi="Arial Narrow"/>
                <w:sz w:val="20"/>
              </w:rPr>
              <w:t xml:space="preserve"> a </w:t>
            </w:r>
            <w:r>
              <w:rPr>
                <w:rFonts w:ascii="Arial Narrow" w:hAnsi="Arial Narrow"/>
                <w:sz w:val="20"/>
              </w:rPr>
              <w:t>5-HT</w:t>
            </w:r>
            <w:r w:rsidRPr="00C45E59">
              <w:rPr>
                <w:rFonts w:ascii="Arial Narrow" w:hAnsi="Arial Narrow"/>
                <w:sz w:val="20"/>
              </w:rPr>
              <w:t>3</w:t>
            </w:r>
            <w:r>
              <w:rPr>
                <w:rFonts w:ascii="Arial Narrow" w:hAnsi="Arial Narrow"/>
                <w:sz w:val="20"/>
              </w:rPr>
              <w:t xml:space="preserve"> RA</w:t>
            </w:r>
            <w:r w:rsidRPr="00132BC0">
              <w:rPr>
                <w:rFonts w:ascii="Arial Narrow" w:hAnsi="Arial Narrow"/>
                <w:sz w:val="20"/>
              </w:rPr>
              <w:t>.</w:t>
            </w:r>
          </w:p>
        </w:tc>
        <w:tc>
          <w:tcPr>
            <w:tcW w:w="1179" w:type="pct"/>
          </w:tcPr>
          <w:p w14:paraId="34263A30" w14:textId="77777777" w:rsidR="00523521" w:rsidRPr="00132BC0" w:rsidRDefault="00523521" w:rsidP="00523521">
            <w:pPr>
              <w:jc w:val="left"/>
              <w:rPr>
                <w:rFonts w:ascii="Arial Narrow" w:hAnsi="Arial Narrow"/>
                <w:sz w:val="20"/>
              </w:rPr>
            </w:pPr>
            <w:r w:rsidRPr="005222F0">
              <w:rPr>
                <w:rFonts w:ascii="Arial Narrow" w:hAnsi="Arial Narrow"/>
                <w:sz w:val="20"/>
              </w:rPr>
              <w:t>NEPA IV is non-inferior to NEPA</w:t>
            </w:r>
          </w:p>
        </w:tc>
        <w:tc>
          <w:tcPr>
            <w:tcW w:w="1622" w:type="pct"/>
          </w:tcPr>
          <w:p w14:paraId="39930287" w14:textId="19452E1E" w:rsidR="00523521" w:rsidRPr="00527E71" w:rsidRDefault="00523521" w:rsidP="00523521">
            <w:pPr>
              <w:jc w:val="left"/>
              <w:rPr>
                <w:rFonts w:ascii="Arial Narrow" w:hAnsi="Arial Narrow"/>
                <w:sz w:val="20"/>
              </w:rPr>
            </w:pPr>
            <w:r w:rsidRPr="00527E71">
              <w:rPr>
                <w:rFonts w:ascii="Arial Narrow" w:hAnsi="Arial Narrow"/>
                <w:sz w:val="20"/>
              </w:rPr>
              <w:t xml:space="preserve">NEPA IV is non-inferior in </w:t>
            </w:r>
            <w:r w:rsidR="00677FEE" w:rsidRPr="00527E71">
              <w:rPr>
                <w:rFonts w:ascii="Arial Narrow" w:hAnsi="Arial Narrow"/>
                <w:sz w:val="20"/>
              </w:rPr>
              <w:t>ef</w:t>
            </w:r>
            <w:r w:rsidR="00677FEE">
              <w:rPr>
                <w:rFonts w:ascii="Arial Narrow" w:hAnsi="Arial Narrow"/>
                <w:sz w:val="20"/>
              </w:rPr>
              <w:t>f</w:t>
            </w:r>
            <w:r w:rsidR="00C65CA7">
              <w:rPr>
                <w:rFonts w:ascii="Arial Narrow" w:hAnsi="Arial Narrow"/>
                <w:sz w:val="20"/>
              </w:rPr>
              <w:t>ectiveness</w:t>
            </w:r>
            <w:r w:rsidR="00677FEE" w:rsidRPr="00527E71">
              <w:rPr>
                <w:rFonts w:ascii="Arial Narrow" w:hAnsi="Arial Narrow"/>
                <w:sz w:val="20"/>
              </w:rPr>
              <w:t xml:space="preserve"> </w:t>
            </w:r>
            <w:r w:rsidRPr="00527E71">
              <w:rPr>
                <w:rFonts w:ascii="Arial Narrow" w:hAnsi="Arial Narrow"/>
                <w:sz w:val="20"/>
              </w:rPr>
              <w:t>and superior in safety compared to Emend IV + 5-HT3 RA.</w:t>
            </w:r>
          </w:p>
        </w:tc>
      </w:tr>
      <w:tr w:rsidR="00523521" w:rsidRPr="00132BC0" w14:paraId="028A152A" w14:textId="77777777" w:rsidTr="00523521">
        <w:trPr>
          <w:cantSplit/>
          <w:trHeight w:val="365"/>
        </w:trPr>
        <w:tc>
          <w:tcPr>
            <w:tcW w:w="563" w:type="pct"/>
          </w:tcPr>
          <w:p w14:paraId="19BB49A8" w14:textId="77777777" w:rsidR="00523521" w:rsidRPr="00132BC0" w:rsidRDefault="00523521" w:rsidP="00523521">
            <w:pPr>
              <w:jc w:val="left"/>
              <w:rPr>
                <w:rFonts w:ascii="Arial Narrow" w:hAnsi="Arial Narrow"/>
                <w:sz w:val="20"/>
              </w:rPr>
            </w:pPr>
            <w:r w:rsidRPr="00132BC0">
              <w:rPr>
                <w:rFonts w:ascii="Arial Narrow" w:hAnsi="Arial Narrow"/>
                <w:sz w:val="20"/>
              </w:rPr>
              <w:t>Economic evaluation</w:t>
            </w:r>
          </w:p>
        </w:tc>
        <w:tc>
          <w:tcPr>
            <w:tcW w:w="1636" w:type="pct"/>
          </w:tcPr>
          <w:p w14:paraId="32C48D8D" w14:textId="6B9F8FE1" w:rsidR="00523521" w:rsidRPr="0032413D" w:rsidRDefault="00523521" w:rsidP="0086509C">
            <w:pPr>
              <w:jc w:val="left"/>
              <w:rPr>
                <w:rFonts w:ascii="Arial Narrow" w:hAnsi="Arial Narrow"/>
                <w:sz w:val="20"/>
              </w:rPr>
            </w:pPr>
            <w:r>
              <w:rPr>
                <w:rFonts w:ascii="Arial Narrow" w:hAnsi="Arial Narrow"/>
                <w:sz w:val="20"/>
              </w:rPr>
              <w:t>Cost-minimisation vs. aprepitant + a 5-HT</w:t>
            </w:r>
            <w:r w:rsidRPr="00C45E59">
              <w:rPr>
                <w:rFonts w:ascii="Arial Narrow" w:hAnsi="Arial Narrow"/>
                <w:sz w:val="20"/>
              </w:rPr>
              <w:t>3</w:t>
            </w:r>
            <w:r>
              <w:rPr>
                <w:rFonts w:ascii="Arial Narrow" w:hAnsi="Arial Narrow"/>
                <w:sz w:val="20"/>
              </w:rPr>
              <w:t xml:space="preserve"> RA, and a cost-minimisation vs. aprepitant alone. </w:t>
            </w:r>
          </w:p>
        </w:tc>
        <w:tc>
          <w:tcPr>
            <w:tcW w:w="1179" w:type="pct"/>
          </w:tcPr>
          <w:p w14:paraId="39772FDE" w14:textId="635F8B2B" w:rsidR="00523521" w:rsidRPr="00B252F3" w:rsidRDefault="00523521" w:rsidP="00523521">
            <w:pPr>
              <w:jc w:val="left"/>
              <w:rPr>
                <w:rFonts w:ascii="Arial Narrow" w:hAnsi="Arial Narrow"/>
                <w:sz w:val="20"/>
              </w:rPr>
            </w:pPr>
            <w:r w:rsidRPr="00663050">
              <w:rPr>
                <w:rFonts w:ascii="Arial Narrow" w:hAnsi="Arial Narrow"/>
                <w:sz w:val="20"/>
              </w:rPr>
              <w:t>Cost-minimisation vs.</w:t>
            </w:r>
            <w:r>
              <w:rPr>
                <w:rFonts w:ascii="Arial Narrow" w:hAnsi="Arial Narrow"/>
                <w:sz w:val="20"/>
              </w:rPr>
              <w:t xml:space="preserve"> </w:t>
            </w:r>
            <w:r w:rsidRPr="00663050">
              <w:rPr>
                <w:rFonts w:ascii="Arial Narrow" w:hAnsi="Arial Narrow"/>
                <w:sz w:val="20"/>
              </w:rPr>
              <w:t xml:space="preserve">NEPA </w:t>
            </w:r>
            <w:r>
              <w:rPr>
                <w:rFonts w:ascii="Arial Narrow" w:hAnsi="Arial Narrow"/>
                <w:sz w:val="20"/>
              </w:rPr>
              <w:t>(</w:t>
            </w:r>
            <w:r w:rsidRPr="00663050">
              <w:rPr>
                <w:rFonts w:ascii="Arial Narrow" w:hAnsi="Arial Narrow"/>
                <w:sz w:val="20"/>
              </w:rPr>
              <w:t>oral</w:t>
            </w:r>
            <w:r>
              <w:rPr>
                <w:rFonts w:ascii="Arial Narrow" w:hAnsi="Arial Narrow"/>
                <w:sz w:val="20"/>
              </w:rPr>
              <w:t>)</w:t>
            </w:r>
          </w:p>
        </w:tc>
        <w:tc>
          <w:tcPr>
            <w:tcW w:w="1622" w:type="pct"/>
          </w:tcPr>
          <w:p w14:paraId="2C7422BA" w14:textId="1D0EF6BC" w:rsidR="00523521" w:rsidRPr="00527E71" w:rsidRDefault="00523521" w:rsidP="00523521">
            <w:pPr>
              <w:jc w:val="left"/>
              <w:rPr>
                <w:rFonts w:ascii="Arial Narrow" w:hAnsi="Arial Narrow"/>
                <w:sz w:val="20"/>
              </w:rPr>
            </w:pPr>
            <w:r w:rsidRPr="00527E71">
              <w:rPr>
                <w:rFonts w:ascii="Arial Narrow" w:hAnsi="Arial Narrow"/>
                <w:sz w:val="20"/>
              </w:rPr>
              <w:t xml:space="preserve">Cost-minimisation vs. </w:t>
            </w:r>
            <w:r w:rsidR="002942A1">
              <w:rPr>
                <w:rFonts w:ascii="Arial Narrow" w:hAnsi="Arial Narrow"/>
                <w:sz w:val="20"/>
              </w:rPr>
              <w:t>Emend IV</w:t>
            </w:r>
            <w:r w:rsidRPr="00527E71">
              <w:rPr>
                <w:rFonts w:ascii="Arial Narrow" w:hAnsi="Arial Narrow"/>
                <w:sz w:val="20"/>
              </w:rPr>
              <w:t xml:space="preserve"> + a 5-HT3 RA (nominated as palonosetron).</w:t>
            </w:r>
          </w:p>
          <w:p w14:paraId="3774450F" w14:textId="644B8B32" w:rsidR="00523521" w:rsidRPr="00527E71" w:rsidRDefault="00523521" w:rsidP="002942A1">
            <w:pPr>
              <w:jc w:val="left"/>
              <w:rPr>
                <w:rFonts w:ascii="Arial Narrow" w:hAnsi="Arial Narrow"/>
                <w:sz w:val="20"/>
              </w:rPr>
            </w:pPr>
          </w:p>
        </w:tc>
      </w:tr>
      <w:tr w:rsidR="00523521" w:rsidRPr="00132BC0" w14:paraId="0403DA6F" w14:textId="77777777" w:rsidTr="00523521">
        <w:trPr>
          <w:cantSplit/>
          <w:trHeight w:val="315"/>
        </w:trPr>
        <w:tc>
          <w:tcPr>
            <w:tcW w:w="563" w:type="pct"/>
          </w:tcPr>
          <w:p w14:paraId="065A8F07" w14:textId="77777777" w:rsidR="00523521" w:rsidRPr="00132BC0" w:rsidRDefault="00523521" w:rsidP="00523521">
            <w:pPr>
              <w:jc w:val="left"/>
              <w:rPr>
                <w:rFonts w:ascii="Arial Narrow" w:hAnsi="Arial Narrow"/>
                <w:sz w:val="20"/>
              </w:rPr>
            </w:pPr>
            <w:r w:rsidRPr="00132BC0">
              <w:rPr>
                <w:rFonts w:ascii="Arial Narrow" w:hAnsi="Arial Narrow"/>
                <w:sz w:val="20"/>
              </w:rPr>
              <w:t xml:space="preserve">Number of </w:t>
            </w:r>
            <w:r>
              <w:rPr>
                <w:rFonts w:ascii="Arial Narrow" w:hAnsi="Arial Narrow"/>
                <w:sz w:val="20"/>
              </w:rPr>
              <w:t>scripts dispensed</w:t>
            </w:r>
          </w:p>
        </w:tc>
        <w:tc>
          <w:tcPr>
            <w:tcW w:w="1636" w:type="pct"/>
          </w:tcPr>
          <w:p w14:paraId="04D79CDD" w14:textId="06244A4D" w:rsidR="00523521" w:rsidRPr="00132BC0" w:rsidRDefault="00523521" w:rsidP="00523521">
            <w:pPr>
              <w:jc w:val="left"/>
              <w:rPr>
                <w:rFonts w:ascii="Arial Narrow" w:hAnsi="Arial Narrow"/>
                <w:sz w:val="20"/>
              </w:rPr>
            </w:pPr>
            <w:r>
              <w:rPr>
                <w:rFonts w:ascii="Arial Narrow" w:hAnsi="Arial Narrow"/>
                <w:sz w:val="20"/>
              </w:rPr>
              <w:t xml:space="preserve">A total of </w:t>
            </w:r>
            <w:r w:rsidR="00D25BE4" w:rsidRPr="00D25BE4">
              <w:rPr>
                <w:rFonts w:ascii="Arial Narrow" w:hAnsi="Arial Narrow"/>
                <w:color w:val="000000"/>
                <w:spacing w:val="45"/>
                <w:sz w:val="20"/>
                <w:shd w:val="solid" w:color="000000" w:fill="000000"/>
                <w:fitText w:val="330" w:id="-1233420287"/>
                <w14:textFill>
                  <w14:solidFill>
                    <w14:srgbClr w14:val="000000">
                      <w14:alpha w14:val="100000"/>
                    </w14:srgbClr>
                  </w14:solidFill>
                </w14:textFill>
              </w:rPr>
              <w:t>|||</w:t>
            </w:r>
            <w:r w:rsidR="00D25BE4" w:rsidRPr="00D25BE4">
              <w:rPr>
                <w:rFonts w:ascii="Arial Narrow" w:hAnsi="Arial Narrow"/>
                <w:color w:val="000000"/>
                <w:spacing w:val="15"/>
                <w:sz w:val="20"/>
                <w:shd w:val="solid" w:color="000000" w:fill="000000"/>
                <w:fitText w:val="330" w:id="-1233420287"/>
                <w14:textFill>
                  <w14:solidFill>
                    <w14:srgbClr w14:val="000000">
                      <w14:alpha w14:val="100000"/>
                    </w14:srgbClr>
                  </w14:solidFill>
                </w14:textFill>
              </w:rPr>
              <w:t>|</w:t>
            </w:r>
            <w:r w:rsidR="004D22E8" w:rsidRPr="004D22E8">
              <w:rPr>
                <w:rFonts w:ascii="Arial Narrow" w:hAnsi="Arial Narrow"/>
                <w:sz w:val="20"/>
                <w:vertAlign w:val="superscript"/>
              </w:rPr>
              <w:t>1</w:t>
            </w:r>
            <w:r w:rsidRPr="00A8510C">
              <w:rPr>
                <w:rFonts w:ascii="Arial Narrow" w:hAnsi="Arial Narrow"/>
                <w:sz w:val="20"/>
              </w:rPr>
              <w:t xml:space="preserve"> </w:t>
            </w:r>
            <w:r>
              <w:rPr>
                <w:rFonts w:ascii="Arial Narrow" w:hAnsi="Arial Narrow"/>
                <w:sz w:val="20"/>
              </w:rPr>
              <w:t xml:space="preserve">NEPA scripts in Year 1 increasing to </w:t>
            </w:r>
            <w:r w:rsidR="00D25BE4" w:rsidRPr="00D25BE4">
              <w:rPr>
                <w:rFonts w:ascii="Arial Narrow" w:hAnsi="Arial Narrow"/>
                <w:color w:val="000000"/>
                <w:spacing w:val="45"/>
                <w:sz w:val="20"/>
                <w:shd w:val="solid" w:color="000000" w:fill="000000"/>
                <w:fitText w:val="330" w:id="-1233420286"/>
                <w14:textFill>
                  <w14:solidFill>
                    <w14:srgbClr w14:val="000000">
                      <w14:alpha w14:val="100000"/>
                    </w14:srgbClr>
                  </w14:solidFill>
                </w14:textFill>
              </w:rPr>
              <w:t>|||</w:t>
            </w:r>
            <w:r w:rsidR="00D25BE4" w:rsidRPr="00D25BE4">
              <w:rPr>
                <w:rFonts w:ascii="Arial Narrow" w:hAnsi="Arial Narrow"/>
                <w:color w:val="000000"/>
                <w:spacing w:val="15"/>
                <w:sz w:val="20"/>
                <w:shd w:val="solid" w:color="000000" w:fill="000000"/>
                <w:fitText w:val="330" w:id="-1233420286"/>
                <w14:textFill>
                  <w14:solidFill>
                    <w14:srgbClr w14:val="000000">
                      <w14:alpha w14:val="100000"/>
                    </w14:srgbClr>
                  </w14:solidFill>
                </w14:textFill>
              </w:rPr>
              <w:t>|</w:t>
            </w:r>
            <w:r w:rsidR="004D22E8">
              <w:rPr>
                <w:rFonts w:ascii="Arial Narrow" w:hAnsi="Arial Narrow"/>
                <w:sz w:val="20"/>
                <w:vertAlign w:val="superscript"/>
              </w:rPr>
              <w:t>2</w:t>
            </w:r>
            <w:r w:rsidRPr="00A8510C">
              <w:rPr>
                <w:rFonts w:ascii="Arial Narrow" w:hAnsi="Arial Narrow"/>
                <w:sz w:val="20"/>
              </w:rPr>
              <w:t xml:space="preserve"> </w:t>
            </w:r>
            <w:r>
              <w:rPr>
                <w:rFonts w:ascii="Arial Narrow" w:hAnsi="Arial Narrow"/>
                <w:sz w:val="20"/>
              </w:rPr>
              <w:t>scripts in Year 5</w:t>
            </w:r>
          </w:p>
        </w:tc>
        <w:tc>
          <w:tcPr>
            <w:tcW w:w="1179" w:type="pct"/>
          </w:tcPr>
          <w:p w14:paraId="5EA97957" w14:textId="17546C8F" w:rsidR="00523521" w:rsidRPr="00132BC0" w:rsidRDefault="00523521" w:rsidP="00523521">
            <w:pPr>
              <w:jc w:val="left"/>
              <w:rPr>
                <w:rFonts w:ascii="Arial Narrow" w:hAnsi="Arial Narrow"/>
                <w:color w:val="0000FF"/>
                <w:sz w:val="20"/>
              </w:rPr>
            </w:pPr>
            <w:r w:rsidRPr="00107763">
              <w:rPr>
                <w:rFonts w:ascii="Arial Narrow" w:hAnsi="Arial Narrow"/>
                <w:sz w:val="20"/>
              </w:rPr>
              <w:t xml:space="preserve">A total of </w:t>
            </w:r>
            <w:r w:rsidR="00D25BE4" w:rsidRPr="00D25BE4">
              <w:rPr>
                <w:rFonts w:ascii="Arial Narrow" w:hAnsi="Arial Narrow"/>
                <w:color w:val="000000"/>
                <w:spacing w:val="45"/>
                <w:sz w:val="20"/>
                <w:shd w:val="solid" w:color="000000" w:fill="000000"/>
                <w:fitText w:val="330" w:id="-1233420285"/>
                <w14:textFill>
                  <w14:solidFill>
                    <w14:srgbClr w14:val="000000">
                      <w14:alpha w14:val="100000"/>
                    </w14:srgbClr>
                  </w14:solidFill>
                </w14:textFill>
              </w:rPr>
              <w:t>|||</w:t>
            </w:r>
            <w:r w:rsidR="00D25BE4" w:rsidRPr="00D25BE4">
              <w:rPr>
                <w:rFonts w:ascii="Arial Narrow" w:hAnsi="Arial Narrow"/>
                <w:color w:val="000000"/>
                <w:spacing w:val="15"/>
                <w:sz w:val="20"/>
                <w:shd w:val="solid" w:color="000000" w:fill="000000"/>
                <w:fitText w:val="330" w:id="-1233420285"/>
                <w14:textFill>
                  <w14:solidFill>
                    <w14:srgbClr w14:val="000000">
                      <w14:alpha w14:val="100000"/>
                    </w14:srgbClr>
                  </w14:solidFill>
                </w14:textFill>
              </w:rPr>
              <w:t>|</w:t>
            </w:r>
            <w:r w:rsidR="004D22E8" w:rsidRPr="004D22E8">
              <w:rPr>
                <w:rFonts w:ascii="Arial Narrow" w:hAnsi="Arial Narrow"/>
                <w:sz w:val="20"/>
                <w:vertAlign w:val="superscript"/>
              </w:rPr>
              <w:t>3</w:t>
            </w:r>
            <w:r w:rsidRPr="00107763">
              <w:rPr>
                <w:rFonts w:ascii="Arial Narrow" w:hAnsi="Arial Narrow"/>
                <w:sz w:val="20"/>
              </w:rPr>
              <w:t xml:space="preserve"> </w:t>
            </w:r>
            <w:r w:rsidRPr="00504DAE">
              <w:rPr>
                <w:rFonts w:ascii="Arial Narrow" w:hAnsi="Arial Narrow"/>
                <w:sz w:val="20"/>
              </w:rPr>
              <w:t xml:space="preserve">NEPA </w:t>
            </w:r>
            <w:r>
              <w:rPr>
                <w:rFonts w:ascii="Arial Narrow" w:hAnsi="Arial Narrow"/>
                <w:sz w:val="20"/>
              </w:rPr>
              <w:t>IV scripts</w:t>
            </w:r>
            <w:r w:rsidRPr="00107763">
              <w:rPr>
                <w:rFonts w:ascii="Arial Narrow" w:hAnsi="Arial Narrow"/>
                <w:sz w:val="20"/>
              </w:rPr>
              <w:t xml:space="preserve"> in Year 1 increasing to </w:t>
            </w:r>
            <w:r w:rsidR="00D25BE4" w:rsidRPr="00D25BE4">
              <w:rPr>
                <w:rFonts w:ascii="Arial Narrow" w:hAnsi="Arial Narrow"/>
                <w:color w:val="000000"/>
                <w:spacing w:val="45"/>
                <w:sz w:val="20"/>
                <w:shd w:val="solid" w:color="000000" w:fill="000000"/>
                <w:fitText w:val="330" w:id="-1233420284"/>
                <w14:textFill>
                  <w14:solidFill>
                    <w14:srgbClr w14:val="000000">
                      <w14:alpha w14:val="100000"/>
                    </w14:srgbClr>
                  </w14:solidFill>
                </w14:textFill>
              </w:rPr>
              <w:t>|||</w:t>
            </w:r>
            <w:r w:rsidR="00D25BE4" w:rsidRPr="00D25BE4">
              <w:rPr>
                <w:rFonts w:ascii="Arial Narrow" w:hAnsi="Arial Narrow"/>
                <w:color w:val="000000"/>
                <w:spacing w:val="15"/>
                <w:sz w:val="20"/>
                <w:shd w:val="solid" w:color="000000" w:fill="000000"/>
                <w:fitText w:val="330" w:id="-1233420284"/>
                <w14:textFill>
                  <w14:solidFill>
                    <w14:srgbClr w14:val="000000">
                      <w14:alpha w14:val="100000"/>
                    </w14:srgbClr>
                  </w14:solidFill>
                </w14:textFill>
              </w:rPr>
              <w:t>|</w:t>
            </w:r>
            <w:r w:rsidR="004D22E8" w:rsidRPr="004D22E8">
              <w:rPr>
                <w:rFonts w:ascii="Arial Narrow" w:hAnsi="Arial Narrow"/>
                <w:sz w:val="20"/>
                <w:vertAlign w:val="superscript"/>
              </w:rPr>
              <w:t>1</w:t>
            </w:r>
            <w:r w:rsidRPr="00107763">
              <w:rPr>
                <w:rFonts w:ascii="Arial Narrow" w:hAnsi="Arial Narrow"/>
                <w:sz w:val="20"/>
              </w:rPr>
              <w:t xml:space="preserve"> </w:t>
            </w:r>
            <w:r>
              <w:rPr>
                <w:rFonts w:ascii="Arial Narrow" w:hAnsi="Arial Narrow"/>
                <w:sz w:val="20"/>
              </w:rPr>
              <w:t>scripts</w:t>
            </w:r>
            <w:r w:rsidRPr="00107763">
              <w:rPr>
                <w:rFonts w:ascii="Arial Narrow" w:hAnsi="Arial Narrow"/>
                <w:sz w:val="20"/>
              </w:rPr>
              <w:t xml:space="preserve"> in Year 6. </w:t>
            </w:r>
          </w:p>
        </w:tc>
        <w:tc>
          <w:tcPr>
            <w:tcW w:w="1622" w:type="pct"/>
          </w:tcPr>
          <w:p w14:paraId="26A0DB25" w14:textId="2EEBB627" w:rsidR="00523521" w:rsidRPr="00527E71" w:rsidRDefault="00523521" w:rsidP="00523521">
            <w:pPr>
              <w:jc w:val="left"/>
              <w:rPr>
                <w:rFonts w:ascii="Arial Narrow" w:hAnsi="Arial Narrow"/>
                <w:sz w:val="20"/>
              </w:rPr>
            </w:pPr>
            <w:r w:rsidRPr="00527E71">
              <w:rPr>
                <w:rFonts w:ascii="Arial Narrow" w:hAnsi="Arial Narrow"/>
                <w:sz w:val="20"/>
              </w:rPr>
              <w:t xml:space="preserve">A </w:t>
            </w:r>
            <w:r w:rsidRPr="00DE501B">
              <w:rPr>
                <w:rFonts w:ascii="Arial Narrow" w:hAnsi="Arial Narrow"/>
                <w:sz w:val="20"/>
              </w:rPr>
              <w:t xml:space="preserve">total of </w:t>
            </w:r>
            <w:r w:rsidR="00D25BE4" w:rsidRPr="00D25BE4">
              <w:rPr>
                <w:rFonts w:ascii="Arial Narrow" w:hAnsi="Arial Narrow"/>
                <w:color w:val="000000"/>
                <w:spacing w:val="45"/>
                <w:sz w:val="20"/>
                <w:shd w:val="solid" w:color="000000" w:fill="000000"/>
                <w:fitText w:val="330" w:id="-1233420283"/>
                <w14:textFill>
                  <w14:solidFill>
                    <w14:srgbClr w14:val="000000">
                      <w14:alpha w14:val="100000"/>
                    </w14:srgbClr>
                  </w14:solidFill>
                </w14:textFill>
              </w:rPr>
              <w:t>|||</w:t>
            </w:r>
            <w:r w:rsidR="00D25BE4" w:rsidRPr="00D25BE4">
              <w:rPr>
                <w:rFonts w:ascii="Arial Narrow" w:hAnsi="Arial Narrow"/>
                <w:color w:val="000000"/>
                <w:spacing w:val="15"/>
                <w:sz w:val="20"/>
                <w:shd w:val="solid" w:color="000000" w:fill="000000"/>
                <w:fitText w:val="330" w:id="-1233420283"/>
                <w14:textFill>
                  <w14:solidFill>
                    <w14:srgbClr w14:val="000000">
                      <w14:alpha w14:val="100000"/>
                    </w14:srgbClr>
                  </w14:solidFill>
                </w14:textFill>
              </w:rPr>
              <w:t>|</w:t>
            </w:r>
            <w:r w:rsidR="004D22E8" w:rsidRPr="004D22E8">
              <w:rPr>
                <w:rFonts w:ascii="Arial Narrow" w:hAnsi="Arial Narrow"/>
                <w:sz w:val="20"/>
                <w:vertAlign w:val="superscript"/>
              </w:rPr>
              <w:t>3</w:t>
            </w:r>
            <w:r w:rsidRPr="00DE501B">
              <w:rPr>
                <w:rFonts w:ascii="Arial Narrow" w:hAnsi="Arial Narrow"/>
                <w:sz w:val="20"/>
              </w:rPr>
              <w:t xml:space="preserve"> </w:t>
            </w:r>
            <w:r w:rsidRPr="00527E71">
              <w:rPr>
                <w:rFonts w:ascii="Arial Narrow" w:hAnsi="Arial Narrow"/>
                <w:sz w:val="20"/>
              </w:rPr>
              <w:t xml:space="preserve">NEPA IV scripts in Year 1 increasing to </w:t>
            </w:r>
            <w:r w:rsidR="00D25BE4" w:rsidRPr="00D25BE4">
              <w:rPr>
                <w:rFonts w:ascii="Arial Narrow" w:hAnsi="Arial Narrow"/>
                <w:color w:val="000000"/>
                <w:spacing w:val="45"/>
                <w:sz w:val="20"/>
                <w:shd w:val="solid" w:color="000000" w:fill="000000"/>
                <w:fitText w:val="330" w:id="-1233420282"/>
                <w14:textFill>
                  <w14:solidFill>
                    <w14:srgbClr w14:val="000000">
                      <w14:alpha w14:val="100000"/>
                    </w14:srgbClr>
                  </w14:solidFill>
                </w14:textFill>
              </w:rPr>
              <w:t>|||</w:t>
            </w:r>
            <w:r w:rsidR="00D25BE4" w:rsidRPr="00D25BE4">
              <w:rPr>
                <w:rFonts w:ascii="Arial Narrow" w:hAnsi="Arial Narrow"/>
                <w:color w:val="000000"/>
                <w:spacing w:val="15"/>
                <w:sz w:val="20"/>
                <w:shd w:val="solid" w:color="000000" w:fill="000000"/>
                <w:fitText w:val="330" w:id="-1233420282"/>
                <w14:textFill>
                  <w14:solidFill>
                    <w14:srgbClr w14:val="000000">
                      <w14:alpha w14:val="100000"/>
                    </w14:srgbClr>
                  </w14:solidFill>
                </w14:textFill>
              </w:rPr>
              <w:t>|</w:t>
            </w:r>
            <w:r w:rsidR="004D22E8" w:rsidRPr="004D22E8">
              <w:rPr>
                <w:rFonts w:ascii="Arial Narrow" w:hAnsi="Arial Narrow"/>
                <w:sz w:val="20"/>
                <w:vertAlign w:val="superscript"/>
              </w:rPr>
              <w:t>1</w:t>
            </w:r>
            <w:r w:rsidRPr="00DE501B">
              <w:rPr>
                <w:rFonts w:ascii="Arial Narrow" w:hAnsi="Arial Narrow"/>
                <w:sz w:val="20"/>
              </w:rPr>
              <w:t xml:space="preserve"> </w:t>
            </w:r>
            <w:r w:rsidRPr="00527E71">
              <w:rPr>
                <w:rFonts w:ascii="Arial Narrow" w:hAnsi="Arial Narrow"/>
                <w:sz w:val="20"/>
              </w:rPr>
              <w:t xml:space="preserve">scripts in Year 6. </w:t>
            </w:r>
          </w:p>
        </w:tc>
      </w:tr>
      <w:tr w:rsidR="00523521" w:rsidRPr="00132BC0" w14:paraId="3B8CB0CF" w14:textId="77777777" w:rsidTr="00523521">
        <w:trPr>
          <w:cantSplit/>
          <w:trHeight w:val="563"/>
        </w:trPr>
        <w:tc>
          <w:tcPr>
            <w:tcW w:w="563" w:type="pct"/>
          </w:tcPr>
          <w:p w14:paraId="22DF8C73" w14:textId="77777777" w:rsidR="00523521" w:rsidRPr="00132BC0" w:rsidRDefault="00523521" w:rsidP="00523521">
            <w:pPr>
              <w:jc w:val="left"/>
              <w:rPr>
                <w:rFonts w:ascii="Arial Narrow" w:hAnsi="Arial Narrow"/>
                <w:sz w:val="20"/>
              </w:rPr>
            </w:pPr>
            <w:r w:rsidRPr="00132BC0">
              <w:rPr>
                <w:rFonts w:ascii="Arial Narrow" w:hAnsi="Arial Narrow"/>
                <w:sz w:val="20"/>
              </w:rPr>
              <w:t xml:space="preserve">Estimated </w:t>
            </w:r>
            <w:r>
              <w:rPr>
                <w:rFonts w:ascii="Arial Narrow" w:hAnsi="Arial Narrow"/>
                <w:sz w:val="20"/>
              </w:rPr>
              <w:t xml:space="preserve">net </w:t>
            </w:r>
            <w:r w:rsidRPr="00132BC0">
              <w:rPr>
                <w:rFonts w:ascii="Arial Narrow" w:hAnsi="Arial Narrow"/>
                <w:sz w:val="20"/>
              </w:rPr>
              <w:t>cost to PBS</w:t>
            </w:r>
            <w:r>
              <w:rPr>
                <w:rFonts w:ascii="Arial Narrow" w:hAnsi="Arial Narrow"/>
                <w:sz w:val="20"/>
              </w:rPr>
              <w:t>/RPBS</w:t>
            </w:r>
          </w:p>
        </w:tc>
        <w:tc>
          <w:tcPr>
            <w:tcW w:w="1636" w:type="pct"/>
          </w:tcPr>
          <w:p w14:paraId="751BCD20" w14:textId="09C6D397" w:rsidR="00523521" w:rsidRPr="00132BC0" w:rsidRDefault="00523521" w:rsidP="00523521">
            <w:pPr>
              <w:jc w:val="left"/>
              <w:rPr>
                <w:rFonts w:ascii="Arial Narrow" w:hAnsi="Arial Narrow"/>
                <w:sz w:val="20"/>
              </w:rPr>
            </w:pPr>
            <w:r>
              <w:rPr>
                <w:rFonts w:ascii="Arial Narrow" w:hAnsi="Arial Narrow"/>
                <w:sz w:val="20"/>
              </w:rPr>
              <w:t xml:space="preserve">A net saving </w:t>
            </w:r>
            <w:r w:rsidRPr="00A8510C">
              <w:rPr>
                <w:rFonts w:ascii="Arial Narrow" w:hAnsi="Arial Narrow"/>
                <w:sz w:val="20"/>
              </w:rPr>
              <w:t>of $</w:t>
            </w:r>
            <w:r w:rsidR="00D25BE4" w:rsidRPr="00D25BE4">
              <w:rPr>
                <w:rFonts w:ascii="Arial Narrow" w:hAnsi="Arial Narrow"/>
                <w:color w:val="000000"/>
                <w:spacing w:val="45"/>
                <w:sz w:val="20"/>
                <w:shd w:val="solid" w:color="000000" w:fill="000000"/>
                <w:fitText w:val="330" w:id="-1233420281"/>
                <w14:textFill>
                  <w14:solidFill>
                    <w14:srgbClr w14:val="000000">
                      <w14:alpha w14:val="100000"/>
                    </w14:srgbClr>
                  </w14:solidFill>
                </w14:textFill>
              </w:rPr>
              <w:t>|||</w:t>
            </w:r>
            <w:r w:rsidR="00D25BE4" w:rsidRPr="00D25BE4">
              <w:rPr>
                <w:rFonts w:ascii="Arial Narrow" w:hAnsi="Arial Narrow"/>
                <w:color w:val="000000"/>
                <w:spacing w:val="15"/>
                <w:sz w:val="20"/>
                <w:shd w:val="solid" w:color="000000" w:fill="000000"/>
                <w:fitText w:val="330" w:id="-1233420281"/>
                <w14:textFill>
                  <w14:solidFill>
                    <w14:srgbClr w14:val="000000">
                      <w14:alpha w14:val="100000"/>
                    </w14:srgbClr>
                  </w14:solidFill>
                </w14:textFill>
              </w:rPr>
              <w:t>|</w:t>
            </w:r>
            <w:r w:rsidR="004D22E8" w:rsidRPr="004D22E8">
              <w:rPr>
                <w:rFonts w:ascii="Arial Narrow" w:hAnsi="Arial Narrow"/>
                <w:sz w:val="20"/>
                <w:vertAlign w:val="superscript"/>
              </w:rPr>
              <w:t>4</w:t>
            </w:r>
            <w:r>
              <w:rPr>
                <w:rFonts w:ascii="Arial Narrow" w:hAnsi="Arial Narrow"/>
                <w:sz w:val="20"/>
              </w:rPr>
              <w:t xml:space="preserve"> </w:t>
            </w:r>
            <w:r w:rsidRPr="00B252F3">
              <w:rPr>
                <w:rFonts w:ascii="Arial Narrow" w:hAnsi="Arial Narrow"/>
                <w:sz w:val="20"/>
              </w:rPr>
              <w:t xml:space="preserve">in </w:t>
            </w:r>
            <w:r>
              <w:rPr>
                <w:rFonts w:ascii="Arial Narrow" w:hAnsi="Arial Narrow"/>
                <w:sz w:val="20"/>
              </w:rPr>
              <w:t xml:space="preserve">Year 1, increasing to </w:t>
            </w:r>
            <w:r w:rsidRPr="00A8510C">
              <w:rPr>
                <w:rFonts w:ascii="Arial Narrow" w:hAnsi="Arial Narrow"/>
                <w:sz w:val="20"/>
              </w:rPr>
              <w:t>$</w:t>
            </w:r>
            <w:r w:rsidR="00D25BE4" w:rsidRPr="00D25BE4">
              <w:rPr>
                <w:rFonts w:ascii="Arial Narrow" w:hAnsi="Arial Narrow"/>
                <w:color w:val="000000"/>
                <w:spacing w:val="45"/>
                <w:sz w:val="20"/>
                <w:shd w:val="solid" w:color="000000" w:fill="000000"/>
                <w:fitText w:val="330" w:id="-1233420280"/>
                <w14:textFill>
                  <w14:solidFill>
                    <w14:srgbClr w14:val="000000">
                      <w14:alpha w14:val="100000"/>
                    </w14:srgbClr>
                  </w14:solidFill>
                </w14:textFill>
              </w:rPr>
              <w:t>|||</w:t>
            </w:r>
            <w:r w:rsidR="00D25BE4" w:rsidRPr="00D25BE4">
              <w:rPr>
                <w:rFonts w:ascii="Arial Narrow" w:hAnsi="Arial Narrow"/>
                <w:color w:val="000000"/>
                <w:spacing w:val="15"/>
                <w:sz w:val="20"/>
                <w:shd w:val="solid" w:color="000000" w:fill="000000"/>
                <w:fitText w:val="330" w:id="-1233420280"/>
                <w14:textFill>
                  <w14:solidFill>
                    <w14:srgbClr w14:val="000000">
                      <w14:alpha w14:val="100000"/>
                    </w14:srgbClr>
                  </w14:solidFill>
                </w14:textFill>
              </w:rPr>
              <w:t>|</w:t>
            </w:r>
            <w:r w:rsidR="004D22E8" w:rsidRPr="004D22E8">
              <w:rPr>
                <w:rFonts w:ascii="Arial Narrow" w:hAnsi="Arial Narrow"/>
                <w:sz w:val="20"/>
                <w:vertAlign w:val="superscript"/>
              </w:rPr>
              <w:t>4</w:t>
            </w:r>
            <w:r w:rsidRPr="00A8510C">
              <w:rPr>
                <w:rFonts w:ascii="Arial Narrow" w:hAnsi="Arial Narrow"/>
                <w:sz w:val="20"/>
              </w:rPr>
              <w:t xml:space="preserve"> </w:t>
            </w:r>
            <w:r w:rsidRPr="00B252F3">
              <w:rPr>
                <w:rFonts w:ascii="Arial Narrow" w:hAnsi="Arial Narrow"/>
                <w:sz w:val="20"/>
              </w:rPr>
              <w:t>in Year 5</w:t>
            </w:r>
            <w:r>
              <w:rPr>
                <w:rFonts w:ascii="Arial Narrow" w:hAnsi="Arial Narrow"/>
                <w:sz w:val="20"/>
              </w:rPr>
              <w:t xml:space="preserve">, for a total net saving of </w:t>
            </w:r>
            <w:r w:rsidRPr="00A8510C">
              <w:rPr>
                <w:rFonts w:ascii="Arial Narrow" w:hAnsi="Arial Narrow"/>
                <w:sz w:val="20"/>
              </w:rPr>
              <w:t>$</w:t>
            </w:r>
            <w:r w:rsidR="00D25BE4" w:rsidRPr="00D25BE4">
              <w:rPr>
                <w:rFonts w:ascii="Arial Narrow" w:hAnsi="Arial Narrow"/>
                <w:color w:val="000000"/>
                <w:spacing w:val="45"/>
                <w:sz w:val="20"/>
                <w:shd w:val="solid" w:color="000000" w:fill="000000"/>
                <w:fitText w:val="330" w:id="-1233420279"/>
                <w14:textFill>
                  <w14:solidFill>
                    <w14:srgbClr w14:val="000000">
                      <w14:alpha w14:val="100000"/>
                    </w14:srgbClr>
                  </w14:solidFill>
                </w14:textFill>
              </w:rPr>
              <w:t>|||</w:t>
            </w:r>
            <w:r w:rsidR="00D25BE4" w:rsidRPr="00D25BE4">
              <w:rPr>
                <w:rFonts w:ascii="Arial Narrow" w:hAnsi="Arial Narrow"/>
                <w:color w:val="000000"/>
                <w:spacing w:val="15"/>
                <w:sz w:val="20"/>
                <w:shd w:val="solid" w:color="000000" w:fill="000000"/>
                <w:fitText w:val="330" w:id="-1233420279"/>
                <w14:textFill>
                  <w14:solidFill>
                    <w14:srgbClr w14:val="000000">
                      <w14:alpha w14:val="100000"/>
                    </w14:srgbClr>
                  </w14:solidFill>
                </w14:textFill>
              </w:rPr>
              <w:t>|</w:t>
            </w:r>
            <w:r w:rsidR="00D25BE4" w:rsidRPr="00D25BE4">
              <w:rPr>
                <w:rFonts w:ascii="Arial Narrow" w:hAnsi="Arial Narrow"/>
                <w:sz w:val="20"/>
              </w:rPr>
              <w:t xml:space="preserve"> </w:t>
            </w:r>
            <w:r w:rsidR="00D25BE4" w:rsidRPr="00D25BE4">
              <w:rPr>
                <w:rFonts w:ascii="Arial Narrow" w:hAnsi="Arial Narrow"/>
                <w:color w:val="000000"/>
                <w:spacing w:val="48"/>
                <w:sz w:val="20"/>
                <w:shd w:val="solid" w:color="000000" w:fill="000000"/>
                <w:fitText w:val="315" w:id="-1233420278"/>
                <w14:textFill>
                  <w14:solidFill>
                    <w14:srgbClr w14:val="000000">
                      <w14:alpha w14:val="100000"/>
                    </w14:srgbClr>
                  </w14:solidFill>
                </w14:textFill>
              </w:rPr>
              <w:t>|||</w:t>
            </w:r>
            <w:r w:rsidR="00D25BE4" w:rsidRPr="00D25BE4">
              <w:rPr>
                <w:rFonts w:ascii="Arial Narrow" w:hAnsi="Arial Narrow"/>
                <w:color w:val="000000"/>
                <w:spacing w:val="1"/>
                <w:sz w:val="20"/>
                <w:shd w:val="solid" w:color="000000" w:fill="000000"/>
                <w:fitText w:val="315" w:id="-1233420278"/>
                <w14:textFill>
                  <w14:solidFill>
                    <w14:srgbClr w14:val="000000">
                      <w14:alpha w14:val="100000"/>
                    </w14:srgbClr>
                  </w14:solidFill>
                </w14:textFill>
              </w:rPr>
              <w:t>|</w:t>
            </w:r>
            <w:r w:rsidR="004D22E8" w:rsidRPr="004D22E8">
              <w:rPr>
                <w:rFonts w:ascii="Arial Narrow" w:hAnsi="Arial Narrow"/>
                <w:sz w:val="20"/>
                <w:vertAlign w:val="superscript"/>
              </w:rPr>
              <w:t>4</w:t>
            </w:r>
            <w:r w:rsidRPr="00A8510C">
              <w:rPr>
                <w:rFonts w:ascii="Arial Narrow" w:hAnsi="Arial Narrow"/>
                <w:sz w:val="20"/>
              </w:rPr>
              <w:t xml:space="preserve"> </w:t>
            </w:r>
            <w:r>
              <w:rPr>
                <w:rFonts w:ascii="Arial Narrow" w:hAnsi="Arial Narrow"/>
                <w:sz w:val="20"/>
              </w:rPr>
              <w:t>over the first 5 years of listing.</w:t>
            </w:r>
          </w:p>
        </w:tc>
        <w:tc>
          <w:tcPr>
            <w:tcW w:w="1179" w:type="pct"/>
          </w:tcPr>
          <w:p w14:paraId="46992B0D" w14:textId="69A1B2AA" w:rsidR="00523521" w:rsidRPr="00132BC0" w:rsidRDefault="00523521" w:rsidP="00523521">
            <w:pPr>
              <w:jc w:val="left"/>
              <w:rPr>
                <w:rFonts w:ascii="Arial Narrow" w:hAnsi="Arial Narrow"/>
                <w:color w:val="0000FF"/>
                <w:sz w:val="20"/>
              </w:rPr>
            </w:pPr>
            <w:r w:rsidRPr="00107763">
              <w:rPr>
                <w:rStyle w:val="CommentReference"/>
                <w:b w:val="0"/>
              </w:rPr>
              <w:t xml:space="preserve">A net cost of </w:t>
            </w:r>
            <w:r w:rsidRPr="007E09EC">
              <w:rPr>
                <w:rStyle w:val="CommentReference"/>
                <w:b w:val="0"/>
              </w:rPr>
              <w:t>$</w:t>
            </w:r>
            <w:r w:rsidR="00D25BE4" w:rsidRPr="00D25BE4">
              <w:rPr>
                <w:rStyle w:val="CommentReference"/>
                <w:b w:val="0"/>
                <w:color w:val="000000"/>
                <w:spacing w:val="45"/>
                <w:shd w:val="solid" w:color="000000" w:fill="000000"/>
                <w:fitText w:val="330" w:id="-1233420277"/>
                <w14:textFill>
                  <w14:solidFill>
                    <w14:srgbClr w14:val="000000">
                      <w14:alpha w14:val="100000"/>
                    </w14:srgbClr>
                  </w14:solidFill>
                </w14:textFill>
              </w:rPr>
              <w:t>|||</w:t>
            </w:r>
            <w:r w:rsidR="00D25BE4" w:rsidRPr="00D25BE4">
              <w:rPr>
                <w:rStyle w:val="CommentReference"/>
                <w:b w:val="0"/>
                <w:color w:val="000000"/>
                <w:spacing w:val="15"/>
                <w:shd w:val="solid" w:color="000000" w:fill="000000"/>
                <w:fitText w:val="330" w:id="-1233420277"/>
                <w14:textFill>
                  <w14:solidFill>
                    <w14:srgbClr w14:val="000000">
                      <w14:alpha w14:val="100000"/>
                    </w14:srgbClr>
                  </w14:solidFill>
                </w14:textFill>
              </w:rPr>
              <w:t>|</w:t>
            </w:r>
            <w:r w:rsidR="004D22E8" w:rsidRPr="004D22E8">
              <w:rPr>
                <w:rFonts w:ascii="Arial Narrow" w:hAnsi="Arial Narrow"/>
                <w:sz w:val="20"/>
                <w:vertAlign w:val="superscript"/>
              </w:rPr>
              <w:t>4</w:t>
            </w:r>
            <w:r w:rsidRPr="00107763">
              <w:rPr>
                <w:rStyle w:val="CommentReference"/>
                <w:b w:val="0"/>
              </w:rPr>
              <w:t xml:space="preserve"> in Year 1, increasing to </w:t>
            </w:r>
            <w:r w:rsidRPr="007E09EC">
              <w:rPr>
                <w:rStyle w:val="CommentReference"/>
                <w:b w:val="0"/>
              </w:rPr>
              <w:t>$</w:t>
            </w:r>
            <w:r w:rsidR="00D25BE4" w:rsidRPr="00D25BE4">
              <w:rPr>
                <w:rStyle w:val="CommentReference"/>
                <w:b w:val="0"/>
                <w:color w:val="000000"/>
                <w:spacing w:val="48"/>
                <w:shd w:val="solid" w:color="000000" w:fill="000000"/>
                <w:fitText w:val="315" w:id="-1233420276"/>
                <w14:textFill>
                  <w14:solidFill>
                    <w14:srgbClr w14:val="000000">
                      <w14:alpha w14:val="100000"/>
                    </w14:srgbClr>
                  </w14:solidFill>
                </w14:textFill>
              </w:rPr>
              <w:t>|||</w:t>
            </w:r>
            <w:r w:rsidR="00D25BE4" w:rsidRPr="00D25BE4">
              <w:rPr>
                <w:rStyle w:val="CommentReference"/>
                <w:b w:val="0"/>
                <w:color w:val="000000"/>
                <w:spacing w:val="1"/>
                <w:shd w:val="solid" w:color="000000" w:fill="000000"/>
                <w:fitText w:val="315" w:id="-1233420276"/>
                <w14:textFill>
                  <w14:solidFill>
                    <w14:srgbClr w14:val="000000">
                      <w14:alpha w14:val="100000"/>
                    </w14:srgbClr>
                  </w14:solidFill>
                </w14:textFill>
              </w:rPr>
              <w:t>|</w:t>
            </w:r>
            <w:r w:rsidR="004D22E8" w:rsidRPr="004D22E8">
              <w:rPr>
                <w:rFonts w:ascii="Arial Narrow" w:hAnsi="Arial Narrow"/>
                <w:sz w:val="20"/>
                <w:vertAlign w:val="superscript"/>
              </w:rPr>
              <w:t>4</w:t>
            </w:r>
            <w:r w:rsidRPr="00107763">
              <w:rPr>
                <w:rStyle w:val="CommentReference"/>
                <w:b w:val="0"/>
              </w:rPr>
              <w:t xml:space="preserve"> in Year 6, for a total net cost of </w:t>
            </w:r>
            <w:r w:rsidRPr="007E09EC">
              <w:rPr>
                <w:rStyle w:val="CommentReference"/>
                <w:b w:val="0"/>
              </w:rPr>
              <w:t>$</w:t>
            </w:r>
            <w:r w:rsidR="00D25BE4" w:rsidRPr="00D25BE4">
              <w:rPr>
                <w:rStyle w:val="CommentReference"/>
                <w:b w:val="0"/>
                <w:color w:val="000000"/>
                <w:spacing w:val="45"/>
                <w:shd w:val="solid" w:color="000000" w:fill="000000"/>
                <w:fitText w:val="330" w:id="-1233420275"/>
                <w14:textFill>
                  <w14:solidFill>
                    <w14:srgbClr w14:val="000000">
                      <w14:alpha w14:val="100000"/>
                    </w14:srgbClr>
                  </w14:solidFill>
                </w14:textFill>
              </w:rPr>
              <w:t>|||</w:t>
            </w:r>
            <w:r w:rsidR="00D25BE4" w:rsidRPr="00D25BE4">
              <w:rPr>
                <w:rStyle w:val="CommentReference"/>
                <w:b w:val="0"/>
                <w:color w:val="000000"/>
                <w:spacing w:val="15"/>
                <w:shd w:val="solid" w:color="000000" w:fill="000000"/>
                <w:fitText w:val="330" w:id="-1233420275"/>
                <w14:textFill>
                  <w14:solidFill>
                    <w14:srgbClr w14:val="000000">
                      <w14:alpha w14:val="100000"/>
                    </w14:srgbClr>
                  </w14:solidFill>
                </w14:textFill>
              </w:rPr>
              <w:t>|</w:t>
            </w:r>
            <w:r w:rsidR="004D22E8" w:rsidRPr="004D22E8">
              <w:rPr>
                <w:rFonts w:ascii="Arial Narrow" w:hAnsi="Arial Narrow"/>
                <w:sz w:val="20"/>
                <w:vertAlign w:val="superscript"/>
              </w:rPr>
              <w:t>4</w:t>
            </w:r>
            <w:r w:rsidRPr="00107763">
              <w:rPr>
                <w:rStyle w:val="CommentReference"/>
                <w:b w:val="0"/>
              </w:rPr>
              <w:t xml:space="preserve"> over the first 6 years of listing.</w:t>
            </w:r>
          </w:p>
        </w:tc>
        <w:tc>
          <w:tcPr>
            <w:tcW w:w="1622" w:type="pct"/>
          </w:tcPr>
          <w:p w14:paraId="7D15773F" w14:textId="25E3DE95" w:rsidR="00523521" w:rsidRPr="00527E71" w:rsidRDefault="00523521" w:rsidP="00523521">
            <w:pPr>
              <w:jc w:val="left"/>
              <w:rPr>
                <w:rFonts w:ascii="Arial Narrow" w:hAnsi="Arial Narrow"/>
                <w:sz w:val="20"/>
              </w:rPr>
            </w:pPr>
            <w:r w:rsidRPr="00527E71">
              <w:rPr>
                <w:rFonts w:ascii="Arial Narrow" w:hAnsi="Arial Narrow"/>
                <w:sz w:val="20"/>
              </w:rPr>
              <w:t xml:space="preserve">A net cost </w:t>
            </w:r>
            <w:r w:rsidRPr="00DE501B">
              <w:rPr>
                <w:rFonts w:ascii="Arial Narrow" w:hAnsi="Arial Narrow"/>
                <w:sz w:val="20"/>
              </w:rPr>
              <w:t>of $</w:t>
            </w:r>
            <w:r w:rsidR="00D25BE4" w:rsidRPr="00D25BE4">
              <w:rPr>
                <w:rFonts w:ascii="Arial Narrow" w:hAnsi="Arial Narrow"/>
                <w:color w:val="000000"/>
                <w:spacing w:val="45"/>
                <w:sz w:val="20"/>
                <w:shd w:val="solid" w:color="000000" w:fill="000000"/>
                <w:fitText w:val="330" w:id="-1233420274"/>
                <w14:textFill>
                  <w14:solidFill>
                    <w14:srgbClr w14:val="000000">
                      <w14:alpha w14:val="100000"/>
                    </w14:srgbClr>
                  </w14:solidFill>
                </w14:textFill>
              </w:rPr>
              <w:t>|||</w:t>
            </w:r>
            <w:r w:rsidR="00D25BE4" w:rsidRPr="00D25BE4">
              <w:rPr>
                <w:rFonts w:ascii="Arial Narrow" w:hAnsi="Arial Narrow"/>
                <w:color w:val="000000"/>
                <w:spacing w:val="15"/>
                <w:sz w:val="20"/>
                <w:shd w:val="solid" w:color="000000" w:fill="000000"/>
                <w:fitText w:val="330" w:id="-1233420274"/>
                <w14:textFill>
                  <w14:solidFill>
                    <w14:srgbClr w14:val="000000">
                      <w14:alpha w14:val="100000"/>
                    </w14:srgbClr>
                  </w14:solidFill>
                </w14:textFill>
              </w:rPr>
              <w:t>|</w:t>
            </w:r>
            <w:r w:rsidR="004D22E8" w:rsidRPr="004D22E8">
              <w:rPr>
                <w:rFonts w:ascii="Arial Narrow" w:hAnsi="Arial Narrow"/>
                <w:sz w:val="20"/>
                <w:vertAlign w:val="superscript"/>
              </w:rPr>
              <w:t>4</w:t>
            </w:r>
            <w:r w:rsidRPr="00DE501B">
              <w:rPr>
                <w:rFonts w:ascii="Arial Narrow" w:hAnsi="Arial Narrow"/>
                <w:sz w:val="20"/>
              </w:rPr>
              <w:t xml:space="preserve"> in Year 1, increasing to $</w:t>
            </w:r>
            <w:r w:rsidR="00D25BE4" w:rsidRPr="00D25BE4">
              <w:rPr>
                <w:rFonts w:ascii="Arial Narrow" w:hAnsi="Arial Narrow"/>
                <w:color w:val="000000"/>
                <w:spacing w:val="45"/>
                <w:sz w:val="20"/>
                <w:shd w:val="solid" w:color="000000" w:fill="000000"/>
                <w:fitText w:val="330" w:id="-1233420273"/>
                <w14:textFill>
                  <w14:solidFill>
                    <w14:srgbClr w14:val="000000">
                      <w14:alpha w14:val="100000"/>
                    </w14:srgbClr>
                  </w14:solidFill>
                </w14:textFill>
              </w:rPr>
              <w:t>|||</w:t>
            </w:r>
            <w:r w:rsidR="00D25BE4" w:rsidRPr="00D25BE4">
              <w:rPr>
                <w:rFonts w:ascii="Arial Narrow" w:hAnsi="Arial Narrow"/>
                <w:color w:val="000000"/>
                <w:spacing w:val="15"/>
                <w:sz w:val="20"/>
                <w:shd w:val="solid" w:color="000000" w:fill="000000"/>
                <w:fitText w:val="330" w:id="-1233420273"/>
                <w14:textFill>
                  <w14:solidFill>
                    <w14:srgbClr w14:val="000000">
                      <w14:alpha w14:val="100000"/>
                    </w14:srgbClr>
                  </w14:solidFill>
                </w14:textFill>
              </w:rPr>
              <w:t>|</w:t>
            </w:r>
            <w:r w:rsidR="004D22E8" w:rsidRPr="004D22E8">
              <w:rPr>
                <w:rFonts w:ascii="Arial Narrow" w:hAnsi="Arial Narrow"/>
                <w:sz w:val="20"/>
                <w:vertAlign w:val="superscript"/>
              </w:rPr>
              <w:t>4</w:t>
            </w:r>
            <w:r w:rsidRPr="00DE501B">
              <w:rPr>
                <w:rFonts w:ascii="Arial Narrow" w:hAnsi="Arial Narrow"/>
                <w:sz w:val="20"/>
              </w:rPr>
              <w:t xml:space="preserve"> in Year 6, for a total net cost of $</w:t>
            </w:r>
            <w:r w:rsidR="00D25BE4" w:rsidRPr="00D25BE4">
              <w:rPr>
                <w:rFonts w:ascii="Arial Narrow" w:hAnsi="Arial Narrow"/>
                <w:color w:val="000000"/>
                <w:spacing w:val="48"/>
                <w:sz w:val="20"/>
                <w:shd w:val="solid" w:color="000000" w:fill="000000"/>
                <w:fitText w:val="315" w:id="-1233420272"/>
                <w14:textFill>
                  <w14:solidFill>
                    <w14:srgbClr w14:val="000000">
                      <w14:alpha w14:val="100000"/>
                    </w14:srgbClr>
                  </w14:solidFill>
                </w14:textFill>
              </w:rPr>
              <w:t>|||</w:t>
            </w:r>
            <w:r w:rsidR="00D25BE4" w:rsidRPr="00D25BE4">
              <w:rPr>
                <w:rFonts w:ascii="Arial Narrow" w:hAnsi="Arial Narrow"/>
                <w:color w:val="000000"/>
                <w:spacing w:val="1"/>
                <w:sz w:val="20"/>
                <w:shd w:val="solid" w:color="000000" w:fill="000000"/>
                <w:fitText w:val="315" w:id="-1233420272"/>
                <w14:textFill>
                  <w14:solidFill>
                    <w14:srgbClr w14:val="000000">
                      <w14:alpha w14:val="100000"/>
                    </w14:srgbClr>
                  </w14:solidFill>
                </w14:textFill>
              </w:rPr>
              <w:t>|</w:t>
            </w:r>
            <w:r w:rsidR="004D22E8" w:rsidRPr="004D22E8">
              <w:rPr>
                <w:rFonts w:ascii="Arial Narrow" w:hAnsi="Arial Narrow"/>
                <w:sz w:val="20"/>
                <w:vertAlign w:val="superscript"/>
              </w:rPr>
              <w:t>4</w:t>
            </w:r>
            <w:r w:rsidRPr="00DE501B">
              <w:rPr>
                <w:rFonts w:ascii="Arial Narrow" w:hAnsi="Arial Narrow"/>
                <w:sz w:val="20"/>
              </w:rPr>
              <w:t xml:space="preserve"> over</w:t>
            </w:r>
            <w:r w:rsidRPr="00527E71">
              <w:rPr>
                <w:rFonts w:ascii="Arial Narrow" w:hAnsi="Arial Narrow"/>
                <w:sz w:val="20"/>
              </w:rPr>
              <w:t xml:space="preserve"> the first 6 years of listing. </w:t>
            </w:r>
          </w:p>
        </w:tc>
      </w:tr>
    </w:tbl>
    <w:p w14:paraId="1F67D808" w14:textId="60E5EF40" w:rsidR="00523521" w:rsidRDefault="00523521" w:rsidP="00523521">
      <w:pPr>
        <w:rPr>
          <w:rFonts w:ascii="Arial Narrow" w:hAnsi="Arial Narrow"/>
          <w:sz w:val="18"/>
        </w:rPr>
      </w:pPr>
      <w:r w:rsidRPr="00132BC0">
        <w:rPr>
          <w:rFonts w:ascii="Arial Narrow" w:hAnsi="Arial Narrow"/>
          <w:sz w:val="18"/>
        </w:rPr>
        <w:t xml:space="preserve">Source: Compiled </w:t>
      </w:r>
      <w:r>
        <w:rPr>
          <w:rFonts w:ascii="Arial Narrow" w:hAnsi="Arial Narrow"/>
          <w:sz w:val="18"/>
        </w:rPr>
        <w:t>during the evaluation from the current submission and the PSDs and evaluation commentaries (where available) for the previous submissions.</w:t>
      </w:r>
    </w:p>
    <w:p w14:paraId="6DD774C8" w14:textId="77777777" w:rsidR="00523521" w:rsidRDefault="00523521" w:rsidP="00523521">
      <w:pPr>
        <w:rPr>
          <w:rFonts w:ascii="Arial Narrow" w:hAnsi="Arial Narrow"/>
          <w:sz w:val="18"/>
        </w:rPr>
      </w:pPr>
      <w:r>
        <w:rPr>
          <w:rFonts w:ascii="Arial Narrow" w:hAnsi="Arial Narrow"/>
          <w:sz w:val="18"/>
        </w:rPr>
        <w:t>AC=anthracycline plus cyclophosphamide; AEMP=approved</w:t>
      </w:r>
      <w:r w:rsidRPr="00E31F5D">
        <w:rPr>
          <w:rFonts w:ascii="Arial Narrow" w:hAnsi="Arial Narrow"/>
          <w:sz w:val="18"/>
        </w:rPr>
        <w:t xml:space="preserve"> ex-manufacturer price</w:t>
      </w:r>
      <w:r>
        <w:rPr>
          <w:rFonts w:ascii="Arial Narrow" w:hAnsi="Arial Narrow"/>
          <w:sz w:val="18"/>
        </w:rPr>
        <w:t>; AEs=adverse events; CINV=chemotherapy induced nausea and vomiting; DPMQ=dispensed price for maximum quantity; DPMA=dispensed price for maximum amount; FDC=fixed dose combination; HEC=highly emetogenic chemotherapy; 5-HT</w:t>
      </w:r>
      <w:r w:rsidRPr="00326F18">
        <w:rPr>
          <w:rFonts w:ascii="Arial Narrow" w:hAnsi="Arial Narrow"/>
          <w:sz w:val="18"/>
        </w:rPr>
        <w:t>3</w:t>
      </w:r>
      <w:r>
        <w:rPr>
          <w:rFonts w:ascii="Arial Narrow" w:hAnsi="Arial Narrow"/>
          <w:sz w:val="18"/>
        </w:rPr>
        <w:t xml:space="preserve"> RA=5-hydroxytryptamine 3 receptor antagonist; ISRs=injection site reactions; IV=intravenous; MEC=moderately emetogenic chemotherapy; NK</w:t>
      </w:r>
      <w:r w:rsidRPr="001A1991">
        <w:rPr>
          <w:rFonts w:ascii="Arial Narrow" w:hAnsi="Arial Narrow"/>
          <w:sz w:val="18"/>
        </w:rPr>
        <w:t>1</w:t>
      </w:r>
      <w:r>
        <w:rPr>
          <w:rFonts w:ascii="Arial Narrow" w:hAnsi="Arial Narrow"/>
          <w:sz w:val="18"/>
        </w:rPr>
        <w:t>=neurokinin 1; PO=per oral; PP=primary prophylaxis; PSD=Public Summary Document; RD=risk difference; SP=secondary prophylaxis; TGA=Therapeutic Goods Administration; TRAE=treatment related adverse event.</w:t>
      </w:r>
    </w:p>
    <w:p w14:paraId="7DA8209A" w14:textId="77777777" w:rsidR="00523521" w:rsidRPr="007B38BF" w:rsidRDefault="00523521" w:rsidP="00523521">
      <w:pPr>
        <w:rPr>
          <w:rFonts w:ascii="Arial Narrow" w:hAnsi="Arial Narrow"/>
          <w:sz w:val="18"/>
        </w:rPr>
      </w:pPr>
      <w:r>
        <w:rPr>
          <w:rFonts w:ascii="Arial Narrow" w:hAnsi="Arial Narrow"/>
          <w:sz w:val="18"/>
        </w:rPr>
        <w:t xml:space="preserve">Note: </w:t>
      </w:r>
      <w:r w:rsidRPr="007B38BF">
        <w:rPr>
          <w:rFonts w:ascii="Arial Narrow" w:hAnsi="Arial Narrow"/>
          <w:sz w:val="18"/>
        </w:rPr>
        <w:t>For response outcomes, Acute: 0-24 hr; Delayed: 24-120 hr; Overall: 0-120 hr</w:t>
      </w:r>
    </w:p>
    <w:p w14:paraId="35F7AF34" w14:textId="34C6615B" w:rsidR="00523521" w:rsidRPr="007B38BF" w:rsidRDefault="00523521" w:rsidP="00523521">
      <w:pPr>
        <w:rPr>
          <w:rFonts w:ascii="Arial Narrow" w:hAnsi="Arial Narrow"/>
          <w:sz w:val="18"/>
        </w:rPr>
      </w:pPr>
      <w:r>
        <w:rPr>
          <w:rFonts w:ascii="Arial Narrow" w:hAnsi="Arial Narrow"/>
          <w:sz w:val="18"/>
          <w:vertAlign w:val="superscript"/>
        </w:rPr>
        <w:t>a</w:t>
      </w:r>
      <w:r w:rsidR="009D322D">
        <w:rPr>
          <w:rFonts w:ascii="Arial Narrow" w:hAnsi="Arial Narrow"/>
          <w:sz w:val="18"/>
          <w:vertAlign w:val="superscript"/>
        </w:rPr>
        <w:t xml:space="preserve"> </w:t>
      </w:r>
      <w:r w:rsidRPr="007B38BF">
        <w:rPr>
          <w:rFonts w:ascii="Arial Narrow" w:hAnsi="Arial Narrow"/>
          <w:sz w:val="18"/>
        </w:rPr>
        <w:t>Defined as no emetic event, no rescue medication.</w:t>
      </w:r>
    </w:p>
    <w:p w14:paraId="05670F81" w14:textId="3991C031" w:rsidR="00003773" w:rsidRPr="00634FF2" w:rsidRDefault="00523521" w:rsidP="00523521">
      <w:pPr>
        <w:rPr>
          <w:rFonts w:ascii="Arial Narrow" w:hAnsi="Arial Narrow"/>
          <w:sz w:val="18"/>
        </w:rPr>
      </w:pPr>
      <w:r w:rsidRPr="00523521">
        <w:rPr>
          <w:rFonts w:ascii="Arial Narrow" w:hAnsi="Arial Narrow"/>
          <w:sz w:val="18"/>
          <w:vertAlign w:val="superscript"/>
        </w:rPr>
        <w:t>b</w:t>
      </w:r>
      <w:r w:rsidR="009D322D">
        <w:rPr>
          <w:rFonts w:ascii="Arial Narrow" w:hAnsi="Arial Narrow"/>
          <w:sz w:val="18"/>
          <w:vertAlign w:val="superscript"/>
        </w:rPr>
        <w:t xml:space="preserve"> </w:t>
      </w:r>
      <w:r w:rsidRPr="00634FF2">
        <w:rPr>
          <w:rFonts w:ascii="Arial Narrow" w:hAnsi="Arial Narrow"/>
          <w:sz w:val="18"/>
        </w:rPr>
        <w:t>As noted in</w:t>
      </w:r>
      <w:r>
        <w:rPr>
          <w:rFonts w:ascii="Arial Narrow" w:hAnsi="Arial Narrow"/>
          <w:sz w:val="18"/>
        </w:rPr>
        <w:t xml:space="preserve"> the </w:t>
      </w:r>
      <w:r w:rsidRPr="00634FF2">
        <w:rPr>
          <w:rFonts w:ascii="Arial Narrow" w:hAnsi="Arial Narrow"/>
          <w:sz w:val="18"/>
        </w:rPr>
        <w:t xml:space="preserve">netupitant with palonosetron </w:t>
      </w:r>
      <w:r w:rsidRPr="00523521">
        <w:rPr>
          <w:rFonts w:ascii="Arial Narrow" w:hAnsi="Arial Narrow"/>
          <w:sz w:val="18"/>
        </w:rPr>
        <w:t>PSD, November 2016 PBAC Meeting</w:t>
      </w:r>
      <w:r w:rsidRPr="00634FF2">
        <w:rPr>
          <w:rFonts w:ascii="Arial Narrow" w:hAnsi="Arial Narrow"/>
          <w:sz w:val="18"/>
        </w:rPr>
        <w:t>.</w:t>
      </w:r>
    </w:p>
    <w:p w14:paraId="664F261B" w14:textId="77777777" w:rsidR="004D22E8" w:rsidRPr="009A6D58" w:rsidRDefault="004D22E8" w:rsidP="004D22E8">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0575CD21" w14:textId="78D5B149" w:rsidR="004D22E8" w:rsidRPr="009A6D58" w:rsidRDefault="004D22E8" w:rsidP="004D22E8">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4D22E8">
        <w:rPr>
          <w:rFonts w:ascii="Arial Narrow" w:hAnsi="Arial Narrow"/>
          <w:i/>
          <w:sz w:val="18"/>
          <w:szCs w:val="18"/>
        </w:rPr>
        <w:t>10,000 to &lt; 20,000</w:t>
      </w:r>
    </w:p>
    <w:p w14:paraId="134B2403" w14:textId="68180AF6" w:rsidR="004D22E8" w:rsidRPr="009A6D58" w:rsidRDefault="004D22E8" w:rsidP="004D22E8">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vertAlign w:val="superscript"/>
        </w:rPr>
        <w:t xml:space="preserve"> </w:t>
      </w:r>
      <w:r>
        <w:rPr>
          <w:rFonts w:ascii="Arial Narrow" w:hAnsi="Arial Narrow"/>
          <w:i/>
          <w:sz w:val="18"/>
          <w:szCs w:val="18"/>
        </w:rPr>
        <w:t xml:space="preserve"> </w:t>
      </w:r>
      <w:r w:rsidRPr="004D22E8">
        <w:rPr>
          <w:rFonts w:ascii="Arial Narrow" w:hAnsi="Arial Narrow"/>
          <w:i/>
          <w:sz w:val="18"/>
          <w:szCs w:val="18"/>
        </w:rPr>
        <w:t>50,000 to &lt; 60,000</w:t>
      </w:r>
    </w:p>
    <w:p w14:paraId="44B14355" w14:textId="5B8CF19E" w:rsidR="004D22E8" w:rsidRDefault="004D22E8" w:rsidP="004D22E8">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Pr="004D22E8">
        <w:rPr>
          <w:rFonts w:ascii="Arial Narrow" w:hAnsi="Arial Narrow"/>
          <w:i/>
          <w:sz w:val="18"/>
          <w:szCs w:val="18"/>
        </w:rPr>
        <w:t>500 to &lt; 5,000</w:t>
      </w:r>
    </w:p>
    <w:p w14:paraId="5F70EF37" w14:textId="4E045A4E" w:rsidR="004D22E8" w:rsidRDefault="004D22E8" w:rsidP="004D22E8">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Pr="004D22E8">
        <w:rPr>
          <w:rFonts w:ascii="Arial Narrow" w:hAnsi="Arial Narrow"/>
          <w:i/>
          <w:sz w:val="18"/>
          <w:szCs w:val="18"/>
        </w:rPr>
        <w:t>$0 to &lt; $10 million</w:t>
      </w:r>
    </w:p>
    <w:p w14:paraId="4ADDBCB4" w14:textId="77777777" w:rsidR="00003773" w:rsidRPr="007B38BF" w:rsidRDefault="00003773" w:rsidP="00B151BB"/>
    <w:p w14:paraId="379D33FC" w14:textId="0B32095A" w:rsidR="00E30D34" w:rsidRPr="007B38BF" w:rsidRDefault="00DC7299" w:rsidP="00BA5157">
      <w:pPr>
        <w:pStyle w:val="3-BodyText"/>
      </w:pPr>
      <w:r w:rsidRPr="007B38BF">
        <w:rPr>
          <w:lang w:val="en-US"/>
        </w:rPr>
        <w:fldChar w:fldCharType="begin"/>
      </w:r>
      <w:r w:rsidRPr="007B38BF">
        <w:rPr>
          <w:lang w:val="en-US"/>
        </w:rPr>
        <w:instrText xml:space="preserve"> REF _Ref122531759 \h </w:instrText>
      </w:r>
      <w:r w:rsidR="007B38BF">
        <w:rPr>
          <w:lang w:val="en-US"/>
        </w:rPr>
        <w:instrText xml:space="preserve"> \* MERGEFORMAT </w:instrText>
      </w:r>
      <w:r w:rsidRPr="007B38BF">
        <w:rPr>
          <w:lang w:val="en-US"/>
        </w:rPr>
      </w:r>
      <w:r w:rsidRPr="007B38BF">
        <w:rPr>
          <w:lang w:val="en-US"/>
        </w:rPr>
        <w:fldChar w:fldCharType="separate"/>
      </w:r>
      <w:r w:rsidR="00775281" w:rsidRPr="00DC7299">
        <w:t xml:space="preserve">Table </w:t>
      </w:r>
      <w:r w:rsidR="00775281">
        <w:rPr>
          <w:noProof/>
        </w:rPr>
        <w:t>3</w:t>
      </w:r>
      <w:r w:rsidRPr="007B38BF">
        <w:rPr>
          <w:lang w:val="en-US"/>
        </w:rPr>
        <w:fldChar w:fldCharType="end"/>
      </w:r>
      <w:r w:rsidRPr="007B38BF">
        <w:rPr>
          <w:lang w:val="en-US"/>
        </w:rPr>
        <w:t xml:space="preserve"> </w:t>
      </w:r>
      <w:proofErr w:type="spellStart"/>
      <w:r w:rsidRPr="007B38BF">
        <w:rPr>
          <w:lang w:val="en-US"/>
        </w:rPr>
        <w:t>summarises</w:t>
      </w:r>
      <w:proofErr w:type="spellEnd"/>
      <w:r w:rsidRPr="007B38BF">
        <w:rPr>
          <w:lang w:val="en-US"/>
        </w:rPr>
        <w:t xml:space="preserve"> the key matters from the previous PBAC consideration of NEPA IV and how the submission addressed those concerns</w:t>
      </w:r>
      <w:r w:rsidR="007B38BF" w:rsidRPr="007B38BF">
        <w:rPr>
          <w:lang w:val="en-US"/>
        </w:rPr>
        <w:t>.</w:t>
      </w:r>
    </w:p>
    <w:p w14:paraId="24E02849" w14:textId="308A2AE9" w:rsidR="00E30D34" w:rsidRPr="00DC7299" w:rsidRDefault="00DC7299" w:rsidP="00DC7299">
      <w:pPr>
        <w:pStyle w:val="Caption"/>
        <w:rPr>
          <w:rFonts w:cs="Courier New"/>
          <w:sz w:val="18"/>
        </w:rPr>
      </w:pPr>
      <w:bookmarkStart w:id="10" w:name="_Ref122531759"/>
      <w:r w:rsidRPr="00DC7299">
        <w:t xml:space="preserve">Table </w:t>
      </w:r>
      <w:fldSimple w:instr=" SEQ Table \* ARABIC ">
        <w:r w:rsidR="00775281">
          <w:rPr>
            <w:noProof/>
          </w:rPr>
          <w:t>3</w:t>
        </w:r>
      </w:fldSimple>
      <w:bookmarkEnd w:id="10"/>
      <w:r w:rsidRPr="00DC7299">
        <w:t xml:space="preserve">: </w:t>
      </w:r>
      <w:r w:rsidR="00E30D34" w:rsidRPr="00DC7299">
        <w:rPr>
          <w:rFonts w:eastAsiaTheme="majorEastAsia"/>
        </w:rPr>
        <w:t>NEPA</w:t>
      </w:r>
      <w:r w:rsidR="00E30D34" w:rsidRPr="00DC7299">
        <w:rPr>
          <w:color w:val="000000" w:themeColor="text1"/>
        </w:rPr>
        <w:t xml:space="preserve"> IV</w:t>
      </w:r>
      <w:r w:rsidR="00E30D34" w:rsidRPr="00DC7299">
        <w:t xml:space="preserve"> </w:t>
      </w:r>
      <w:r w:rsidR="00E30D34" w:rsidRPr="00DC7299">
        <w:rPr>
          <w:rFonts w:eastAsiaTheme="majorEastAsia"/>
        </w:rPr>
        <w:t>PBAC summary of recommendations (July 2020 consideration)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774"/>
        <w:gridCol w:w="3243"/>
      </w:tblGrid>
      <w:tr w:rsidR="00E30D34" w:rsidRPr="00DC7299" w14:paraId="78149413" w14:textId="77777777" w:rsidTr="00C2612C">
        <w:trPr>
          <w:cantSplit/>
        </w:trPr>
        <w:tc>
          <w:tcPr>
            <w:tcW w:w="3202" w:type="pct"/>
            <w:shd w:val="clear" w:color="auto" w:fill="auto"/>
            <w:hideMark/>
          </w:tcPr>
          <w:p w14:paraId="467634E9" w14:textId="5D9E1D00" w:rsidR="00E30D34" w:rsidRPr="00DC7299" w:rsidRDefault="00E30D34" w:rsidP="00DC7299">
            <w:pPr>
              <w:pStyle w:val="TableText0"/>
              <w:rPr>
                <w:b/>
              </w:rPr>
            </w:pPr>
            <w:r w:rsidRPr="00DC7299">
              <w:rPr>
                <w:b/>
              </w:rPr>
              <w:t>PBAC outcomes (Fosnetupitant</w:t>
            </w:r>
            <w:r w:rsidR="00AF2115">
              <w:rPr>
                <w:b/>
              </w:rPr>
              <w:t>/palonosetron</w:t>
            </w:r>
            <w:r w:rsidRPr="00DC7299">
              <w:rPr>
                <w:b/>
              </w:rPr>
              <w:t>, PSD, July 2020)</w:t>
            </w:r>
          </w:p>
        </w:tc>
        <w:tc>
          <w:tcPr>
            <w:tcW w:w="1798" w:type="pct"/>
            <w:shd w:val="clear" w:color="auto" w:fill="auto"/>
            <w:hideMark/>
          </w:tcPr>
          <w:p w14:paraId="3FD8B7EB" w14:textId="77777777" w:rsidR="00E30D34" w:rsidRPr="00DC7299" w:rsidRDefault="00E30D34" w:rsidP="00DC7299">
            <w:pPr>
              <w:pStyle w:val="TableText0"/>
              <w:rPr>
                <w:b/>
              </w:rPr>
            </w:pPr>
            <w:r w:rsidRPr="00DC7299">
              <w:rPr>
                <w:b/>
              </w:rPr>
              <w:t>Issues addressed by the current submission</w:t>
            </w:r>
          </w:p>
        </w:tc>
      </w:tr>
      <w:tr w:rsidR="00E30D34" w:rsidRPr="00DC7299" w14:paraId="0B398377" w14:textId="77777777" w:rsidTr="00C2612C">
        <w:trPr>
          <w:cantSplit/>
        </w:trPr>
        <w:tc>
          <w:tcPr>
            <w:tcW w:w="3202" w:type="pct"/>
            <w:shd w:val="clear" w:color="auto" w:fill="auto"/>
            <w:hideMark/>
          </w:tcPr>
          <w:p w14:paraId="488197B6" w14:textId="77777777" w:rsidR="00E30D34" w:rsidRPr="00DC7299" w:rsidRDefault="00E30D34" w:rsidP="00DC7299">
            <w:pPr>
              <w:pStyle w:val="TableText0"/>
            </w:pPr>
            <w:r w:rsidRPr="00DC7299">
              <w:t xml:space="preserve">The PBAC recommended listing </w:t>
            </w:r>
            <w:r w:rsidR="00DC7299">
              <w:t>NEPA</w:t>
            </w:r>
            <w:r w:rsidRPr="00DC7299">
              <w:t xml:space="preserve"> IV as an Authority Required STREAMLINED benefit under both the General Schedule and Section 100 (Efficient Funding of Chemotherapy – Related Benefits (Code CT)) under the same conditions as the currently PBS listed capsule form, </w:t>
            </w:r>
            <w:r w:rsidR="00DC7299">
              <w:t>NEPA</w:t>
            </w:r>
            <w:r w:rsidRPr="00DC7299">
              <w:t xml:space="preserve">, and among other matters on the basis that </w:t>
            </w:r>
            <w:r w:rsidR="00DC7299">
              <w:t>NEPA IV</w:t>
            </w:r>
            <w:r w:rsidRPr="00DC7299">
              <w:t xml:space="preserve"> would be acceptable on a cost-minimisation basis to the lowest cost combination of a NK1 RA with a 5-HT3 RA (paragraph 6.1). </w:t>
            </w:r>
          </w:p>
          <w:p w14:paraId="2EA5EFDE" w14:textId="77777777" w:rsidR="00E30D34" w:rsidRPr="00DC7299" w:rsidRDefault="00E30D34" w:rsidP="00DC7299">
            <w:pPr>
              <w:pStyle w:val="TableText0"/>
            </w:pPr>
          </w:p>
          <w:p w14:paraId="2EEFEDD1" w14:textId="0CB013DB" w:rsidR="00E30D34" w:rsidRPr="00DC7299" w:rsidRDefault="00E30D34" w:rsidP="002942A1">
            <w:pPr>
              <w:pStyle w:val="TableText0"/>
            </w:pPr>
            <w:r w:rsidRPr="00DC7299">
              <w:t xml:space="preserve">The PBAC considered that the clinical claim that </w:t>
            </w:r>
            <w:r w:rsidR="00DC7299">
              <w:t>NEPA</w:t>
            </w:r>
            <w:r w:rsidRPr="00DC7299">
              <w:t xml:space="preserve"> IV was non-inferior in terms of effectiveness and safety to </w:t>
            </w:r>
            <w:r w:rsidR="00DC7299">
              <w:t>NEPA</w:t>
            </w:r>
            <w:r w:rsidRPr="00DC7299">
              <w:t xml:space="preserve"> to be reasonable. However, it recalled its November 2015 recommendation where it considered </w:t>
            </w:r>
            <w:r w:rsidR="00DC7299">
              <w:t>NEPA</w:t>
            </w:r>
            <w:r w:rsidRPr="00DC7299">
              <w:t xml:space="preserve"> to be non-inferior to aprepitant with a 5-HT3 RA. It therefore considered </w:t>
            </w:r>
            <w:r w:rsidR="00DC7299">
              <w:t>NEPA</w:t>
            </w:r>
            <w:r w:rsidRPr="00DC7299">
              <w:t xml:space="preserve"> IV was also likely to be non-inferior to any NK1 RA (aprepitant or </w:t>
            </w:r>
            <w:r w:rsidR="002942A1">
              <w:t>Emend IV</w:t>
            </w:r>
            <w:r w:rsidRPr="00DC7299">
              <w:t>) with any 5-HT3 RA (paragraph 6.2).</w:t>
            </w:r>
          </w:p>
        </w:tc>
        <w:tc>
          <w:tcPr>
            <w:tcW w:w="1798" w:type="pct"/>
            <w:shd w:val="clear" w:color="auto" w:fill="auto"/>
            <w:hideMark/>
          </w:tcPr>
          <w:p w14:paraId="4583406B" w14:textId="70C437D1" w:rsidR="00E30D34" w:rsidRPr="00DC7299" w:rsidRDefault="005E4FEB" w:rsidP="00DC7299">
            <w:pPr>
              <w:pStyle w:val="TableText0"/>
            </w:pPr>
            <w:r>
              <w:t>It was stated in the submission that d</w:t>
            </w:r>
            <w:r w:rsidR="00E30D34" w:rsidRPr="00DC7299">
              <w:t>ue to the individual cost components of the cheapest oral alternatives, it was not feasible to list the IV formulation on the PBS.</w:t>
            </w:r>
          </w:p>
          <w:p w14:paraId="574B2C60" w14:textId="77777777" w:rsidR="00E30D34" w:rsidRPr="00DC7299" w:rsidRDefault="00E30D34" w:rsidP="00DC7299">
            <w:pPr>
              <w:pStyle w:val="TableText0"/>
            </w:pPr>
          </w:p>
          <w:p w14:paraId="5DB887AB" w14:textId="7C864DCD" w:rsidR="00E30D34" w:rsidRPr="00DC7299" w:rsidRDefault="00E30D34" w:rsidP="00DC7299">
            <w:pPr>
              <w:pStyle w:val="TableText0"/>
            </w:pPr>
            <w:r w:rsidRPr="00DC7299">
              <w:t xml:space="preserve">This submission </w:t>
            </w:r>
            <w:r w:rsidR="00AF2115">
              <w:t>noted that</w:t>
            </w:r>
            <w:r w:rsidRPr="00DC7299">
              <w:t xml:space="preserve"> the patient population that requires the IV formulation is different to the oral population. For example, patients may have difficulty swallowing, such as patients with head and neck cancer and other types of cancers or where IV treatment represents the best clinical </w:t>
            </w:r>
            <w:r w:rsidRPr="00DC7299" w:rsidDel="00A76739">
              <w:t>management</w:t>
            </w:r>
            <w:r w:rsidRPr="00DC7299">
              <w:t xml:space="preserve">, and the use of oral treatments would be contraindicated. </w:t>
            </w:r>
          </w:p>
        </w:tc>
      </w:tr>
      <w:tr w:rsidR="00E30D34" w:rsidRPr="00DC7299" w14:paraId="5AF8C059" w14:textId="77777777" w:rsidTr="00C2612C">
        <w:trPr>
          <w:cantSplit/>
        </w:trPr>
        <w:tc>
          <w:tcPr>
            <w:tcW w:w="3202" w:type="pct"/>
            <w:shd w:val="clear" w:color="auto" w:fill="auto"/>
          </w:tcPr>
          <w:p w14:paraId="387525A0" w14:textId="63F96E69" w:rsidR="00E30D34" w:rsidRPr="00AF2115" w:rsidRDefault="00E30D34" w:rsidP="00DC7299">
            <w:pPr>
              <w:pStyle w:val="TableText0"/>
            </w:pPr>
            <w:r w:rsidRPr="00AF2115">
              <w:t>The PBAC recalled that NEPA was cost</w:t>
            </w:r>
            <w:r w:rsidR="00770DB2">
              <w:t>-</w:t>
            </w:r>
            <w:r w:rsidRPr="00AF2115">
              <w:t xml:space="preserve">minimised to aprepitant alone and </w:t>
            </w:r>
            <w:r w:rsidRPr="00786720">
              <w:t>that despite NEPA being considered non-inferior to aprepitant with a 5-HT3 RA, no cost was given to the 5-HT3 RA component due to high risk of leakage into populations that would otherwise use only a 5-HT3 RA (paragraph 4.3). It also noted the pre-PBAC response which argued that aprepitant alone is not equivalent or non-inferior effectiveness to NEPA IV, citing clinical guidelines supporting</w:t>
            </w:r>
            <w:r w:rsidRPr="00AF2115">
              <w:t xml:space="preserve"> the use of both a NK1 RA with a 5</w:t>
            </w:r>
            <w:r w:rsidR="00DC7299" w:rsidRPr="00AF2115">
              <w:t>-</w:t>
            </w:r>
            <w:r w:rsidRPr="00AF2115">
              <w:t>HT3 RA for highly emetogenic chemotherapies. The PBAC however noted that no further evidence has been presented since the PBS listing of NEPA around the likelihood of treatment escalation to combination therapy for patients that might otherwise receive a single agent (paragraph 6.3).</w:t>
            </w:r>
          </w:p>
        </w:tc>
        <w:tc>
          <w:tcPr>
            <w:tcW w:w="1798" w:type="pct"/>
            <w:shd w:val="clear" w:color="auto" w:fill="auto"/>
          </w:tcPr>
          <w:p w14:paraId="01314A37" w14:textId="33F53F71" w:rsidR="00E30D34" w:rsidRPr="00DC7299" w:rsidRDefault="00AF2115" w:rsidP="00DC7299">
            <w:pPr>
              <w:pStyle w:val="TableText0"/>
            </w:pPr>
            <w:r>
              <w:t>Not reproduced in the submission</w:t>
            </w:r>
          </w:p>
        </w:tc>
      </w:tr>
      <w:tr w:rsidR="00E30D34" w:rsidRPr="00C856B2" w14:paraId="005FAD66" w14:textId="77777777" w:rsidTr="00C2612C">
        <w:trPr>
          <w:cantSplit/>
        </w:trPr>
        <w:tc>
          <w:tcPr>
            <w:tcW w:w="3202" w:type="pct"/>
            <w:shd w:val="clear" w:color="auto" w:fill="auto"/>
          </w:tcPr>
          <w:p w14:paraId="13F80228" w14:textId="77777777" w:rsidR="00E30D34" w:rsidRPr="00C856B2" w:rsidRDefault="00E30D34" w:rsidP="00DC7299">
            <w:pPr>
              <w:pStyle w:val="TableText0"/>
            </w:pPr>
            <w:r w:rsidRPr="00C856B2">
              <w:t xml:space="preserve">The PBAC considered that </w:t>
            </w:r>
            <w:r w:rsidR="00DC7299" w:rsidRPr="00C856B2">
              <w:t>NEPA</w:t>
            </w:r>
            <w:r w:rsidRPr="00C856B2">
              <w:t xml:space="preserve"> IV should be cost-minimised to the lowest cost combination of a NK1 RA and a 5HT3 RA at equi-effective doses. The PBAC noted that it could only recommend listing </w:t>
            </w:r>
            <w:r w:rsidR="00DC7299" w:rsidRPr="00C856B2">
              <w:t>NEPA IV</w:t>
            </w:r>
            <w:r w:rsidRPr="00C856B2">
              <w:t xml:space="preserve"> at a higher price than the alternative therapy or therapies if it was satisfied that it would provide, for some patients, a significant improvement in efficacy or reduction of toxicity over the alternative therapy or therapies (the Act, Section 101(3B)). Based on the evidence presented in the submission</w:t>
            </w:r>
            <w:r w:rsidR="00DC7299" w:rsidRPr="00C856B2">
              <w:t>,</w:t>
            </w:r>
            <w:r w:rsidRPr="00C856B2">
              <w:t xml:space="preserve"> the PBAC considered that it could not be satisfied that </w:t>
            </w:r>
            <w:r w:rsidR="00DC7299" w:rsidRPr="00C856B2">
              <w:t>NEPA</w:t>
            </w:r>
            <w:r w:rsidRPr="00C856B2">
              <w:t xml:space="preserve"> IV provides a significant improvement in efficacy or reduction of toxicity over the alternative therapies (paragraph 6.4).</w:t>
            </w:r>
          </w:p>
        </w:tc>
        <w:tc>
          <w:tcPr>
            <w:tcW w:w="1798" w:type="pct"/>
            <w:shd w:val="clear" w:color="auto" w:fill="auto"/>
          </w:tcPr>
          <w:p w14:paraId="2C778615" w14:textId="5591C842" w:rsidR="00E30D34" w:rsidRPr="00C856B2" w:rsidRDefault="00E30D34" w:rsidP="002942A1">
            <w:pPr>
              <w:pStyle w:val="TableText0"/>
            </w:pPr>
            <w:r w:rsidRPr="00C856B2">
              <w:t>This submission presents additional evidence providing significant improvement in the reduction of toxicity over the alternative therapies (</w:t>
            </w:r>
            <w:r w:rsidR="002942A1">
              <w:t>Emend IV</w:t>
            </w:r>
            <w:r w:rsidRPr="00C856B2">
              <w:t xml:space="preserve"> plus palonosetron). </w:t>
            </w:r>
          </w:p>
        </w:tc>
      </w:tr>
    </w:tbl>
    <w:p w14:paraId="718BC664" w14:textId="3EFDC6AD" w:rsidR="00E30D34" w:rsidRPr="00C856B2" w:rsidRDefault="00E30D34" w:rsidP="00DC7299">
      <w:pPr>
        <w:pStyle w:val="TableFooter"/>
      </w:pPr>
      <w:r w:rsidRPr="00C856B2">
        <w:t xml:space="preserve">Source: </w:t>
      </w:r>
      <w:r w:rsidR="00F47BEB" w:rsidRPr="00C856B2">
        <w:t xml:space="preserve">Compiled from </w:t>
      </w:r>
      <w:r w:rsidR="008907EC" w:rsidRPr="00C856B2">
        <w:t>Table 1-7, p33 of the submission and the Fosnetupitant</w:t>
      </w:r>
      <w:r w:rsidR="00523521">
        <w:t>/palonosetron</w:t>
      </w:r>
      <w:r w:rsidR="008907EC" w:rsidRPr="00C856B2">
        <w:t xml:space="preserve">, </w:t>
      </w:r>
      <w:r w:rsidR="00523521">
        <w:t>PSD</w:t>
      </w:r>
      <w:r w:rsidR="008907EC" w:rsidRPr="00C856B2">
        <w:t>, July 2020</w:t>
      </w:r>
    </w:p>
    <w:p w14:paraId="1A46EE35" w14:textId="53424409" w:rsidR="00C856B2" w:rsidRPr="00C856B2" w:rsidRDefault="00C856B2" w:rsidP="00DC7299">
      <w:pPr>
        <w:pStyle w:val="TableFooter"/>
      </w:pPr>
      <w:r w:rsidRPr="00C856B2">
        <w:t xml:space="preserve">5-HT3 RA=5-hydroxytryptamine-3 receptor antagonist; NEPA=oral fixed dose combination of netupitant 300 </w:t>
      </w:r>
      <w:r w:rsidR="009E2338">
        <w:t> mg</w:t>
      </w:r>
      <w:r w:rsidRPr="00C856B2">
        <w:t xml:space="preserve"> with palonosetron 500 </w:t>
      </w:r>
      <w:r w:rsidR="00AF2115">
        <w:t>mcg</w:t>
      </w:r>
      <w:r w:rsidRPr="00C856B2">
        <w:t xml:space="preserve">; NEPA IV= intravenous fixed dose combination of fosnetupitant 235 </w:t>
      </w:r>
      <w:r w:rsidR="009E2338">
        <w:t> mg</w:t>
      </w:r>
      <w:r w:rsidRPr="00C856B2">
        <w:t xml:space="preserve"> plus palonosetron 250 mcg; </w:t>
      </w:r>
      <w:r w:rsidR="00AF2115">
        <w:t>NK1 RA=</w:t>
      </w:r>
      <w:r w:rsidR="00AF2115" w:rsidRPr="005D6C30">
        <w:t xml:space="preserve"> neurokinin 1</w:t>
      </w:r>
      <w:r w:rsidR="00AF2115">
        <w:t xml:space="preserve"> receptor antagonist; </w:t>
      </w:r>
      <w:r w:rsidRPr="00C856B2">
        <w:t>PSD=Public Summary Document.</w:t>
      </w:r>
    </w:p>
    <w:p w14:paraId="2E2D1D21" w14:textId="08244185" w:rsidR="00C856B2" w:rsidRDefault="00C856B2" w:rsidP="00C856B2"/>
    <w:p w14:paraId="71F23DF7" w14:textId="0A9D4822" w:rsidR="00A548DE" w:rsidRPr="00A548DE" w:rsidRDefault="00A548DE" w:rsidP="00A548DE">
      <w:pPr>
        <w:ind w:firstLine="709"/>
        <w:rPr>
          <w:rFonts w:asciiTheme="minorHAnsi" w:hAnsiTheme="minorHAnsi"/>
          <w:i/>
        </w:rPr>
      </w:pPr>
      <w:bookmarkStart w:id="11" w:name="_Hlk76375324"/>
      <w:r w:rsidRPr="00C33D30">
        <w:rPr>
          <w:rFonts w:asciiTheme="minorHAnsi" w:hAnsiTheme="minorHAnsi"/>
          <w:i/>
        </w:rPr>
        <w:t>For more detail on PBAC’s view, see section 7 PBAC outcome.</w:t>
      </w:r>
      <w:bookmarkEnd w:id="11"/>
    </w:p>
    <w:p w14:paraId="13C34578" w14:textId="77777777" w:rsidR="00B60939" w:rsidRPr="00882085" w:rsidRDefault="00B50DB8" w:rsidP="004E18E9">
      <w:pPr>
        <w:pStyle w:val="2-SectionHeading"/>
      </w:pPr>
      <w:bookmarkStart w:id="12" w:name="_Toc107902078"/>
      <w:bookmarkStart w:id="13" w:name="_Toc124841992"/>
      <w:bookmarkEnd w:id="12"/>
      <w:r w:rsidRPr="00407F2D">
        <w:t>Requested listing</w:t>
      </w:r>
      <w:bookmarkEnd w:id="13"/>
    </w:p>
    <w:tbl>
      <w:tblPr>
        <w:tblStyle w:val="TableGrid"/>
        <w:tblW w:w="5000" w:type="pct"/>
        <w:tblLook w:val="04A0" w:firstRow="1" w:lastRow="0" w:firstColumn="1" w:lastColumn="0" w:noHBand="0" w:noVBand="1"/>
      </w:tblPr>
      <w:tblGrid>
        <w:gridCol w:w="3963"/>
        <w:gridCol w:w="994"/>
        <w:gridCol w:w="1416"/>
        <w:gridCol w:w="711"/>
        <w:gridCol w:w="1933"/>
      </w:tblGrid>
      <w:tr w:rsidR="00BC584B" w:rsidRPr="00C856B2" w14:paraId="410C6317" w14:textId="77777777" w:rsidTr="008D0FE4">
        <w:trPr>
          <w:trHeight w:val="20"/>
        </w:trPr>
        <w:tc>
          <w:tcPr>
            <w:tcW w:w="2198" w:type="pct"/>
            <w:hideMark/>
          </w:tcPr>
          <w:p w14:paraId="454CD533" w14:textId="77777777" w:rsidR="00BC584B" w:rsidRPr="00C856B2" w:rsidRDefault="00BC584B" w:rsidP="000A2486">
            <w:pPr>
              <w:pStyle w:val="Tabletext"/>
              <w:rPr>
                <w:b/>
              </w:rPr>
            </w:pPr>
            <w:r w:rsidRPr="00C856B2">
              <w:rPr>
                <w:b/>
              </w:rPr>
              <w:t>Name, Restriction,</w:t>
            </w:r>
          </w:p>
          <w:p w14:paraId="2F9BDFBE" w14:textId="77777777" w:rsidR="00BC584B" w:rsidRPr="00C856B2" w:rsidRDefault="00BC584B" w:rsidP="000A2486">
            <w:pPr>
              <w:pStyle w:val="Tabletext"/>
              <w:rPr>
                <w:b/>
              </w:rPr>
            </w:pPr>
            <w:r w:rsidRPr="00C856B2">
              <w:rPr>
                <w:b/>
              </w:rPr>
              <w:t>Manner of administration and form</w:t>
            </w:r>
          </w:p>
        </w:tc>
        <w:tc>
          <w:tcPr>
            <w:tcW w:w="551" w:type="pct"/>
            <w:hideMark/>
          </w:tcPr>
          <w:p w14:paraId="09E34A2D" w14:textId="77777777" w:rsidR="00BC584B" w:rsidRPr="00C856B2" w:rsidRDefault="00BC584B" w:rsidP="000A2486">
            <w:pPr>
              <w:pStyle w:val="Tabletext"/>
              <w:rPr>
                <w:b/>
              </w:rPr>
            </w:pPr>
            <w:r w:rsidRPr="00C856B2">
              <w:rPr>
                <w:b/>
              </w:rPr>
              <w:t>Max. Qty (units)</w:t>
            </w:r>
          </w:p>
        </w:tc>
        <w:tc>
          <w:tcPr>
            <w:tcW w:w="785" w:type="pct"/>
          </w:tcPr>
          <w:p w14:paraId="6FA16521" w14:textId="77777777" w:rsidR="00BC584B" w:rsidRPr="00C856B2" w:rsidRDefault="00BC584B" w:rsidP="000A2486">
            <w:pPr>
              <w:pStyle w:val="Tabletext"/>
              <w:rPr>
                <w:b/>
              </w:rPr>
            </w:pPr>
            <w:r w:rsidRPr="00C856B2">
              <w:rPr>
                <w:b/>
              </w:rPr>
              <w:t>Dispensed Price Max Qty</w:t>
            </w:r>
          </w:p>
        </w:tc>
        <w:tc>
          <w:tcPr>
            <w:tcW w:w="394" w:type="pct"/>
            <w:hideMark/>
          </w:tcPr>
          <w:p w14:paraId="1DB19974" w14:textId="77777777" w:rsidR="00BC584B" w:rsidRPr="00C856B2" w:rsidRDefault="00BC584B" w:rsidP="000A2486">
            <w:pPr>
              <w:pStyle w:val="Tabletext"/>
              <w:rPr>
                <w:b/>
              </w:rPr>
            </w:pPr>
            <w:r w:rsidRPr="00C856B2">
              <w:rPr>
                <w:b/>
              </w:rPr>
              <w:t>№.of</w:t>
            </w:r>
          </w:p>
          <w:p w14:paraId="4158B15C" w14:textId="77777777" w:rsidR="00BC584B" w:rsidRPr="00C856B2" w:rsidRDefault="00BC584B" w:rsidP="000A2486">
            <w:pPr>
              <w:pStyle w:val="Tabletext"/>
              <w:rPr>
                <w:b/>
              </w:rPr>
            </w:pPr>
            <w:r w:rsidRPr="00C856B2">
              <w:rPr>
                <w:b/>
              </w:rPr>
              <w:t>Rpts</w:t>
            </w:r>
          </w:p>
        </w:tc>
        <w:tc>
          <w:tcPr>
            <w:tcW w:w="1072" w:type="pct"/>
            <w:hideMark/>
          </w:tcPr>
          <w:p w14:paraId="0298F56F" w14:textId="77777777" w:rsidR="00BC584B" w:rsidRPr="00C856B2" w:rsidRDefault="00BC584B" w:rsidP="000A2486">
            <w:pPr>
              <w:pStyle w:val="Tabletext"/>
              <w:rPr>
                <w:b/>
              </w:rPr>
            </w:pPr>
            <w:r w:rsidRPr="00C856B2">
              <w:rPr>
                <w:b/>
              </w:rPr>
              <w:t>Proprietary Name and Manufacturer</w:t>
            </w:r>
          </w:p>
        </w:tc>
      </w:tr>
      <w:tr w:rsidR="00BC584B" w:rsidRPr="00C856B2" w14:paraId="2530D52A" w14:textId="77777777" w:rsidTr="008D0FE4">
        <w:trPr>
          <w:trHeight w:val="20"/>
        </w:trPr>
        <w:tc>
          <w:tcPr>
            <w:tcW w:w="2198" w:type="pct"/>
            <w:hideMark/>
          </w:tcPr>
          <w:p w14:paraId="134232F1" w14:textId="77777777" w:rsidR="00BC584B" w:rsidRPr="00C856B2" w:rsidRDefault="00BC584B" w:rsidP="000A2486">
            <w:pPr>
              <w:pStyle w:val="Tabletext"/>
            </w:pPr>
            <w:r w:rsidRPr="00C856B2">
              <w:t>General Pharmaceutical Benefit</w:t>
            </w:r>
          </w:p>
          <w:p w14:paraId="6DA8F9E6" w14:textId="77777777" w:rsidR="00BC584B" w:rsidRPr="00C856B2" w:rsidRDefault="00BC584B" w:rsidP="000A2486">
            <w:pPr>
              <w:pStyle w:val="Tabletext"/>
            </w:pPr>
            <w:r w:rsidRPr="00C856B2">
              <w:t>Authority Required (STREAMLINED)</w:t>
            </w:r>
          </w:p>
          <w:p w14:paraId="0687EF29" w14:textId="77777777" w:rsidR="00BC584B" w:rsidRPr="00C856B2" w:rsidRDefault="00BC584B" w:rsidP="000A2486">
            <w:pPr>
              <w:pStyle w:val="Tabletext"/>
            </w:pPr>
            <w:r w:rsidRPr="00C856B2">
              <w:t xml:space="preserve">FOSNETUPITANT + PALONOSETRON </w:t>
            </w:r>
          </w:p>
          <w:p w14:paraId="27EE9C16" w14:textId="13A4DC39" w:rsidR="00BC584B" w:rsidRPr="00C856B2" w:rsidRDefault="00BC584B" w:rsidP="000A2486">
            <w:pPr>
              <w:pStyle w:val="Tabletext"/>
            </w:pPr>
            <w:r w:rsidRPr="00C856B2">
              <w:t xml:space="preserve">fosnetupitant 235 </w:t>
            </w:r>
            <w:r w:rsidR="009E2338">
              <w:t> mg</w:t>
            </w:r>
            <w:r w:rsidRPr="00C856B2">
              <w:t xml:space="preserve"> + palonosetron 250 microgram injection, 1 vial</w:t>
            </w:r>
          </w:p>
        </w:tc>
        <w:tc>
          <w:tcPr>
            <w:tcW w:w="551" w:type="pct"/>
          </w:tcPr>
          <w:p w14:paraId="07E6C792" w14:textId="77777777" w:rsidR="00BC584B" w:rsidRPr="00C856B2" w:rsidRDefault="00BC584B" w:rsidP="000A2486">
            <w:pPr>
              <w:pStyle w:val="Tabletext"/>
            </w:pPr>
            <w:r w:rsidRPr="00C856B2">
              <w:t>1</w:t>
            </w:r>
          </w:p>
        </w:tc>
        <w:tc>
          <w:tcPr>
            <w:tcW w:w="785" w:type="pct"/>
          </w:tcPr>
          <w:p w14:paraId="3B82DBC5" w14:textId="61E0EF7E" w:rsidR="00BC584B" w:rsidRPr="00C856B2" w:rsidRDefault="00BC584B" w:rsidP="000A2486">
            <w:pPr>
              <w:pStyle w:val="Tabletext"/>
            </w:pPr>
            <w:r w:rsidRPr="00355C55">
              <w:t>$</w:t>
            </w:r>
            <w:r w:rsidR="00D25BE4" w:rsidRPr="00D25BE4">
              <w:rPr>
                <w:color w:val="000000"/>
                <w:spacing w:val="53"/>
                <w:shd w:val="solid" w:color="000000" w:fill="000000"/>
                <w:fitText w:val="330" w:id="-1233420288"/>
                <w14:textFill>
                  <w14:solidFill>
                    <w14:srgbClr w14:val="000000">
                      <w14:alpha w14:val="100000"/>
                    </w14:srgbClr>
                  </w14:solidFill>
                </w14:textFill>
              </w:rPr>
              <w:t>|||</w:t>
            </w:r>
            <w:r w:rsidR="00D25BE4" w:rsidRPr="00D25BE4">
              <w:rPr>
                <w:color w:val="000000"/>
                <w:spacing w:val="1"/>
                <w:shd w:val="solid" w:color="000000" w:fill="000000"/>
                <w:fitText w:val="330" w:id="-1233420288"/>
                <w14:textFill>
                  <w14:solidFill>
                    <w14:srgbClr w14:val="000000">
                      <w14:alpha w14:val="100000"/>
                    </w14:srgbClr>
                  </w14:solidFill>
                </w14:textFill>
              </w:rPr>
              <w:t>|</w:t>
            </w:r>
          </w:p>
        </w:tc>
        <w:tc>
          <w:tcPr>
            <w:tcW w:w="394" w:type="pct"/>
          </w:tcPr>
          <w:p w14:paraId="2635E318" w14:textId="77777777" w:rsidR="00BC584B" w:rsidRPr="00C856B2" w:rsidRDefault="00BC584B" w:rsidP="000A2486">
            <w:pPr>
              <w:pStyle w:val="Tabletext"/>
            </w:pPr>
            <w:r w:rsidRPr="00C856B2">
              <w:t>5</w:t>
            </w:r>
          </w:p>
        </w:tc>
        <w:tc>
          <w:tcPr>
            <w:tcW w:w="1072" w:type="pct"/>
            <w:vMerge w:val="restart"/>
            <w:hideMark/>
          </w:tcPr>
          <w:p w14:paraId="7C55D0FA" w14:textId="77777777" w:rsidR="00BC584B" w:rsidRPr="00C856B2" w:rsidRDefault="00BC584B" w:rsidP="000A2486">
            <w:pPr>
              <w:pStyle w:val="Tabletext"/>
            </w:pPr>
            <w:r w:rsidRPr="00C856B2">
              <w:t>Akynzeo IV</w:t>
            </w:r>
          </w:p>
          <w:p w14:paraId="033F0F0B" w14:textId="61B7D9AD" w:rsidR="00BC584B" w:rsidRPr="00C856B2" w:rsidRDefault="00AF2115" w:rsidP="000A2486">
            <w:pPr>
              <w:pStyle w:val="Tabletext"/>
            </w:pPr>
            <w:r w:rsidRPr="00AF2115">
              <w:t>Juniper Biologics Pty Ltd</w:t>
            </w:r>
          </w:p>
        </w:tc>
      </w:tr>
      <w:tr w:rsidR="00BC584B" w:rsidRPr="00C856B2" w14:paraId="2F8949CA" w14:textId="77777777" w:rsidTr="008D0FE4">
        <w:trPr>
          <w:trHeight w:val="20"/>
        </w:trPr>
        <w:tc>
          <w:tcPr>
            <w:tcW w:w="2198" w:type="pct"/>
          </w:tcPr>
          <w:p w14:paraId="5D6E80A1" w14:textId="77777777" w:rsidR="00BC584B" w:rsidRPr="00C856B2" w:rsidRDefault="00BC584B" w:rsidP="000A2486">
            <w:pPr>
              <w:pStyle w:val="Tabletext"/>
            </w:pPr>
            <w:r w:rsidRPr="00C856B2">
              <w:t xml:space="preserve">Section 100 related pharmaceutical </w:t>
            </w:r>
          </w:p>
          <w:p w14:paraId="73497F32" w14:textId="77777777" w:rsidR="00BC584B" w:rsidRPr="00C856B2" w:rsidRDefault="00BC584B" w:rsidP="000A2486">
            <w:pPr>
              <w:pStyle w:val="Tabletext"/>
            </w:pPr>
            <w:r w:rsidRPr="00C856B2">
              <w:t>Authority Required (STREAMLINED)</w:t>
            </w:r>
          </w:p>
          <w:p w14:paraId="65A191C8" w14:textId="77777777" w:rsidR="00BC584B" w:rsidRPr="00C856B2" w:rsidRDefault="00BC584B" w:rsidP="000A2486">
            <w:pPr>
              <w:pStyle w:val="Tabletext"/>
            </w:pPr>
            <w:r w:rsidRPr="00C856B2">
              <w:t xml:space="preserve">FOSNETUPITANT + PALONOSETRON </w:t>
            </w:r>
          </w:p>
          <w:p w14:paraId="02627FCD" w14:textId="62D8BC58" w:rsidR="00BC584B" w:rsidRPr="00C856B2" w:rsidRDefault="00BC584B" w:rsidP="000A2486">
            <w:pPr>
              <w:pStyle w:val="Tabletext"/>
            </w:pPr>
            <w:r w:rsidRPr="00C856B2">
              <w:t xml:space="preserve">fosnetupitant 235 </w:t>
            </w:r>
            <w:r w:rsidR="009E2338">
              <w:t> mg</w:t>
            </w:r>
            <w:r w:rsidRPr="00C856B2">
              <w:t xml:space="preserve"> + palonosetron 250 microgram injection, 1 vial</w:t>
            </w:r>
          </w:p>
        </w:tc>
        <w:tc>
          <w:tcPr>
            <w:tcW w:w="551" w:type="pct"/>
          </w:tcPr>
          <w:p w14:paraId="17CD7C4B" w14:textId="77777777" w:rsidR="00BC584B" w:rsidRPr="00C856B2" w:rsidRDefault="00BC584B" w:rsidP="000A2486">
            <w:pPr>
              <w:pStyle w:val="Tabletext"/>
            </w:pPr>
            <w:r w:rsidRPr="00C856B2">
              <w:t>1</w:t>
            </w:r>
          </w:p>
        </w:tc>
        <w:tc>
          <w:tcPr>
            <w:tcW w:w="785" w:type="pct"/>
          </w:tcPr>
          <w:p w14:paraId="41261227" w14:textId="2F6EF3F6" w:rsidR="00BC584B" w:rsidRPr="00C856B2" w:rsidRDefault="00BC584B" w:rsidP="000A2486">
            <w:pPr>
              <w:pStyle w:val="Tabletext"/>
            </w:pPr>
            <w:r w:rsidRPr="00355C55">
              <w:t>$</w:t>
            </w:r>
            <w:r w:rsidR="00D25BE4" w:rsidRPr="00D25BE4">
              <w:rPr>
                <w:color w:val="000000"/>
                <w:spacing w:val="53"/>
                <w:shd w:val="solid" w:color="000000" w:fill="000000"/>
                <w:fitText w:val="330" w:id="-1233420287"/>
                <w14:textFill>
                  <w14:solidFill>
                    <w14:srgbClr w14:val="000000">
                      <w14:alpha w14:val="100000"/>
                    </w14:srgbClr>
                  </w14:solidFill>
                </w14:textFill>
              </w:rPr>
              <w:t>|||</w:t>
            </w:r>
            <w:r w:rsidR="00D25BE4" w:rsidRPr="00D25BE4">
              <w:rPr>
                <w:color w:val="000000"/>
                <w:spacing w:val="1"/>
                <w:shd w:val="solid" w:color="000000" w:fill="000000"/>
                <w:fitText w:val="330" w:id="-1233420287"/>
                <w14:textFill>
                  <w14:solidFill>
                    <w14:srgbClr w14:val="000000">
                      <w14:alpha w14:val="100000"/>
                    </w14:srgbClr>
                  </w14:solidFill>
                </w14:textFill>
              </w:rPr>
              <w:t>|</w:t>
            </w:r>
          </w:p>
        </w:tc>
        <w:tc>
          <w:tcPr>
            <w:tcW w:w="394" w:type="pct"/>
          </w:tcPr>
          <w:p w14:paraId="6C9348E4" w14:textId="77777777" w:rsidR="00BC584B" w:rsidRPr="00C856B2" w:rsidRDefault="00BC584B" w:rsidP="000A2486">
            <w:pPr>
              <w:pStyle w:val="Tabletext"/>
            </w:pPr>
            <w:r w:rsidRPr="00C856B2">
              <w:t>5</w:t>
            </w:r>
          </w:p>
        </w:tc>
        <w:tc>
          <w:tcPr>
            <w:tcW w:w="1072" w:type="pct"/>
            <w:vMerge/>
          </w:tcPr>
          <w:p w14:paraId="69605427" w14:textId="77777777" w:rsidR="00BC584B" w:rsidRPr="00C856B2" w:rsidRDefault="00BC584B" w:rsidP="000A2486">
            <w:pPr>
              <w:pStyle w:val="Tabletext"/>
            </w:pPr>
          </w:p>
        </w:tc>
      </w:tr>
    </w:tbl>
    <w:p w14:paraId="40E09A42" w14:textId="007148D7" w:rsidR="00046D64" w:rsidRDefault="00046D64" w:rsidP="004B1CB4"/>
    <w:p w14:paraId="5FC79A09" w14:textId="03C7B73B" w:rsidR="006F5B17" w:rsidRPr="006F5B17" w:rsidRDefault="006F5B17" w:rsidP="006F5B17">
      <w:pPr>
        <w:pStyle w:val="ExecSumBodyText"/>
        <w:numPr>
          <w:ilvl w:val="1"/>
          <w:numId w:val="1"/>
        </w:numPr>
        <w:rPr>
          <w:i/>
          <w:iCs/>
        </w:rPr>
      </w:pPr>
      <w:r>
        <w:rPr>
          <w:iCs/>
        </w:rPr>
        <w:t>The submission noted that i</w:t>
      </w:r>
      <w:r w:rsidRPr="00BC584B">
        <w:rPr>
          <w:iCs/>
        </w:rPr>
        <w:t xml:space="preserve">dentical restrictions that apply to </w:t>
      </w:r>
      <w:r>
        <w:rPr>
          <w:iCs/>
        </w:rPr>
        <w:t>Emend</w:t>
      </w:r>
      <w:r w:rsidRPr="00BC584B">
        <w:rPr>
          <w:iCs/>
        </w:rPr>
        <w:t xml:space="preserve"> IV are proposed for NEPA IV</w:t>
      </w:r>
      <w:r>
        <w:rPr>
          <w:iCs/>
        </w:rPr>
        <w:t xml:space="preserve">. </w:t>
      </w:r>
      <w:r w:rsidRPr="00BC584B">
        <w:rPr>
          <w:iCs/>
        </w:rPr>
        <w:t>There is a concurrent submission for Akynzeo (NEPA) (</w:t>
      </w:r>
      <w:r>
        <w:rPr>
          <w:iCs/>
        </w:rPr>
        <w:t>item 6.18</w:t>
      </w:r>
      <w:r w:rsidRPr="00BC584B">
        <w:rPr>
          <w:iCs/>
        </w:rPr>
        <w:t xml:space="preserve">) which proposes that chemotherapies defined as HEC or MEC need to be updated </w:t>
      </w:r>
      <w:r w:rsidRPr="00225895">
        <w:rPr>
          <w:iCs/>
        </w:rPr>
        <w:t xml:space="preserve">and National Comprehensive Cancer Network </w:t>
      </w:r>
      <w:r>
        <w:rPr>
          <w:iCs/>
        </w:rPr>
        <w:t>(</w:t>
      </w:r>
      <w:r w:rsidRPr="00225895">
        <w:rPr>
          <w:iCs/>
        </w:rPr>
        <w:t>NCCN</w:t>
      </w:r>
      <w:r>
        <w:rPr>
          <w:iCs/>
        </w:rPr>
        <w:t>)</w:t>
      </w:r>
      <w:r w:rsidRPr="00BC584B">
        <w:rPr>
          <w:iCs/>
        </w:rPr>
        <w:t xml:space="preserve"> </w:t>
      </w:r>
      <w:r>
        <w:rPr>
          <w:iCs/>
        </w:rPr>
        <w:t>g</w:t>
      </w:r>
      <w:r w:rsidRPr="00BC584B">
        <w:rPr>
          <w:iCs/>
        </w:rPr>
        <w:t xml:space="preserve">uidelines or eviQ guidance be referred to (instead of listing specific agents as is the current case). </w:t>
      </w:r>
      <w:r>
        <w:rPr>
          <w:lang w:val="en-GB"/>
        </w:rPr>
        <w:t xml:space="preserve">The PBAC considered changes to the restriction for oral netupitant/palonosetron (item 6.18, March 2023 PBAC meeting) should be flowed on to the listing of NEPA IV. </w:t>
      </w:r>
    </w:p>
    <w:p w14:paraId="1FCD14D3" w14:textId="22B586FB" w:rsidR="006F5B17" w:rsidRPr="00BC584B" w:rsidRDefault="006F5B17" w:rsidP="006F5B17">
      <w:pPr>
        <w:pStyle w:val="ExecSumBodyText"/>
        <w:numPr>
          <w:ilvl w:val="1"/>
          <w:numId w:val="1"/>
        </w:numPr>
        <w:rPr>
          <w:i/>
          <w:iCs/>
        </w:rPr>
      </w:pPr>
      <w:r>
        <w:rPr>
          <w:lang w:val="en-GB"/>
        </w:rPr>
        <w:t>As substantial changes were proposed to the restrictions as a whole, the listing requested in the submission are presented below (see Section 8 ‘Recommended listing’ for the PBAC recommended listing).</w:t>
      </w:r>
    </w:p>
    <w:p w14:paraId="038AA195" w14:textId="77777777" w:rsidR="00BC584B" w:rsidRDefault="00BC584B" w:rsidP="00BC584B">
      <w:pPr>
        <w:pStyle w:val="TableFigureHeading"/>
        <w:rPr>
          <w:snapToGrid w:val="0"/>
        </w:rPr>
      </w:pPr>
      <w:r w:rsidRPr="0004237E">
        <w:rPr>
          <w:snapToGrid w:val="0"/>
        </w:rPr>
        <w:t>Proposed Restriction 1 - Use in emetogenic chemotherapy</w:t>
      </w:r>
    </w:p>
    <w:tbl>
      <w:tblPr>
        <w:tblW w:w="5000" w:type="pct"/>
        <w:tblLook w:val="0000" w:firstRow="0" w:lastRow="0" w:firstColumn="0" w:lastColumn="0" w:noHBand="0" w:noVBand="0"/>
      </w:tblPr>
      <w:tblGrid>
        <w:gridCol w:w="2355"/>
        <w:gridCol w:w="6662"/>
      </w:tblGrid>
      <w:tr w:rsidR="00BC584B" w:rsidRPr="004B566B" w14:paraId="608DF729" w14:textId="77777777" w:rsidTr="008D0FE4">
        <w:trPr>
          <w:cantSplit/>
          <w:trHeight w:val="20"/>
        </w:trPr>
        <w:tc>
          <w:tcPr>
            <w:tcW w:w="1306" w:type="pct"/>
            <w:tcBorders>
              <w:top w:val="single" w:sz="4" w:space="0" w:color="auto"/>
              <w:left w:val="single" w:sz="4" w:space="0" w:color="auto"/>
              <w:bottom w:val="single" w:sz="4" w:space="0" w:color="auto"/>
              <w:right w:val="single" w:sz="4" w:space="0" w:color="auto"/>
            </w:tcBorders>
          </w:tcPr>
          <w:p w14:paraId="78658F2B" w14:textId="77777777" w:rsidR="00BC584B" w:rsidRPr="004B566B" w:rsidRDefault="00BC584B" w:rsidP="000A2486">
            <w:pPr>
              <w:keepNext/>
              <w:rPr>
                <w:rFonts w:ascii="Arial Narrow" w:hAnsi="Arial Narrow"/>
                <w:b/>
                <w:sz w:val="20"/>
              </w:rPr>
            </w:pPr>
            <w:r w:rsidRPr="004B566B">
              <w:rPr>
                <w:rFonts w:ascii="Arial Narrow" w:hAnsi="Arial Narrow"/>
                <w:b/>
                <w:sz w:val="20"/>
              </w:rPr>
              <w:t>Category / Program:</w:t>
            </w:r>
          </w:p>
        </w:tc>
        <w:tc>
          <w:tcPr>
            <w:tcW w:w="3694" w:type="pct"/>
            <w:tcBorders>
              <w:top w:val="single" w:sz="4" w:space="0" w:color="auto"/>
              <w:left w:val="single" w:sz="4" w:space="0" w:color="auto"/>
              <w:bottom w:val="single" w:sz="4" w:space="0" w:color="auto"/>
              <w:right w:val="single" w:sz="4" w:space="0" w:color="auto"/>
            </w:tcBorders>
          </w:tcPr>
          <w:p w14:paraId="6B324DBE" w14:textId="77777777" w:rsidR="00BC584B" w:rsidRDefault="00BC584B" w:rsidP="000A2486">
            <w:pPr>
              <w:keepNext/>
              <w:rPr>
                <w:rFonts w:ascii="Arial Narrow" w:hAnsi="Arial Narrow"/>
                <w:sz w:val="20"/>
              </w:rPr>
            </w:pPr>
            <w:r w:rsidRPr="004B566B">
              <w:rPr>
                <w:rFonts w:ascii="Arial Narrow" w:hAnsi="Arial Narrow"/>
                <w:sz w:val="20"/>
              </w:rPr>
              <w:t>Section 100 – Efficient Funding of Chemotherapy – Related Benefits</w:t>
            </w:r>
          </w:p>
          <w:p w14:paraId="03DD6C3C" w14:textId="77777777" w:rsidR="00BC584B" w:rsidRPr="004B566B" w:rsidRDefault="00BC584B" w:rsidP="000A2486">
            <w:pPr>
              <w:keepNext/>
              <w:rPr>
                <w:rFonts w:ascii="Arial Narrow" w:hAnsi="Arial Narrow"/>
                <w:sz w:val="20"/>
              </w:rPr>
            </w:pPr>
            <w:r w:rsidRPr="004B566B">
              <w:rPr>
                <w:rFonts w:ascii="Arial Narrow" w:hAnsi="Arial Narrow"/>
                <w:sz w:val="20"/>
              </w:rPr>
              <w:t>GENERAL – General Schedule (Code GE)</w:t>
            </w:r>
          </w:p>
        </w:tc>
      </w:tr>
      <w:tr w:rsidR="00BC584B" w:rsidRPr="004B566B" w14:paraId="55593B8D" w14:textId="77777777" w:rsidTr="008D0FE4">
        <w:trPr>
          <w:cantSplit/>
          <w:trHeight w:val="20"/>
        </w:trPr>
        <w:tc>
          <w:tcPr>
            <w:tcW w:w="1306" w:type="pct"/>
            <w:tcBorders>
              <w:top w:val="single" w:sz="4" w:space="0" w:color="auto"/>
              <w:left w:val="single" w:sz="4" w:space="0" w:color="auto"/>
              <w:bottom w:val="single" w:sz="4" w:space="0" w:color="auto"/>
              <w:right w:val="single" w:sz="4" w:space="0" w:color="auto"/>
            </w:tcBorders>
          </w:tcPr>
          <w:p w14:paraId="414FD708" w14:textId="77777777" w:rsidR="00BC584B" w:rsidRPr="004B566B" w:rsidRDefault="00BC584B" w:rsidP="000A2486">
            <w:pPr>
              <w:keepNext/>
              <w:rPr>
                <w:rFonts w:ascii="Arial Narrow" w:hAnsi="Arial Narrow"/>
                <w:b/>
                <w:sz w:val="20"/>
              </w:rPr>
            </w:pPr>
            <w:r w:rsidRPr="004B566B">
              <w:rPr>
                <w:rFonts w:ascii="Arial Narrow" w:hAnsi="Arial Narrow"/>
                <w:b/>
                <w:sz w:val="20"/>
              </w:rPr>
              <w:t>Prescriber type:</w:t>
            </w:r>
          </w:p>
        </w:tc>
        <w:tc>
          <w:tcPr>
            <w:tcW w:w="3694" w:type="pct"/>
            <w:tcBorders>
              <w:top w:val="single" w:sz="4" w:space="0" w:color="auto"/>
              <w:left w:val="single" w:sz="4" w:space="0" w:color="auto"/>
              <w:bottom w:val="single" w:sz="4" w:space="0" w:color="auto"/>
              <w:right w:val="single" w:sz="4" w:space="0" w:color="auto"/>
            </w:tcBorders>
          </w:tcPr>
          <w:p w14:paraId="2EF92067" w14:textId="77777777" w:rsidR="00BC584B" w:rsidRPr="004B566B" w:rsidRDefault="00BC584B" w:rsidP="000A2486">
            <w:pPr>
              <w:keepNext/>
              <w:rPr>
                <w:rFonts w:ascii="Arial Narrow" w:hAnsi="Arial Narrow"/>
                <w:sz w:val="20"/>
              </w:rPr>
            </w:pPr>
            <w:r w:rsidRPr="004B566B">
              <w:rPr>
                <w:rFonts w:ascii="Arial Narrow" w:hAnsi="Arial Narrow"/>
                <w:sz w:val="20"/>
              </w:rPr>
              <w:fldChar w:fldCharType="begin">
                <w:ffData>
                  <w:name w:val=""/>
                  <w:enabled/>
                  <w:calcOnExit w:val="0"/>
                  <w:checkBox>
                    <w:sizeAuto/>
                    <w:default w:val="1"/>
                  </w:checkBox>
                </w:ffData>
              </w:fldChar>
            </w:r>
            <w:r w:rsidRPr="004B566B">
              <w:rPr>
                <w:rFonts w:ascii="Arial Narrow" w:hAnsi="Arial Narrow"/>
                <w:sz w:val="20"/>
              </w:rPr>
              <w:instrText xml:space="preserve"> FORMCHECKBOX </w:instrText>
            </w:r>
            <w:r w:rsidR="00775281">
              <w:rPr>
                <w:rFonts w:ascii="Arial Narrow" w:hAnsi="Arial Narrow"/>
                <w:sz w:val="20"/>
              </w:rPr>
            </w:r>
            <w:r w:rsidR="00775281">
              <w:rPr>
                <w:rFonts w:ascii="Arial Narrow" w:hAnsi="Arial Narrow"/>
                <w:sz w:val="20"/>
              </w:rPr>
              <w:fldChar w:fldCharType="separate"/>
            </w:r>
            <w:r w:rsidRPr="004B566B">
              <w:rPr>
                <w:rFonts w:ascii="Arial Narrow" w:hAnsi="Arial Narrow"/>
                <w:sz w:val="20"/>
              </w:rPr>
              <w:fldChar w:fldCharType="end"/>
            </w:r>
            <w:r w:rsidRPr="004B566B">
              <w:rPr>
                <w:rFonts w:ascii="Arial Narrow" w:hAnsi="Arial Narrow"/>
                <w:sz w:val="20"/>
              </w:rPr>
              <w:t xml:space="preserve">Medical Practitioners  </w:t>
            </w:r>
          </w:p>
          <w:p w14:paraId="265CE8BC" w14:textId="77777777" w:rsidR="00BC584B" w:rsidRPr="004B566B" w:rsidRDefault="00BC584B" w:rsidP="000A2486">
            <w:pPr>
              <w:keepNext/>
              <w:rPr>
                <w:rFonts w:ascii="Arial Narrow" w:hAnsi="Arial Narrow"/>
                <w:sz w:val="20"/>
              </w:rPr>
            </w:pPr>
            <w:r w:rsidRPr="004B566B">
              <w:rPr>
                <w:rFonts w:ascii="Arial Narrow" w:hAnsi="Arial Narrow"/>
                <w:sz w:val="20"/>
              </w:rPr>
              <w:fldChar w:fldCharType="begin">
                <w:ffData>
                  <w:name w:val=""/>
                  <w:enabled/>
                  <w:calcOnExit w:val="0"/>
                  <w:checkBox>
                    <w:sizeAuto/>
                    <w:default w:val="1"/>
                  </w:checkBox>
                </w:ffData>
              </w:fldChar>
            </w:r>
            <w:r w:rsidRPr="004B566B">
              <w:rPr>
                <w:rFonts w:ascii="Arial Narrow" w:hAnsi="Arial Narrow"/>
                <w:sz w:val="20"/>
              </w:rPr>
              <w:instrText xml:space="preserve"> FORMCHECKBOX </w:instrText>
            </w:r>
            <w:r w:rsidR="00775281">
              <w:rPr>
                <w:rFonts w:ascii="Arial Narrow" w:hAnsi="Arial Narrow"/>
                <w:sz w:val="20"/>
              </w:rPr>
            </w:r>
            <w:r w:rsidR="00775281">
              <w:rPr>
                <w:rFonts w:ascii="Arial Narrow" w:hAnsi="Arial Narrow"/>
                <w:sz w:val="20"/>
              </w:rPr>
              <w:fldChar w:fldCharType="separate"/>
            </w:r>
            <w:r w:rsidRPr="004B566B">
              <w:rPr>
                <w:rFonts w:ascii="Arial Narrow" w:hAnsi="Arial Narrow"/>
                <w:sz w:val="20"/>
              </w:rPr>
              <w:fldChar w:fldCharType="end"/>
            </w:r>
            <w:r w:rsidRPr="004B566B">
              <w:rPr>
                <w:rFonts w:ascii="Arial Narrow" w:hAnsi="Arial Narrow"/>
                <w:sz w:val="20"/>
              </w:rPr>
              <w:t>Nurse practitioners</w:t>
            </w:r>
          </w:p>
        </w:tc>
      </w:tr>
      <w:tr w:rsidR="00BC584B" w:rsidRPr="004B566B" w14:paraId="1EE26800" w14:textId="77777777" w:rsidTr="008D0FE4">
        <w:trPr>
          <w:cantSplit/>
          <w:trHeight w:val="20"/>
        </w:trPr>
        <w:tc>
          <w:tcPr>
            <w:tcW w:w="1306" w:type="pct"/>
            <w:tcBorders>
              <w:top w:val="single" w:sz="4" w:space="0" w:color="auto"/>
              <w:left w:val="single" w:sz="4" w:space="0" w:color="auto"/>
              <w:bottom w:val="single" w:sz="4" w:space="0" w:color="auto"/>
              <w:right w:val="single" w:sz="4" w:space="0" w:color="auto"/>
            </w:tcBorders>
          </w:tcPr>
          <w:p w14:paraId="5B4E8675" w14:textId="77777777" w:rsidR="00BC584B" w:rsidRPr="004B566B" w:rsidRDefault="00BC584B" w:rsidP="000A2486">
            <w:pPr>
              <w:keepNext/>
              <w:rPr>
                <w:rFonts w:ascii="Arial Narrow" w:hAnsi="Arial Narrow"/>
                <w:b/>
                <w:sz w:val="20"/>
              </w:rPr>
            </w:pPr>
            <w:r w:rsidRPr="004B566B">
              <w:rPr>
                <w:rFonts w:ascii="Arial Narrow" w:hAnsi="Arial Narrow"/>
                <w:b/>
                <w:sz w:val="20"/>
              </w:rPr>
              <w:t>PBS Indication:</w:t>
            </w:r>
          </w:p>
        </w:tc>
        <w:tc>
          <w:tcPr>
            <w:tcW w:w="3694" w:type="pct"/>
            <w:tcBorders>
              <w:top w:val="single" w:sz="4" w:space="0" w:color="auto"/>
              <w:left w:val="single" w:sz="4" w:space="0" w:color="auto"/>
              <w:bottom w:val="single" w:sz="4" w:space="0" w:color="auto"/>
              <w:right w:val="single" w:sz="4" w:space="0" w:color="auto"/>
            </w:tcBorders>
          </w:tcPr>
          <w:p w14:paraId="6E892878" w14:textId="77777777" w:rsidR="00BC584B" w:rsidRPr="004B566B" w:rsidRDefault="00BC584B" w:rsidP="000A2486">
            <w:pPr>
              <w:keepNext/>
              <w:rPr>
                <w:rFonts w:ascii="Arial Narrow" w:hAnsi="Arial Narrow"/>
                <w:sz w:val="20"/>
              </w:rPr>
            </w:pPr>
            <w:r w:rsidRPr="004B566B">
              <w:rPr>
                <w:rFonts w:ascii="Arial Narrow" w:hAnsi="Arial Narrow"/>
                <w:sz w:val="20"/>
              </w:rPr>
              <w:t>Nausea and vomiting</w:t>
            </w:r>
          </w:p>
        </w:tc>
      </w:tr>
      <w:tr w:rsidR="00BC584B" w:rsidRPr="004B566B" w14:paraId="511CF382" w14:textId="77777777" w:rsidTr="008D0FE4">
        <w:trPr>
          <w:cantSplit/>
          <w:trHeight w:val="20"/>
        </w:trPr>
        <w:tc>
          <w:tcPr>
            <w:tcW w:w="1306" w:type="pct"/>
            <w:tcBorders>
              <w:top w:val="single" w:sz="4" w:space="0" w:color="auto"/>
              <w:left w:val="single" w:sz="4" w:space="0" w:color="auto"/>
              <w:bottom w:val="single" w:sz="4" w:space="0" w:color="auto"/>
              <w:right w:val="single" w:sz="4" w:space="0" w:color="auto"/>
            </w:tcBorders>
          </w:tcPr>
          <w:p w14:paraId="6EBC8AC2" w14:textId="77777777" w:rsidR="00BC584B" w:rsidRPr="004B566B" w:rsidRDefault="00BC584B" w:rsidP="000A2486">
            <w:pPr>
              <w:keepNext/>
              <w:rPr>
                <w:rFonts w:ascii="Arial Narrow" w:hAnsi="Arial Narrow"/>
                <w:i/>
                <w:sz w:val="20"/>
              </w:rPr>
            </w:pPr>
            <w:r w:rsidRPr="004B566B">
              <w:rPr>
                <w:rFonts w:ascii="Arial Narrow" w:hAnsi="Arial Narrow"/>
                <w:b/>
                <w:sz w:val="20"/>
              </w:rPr>
              <w:t>Restriction Level / Method:</w:t>
            </w:r>
          </w:p>
        </w:tc>
        <w:tc>
          <w:tcPr>
            <w:tcW w:w="3694" w:type="pct"/>
            <w:tcBorders>
              <w:top w:val="single" w:sz="4" w:space="0" w:color="auto"/>
              <w:left w:val="single" w:sz="4" w:space="0" w:color="auto"/>
              <w:bottom w:val="single" w:sz="4" w:space="0" w:color="auto"/>
              <w:right w:val="single" w:sz="4" w:space="0" w:color="auto"/>
            </w:tcBorders>
          </w:tcPr>
          <w:p w14:paraId="52242E9C" w14:textId="77777777" w:rsidR="00BC584B" w:rsidRPr="004B566B" w:rsidRDefault="00BC584B" w:rsidP="000A2486">
            <w:pPr>
              <w:keepNext/>
              <w:rPr>
                <w:rFonts w:ascii="Arial Narrow" w:hAnsi="Arial Narrow"/>
                <w:sz w:val="20"/>
              </w:rPr>
            </w:pPr>
            <w:r w:rsidRPr="004B566B">
              <w:rPr>
                <w:rFonts w:ascii="Arial Narrow" w:hAnsi="Arial Narrow"/>
                <w:sz w:val="20"/>
              </w:rPr>
              <w:fldChar w:fldCharType="begin">
                <w:ffData>
                  <w:name w:val=""/>
                  <w:enabled/>
                  <w:calcOnExit w:val="0"/>
                  <w:checkBox>
                    <w:sizeAuto/>
                    <w:default w:val="1"/>
                  </w:checkBox>
                </w:ffData>
              </w:fldChar>
            </w:r>
            <w:r w:rsidRPr="004B566B">
              <w:rPr>
                <w:rFonts w:ascii="Arial Narrow" w:hAnsi="Arial Narrow"/>
                <w:sz w:val="20"/>
              </w:rPr>
              <w:instrText xml:space="preserve"> FORMCHECKBOX </w:instrText>
            </w:r>
            <w:r w:rsidR="00775281">
              <w:rPr>
                <w:rFonts w:ascii="Arial Narrow" w:hAnsi="Arial Narrow"/>
                <w:sz w:val="20"/>
              </w:rPr>
            </w:r>
            <w:r w:rsidR="00775281">
              <w:rPr>
                <w:rFonts w:ascii="Arial Narrow" w:hAnsi="Arial Narrow"/>
                <w:sz w:val="20"/>
              </w:rPr>
              <w:fldChar w:fldCharType="separate"/>
            </w:r>
            <w:r w:rsidRPr="004B566B">
              <w:rPr>
                <w:rFonts w:ascii="Arial Narrow" w:hAnsi="Arial Narrow"/>
                <w:sz w:val="20"/>
              </w:rPr>
              <w:fldChar w:fldCharType="end"/>
            </w:r>
            <w:r w:rsidRPr="004B566B">
              <w:rPr>
                <w:rFonts w:ascii="Arial Narrow" w:hAnsi="Arial Narrow"/>
                <w:sz w:val="20"/>
              </w:rPr>
              <w:t>Authority Required (STREAMLINED)</w:t>
            </w:r>
          </w:p>
        </w:tc>
      </w:tr>
      <w:tr w:rsidR="00BC584B" w:rsidRPr="00E82DB7" w14:paraId="2887C6EE" w14:textId="77777777" w:rsidTr="008D0FE4">
        <w:trPr>
          <w:cantSplit/>
          <w:trHeight w:val="20"/>
        </w:trPr>
        <w:tc>
          <w:tcPr>
            <w:tcW w:w="1306" w:type="pct"/>
            <w:tcBorders>
              <w:top w:val="single" w:sz="4" w:space="0" w:color="auto"/>
              <w:left w:val="single" w:sz="4" w:space="0" w:color="auto"/>
              <w:bottom w:val="single" w:sz="4" w:space="0" w:color="auto"/>
              <w:right w:val="single" w:sz="4" w:space="0" w:color="auto"/>
            </w:tcBorders>
          </w:tcPr>
          <w:p w14:paraId="5EB69E16" w14:textId="77777777" w:rsidR="00BC584B" w:rsidRPr="00E82DB7" w:rsidRDefault="00BC584B" w:rsidP="000A2486">
            <w:pPr>
              <w:keepNext/>
              <w:rPr>
                <w:rFonts w:ascii="Arial Narrow" w:hAnsi="Arial Narrow"/>
                <w:b/>
                <w:sz w:val="20"/>
              </w:rPr>
            </w:pPr>
            <w:r>
              <w:rPr>
                <w:rFonts w:ascii="Arial Narrow" w:hAnsi="Arial Narrow"/>
                <w:b/>
                <w:sz w:val="20"/>
              </w:rPr>
              <w:t>C</w:t>
            </w:r>
            <w:r w:rsidRPr="00E82DB7">
              <w:rPr>
                <w:rFonts w:ascii="Arial Narrow" w:hAnsi="Arial Narrow"/>
                <w:b/>
                <w:sz w:val="20"/>
              </w:rPr>
              <w:t>linical criteria:</w:t>
            </w:r>
          </w:p>
          <w:p w14:paraId="1EDBA65C" w14:textId="77777777" w:rsidR="00BC584B" w:rsidRPr="00E82DB7" w:rsidRDefault="00BC584B" w:rsidP="000A2486">
            <w:pPr>
              <w:keepNext/>
              <w:rPr>
                <w:rFonts w:ascii="Arial Narrow" w:hAnsi="Arial Narrow"/>
                <w:sz w:val="20"/>
              </w:rPr>
            </w:pPr>
          </w:p>
        </w:tc>
        <w:tc>
          <w:tcPr>
            <w:tcW w:w="3694" w:type="pct"/>
            <w:tcBorders>
              <w:top w:val="single" w:sz="4" w:space="0" w:color="auto"/>
              <w:left w:val="single" w:sz="4" w:space="0" w:color="auto"/>
              <w:bottom w:val="single" w:sz="4" w:space="0" w:color="auto"/>
              <w:right w:val="single" w:sz="4" w:space="0" w:color="auto"/>
            </w:tcBorders>
          </w:tcPr>
          <w:p w14:paraId="6B89CE44" w14:textId="77777777" w:rsidR="00BC584B" w:rsidRPr="00E82DB7" w:rsidRDefault="00BC584B" w:rsidP="000A2486">
            <w:pPr>
              <w:keepNext/>
              <w:tabs>
                <w:tab w:val="left" w:pos="5881"/>
              </w:tabs>
              <w:rPr>
                <w:rFonts w:ascii="Arial Narrow" w:hAnsi="Arial Narrow"/>
                <w:sz w:val="20"/>
              </w:rPr>
            </w:pPr>
            <w:r w:rsidRPr="00E82DB7">
              <w:rPr>
                <w:rFonts w:ascii="Arial Narrow" w:hAnsi="Arial Narrow"/>
                <w:sz w:val="20"/>
              </w:rPr>
              <w:t>The condition must be associated with cytotoxic chemotherapy being used to treat malignancy,</w:t>
            </w:r>
          </w:p>
          <w:p w14:paraId="20BB0569" w14:textId="77777777" w:rsidR="00BC584B" w:rsidRPr="00E82DB7" w:rsidRDefault="00BC584B" w:rsidP="000A2486">
            <w:pPr>
              <w:keepNext/>
              <w:rPr>
                <w:rFonts w:ascii="Arial Narrow" w:hAnsi="Arial Narrow"/>
                <w:sz w:val="20"/>
              </w:rPr>
            </w:pPr>
            <w:r w:rsidRPr="00E82DB7">
              <w:rPr>
                <w:rFonts w:ascii="Arial Narrow" w:hAnsi="Arial Narrow"/>
                <w:sz w:val="20"/>
              </w:rPr>
              <w:t>AND</w:t>
            </w:r>
          </w:p>
          <w:p w14:paraId="41CB469D" w14:textId="77777777" w:rsidR="00BC584B" w:rsidRPr="00E82DB7" w:rsidRDefault="00BC584B" w:rsidP="000A2486">
            <w:pPr>
              <w:keepNext/>
              <w:rPr>
                <w:rFonts w:ascii="Arial Narrow" w:hAnsi="Arial Narrow"/>
                <w:sz w:val="20"/>
              </w:rPr>
            </w:pPr>
            <w:r w:rsidRPr="00E82DB7">
              <w:rPr>
                <w:rFonts w:ascii="Arial Narrow" w:hAnsi="Arial Narrow"/>
                <w:sz w:val="20"/>
              </w:rPr>
              <w:t>The treatment must be in combination with dexamethasone,</w:t>
            </w:r>
          </w:p>
          <w:p w14:paraId="2E60DB17" w14:textId="77777777" w:rsidR="00BC584B" w:rsidRPr="00E82DB7" w:rsidRDefault="00BC584B" w:rsidP="000A2486">
            <w:pPr>
              <w:keepNext/>
              <w:rPr>
                <w:rFonts w:ascii="Arial Narrow" w:hAnsi="Arial Narrow"/>
                <w:sz w:val="20"/>
              </w:rPr>
            </w:pPr>
            <w:r w:rsidRPr="00E82DB7">
              <w:rPr>
                <w:rFonts w:ascii="Arial Narrow" w:hAnsi="Arial Narrow"/>
                <w:sz w:val="20"/>
              </w:rPr>
              <w:t>AND</w:t>
            </w:r>
          </w:p>
          <w:p w14:paraId="54C1C3F7" w14:textId="36501C74" w:rsidR="00BC584B" w:rsidRPr="00E82DB7" w:rsidRDefault="00BC584B" w:rsidP="000A2486">
            <w:pPr>
              <w:keepNext/>
              <w:rPr>
                <w:rFonts w:ascii="Arial Narrow" w:hAnsi="Arial Narrow"/>
                <w:sz w:val="20"/>
              </w:rPr>
            </w:pPr>
            <w:r w:rsidRPr="00E82DB7">
              <w:rPr>
                <w:rFonts w:ascii="Arial Narrow" w:hAnsi="Arial Narrow"/>
                <w:sz w:val="20"/>
              </w:rPr>
              <w:t xml:space="preserve">Patient must be scheduled to be administered a chemotherapy regimen that includes any 1 of the following agents: altretamine; carmustine; cisplatin when a single dose constitutes a cycle of chemotherapy; cyclophosphamide at a dose of 1500 </w:t>
            </w:r>
            <w:r w:rsidR="009E2338">
              <w:rPr>
                <w:rFonts w:ascii="Arial Narrow" w:hAnsi="Arial Narrow"/>
                <w:sz w:val="20"/>
              </w:rPr>
              <w:t> mg</w:t>
            </w:r>
            <w:r w:rsidRPr="00E82DB7">
              <w:rPr>
                <w:rFonts w:ascii="Arial Narrow" w:hAnsi="Arial Narrow"/>
                <w:sz w:val="20"/>
              </w:rPr>
              <w:t xml:space="preserve"> per square metre per day or greater; dacarbazine; procarbazine when a single dose constitutes a cycle of chemotherapy; streptozocin.</w:t>
            </w:r>
          </w:p>
        </w:tc>
      </w:tr>
      <w:tr w:rsidR="00BC584B" w:rsidRPr="00E82DB7" w14:paraId="7A449447" w14:textId="77777777" w:rsidTr="008D0FE4">
        <w:trPr>
          <w:cantSplit/>
          <w:trHeight w:val="20"/>
        </w:trPr>
        <w:tc>
          <w:tcPr>
            <w:tcW w:w="1306" w:type="pct"/>
            <w:tcBorders>
              <w:top w:val="single" w:sz="4" w:space="0" w:color="auto"/>
              <w:left w:val="single" w:sz="4" w:space="0" w:color="auto"/>
              <w:bottom w:val="single" w:sz="4" w:space="0" w:color="auto"/>
              <w:right w:val="single" w:sz="4" w:space="0" w:color="auto"/>
            </w:tcBorders>
          </w:tcPr>
          <w:p w14:paraId="7BE75706" w14:textId="77777777" w:rsidR="00BC584B" w:rsidRPr="00E82DB7" w:rsidRDefault="00BC584B" w:rsidP="000A2486">
            <w:pPr>
              <w:keepNext/>
              <w:rPr>
                <w:rFonts w:ascii="Arial Narrow" w:hAnsi="Arial Narrow"/>
                <w:b/>
                <w:sz w:val="20"/>
              </w:rPr>
            </w:pPr>
            <w:r w:rsidRPr="00E82DB7">
              <w:rPr>
                <w:rFonts w:ascii="Arial Narrow" w:hAnsi="Arial Narrow"/>
                <w:b/>
                <w:sz w:val="20"/>
              </w:rPr>
              <w:t>Prescribing Instructions</w:t>
            </w:r>
          </w:p>
        </w:tc>
        <w:tc>
          <w:tcPr>
            <w:tcW w:w="3694" w:type="pct"/>
            <w:tcBorders>
              <w:top w:val="single" w:sz="4" w:space="0" w:color="auto"/>
              <w:left w:val="single" w:sz="4" w:space="0" w:color="auto"/>
              <w:bottom w:val="single" w:sz="4" w:space="0" w:color="auto"/>
              <w:right w:val="single" w:sz="4" w:space="0" w:color="auto"/>
            </w:tcBorders>
          </w:tcPr>
          <w:p w14:paraId="750274B7" w14:textId="20BE0BA2" w:rsidR="00BC584B" w:rsidRPr="00E82DB7" w:rsidRDefault="00BC584B" w:rsidP="000A2486">
            <w:pPr>
              <w:keepNext/>
              <w:rPr>
                <w:rFonts w:ascii="Arial Narrow" w:hAnsi="Arial Narrow"/>
                <w:sz w:val="20"/>
              </w:rPr>
            </w:pPr>
            <w:r w:rsidRPr="00E82DB7">
              <w:rPr>
                <w:rFonts w:ascii="Arial Narrow" w:hAnsi="Arial Narrow"/>
                <w:sz w:val="20"/>
              </w:rPr>
              <w:t xml:space="preserve">No more than 1 vial of fosnetupitant 235 </w:t>
            </w:r>
            <w:r w:rsidR="009E2338">
              <w:rPr>
                <w:rFonts w:ascii="Arial Narrow" w:hAnsi="Arial Narrow"/>
                <w:sz w:val="20"/>
              </w:rPr>
              <w:t> mg</w:t>
            </w:r>
            <w:r w:rsidRPr="00E82DB7">
              <w:rPr>
                <w:rFonts w:ascii="Arial Narrow" w:hAnsi="Arial Narrow"/>
                <w:sz w:val="20"/>
              </w:rPr>
              <w:t xml:space="preserve"> plus palonosetron 250 microgram injection will be authorised per cycle of cytotoxic chemotherapy.</w:t>
            </w:r>
          </w:p>
        </w:tc>
      </w:tr>
    </w:tbl>
    <w:p w14:paraId="33F9551D" w14:textId="77777777" w:rsidR="00BC584B" w:rsidRDefault="00BC584B" w:rsidP="00BC584B">
      <w:pPr>
        <w:widowControl w:val="0"/>
        <w:rPr>
          <w:rFonts w:ascii="Arial" w:hAnsi="Arial"/>
          <w:bCs/>
          <w:snapToGrid w:val="0"/>
          <w:sz w:val="22"/>
          <w:szCs w:val="22"/>
        </w:rPr>
      </w:pPr>
    </w:p>
    <w:p w14:paraId="7F4313F8" w14:textId="77777777" w:rsidR="00BC584B" w:rsidRPr="00E82DB7" w:rsidRDefault="00BC584B" w:rsidP="00BC584B">
      <w:pPr>
        <w:pStyle w:val="TableFigureHeading"/>
        <w:rPr>
          <w:snapToGrid w:val="0"/>
        </w:rPr>
      </w:pPr>
      <w:r w:rsidRPr="0004237E">
        <w:rPr>
          <w:snapToGrid w:val="0"/>
        </w:rPr>
        <w:t>Proposed Restriction 2 – Use in breast cancer with cyclophosphamide and an anthracycline</w:t>
      </w:r>
    </w:p>
    <w:tbl>
      <w:tblPr>
        <w:tblW w:w="5000" w:type="pct"/>
        <w:tblLook w:val="0000" w:firstRow="0" w:lastRow="0" w:firstColumn="0" w:lastColumn="0" w:noHBand="0" w:noVBand="0"/>
      </w:tblPr>
      <w:tblGrid>
        <w:gridCol w:w="2332"/>
        <w:gridCol w:w="6685"/>
      </w:tblGrid>
      <w:tr w:rsidR="00BC584B" w:rsidRPr="00E82DB7" w14:paraId="30764ECF" w14:textId="77777777" w:rsidTr="000A2486">
        <w:trPr>
          <w:cantSplit/>
          <w:trHeight w:val="20"/>
        </w:trPr>
        <w:tc>
          <w:tcPr>
            <w:tcW w:w="1293" w:type="pct"/>
            <w:tcBorders>
              <w:top w:val="single" w:sz="4" w:space="0" w:color="auto"/>
              <w:left w:val="single" w:sz="4" w:space="0" w:color="auto"/>
              <w:bottom w:val="single" w:sz="4" w:space="0" w:color="auto"/>
              <w:right w:val="single" w:sz="4" w:space="0" w:color="auto"/>
            </w:tcBorders>
          </w:tcPr>
          <w:p w14:paraId="4B621A83" w14:textId="77777777" w:rsidR="00BC584B" w:rsidRPr="00E82DB7" w:rsidRDefault="00BC584B" w:rsidP="000A2486">
            <w:pPr>
              <w:keepNext/>
              <w:rPr>
                <w:rFonts w:ascii="Arial Narrow" w:hAnsi="Arial Narrow"/>
                <w:b/>
                <w:sz w:val="20"/>
              </w:rPr>
            </w:pPr>
            <w:r w:rsidRPr="00E82DB7">
              <w:rPr>
                <w:rFonts w:ascii="Arial Narrow" w:hAnsi="Arial Narrow"/>
                <w:b/>
                <w:sz w:val="20"/>
              </w:rPr>
              <w:t>Category / Program:</w:t>
            </w:r>
          </w:p>
        </w:tc>
        <w:tc>
          <w:tcPr>
            <w:tcW w:w="3707" w:type="pct"/>
            <w:tcBorders>
              <w:top w:val="single" w:sz="4" w:space="0" w:color="auto"/>
              <w:left w:val="single" w:sz="4" w:space="0" w:color="auto"/>
              <w:bottom w:val="single" w:sz="4" w:space="0" w:color="auto"/>
              <w:right w:val="single" w:sz="4" w:space="0" w:color="auto"/>
            </w:tcBorders>
          </w:tcPr>
          <w:p w14:paraId="0D9FF287" w14:textId="77777777" w:rsidR="00BC584B" w:rsidRPr="00E82DB7" w:rsidRDefault="00BC584B" w:rsidP="000A2486">
            <w:pPr>
              <w:keepNext/>
              <w:rPr>
                <w:rFonts w:ascii="Arial Narrow" w:hAnsi="Arial Narrow"/>
                <w:sz w:val="20"/>
              </w:rPr>
            </w:pPr>
            <w:r w:rsidRPr="00E82DB7">
              <w:rPr>
                <w:rFonts w:ascii="Arial Narrow" w:hAnsi="Arial Narrow"/>
                <w:sz w:val="20"/>
              </w:rPr>
              <w:t>Section 100 – Efficient Funding of Chemotherapy – Related Benefits</w:t>
            </w:r>
          </w:p>
          <w:p w14:paraId="4C27DDD7" w14:textId="77777777" w:rsidR="00BC584B" w:rsidRPr="00E82DB7" w:rsidRDefault="00BC584B" w:rsidP="000A2486">
            <w:pPr>
              <w:keepNext/>
              <w:rPr>
                <w:rFonts w:ascii="Arial Narrow" w:hAnsi="Arial Narrow"/>
                <w:sz w:val="20"/>
              </w:rPr>
            </w:pPr>
            <w:r w:rsidRPr="00E82DB7">
              <w:rPr>
                <w:rFonts w:ascii="Arial Narrow" w:hAnsi="Arial Narrow"/>
                <w:sz w:val="20"/>
              </w:rPr>
              <w:t>GENERAL – General Schedule (Code GE)</w:t>
            </w:r>
          </w:p>
        </w:tc>
      </w:tr>
      <w:tr w:rsidR="00BC584B" w:rsidRPr="00E82DB7" w14:paraId="2503A27E" w14:textId="77777777" w:rsidTr="000A2486">
        <w:trPr>
          <w:cantSplit/>
          <w:trHeight w:val="20"/>
        </w:trPr>
        <w:tc>
          <w:tcPr>
            <w:tcW w:w="1293" w:type="pct"/>
            <w:tcBorders>
              <w:top w:val="single" w:sz="4" w:space="0" w:color="auto"/>
              <w:left w:val="single" w:sz="4" w:space="0" w:color="auto"/>
              <w:bottom w:val="single" w:sz="4" w:space="0" w:color="auto"/>
              <w:right w:val="single" w:sz="4" w:space="0" w:color="auto"/>
            </w:tcBorders>
          </w:tcPr>
          <w:p w14:paraId="45BA1C89" w14:textId="77777777" w:rsidR="00BC584B" w:rsidRPr="00E82DB7" w:rsidRDefault="00BC584B" w:rsidP="000A2486">
            <w:pPr>
              <w:keepNext/>
              <w:rPr>
                <w:rFonts w:ascii="Arial Narrow" w:hAnsi="Arial Narrow"/>
                <w:b/>
                <w:sz w:val="20"/>
              </w:rPr>
            </w:pPr>
            <w:r w:rsidRPr="00E82DB7">
              <w:rPr>
                <w:rFonts w:ascii="Arial Narrow" w:hAnsi="Arial Narrow"/>
                <w:b/>
                <w:sz w:val="20"/>
              </w:rPr>
              <w:t>Prescriber type:</w:t>
            </w:r>
          </w:p>
        </w:tc>
        <w:tc>
          <w:tcPr>
            <w:tcW w:w="3707" w:type="pct"/>
            <w:tcBorders>
              <w:top w:val="single" w:sz="4" w:space="0" w:color="auto"/>
              <w:left w:val="single" w:sz="4" w:space="0" w:color="auto"/>
              <w:bottom w:val="single" w:sz="4" w:space="0" w:color="auto"/>
              <w:right w:val="single" w:sz="4" w:space="0" w:color="auto"/>
            </w:tcBorders>
          </w:tcPr>
          <w:p w14:paraId="0FE59C99" w14:textId="77777777" w:rsidR="00BC584B" w:rsidRPr="00E82DB7" w:rsidRDefault="00BC584B" w:rsidP="000A2486">
            <w:pPr>
              <w:keepNext/>
              <w:rPr>
                <w:rFonts w:ascii="Arial Narrow" w:hAnsi="Arial Narrow"/>
                <w:sz w:val="20"/>
              </w:rPr>
            </w:pPr>
            <w:r w:rsidRPr="00E82DB7">
              <w:rPr>
                <w:rFonts w:ascii="Arial Narrow" w:hAnsi="Arial Narrow"/>
                <w:sz w:val="20"/>
              </w:rPr>
              <w:fldChar w:fldCharType="begin">
                <w:ffData>
                  <w:name w:val=""/>
                  <w:enabled/>
                  <w:calcOnExit w:val="0"/>
                  <w:checkBox>
                    <w:sizeAuto/>
                    <w:default w:val="1"/>
                  </w:checkBox>
                </w:ffData>
              </w:fldChar>
            </w:r>
            <w:r w:rsidRPr="00E82DB7">
              <w:rPr>
                <w:rFonts w:ascii="Arial Narrow" w:hAnsi="Arial Narrow"/>
                <w:sz w:val="20"/>
              </w:rPr>
              <w:instrText xml:space="preserve"> FORMCHECKBOX </w:instrText>
            </w:r>
            <w:r w:rsidR="00775281">
              <w:rPr>
                <w:rFonts w:ascii="Arial Narrow" w:hAnsi="Arial Narrow"/>
                <w:sz w:val="20"/>
              </w:rPr>
            </w:r>
            <w:r w:rsidR="00775281">
              <w:rPr>
                <w:rFonts w:ascii="Arial Narrow" w:hAnsi="Arial Narrow"/>
                <w:sz w:val="20"/>
              </w:rPr>
              <w:fldChar w:fldCharType="separate"/>
            </w:r>
            <w:r w:rsidRPr="00E82DB7">
              <w:rPr>
                <w:rFonts w:ascii="Arial Narrow" w:hAnsi="Arial Narrow"/>
                <w:sz w:val="20"/>
              </w:rPr>
              <w:fldChar w:fldCharType="end"/>
            </w:r>
            <w:r w:rsidRPr="00E82DB7">
              <w:rPr>
                <w:rFonts w:ascii="Arial Narrow" w:hAnsi="Arial Narrow"/>
                <w:sz w:val="20"/>
              </w:rPr>
              <w:t xml:space="preserve">Medical Practitioners  </w:t>
            </w:r>
          </w:p>
          <w:p w14:paraId="76B5517A" w14:textId="77777777" w:rsidR="00BC584B" w:rsidRPr="00E82DB7" w:rsidRDefault="00BC584B" w:rsidP="000A2486">
            <w:pPr>
              <w:keepNext/>
              <w:rPr>
                <w:rFonts w:ascii="Arial Narrow" w:hAnsi="Arial Narrow"/>
                <w:sz w:val="20"/>
              </w:rPr>
            </w:pPr>
            <w:r w:rsidRPr="00E82DB7">
              <w:rPr>
                <w:rFonts w:ascii="Arial Narrow" w:hAnsi="Arial Narrow"/>
                <w:sz w:val="20"/>
              </w:rPr>
              <w:fldChar w:fldCharType="begin">
                <w:ffData>
                  <w:name w:val=""/>
                  <w:enabled/>
                  <w:calcOnExit w:val="0"/>
                  <w:checkBox>
                    <w:sizeAuto/>
                    <w:default w:val="1"/>
                  </w:checkBox>
                </w:ffData>
              </w:fldChar>
            </w:r>
            <w:r w:rsidRPr="00E82DB7">
              <w:rPr>
                <w:rFonts w:ascii="Arial Narrow" w:hAnsi="Arial Narrow"/>
                <w:sz w:val="20"/>
              </w:rPr>
              <w:instrText xml:space="preserve"> FORMCHECKBOX </w:instrText>
            </w:r>
            <w:r w:rsidR="00775281">
              <w:rPr>
                <w:rFonts w:ascii="Arial Narrow" w:hAnsi="Arial Narrow"/>
                <w:sz w:val="20"/>
              </w:rPr>
            </w:r>
            <w:r w:rsidR="00775281">
              <w:rPr>
                <w:rFonts w:ascii="Arial Narrow" w:hAnsi="Arial Narrow"/>
                <w:sz w:val="20"/>
              </w:rPr>
              <w:fldChar w:fldCharType="separate"/>
            </w:r>
            <w:r w:rsidRPr="00E82DB7">
              <w:rPr>
                <w:rFonts w:ascii="Arial Narrow" w:hAnsi="Arial Narrow"/>
                <w:sz w:val="20"/>
              </w:rPr>
              <w:fldChar w:fldCharType="end"/>
            </w:r>
            <w:r w:rsidRPr="00E82DB7">
              <w:rPr>
                <w:rFonts w:ascii="Arial Narrow" w:hAnsi="Arial Narrow"/>
                <w:sz w:val="20"/>
              </w:rPr>
              <w:t>Nurse practitioners</w:t>
            </w:r>
          </w:p>
        </w:tc>
      </w:tr>
      <w:tr w:rsidR="00BC584B" w:rsidRPr="00E82DB7" w14:paraId="03114D9C" w14:textId="77777777" w:rsidTr="000A2486">
        <w:trPr>
          <w:cantSplit/>
          <w:trHeight w:val="20"/>
        </w:trPr>
        <w:tc>
          <w:tcPr>
            <w:tcW w:w="1293" w:type="pct"/>
            <w:tcBorders>
              <w:top w:val="single" w:sz="4" w:space="0" w:color="auto"/>
              <w:left w:val="single" w:sz="4" w:space="0" w:color="auto"/>
              <w:bottom w:val="single" w:sz="4" w:space="0" w:color="auto"/>
              <w:right w:val="single" w:sz="4" w:space="0" w:color="auto"/>
            </w:tcBorders>
          </w:tcPr>
          <w:p w14:paraId="177D8847" w14:textId="77777777" w:rsidR="00BC584B" w:rsidRPr="00E82DB7" w:rsidRDefault="00BC584B" w:rsidP="000A2486">
            <w:pPr>
              <w:keepNext/>
              <w:rPr>
                <w:rFonts w:ascii="Arial Narrow" w:hAnsi="Arial Narrow"/>
                <w:b/>
                <w:sz w:val="20"/>
              </w:rPr>
            </w:pPr>
            <w:r w:rsidRPr="00E82DB7">
              <w:rPr>
                <w:rFonts w:ascii="Arial Narrow" w:hAnsi="Arial Narrow"/>
                <w:b/>
                <w:sz w:val="20"/>
              </w:rPr>
              <w:t>PBS Indication:</w:t>
            </w:r>
          </w:p>
        </w:tc>
        <w:tc>
          <w:tcPr>
            <w:tcW w:w="3707" w:type="pct"/>
            <w:tcBorders>
              <w:top w:val="single" w:sz="4" w:space="0" w:color="auto"/>
              <w:left w:val="single" w:sz="4" w:space="0" w:color="auto"/>
              <w:bottom w:val="single" w:sz="4" w:space="0" w:color="auto"/>
              <w:right w:val="single" w:sz="4" w:space="0" w:color="auto"/>
            </w:tcBorders>
          </w:tcPr>
          <w:p w14:paraId="45E1D0BA" w14:textId="77777777" w:rsidR="00BC584B" w:rsidRPr="00E82DB7" w:rsidRDefault="00BC584B" w:rsidP="000A2486">
            <w:pPr>
              <w:keepNext/>
              <w:rPr>
                <w:rFonts w:ascii="Arial Narrow" w:hAnsi="Arial Narrow"/>
                <w:sz w:val="20"/>
              </w:rPr>
            </w:pPr>
            <w:r w:rsidRPr="00E82DB7">
              <w:rPr>
                <w:rFonts w:ascii="Arial Narrow" w:hAnsi="Arial Narrow"/>
                <w:sz w:val="20"/>
              </w:rPr>
              <w:t>Nausea and vomiting</w:t>
            </w:r>
          </w:p>
        </w:tc>
      </w:tr>
      <w:tr w:rsidR="00BC584B" w:rsidRPr="004B566B" w14:paraId="0D1A5503" w14:textId="77777777" w:rsidTr="000A2486">
        <w:trPr>
          <w:cantSplit/>
          <w:trHeight w:val="20"/>
        </w:trPr>
        <w:tc>
          <w:tcPr>
            <w:tcW w:w="1293" w:type="pct"/>
            <w:tcBorders>
              <w:top w:val="single" w:sz="4" w:space="0" w:color="auto"/>
              <w:left w:val="single" w:sz="4" w:space="0" w:color="auto"/>
              <w:bottom w:val="single" w:sz="4" w:space="0" w:color="auto"/>
              <w:right w:val="single" w:sz="4" w:space="0" w:color="auto"/>
            </w:tcBorders>
          </w:tcPr>
          <w:p w14:paraId="49DB0B93" w14:textId="77777777" w:rsidR="00BC584B" w:rsidRPr="00E82DB7" w:rsidRDefault="00BC584B" w:rsidP="000A2486">
            <w:pPr>
              <w:keepNext/>
              <w:rPr>
                <w:rFonts w:ascii="Arial Narrow" w:hAnsi="Arial Narrow"/>
                <w:b/>
                <w:sz w:val="20"/>
              </w:rPr>
            </w:pPr>
            <w:r w:rsidRPr="00E82DB7">
              <w:rPr>
                <w:rFonts w:ascii="Arial Narrow" w:hAnsi="Arial Narrow"/>
                <w:b/>
                <w:sz w:val="20"/>
              </w:rPr>
              <w:t>Restriction Level / Method:</w:t>
            </w:r>
          </w:p>
        </w:tc>
        <w:tc>
          <w:tcPr>
            <w:tcW w:w="3707" w:type="pct"/>
            <w:tcBorders>
              <w:top w:val="single" w:sz="4" w:space="0" w:color="auto"/>
              <w:left w:val="single" w:sz="4" w:space="0" w:color="auto"/>
              <w:bottom w:val="single" w:sz="4" w:space="0" w:color="auto"/>
              <w:right w:val="single" w:sz="4" w:space="0" w:color="auto"/>
            </w:tcBorders>
          </w:tcPr>
          <w:p w14:paraId="7357DF31" w14:textId="77777777" w:rsidR="00BC584B" w:rsidRPr="00E82DB7" w:rsidRDefault="00BC584B" w:rsidP="000A2486">
            <w:pPr>
              <w:keepNext/>
              <w:rPr>
                <w:rFonts w:ascii="Arial Narrow" w:hAnsi="Arial Narrow"/>
                <w:sz w:val="20"/>
              </w:rPr>
            </w:pPr>
            <w:r w:rsidRPr="00E82DB7">
              <w:rPr>
                <w:rFonts w:ascii="Arial Narrow" w:hAnsi="Arial Narrow"/>
                <w:sz w:val="20"/>
              </w:rPr>
              <w:fldChar w:fldCharType="begin">
                <w:ffData>
                  <w:name w:val=""/>
                  <w:enabled/>
                  <w:calcOnExit w:val="0"/>
                  <w:checkBox>
                    <w:sizeAuto/>
                    <w:default w:val="1"/>
                  </w:checkBox>
                </w:ffData>
              </w:fldChar>
            </w:r>
            <w:r w:rsidRPr="00E82DB7">
              <w:rPr>
                <w:rFonts w:ascii="Arial Narrow" w:hAnsi="Arial Narrow"/>
                <w:sz w:val="20"/>
              </w:rPr>
              <w:instrText xml:space="preserve"> FORMCHECKBOX </w:instrText>
            </w:r>
            <w:r w:rsidR="00775281">
              <w:rPr>
                <w:rFonts w:ascii="Arial Narrow" w:hAnsi="Arial Narrow"/>
                <w:sz w:val="20"/>
              </w:rPr>
            </w:r>
            <w:r w:rsidR="00775281">
              <w:rPr>
                <w:rFonts w:ascii="Arial Narrow" w:hAnsi="Arial Narrow"/>
                <w:sz w:val="20"/>
              </w:rPr>
              <w:fldChar w:fldCharType="separate"/>
            </w:r>
            <w:r w:rsidRPr="00E82DB7">
              <w:rPr>
                <w:rFonts w:ascii="Arial Narrow" w:hAnsi="Arial Narrow"/>
                <w:sz w:val="20"/>
              </w:rPr>
              <w:fldChar w:fldCharType="end"/>
            </w:r>
            <w:r w:rsidRPr="00E82DB7">
              <w:rPr>
                <w:rFonts w:ascii="Arial Narrow" w:hAnsi="Arial Narrow"/>
                <w:sz w:val="20"/>
              </w:rPr>
              <w:t>Authority Required (STREAMLINED)</w:t>
            </w:r>
          </w:p>
        </w:tc>
      </w:tr>
      <w:tr w:rsidR="00BC584B" w:rsidRPr="00E82DB7" w14:paraId="58C7B526" w14:textId="77777777" w:rsidTr="000A2486">
        <w:trPr>
          <w:cantSplit/>
          <w:trHeight w:val="20"/>
        </w:trPr>
        <w:tc>
          <w:tcPr>
            <w:tcW w:w="1293" w:type="pct"/>
            <w:tcBorders>
              <w:top w:val="single" w:sz="4" w:space="0" w:color="auto"/>
              <w:left w:val="single" w:sz="4" w:space="0" w:color="auto"/>
              <w:bottom w:val="single" w:sz="4" w:space="0" w:color="auto"/>
              <w:right w:val="single" w:sz="4" w:space="0" w:color="auto"/>
            </w:tcBorders>
          </w:tcPr>
          <w:p w14:paraId="463C1175" w14:textId="77777777" w:rsidR="00BC584B" w:rsidRPr="00E82DB7" w:rsidRDefault="00BC584B" w:rsidP="000A2486">
            <w:pPr>
              <w:keepNext/>
              <w:rPr>
                <w:rFonts w:ascii="Arial Narrow" w:hAnsi="Arial Narrow"/>
                <w:b/>
                <w:sz w:val="20"/>
              </w:rPr>
            </w:pPr>
            <w:r w:rsidRPr="00E82DB7">
              <w:rPr>
                <w:rFonts w:ascii="Arial Narrow" w:hAnsi="Arial Narrow"/>
                <w:b/>
                <w:sz w:val="20"/>
              </w:rPr>
              <w:t>Clinical criteria:</w:t>
            </w:r>
          </w:p>
          <w:p w14:paraId="09768648" w14:textId="77777777" w:rsidR="00BC584B" w:rsidRPr="00E82DB7" w:rsidRDefault="00BC584B" w:rsidP="000A2486">
            <w:pPr>
              <w:keepNext/>
              <w:rPr>
                <w:rFonts w:ascii="Arial Narrow" w:hAnsi="Arial Narrow"/>
                <w:b/>
                <w:sz w:val="20"/>
              </w:rPr>
            </w:pPr>
          </w:p>
        </w:tc>
        <w:tc>
          <w:tcPr>
            <w:tcW w:w="3707" w:type="pct"/>
            <w:tcBorders>
              <w:top w:val="single" w:sz="4" w:space="0" w:color="auto"/>
              <w:left w:val="single" w:sz="4" w:space="0" w:color="auto"/>
              <w:bottom w:val="single" w:sz="4" w:space="0" w:color="auto"/>
              <w:right w:val="single" w:sz="4" w:space="0" w:color="auto"/>
            </w:tcBorders>
          </w:tcPr>
          <w:p w14:paraId="230A244B" w14:textId="77777777" w:rsidR="00BC584B" w:rsidRPr="00E82DB7" w:rsidRDefault="00BC584B" w:rsidP="000A2486">
            <w:pPr>
              <w:keepNext/>
              <w:rPr>
                <w:rFonts w:ascii="Arial Narrow" w:hAnsi="Arial Narrow"/>
                <w:sz w:val="20"/>
                <w:lang w:val="en-GB"/>
              </w:rPr>
            </w:pPr>
            <w:r w:rsidRPr="00E82DB7">
              <w:rPr>
                <w:rFonts w:ascii="Arial Narrow" w:hAnsi="Arial Narrow"/>
                <w:sz w:val="20"/>
                <w:lang w:val="en-GB"/>
              </w:rPr>
              <w:t>The condition must be associated with cytotoxic chemotherapy being used to treat breast cancer,</w:t>
            </w:r>
          </w:p>
          <w:p w14:paraId="571F0432" w14:textId="77777777" w:rsidR="00BC584B" w:rsidRPr="00E82DB7" w:rsidRDefault="00BC584B" w:rsidP="000A2486">
            <w:pPr>
              <w:keepNext/>
              <w:rPr>
                <w:rFonts w:ascii="Arial Narrow" w:hAnsi="Arial Narrow"/>
                <w:b/>
                <w:bCs/>
                <w:sz w:val="20"/>
                <w:lang w:val="en-GB"/>
              </w:rPr>
            </w:pPr>
            <w:r w:rsidRPr="00E82DB7">
              <w:rPr>
                <w:rFonts w:ascii="Arial Narrow" w:hAnsi="Arial Narrow"/>
                <w:b/>
                <w:bCs/>
                <w:sz w:val="20"/>
                <w:lang w:val="en-GB"/>
              </w:rPr>
              <w:t>AND</w:t>
            </w:r>
          </w:p>
          <w:p w14:paraId="5BF0DFC8" w14:textId="77777777" w:rsidR="00BC584B" w:rsidRPr="00E82DB7" w:rsidRDefault="00BC584B" w:rsidP="000A2486">
            <w:pPr>
              <w:keepNext/>
              <w:rPr>
                <w:rFonts w:ascii="Arial Narrow" w:hAnsi="Arial Narrow"/>
                <w:sz w:val="20"/>
                <w:lang w:val="en-GB"/>
              </w:rPr>
            </w:pPr>
            <w:r w:rsidRPr="00E82DB7">
              <w:rPr>
                <w:rFonts w:ascii="Arial Narrow" w:hAnsi="Arial Narrow"/>
                <w:sz w:val="20"/>
                <w:lang w:val="en-GB"/>
              </w:rPr>
              <w:t>The treatment must be in combination with dexamethasone,</w:t>
            </w:r>
          </w:p>
          <w:p w14:paraId="42C5F1E5" w14:textId="77777777" w:rsidR="00BC584B" w:rsidRPr="00E82DB7" w:rsidRDefault="00BC584B" w:rsidP="000A2486">
            <w:pPr>
              <w:keepNext/>
              <w:rPr>
                <w:rFonts w:ascii="Arial Narrow" w:hAnsi="Arial Narrow"/>
                <w:b/>
                <w:bCs/>
                <w:sz w:val="20"/>
                <w:lang w:val="en-GB"/>
              </w:rPr>
            </w:pPr>
            <w:r w:rsidRPr="00E82DB7">
              <w:rPr>
                <w:rFonts w:ascii="Arial Narrow" w:hAnsi="Arial Narrow"/>
                <w:b/>
                <w:bCs/>
                <w:sz w:val="20"/>
                <w:lang w:val="en-GB"/>
              </w:rPr>
              <w:t>AND</w:t>
            </w:r>
          </w:p>
          <w:p w14:paraId="3EDDA9CB" w14:textId="77777777" w:rsidR="00BC584B" w:rsidRPr="00E82DB7" w:rsidRDefault="00BC584B" w:rsidP="000A2486">
            <w:pPr>
              <w:keepNext/>
              <w:rPr>
                <w:rFonts w:ascii="Arial Narrow" w:hAnsi="Arial Narrow"/>
                <w:sz w:val="20"/>
              </w:rPr>
            </w:pPr>
            <w:r w:rsidRPr="00E82DB7">
              <w:rPr>
                <w:rFonts w:ascii="Arial Narrow" w:hAnsi="Arial Narrow"/>
                <w:sz w:val="20"/>
              </w:rPr>
              <w:t>Patient must be scheduled to be co-administered cyclophosphamide and an anthracycline.</w:t>
            </w:r>
          </w:p>
        </w:tc>
      </w:tr>
      <w:tr w:rsidR="00BC584B" w:rsidRPr="00E82DB7" w14:paraId="0202ED20" w14:textId="77777777" w:rsidTr="000A2486">
        <w:trPr>
          <w:cantSplit/>
          <w:trHeight w:val="20"/>
        </w:trPr>
        <w:tc>
          <w:tcPr>
            <w:tcW w:w="1293" w:type="pct"/>
            <w:tcBorders>
              <w:top w:val="single" w:sz="4" w:space="0" w:color="auto"/>
              <w:left w:val="single" w:sz="4" w:space="0" w:color="auto"/>
              <w:bottom w:val="single" w:sz="4" w:space="0" w:color="auto"/>
              <w:right w:val="single" w:sz="4" w:space="0" w:color="auto"/>
            </w:tcBorders>
          </w:tcPr>
          <w:p w14:paraId="007D5BEF" w14:textId="77777777" w:rsidR="00BC584B" w:rsidRPr="00E82DB7" w:rsidRDefault="00BC584B" w:rsidP="000A2486">
            <w:pPr>
              <w:keepNext/>
              <w:rPr>
                <w:rFonts w:ascii="Arial Narrow" w:hAnsi="Arial Narrow"/>
                <w:b/>
                <w:sz w:val="20"/>
              </w:rPr>
            </w:pPr>
            <w:r w:rsidRPr="00E82DB7">
              <w:rPr>
                <w:rFonts w:ascii="Arial Narrow" w:hAnsi="Arial Narrow"/>
                <w:b/>
                <w:sz w:val="20"/>
              </w:rPr>
              <w:t>Prescribing Instructions</w:t>
            </w:r>
          </w:p>
        </w:tc>
        <w:tc>
          <w:tcPr>
            <w:tcW w:w="3707" w:type="pct"/>
            <w:tcBorders>
              <w:top w:val="single" w:sz="4" w:space="0" w:color="auto"/>
              <w:left w:val="single" w:sz="4" w:space="0" w:color="auto"/>
              <w:bottom w:val="single" w:sz="4" w:space="0" w:color="auto"/>
              <w:right w:val="single" w:sz="4" w:space="0" w:color="auto"/>
            </w:tcBorders>
          </w:tcPr>
          <w:p w14:paraId="643C8D3B" w14:textId="2DF6D1CF" w:rsidR="00BC584B" w:rsidRPr="00E82DB7" w:rsidRDefault="00BC584B" w:rsidP="000A2486">
            <w:pPr>
              <w:keepNext/>
              <w:rPr>
                <w:rFonts w:ascii="Arial Narrow" w:hAnsi="Arial Narrow"/>
                <w:sz w:val="20"/>
              </w:rPr>
            </w:pPr>
            <w:r w:rsidRPr="00E82DB7">
              <w:rPr>
                <w:rFonts w:ascii="Arial Narrow" w:hAnsi="Arial Narrow"/>
                <w:sz w:val="20"/>
              </w:rPr>
              <w:t xml:space="preserve">No more than 1 vial of fosnetupitant 235 </w:t>
            </w:r>
            <w:r w:rsidR="009E2338">
              <w:rPr>
                <w:rFonts w:ascii="Arial Narrow" w:hAnsi="Arial Narrow"/>
                <w:sz w:val="20"/>
              </w:rPr>
              <w:t> mg</w:t>
            </w:r>
            <w:r w:rsidRPr="00E82DB7">
              <w:rPr>
                <w:rFonts w:ascii="Arial Narrow" w:hAnsi="Arial Narrow"/>
                <w:sz w:val="20"/>
              </w:rPr>
              <w:t xml:space="preserve"> plus palonosetron 250 microgram injection will be authorised per cycle of cytotoxic chemotherapy.</w:t>
            </w:r>
          </w:p>
        </w:tc>
      </w:tr>
    </w:tbl>
    <w:p w14:paraId="454F97A7" w14:textId="77777777" w:rsidR="00BC584B" w:rsidRDefault="00BC584B" w:rsidP="00BC584B">
      <w:pPr>
        <w:widowControl w:val="0"/>
        <w:rPr>
          <w:rFonts w:ascii="Arial" w:hAnsi="Arial"/>
          <w:bCs/>
          <w:snapToGrid w:val="0"/>
          <w:sz w:val="22"/>
          <w:szCs w:val="22"/>
        </w:rPr>
      </w:pPr>
    </w:p>
    <w:p w14:paraId="1979AFE6" w14:textId="77777777" w:rsidR="00BC584B" w:rsidRPr="00E34D7A" w:rsidRDefault="00BC584B" w:rsidP="00BC584B">
      <w:pPr>
        <w:pStyle w:val="TableFigureHeading"/>
        <w:rPr>
          <w:snapToGrid w:val="0"/>
        </w:rPr>
      </w:pPr>
      <w:r w:rsidRPr="0004237E">
        <w:rPr>
          <w:snapToGrid w:val="0"/>
        </w:rPr>
        <w:t>Proposed Restriction 3 – Use in emetogenic chemotherapy</w:t>
      </w:r>
    </w:p>
    <w:tbl>
      <w:tblPr>
        <w:tblW w:w="5000" w:type="pct"/>
        <w:tblLook w:val="0000" w:firstRow="0" w:lastRow="0" w:firstColumn="0" w:lastColumn="0" w:noHBand="0" w:noVBand="0"/>
      </w:tblPr>
      <w:tblGrid>
        <w:gridCol w:w="2332"/>
        <w:gridCol w:w="6685"/>
      </w:tblGrid>
      <w:tr w:rsidR="00BC584B" w:rsidRPr="00E82DB7" w14:paraId="398C59C2" w14:textId="77777777" w:rsidTr="000A2486">
        <w:trPr>
          <w:cantSplit/>
          <w:trHeight w:val="20"/>
        </w:trPr>
        <w:tc>
          <w:tcPr>
            <w:tcW w:w="1293" w:type="pct"/>
            <w:tcBorders>
              <w:top w:val="single" w:sz="4" w:space="0" w:color="auto"/>
              <w:left w:val="single" w:sz="4" w:space="0" w:color="auto"/>
              <w:bottom w:val="single" w:sz="4" w:space="0" w:color="auto"/>
              <w:right w:val="single" w:sz="4" w:space="0" w:color="auto"/>
            </w:tcBorders>
          </w:tcPr>
          <w:p w14:paraId="6C5DC6F2" w14:textId="77777777" w:rsidR="00BC584B" w:rsidRPr="0004237E" w:rsidRDefault="00BC584B" w:rsidP="000A2486">
            <w:pPr>
              <w:keepNext/>
              <w:rPr>
                <w:rFonts w:ascii="Arial Narrow" w:hAnsi="Arial Narrow"/>
                <w:b/>
                <w:sz w:val="20"/>
              </w:rPr>
            </w:pPr>
            <w:r w:rsidRPr="0004237E">
              <w:rPr>
                <w:rFonts w:ascii="Arial Narrow" w:hAnsi="Arial Narrow"/>
                <w:b/>
                <w:sz w:val="20"/>
              </w:rPr>
              <w:t>Category / Program:</w:t>
            </w:r>
          </w:p>
        </w:tc>
        <w:tc>
          <w:tcPr>
            <w:tcW w:w="3707" w:type="pct"/>
            <w:tcBorders>
              <w:top w:val="single" w:sz="4" w:space="0" w:color="auto"/>
              <w:left w:val="single" w:sz="4" w:space="0" w:color="auto"/>
              <w:bottom w:val="single" w:sz="4" w:space="0" w:color="auto"/>
              <w:right w:val="single" w:sz="4" w:space="0" w:color="auto"/>
            </w:tcBorders>
          </w:tcPr>
          <w:p w14:paraId="64A61B30" w14:textId="77777777" w:rsidR="00BC584B" w:rsidRPr="0004237E" w:rsidRDefault="00BC584B" w:rsidP="000A2486">
            <w:pPr>
              <w:keepNext/>
              <w:rPr>
                <w:rFonts w:ascii="Arial Narrow" w:hAnsi="Arial Narrow"/>
                <w:sz w:val="20"/>
              </w:rPr>
            </w:pPr>
            <w:r w:rsidRPr="0004237E">
              <w:rPr>
                <w:rFonts w:ascii="Arial Narrow" w:hAnsi="Arial Narrow"/>
                <w:sz w:val="20"/>
              </w:rPr>
              <w:t>Section 100 – Efficient Funding of Chemotherapy – Related Benefits</w:t>
            </w:r>
          </w:p>
          <w:p w14:paraId="536DE238" w14:textId="77777777" w:rsidR="00BC584B" w:rsidRPr="0004237E" w:rsidRDefault="00BC584B" w:rsidP="000A2486">
            <w:pPr>
              <w:keepNext/>
              <w:rPr>
                <w:rFonts w:ascii="Arial Narrow" w:hAnsi="Arial Narrow"/>
                <w:sz w:val="20"/>
              </w:rPr>
            </w:pPr>
            <w:r w:rsidRPr="0004237E">
              <w:rPr>
                <w:rFonts w:ascii="Arial Narrow" w:hAnsi="Arial Narrow"/>
                <w:sz w:val="20"/>
              </w:rPr>
              <w:t>GENERAL – General Schedule (Code GE)</w:t>
            </w:r>
          </w:p>
        </w:tc>
      </w:tr>
      <w:tr w:rsidR="00BC584B" w:rsidRPr="00E82DB7" w14:paraId="23F4E0D2" w14:textId="77777777" w:rsidTr="000A2486">
        <w:trPr>
          <w:cantSplit/>
          <w:trHeight w:val="20"/>
        </w:trPr>
        <w:tc>
          <w:tcPr>
            <w:tcW w:w="1293" w:type="pct"/>
            <w:tcBorders>
              <w:top w:val="single" w:sz="4" w:space="0" w:color="auto"/>
              <w:left w:val="single" w:sz="4" w:space="0" w:color="auto"/>
              <w:bottom w:val="single" w:sz="4" w:space="0" w:color="auto"/>
              <w:right w:val="single" w:sz="4" w:space="0" w:color="auto"/>
            </w:tcBorders>
          </w:tcPr>
          <w:p w14:paraId="585C3207" w14:textId="77777777" w:rsidR="00BC584B" w:rsidRPr="0004237E" w:rsidRDefault="00BC584B" w:rsidP="000A2486">
            <w:pPr>
              <w:keepNext/>
              <w:rPr>
                <w:rFonts w:ascii="Arial Narrow" w:hAnsi="Arial Narrow"/>
                <w:b/>
                <w:sz w:val="20"/>
              </w:rPr>
            </w:pPr>
            <w:r w:rsidRPr="0004237E">
              <w:rPr>
                <w:rFonts w:ascii="Arial Narrow" w:hAnsi="Arial Narrow"/>
                <w:b/>
                <w:sz w:val="20"/>
              </w:rPr>
              <w:t>Prescriber type:</w:t>
            </w:r>
          </w:p>
        </w:tc>
        <w:tc>
          <w:tcPr>
            <w:tcW w:w="3707" w:type="pct"/>
            <w:tcBorders>
              <w:top w:val="single" w:sz="4" w:space="0" w:color="auto"/>
              <w:left w:val="single" w:sz="4" w:space="0" w:color="auto"/>
              <w:bottom w:val="single" w:sz="4" w:space="0" w:color="auto"/>
              <w:right w:val="single" w:sz="4" w:space="0" w:color="auto"/>
            </w:tcBorders>
          </w:tcPr>
          <w:p w14:paraId="63F82C7A" w14:textId="77777777" w:rsidR="00BC584B" w:rsidRPr="0004237E" w:rsidRDefault="00BC584B" w:rsidP="000A2486">
            <w:pPr>
              <w:keepNext/>
              <w:rPr>
                <w:rFonts w:ascii="Arial Narrow" w:hAnsi="Arial Narrow"/>
                <w:sz w:val="20"/>
              </w:rPr>
            </w:pPr>
            <w:r w:rsidRPr="0004237E">
              <w:rPr>
                <w:rFonts w:ascii="Arial Narrow" w:hAnsi="Arial Narrow"/>
                <w:sz w:val="20"/>
              </w:rPr>
              <w:fldChar w:fldCharType="begin">
                <w:ffData>
                  <w:name w:val=""/>
                  <w:enabled/>
                  <w:calcOnExit w:val="0"/>
                  <w:checkBox>
                    <w:sizeAuto/>
                    <w:default w:val="1"/>
                  </w:checkBox>
                </w:ffData>
              </w:fldChar>
            </w:r>
            <w:r w:rsidRPr="0004237E">
              <w:rPr>
                <w:rFonts w:ascii="Arial Narrow" w:hAnsi="Arial Narrow"/>
                <w:sz w:val="20"/>
              </w:rPr>
              <w:instrText xml:space="preserve"> FORMCHECKBOX </w:instrText>
            </w:r>
            <w:r w:rsidR="00775281">
              <w:rPr>
                <w:rFonts w:ascii="Arial Narrow" w:hAnsi="Arial Narrow"/>
                <w:sz w:val="20"/>
              </w:rPr>
            </w:r>
            <w:r w:rsidR="00775281">
              <w:rPr>
                <w:rFonts w:ascii="Arial Narrow" w:hAnsi="Arial Narrow"/>
                <w:sz w:val="20"/>
              </w:rPr>
              <w:fldChar w:fldCharType="separate"/>
            </w:r>
            <w:r w:rsidRPr="0004237E">
              <w:rPr>
                <w:rFonts w:ascii="Arial Narrow" w:hAnsi="Arial Narrow"/>
                <w:sz w:val="20"/>
              </w:rPr>
              <w:fldChar w:fldCharType="end"/>
            </w:r>
            <w:r w:rsidRPr="0004237E">
              <w:rPr>
                <w:rFonts w:ascii="Arial Narrow" w:hAnsi="Arial Narrow"/>
                <w:sz w:val="20"/>
              </w:rPr>
              <w:t xml:space="preserve">Medical Practitioners  </w:t>
            </w:r>
          </w:p>
          <w:p w14:paraId="42CF40C7" w14:textId="77777777" w:rsidR="00BC584B" w:rsidRPr="0004237E" w:rsidRDefault="00BC584B" w:rsidP="000A2486">
            <w:pPr>
              <w:keepNext/>
              <w:rPr>
                <w:rFonts w:ascii="Arial Narrow" w:hAnsi="Arial Narrow"/>
                <w:sz w:val="20"/>
              </w:rPr>
            </w:pPr>
            <w:r w:rsidRPr="0004237E">
              <w:rPr>
                <w:rFonts w:ascii="Arial Narrow" w:hAnsi="Arial Narrow"/>
                <w:sz w:val="20"/>
              </w:rPr>
              <w:fldChar w:fldCharType="begin">
                <w:ffData>
                  <w:name w:val=""/>
                  <w:enabled/>
                  <w:calcOnExit w:val="0"/>
                  <w:checkBox>
                    <w:sizeAuto/>
                    <w:default w:val="1"/>
                  </w:checkBox>
                </w:ffData>
              </w:fldChar>
            </w:r>
            <w:r w:rsidRPr="0004237E">
              <w:rPr>
                <w:rFonts w:ascii="Arial Narrow" w:hAnsi="Arial Narrow"/>
                <w:sz w:val="20"/>
              </w:rPr>
              <w:instrText xml:space="preserve"> FORMCHECKBOX </w:instrText>
            </w:r>
            <w:r w:rsidR="00775281">
              <w:rPr>
                <w:rFonts w:ascii="Arial Narrow" w:hAnsi="Arial Narrow"/>
                <w:sz w:val="20"/>
              </w:rPr>
            </w:r>
            <w:r w:rsidR="00775281">
              <w:rPr>
                <w:rFonts w:ascii="Arial Narrow" w:hAnsi="Arial Narrow"/>
                <w:sz w:val="20"/>
              </w:rPr>
              <w:fldChar w:fldCharType="separate"/>
            </w:r>
            <w:r w:rsidRPr="0004237E">
              <w:rPr>
                <w:rFonts w:ascii="Arial Narrow" w:hAnsi="Arial Narrow"/>
                <w:sz w:val="20"/>
              </w:rPr>
              <w:fldChar w:fldCharType="end"/>
            </w:r>
            <w:r w:rsidRPr="0004237E">
              <w:rPr>
                <w:rFonts w:ascii="Arial Narrow" w:hAnsi="Arial Narrow"/>
                <w:sz w:val="20"/>
              </w:rPr>
              <w:t>Nurse practitioners</w:t>
            </w:r>
          </w:p>
        </w:tc>
      </w:tr>
      <w:tr w:rsidR="00BC584B" w:rsidRPr="00E82DB7" w14:paraId="287319A6" w14:textId="77777777" w:rsidTr="000A2486">
        <w:trPr>
          <w:cantSplit/>
          <w:trHeight w:val="20"/>
        </w:trPr>
        <w:tc>
          <w:tcPr>
            <w:tcW w:w="1293" w:type="pct"/>
            <w:tcBorders>
              <w:top w:val="single" w:sz="4" w:space="0" w:color="auto"/>
              <w:left w:val="single" w:sz="4" w:space="0" w:color="auto"/>
              <w:bottom w:val="single" w:sz="4" w:space="0" w:color="auto"/>
              <w:right w:val="single" w:sz="4" w:space="0" w:color="auto"/>
            </w:tcBorders>
          </w:tcPr>
          <w:p w14:paraId="0461998E" w14:textId="77777777" w:rsidR="00BC584B" w:rsidRPr="0004237E" w:rsidRDefault="00BC584B" w:rsidP="000A2486">
            <w:pPr>
              <w:keepNext/>
              <w:rPr>
                <w:rFonts w:ascii="Arial Narrow" w:hAnsi="Arial Narrow"/>
                <w:b/>
                <w:sz w:val="20"/>
              </w:rPr>
            </w:pPr>
            <w:r w:rsidRPr="0004237E">
              <w:rPr>
                <w:rFonts w:ascii="Arial Narrow" w:hAnsi="Arial Narrow"/>
                <w:b/>
                <w:sz w:val="20"/>
              </w:rPr>
              <w:t>PBS Indication:</w:t>
            </w:r>
          </w:p>
        </w:tc>
        <w:tc>
          <w:tcPr>
            <w:tcW w:w="3707" w:type="pct"/>
            <w:tcBorders>
              <w:top w:val="single" w:sz="4" w:space="0" w:color="auto"/>
              <w:left w:val="single" w:sz="4" w:space="0" w:color="auto"/>
              <w:bottom w:val="single" w:sz="4" w:space="0" w:color="auto"/>
              <w:right w:val="single" w:sz="4" w:space="0" w:color="auto"/>
            </w:tcBorders>
          </w:tcPr>
          <w:p w14:paraId="2F4C9815" w14:textId="77777777" w:rsidR="00BC584B" w:rsidRPr="0004237E" w:rsidRDefault="00BC584B" w:rsidP="000A2486">
            <w:pPr>
              <w:keepNext/>
              <w:rPr>
                <w:rFonts w:ascii="Arial Narrow" w:hAnsi="Arial Narrow"/>
                <w:sz w:val="20"/>
              </w:rPr>
            </w:pPr>
            <w:r w:rsidRPr="0004237E">
              <w:rPr>
                <w:rFonts w:ascii="Arial Narrow" w:hAnsi="Arial Narrow"/>
                <w:sz w:val="20"/>
              </w:rPr>
              <w:t>Nausea and vomiting</w:t>
            </w:r>
          </w:p>
        </w:tc>
      </w:tr>
      <w:tr w:rsidR="00BC584B" w:rsidRPr="004B566B" w14:paraId="5B06603E" w14:textId="77777777" w:rsidTr="000A2486">
        <w:trPr>
          <w:cantSplit/>
          <w:trHeight w:val="20"/>
        </w:trPr>
        <w:tc>
          <w:tcPr>
            <w:tcW w:w="1293" w:type="pct"/>
            <w:tcBorders>
              <w:top w:val="single" w:sz="4" w:space="0" w:color="auto"/>
              <w:left w:val="single" w:sz="4" w:space="0" w:color="auto"/>
              <w:bottom w:val="single" w:sz="4" w:space="0" w:color="auto"/>
              <w:right w:val="single" w:sz="4" w:space="0" w:color="auto"/>
            </w:tcBorders>
          </w:tcPr>
          <w:p w14:paraId="62ABBBBC" w14:textId="77777777" w:rsidR="00BC584B" w:rsidRPr="0004237E" w:rsidRDefault="00BC584B" w:rsidP="000A2486">
            <w:pPr>
              <w:keepNext/>
              <w:rPr>
                <w:rFonts w:ascii="Arial Narrow" w:hAnsi="Arial Narrow"/>
                <w:b/>
                <w:sz w:val="20"/>
              </w:rPr>
            </w:pPr>
            <w:r w:rsidRPr="0004237E">
              <w:rPr>
                <w:rFonts w:ascii="Arial Narrow" w:hAnsi="Arial Narrow"/>
                <w:b/>
                <w:sz w:val="20"/>
              </w:rPr>
              <w:t>Restriction Level / Method:</w:t>
            </w:r>
          </w:p>
        </w:tc>
        <w:tc>
          <w:tcPr>
            <w:tcW w:w="3707" w:type="pct"/>
            <w:tcBorders>
              <w:top w:val="single" w:sz="4" w:space="0" w:color="auto"/>
              <w:left w:val="single" w:sz="4" w:space="0" w:color="auto"/>
              <w:bottom w:val="single" w:sz="4" w:space="0" w:color="auto"/>
              <w:right w:val="single" w:sz="4" w:space="0" w:color="auto"/>
            </w:tcBorders>
          </w:tcPr>
          <w:p w14:paraId="714E119B" w14:textId="77777777" w:rsidR="00BC584B" w:rsidRPr="0004237E" w:rsidRDefault="00BC584B" w:rsidP="000A2486">
            <w:pPr>
              <w:keepNext/>
              <w:rPr>
                <w:rFonts w:ascii="Arial Narrow" w:hAnsi="Arial Narrow"/>
                <w:sz w:val="20"/>
              </w:rPr>
            </w:pPr>
            <w:r w:rsidRPr="0004237E">
              <w:rPr>
                <w:rFonts w:ascii="Arial Narrow" w:hAnsi="Arial Narrow"/>
                <w:sz w:val="20"/>
              </w:rPr>
              <w:fldChar w:fldCharType="begin">
                <w:ffData>
                  <w:name w:val=""/>
                  <w:enabled/>
                  <w:calcOnExit w:val="0"/>
                  <w:checkBox>
                    <w:sizeAuto/>
                    <w:default w:val="1"/>
                  </w:checkBox>
                </w:ffData>
              </w:fldChar>
            </w:r>
            <w:r w:rsidRPr="0004237E">
              <w:rPr>
                <w:rFonts w:ascii="Arial Narrow" w:hAnsi="Arial Narrow"/>
                <w:sz w:val="20"/>
              </w:rPr>
              <w:instrText xml:space="preserve"> FORMCHECKBOX </w:instrText>
            </w:r>
            <w:r w:rsidR="00775281">
              <w:rPr>
                <w:rFonts w:ascii="Arial Narrow" w:hAnsi="Arial Narrow"/>
                <w:sz w:val="20"/>
              </w:rPr>
            </w:r>
            <w:r w:rsidR="00775281">
              <w:rPr>
                <w:rFonts w:ascii="Arial Narrow" w:hAnsi="Arial Narrow"/>
                <w:sz w:val="20"/>
              </w:rPr>
              <w:fldChar w:fldCharType="separate"/>
            </w:r>
            <w:r w:rsidRPr="0004237E">
              <w:rPr>
                <w:rFonts w:ascii="Arial Narrow" w:hAnsi="Arial Narrow"/>
                <w:sz w:val="20"/>
              </w:rPr>
              <w:fldChar w:fldCharType="end"/>
            </w:r>
            <w:r w:rsidRPr="0004237E">
              <w:rPr>
                <w:rFonts w:ascii="Arial Narrow" w:hAnsi="Arial Narrow"/>
                <w:sz w:val="20"/>
              </w:rPr>
              <w:t>Authority Required (STREAMLINED)</w:t>
            </w:r>
          </w:p>
        </w:tc>
      </w:tr>
      <w:tr w:rsidR="00BC584B" w:rsidRPr="00E82DB7" w14:paraId="4314262C" w14:textId="77777777" w:rsidTr="000A2486">
        <w:trPr>
          <w:cantSplit/>
          <w:trHeight w:val="20"/>
        </w:trPr>
        <w:tc>
          <w:tcPr>
            <w:tcW w:w="1293" w:type="pct"/>
            <w:tcBorders>
              <w:top w:val="single" w:sz="4" w:space="0" w:color="auto"/>
              <w:left w:val="single" w:sz="4" w:space="0" w:color="auto"/>
              <w:bottom w:val="single" w:sz="4" w:space="0" w:color="auto"/>
              <w:right w:val="single" w:sz="4" w:space="0" w:color="auto"/>
            </w:tcBorders>
          </w:tcPr>
          <w:p w14:paraId="1EA70AF5" w14:textId="77777777" w:rsidR="00BC584B" w:rsidRPr="0004237E" w:rsidRDefault="00BC584B" w:rsidP="000A2486">
            <w:pPr>
              <w:keepNext/>
              <w:rPr>
                <w:rFonts w:ascii="Arial Narrow" w:hAnsi="Arial Narrow"/>
                <w:b/>
                <w:sz w:val="20"/>
              </w:rPr>
            </w:pPr>
            <w:r w:rsidRPr="0004237E">
              <w:rPr>
                <w:rFonts w:ascii="Arial Narrow" w:hAnsi="Arial Narrow"/>
                <w:b/>
                <w:sz w:val="20"/>
              </w:rPr>
              <w:t>Clinical criteria:</w:t>
            </w:r>
          </w:p>
          <w:p w14:paraId="095C2A14" w14:textId="77777777" w:rsidR="00BC584B" w:rsidRPr="0004237E" w:rsidRDefault="00BC584B" w:rsidP="000A2486">
            <w:pPr>
              <w:keepNext/>
              <w:rPr>
                <w:rFonts w:ascii="Arial Narrow" w:hAnsi="Arial Narrow"/>
                <w:b/>
                <w:sz w:val="20"/>
              </w:rPr>
            </w:pPr>
          </w:p>
        </w:tc>
        <w:tc>
          <w:tcPr>
            <w:tcW w:w="3707" w:type="pct"/>
            <w:tcBorders>
              <w:top w:val="single" w:sz="4" w:space="0" w:color="auto"/>
              <w:left w:val="single" w:sz="4" w:space="0" w:color="auto"/>
              <w:bottom w:val="single" w:sz="4" w:space="0" w:color="auto"/>
              <w:right w:val="single" w:sz="4" w:space="0" w:color="auto"/>
            </w:tcBorders>
          </w:tcPr>
          <w:p w14:paraId="2FC70946" w14:textId="77777777" w:rsidR="00BC584B" w:rsidRPr="0004237E" w:rsidRDefault="00BC584B" w:rsidP="000A2486">
            <w:pPr>
              <w:keepNext/>
              <w:rPr>
                <w:rFonts w:ascii="Arial Narrow" w:hAnsi="Arial Narrow"/>
                <w:sz w:val="20"/>
              </w:rPr>
            </w:pPr>
            <w:r w:rsidRPr="0004237E">
              <w:rPr>
                <w:rFonts w:ascii="Arial Narrow" w:hAnsi="Arial Narrow"/>
                <w:sz w:val="20"/>
              </w:rPr>
              <w:t>The condition must be associated with emetogenic cytotoxic chemotherapy being used to treat malignancy,</w:t>
            </w:r>
          </w:p>
          <w:p w14:paraId="01BB8B44" w14:textId="77777777" w:rsidR="00BC584B" w:rsidRPr="0004237E" w:rsidRDefault="00BC584B" w:rsidP="000A2486">
            <w:pPr>
              <w:keepNext/>
              <w:rPr>
                <w:rFonts w:ascii="Arial Narrow" w:hAnsi="Arial Narrow"/>
                <w:sz w:val="20"/>
              </w:rPr>
            </w:pPr>
            <w:r w:rsidRPr="0004237E">
              <w:rPr>
                <w:rFonts w:ascii="Arial Narrow" w:hAnsi="Arial Narrow"/>
                <w:b/>
                <w:bCs/>
                <w:sz w:val="20"/>
              </w:rPr>
              <w:t>AND</w:t>
            </w:r>
          </w:p>
          <w:p w14:paraId="12DA5219" w14:textId="77777777" w:rsidR="00BC584B" w:rsidRPr="0004237E" w:rsidRDefault="00BC584B" w:rsidP="000A2486">
            <w:pPr>
              <w:keepNext/>
              <w:rPr>
                <w:rFonts w:ascii="Arial Narrow" w:hAnsi="Arial Narrow"/>
                <w:sz w:val="20"/>
              </w:rPr>
            </w:pPr>
            <w:r w:rsidRPr="0004237E">
              <w:rPr>
                <w:rFonts w:ascii="Arial Narrow" w:hAnsi="Arial Narrow"/>
                <w:sz w:val="20"/>
              </w:rPr>
              <w:t>The treatment must be in combination with dexamethasone,</w:t>
            </w:r>
          </w:p>
          <w:p w14:paraId="5C8C4ADF" w14:textId="77777777" w:rsidR="00BC584B" w:rsidRPr="0004237E" w:rsidRDefault="00BC584B" w:rsidP="000A2486">
            <w:pPr>
              <w:keepNext/>
              <w:rPr>
                <w:rFonts w:ascii="Arial Narrow" w:hAnsi="Arial Narrow"/>
                <w:sz w:val="20"/>
              </w:rPr>
            </w:pPr>
            <w:r w:rsidRPr="0004237E">
              <w:rPr>
                <w:rFonts w:ascii="Arial Narrow" w:hAnsi="Arial Narrow"/>
                <w:b/>
                <w:bCs/>
                <w:sz w:val="20"/>
              </w:rPr>
              <w:t>AND</w:t>
            </w:r>
          </w:p>
          <w:p w14:paraId="0D2129ED" w14:textId="77777777" w:rsidR="00BC584B" w:rsidRPr="0004237E" w:rsidRDefault="00BC584B" w:rsidP="000A2486">
            <w:pPr>
              <w:keepNext/>
              <w:rPr>
                <w:rFonts w:ascii="Arial Narrow" w:hAnsi="Arial Narrow"/>
                <w:sz w:val="20"/>
              </w:rPr>
            </w:pPr>
            <w:r w:rsidRPr="0004237E">
              <w:rPr>
                <w:rFonts w:ascii="Arial Narrow" w:hAnsi="Arial Narrow"/>
                <w:sz w:val="20"/>
              </w:rPr>
              <w:t>Patient must have had a prior episode of chemotherapy induced nausea or vomiting,</w:t>
            </w:r>
          </w:p>
          <w:p w14:paraId="4C522590" w14:textId="77777777" w:rsidR="00BC584B" w:rsidRPr="0004237E" w:rsidRDefault="00BC584B" w:rsidP="000A2486">
            <w:pPr>
              <w:keepNext/>
              <w:rPr>
                <w:rFonts w:ascii="Arial Narrow" w:hAnsi="Arial Narrow"/>
                <w:sz w:val="20"/>
              </w:rPr>
            </w:pPr>
            <w:r w:rsidRPr="0004237E">
              <w:rPr>
                <w:rFonts w:ascii="Arial Narrow" w:hAnsi="Arial Narrow"/>
                <w:b/>
                <w:bCs/>
                <w:sz w:val="20"/>
              </w:rPr>
              <w:t>AND</w:t>
            </w:r>
          </w:p>
          <w:p w14:paraId="0677F58F" w14:textId="552B7789" w:rsidR="00BC584B" w:rsidRPr="0004237E" w:rsidRDefault="00BC584B" w:rsidP="000A2486">
            <w:pPr>
              <w:keepNext/>
              <w:rPr>
                <w:rFonts w:ascii="Arial Narrow" w:hAnsi="Arial Narrow"/>
                <w:sz w:val="20"/>
              </w:rPr>
            </w:pPr>
            <w:r w:rsidRPr="0004237E">
              <w:rPr>
                <w:rFonts w:ascii="Arial Narrow" w:hAnsi="Arial Narrow"/>
                <w:sz w:val="20"/>
              </w:rPr>
              <w:t xml:space="preserve">Patient must be scheduled to be administered a chemotherapy regimen that includes any 1 of the following intravenous chemotherapy agents: arsenic trioxide; azacitidine; cyclophosphamide at a dose of less than 1500 </w:t>
            </w:r>
            <w:r w:rsidR="009E2338">
              <w:rPr>
                <w:rFonts w:ascii="Arial Narrow" w:hAnsi="Arial Narrow"/>
                <w:sz w:val="20"/>
              </w:rPr>
              <w:t> mg</w:t>
            </w:r>
            <w:r w:rsidRPr="0004237E">
              <w:rPr>
                <w:rFonts w:ascii="Arial Narrow" w:hAnsi="Arial Narrow"/>
                <w:sz w:val="20"/>
              </w:rPr>
              <w:t xml:space="preserve"> per square metre per day; cytarabine at a dose of greater than 1 g per square metre per day; dactinomycin; daunorubicin; doxorubicin; epirubicin; fotemustine; idarubicin; ifosfamide; irinotecan; melphalan; methotrexate at a dose of 250 </w:t>
            </w:r>
            <w:r w:rsidR="009E2338">
              <w:rPr>
                <w:rFonts w:ascii="Arial Narrow" w:hAnsi="Arial Narrow"/>
                <w:sz w:val="20"/>
              </w:rPr>
              <w:t> mg</w:t>
            </w:r>
            <w:r w:rsidRPr="0004237E">
              <w:rPr>
                <w:rFonts w:ascii="Arial Narrow" w:hAnsi="Arial Narrow"/>
                <w:sz w:val="20"/>
              </w:rPr>
              <w:t xml:space="preserve"> to 1 g per square metre</w:t>
            </w:r>
            <w:r>
              <w:rPr>
                <w:rFonts w:ascii="Arial Narrow" w:hAnsi="Arial Narrow"/>
                <w:sz w:val="20"/>
              </w:rPr>
              <w:t xml:space="preserve"> per day</w:t>
            </w:r>
            <w:r w:rsidRPr="0004237E">
              <w:rPr>
                <w:rFonts w:ascii="Arial Narrow" w:hAnsi="Arial Narrow"/>
                <w:sz w:val="20"/>
              </w:rPr>
              <w:t>; raltitrexed.</w:t>
            </w:r>
          </w:p>
        </w:tc>
      </w:tr>
      <w:tr w:rsidR="00BC584B" w:rsidRPr="00E82DB7" w14:paraId="0135B9F2" w14:textId="77777777" w:rsidTr="000A2486">
        <w:trPr>
          <w:cantSplit/>
          <w:trHeight w:val="20"/>
        </w:trPr>
        <w:tc>
          <w:tcPr>
            <w:tcW w:w="1293" w:type="pct"/>
            <w:tcBorders>
              <w:top w:val="single" w:sz="4" w:space="0" w:color="auto"/>
              <w:left w:val="single" w:sz="4" w:space="0" w:color="auto"/>
              <w:bottom w:val="single" w:sz="4" w:space="0" w:color="auto"/>
              <w:right w:val="single" w:sz="4" w:space="0" w:color="auto"/>
            </w:tcBorders>
          </w:tcPr>
          <w:p w14:paraId="77093ACD" w14:textId="77777777" w:rsidR="00BC584B" w:rsidRPr="0004237E" w:rsidRDefault="00BC584B" w:rsidP="000A2486">
            <w:pPr>
              <w:keepNext/>
              <w:rPr>
                <w:rFonts w:ascii="Arial Narrow" w:hAnsi="Arial Narrow"/>
                <w:b/>
                <w:sz w:val="20"/>
              </w:rPr>
            </w:pPr>
            <w:r w:rsidRPr="0004237E">
              <w:rPr>
                <w:rFonts w:ascii="Arial Narrow" w:hAnsi="Arial Narrow"/>
                <w:b/>
                <w:sz w:val="20"/>
              </w:rPr>
              <w:t>Prescribing Instructions</w:t>
            </w:r>
          </w:p>
        </w:tc>
        <w:tc>
          <w:tcPr>
            <w:tcW w:w="3707" w:type="pct"/>
            <w:tcBorders>
              <w:top w:val="single" w:sz="4" w:space="0" w:color="auto"/>
              <w:left w:val="single" w:sz="4" w:space="0" w:color="auto"/>
              <w:bottom w:val="single" w:sz="4" w:space="0" w:color="auto"/>
              <w:right w:val="single" w:sz="4" w:space="0" w:color="auto"/>
            </w:tcBorders>
          </w:tcPr>
          <w:p w14:paraId="3821BBFD" w14:textId="2C68FE88" w:rsidR="00BC584B" w:rsidRPr="0004237E" w:rsidRDefault="00BC584B" w:rsidP="000A2486">
            <w:pPr>
              <w:keepNext/>
              <w:rPr>
                <w:rFonts w:ascii="Arial Narrow" w:hAnsi="Arial Narrow"/>
                <w:sz w:val="20"/>
              </w:rPr>
            </w:pPr>
            <w:r w:rsidRPr="0004237E">
              <w:rPr>
                <w:rFonts w:ascii="Arial Narrow" w:hAnsi="Arial Narrow"/>
                <w:sz w:val="20"/>
              </w:rPr>
              <w:t xml:space="preserve">No more than 1 vial of fosnetupitant 235 </w:t>
            </w:r>
            <w:r w:rsidR="009E2338">
              <w:rPr>
                <w:rFonts w:ascii="Arial Narrow" w:hAnsi="Arial Narrow"/>
                <w:sz w:val="20"/>
              </w:rPr>
              <w:t> mg</w:t>
            </w:r>
            <w:r w:rsidRPr="0004237E">
              <w:rPr>
                <w:rFonts w:ascii="Arial Narrow" w:hAnsi="Arial Narrow"/>
                <w:sz w:val="20"/>
              </w:rPr>
              <w:t xml:space="preserve"> plus palonosetron 250 microgram injection will be authorised per cycle of cytotoxic chemotherapy.</w:t>
            </w:r>
          </w:p>
        </w:tc>
      </w:tr>
    </w:tbl>
    <w:p w14:paraId="052B3503" w14:textId="77777777" w:rsidR="00BC584B" w:rsidRDefault="00BC584B" w:rsidP="00BC584B">
      <w:pPr>
        <w:rPr>
          <w:rFonts w:cs="Calibri"/>
        </w:rPr>
      </w:pPr>
    </w:p>
    <w:p w14:paraId="659D5B20" w14:textId="77777777" w:rsidR="00BC584B" w:rsidRPr="00E34D7A" w:rsidRDefault="00BC584B" w:rsidP="00BC584B">
      <w:pPr>
        <w:pStyle w:val="TableFigureHeading"/>
        <w:rPr>
          <w:snapToGrid w:val="0"/>
        </w:rPr>
      </w:pPr>
      <w:r w:rsidRPr="0004237E">
        <w:rPr>
          <w:snapToGrid w:val="0"/>
        </w:rPr>
        <w:t xml:space="preserve">Proposed Restriction </w:t>
      </w:r>
      <w:r>
        <w:rPr>
          <w:snapToGrid w:val="0"/>
        </w:rPr>
        <w:t>4</w:t>
      </w:r>
      <w:r w:rsidRPr="0004237E">
        <w:rPr>
          <w:snapToGrid w:val="0"/>
        </w:rPr>
        <w:t xml:space="preserve"> – Use in emetogenic chemotherapy</w:t>
      </w:r>
    </w:p>
    <w:tbl>
      <w:tblPr>
        <w:tblW w:w="5000" w:type="pct"/>
        <w:tblLook w:val="0000" w:firstRow="0" w:lastRow="0" w:firstColumn="0" w:lastColumn="0" w:noHBand="0" w:noVBand="0"/>
      </w:tblPr>
      <w:tblGrid>
        <w:gridCol w:w="2332"/>
        <w:gridCol w:w="6685"/>
      </w:tblGrid>
      <w:tr w:rsidR="00BC584B" w:rsidRPr="00E82DB7" w14:paraId="6558DF06" w14:textId="77777777" w:rsidTr="000A2486">
        <w:trPr>
          <w:cantSplit/>
          <w:trHeight w:val="20"/>
        </w:trPr>
        <w:tc>
          <w:tcPr>
            <w:tcW w:w="1293" w:type="pct"/>
            <w:tcBorders>
              <w:top w:val="single" w:sz="4" w:space="0" w:color="auto"/>
              <w:left w:val="single" w:sz="4" w:space="0" w:color="auto"/>
              <w:bottom w:val="single" w:sz="4" w:space="0" w:color="auto"/>
              <w:right w:val="single" w:sz="4" w:space="0" w:color="auto"/>
            </w:tcBorders>
          </w:tcPr>
          <w:p w14:paraId="60BDD850" w14:textId="77777777" w:rsidR="00BC584B" w:rsidRPr="0004237E" w:rsidRDefault="00BC584B" w:rsidP="000A2486">
            <w:pPr>
              <w:keepNext/>
              <w:rPr>
                <w:rFonts w:ascii="Arial Narrow" w:hAnsi="Arial Narrow"/>
                <w:b/>
                <w:sz w:val="20"/>
              </w:rPr>
            </w:pPr>
            <w:r w:rsidRPr="0004237E">
              <w:rPr>
                <w:rFonts w:ascii="Arial Narrow" w:hAnsi="Arial Narrow"/>
                <w:b/>
                <w:sz w:val="20"/>
              </w:rPr>
              <w:t>Category / Program:</w:t>
            </w:r>
          </w:p>
        </w:tc>
        <w:tc>
          <w:tcPr>
            <w:tcW w:w="3707" w:type="pct"/>
            <w:tcBorders>
              <w:top w:val="single" w:sz="4" w:space="0" w:color="auto"/>
              <w:left w:val="single" w:sz="4" w:space="0" w:color="auto"/>
              <w:bottom w:val="single" w:sz="4" w:space="0" w:color="auto"/>
              <w:right w:val="single" w:sz="4" w:space="0" w:color="auto"/>
            </w:tcBorders>
          </w:tcPr>
          <w:p w14:paraId="6E204F0D" w14:textId="77777777" w:rsidR="00BC584B" w:rsidRPr="0004237E" w:rsidRDefault="00BC584B" w:rsidP="000A2486">
            <w:pPr>
              <w:keepNext/>
              <w:rPr>
                <w:rFonts w:ascii="Arial Narrow" w:hAnsi="Arial Narrow"/>
                <w:sz w:val="20"/>
              </w:rPr>
            </w:pPr>
            <w:r w:rsidRPr="0004237E">
              <w:rPr>
                <w:rFonts w:ascii="Arial Narrow" w:hAnsi="Arial Narrow"/>
                <w:sz w:val="20"/>
              </w:rPr>
              <w:t>Section 100 – Efficient Funding of Chemotherapy – Related Benefits</w:t>
            </w:r>
          </w:p>
          <w:p w14:paraId="68858554" w14:textId="77777777" w:rsidR="00BC584B" w:rsidRPr="0004237E" w:rsidRDefault="00BC584B" w:rsidP="000A2486">
            <w:pPr>
              <w:keepNext/>
              <w:rPr>
                <w:rFonts w:ascii="Arial Narrow" w:hAnsi="Arial Narrow"/>
                <w:sz w:val="20"/>
              </w:rPr>
            </w:pPr>
            <w:r w:rsidRPr="0004237E">
              <w:rPr>
                <w:rFonts w:ascii="Arial Narrow" w:hAnsi="Arial Narrow"/>
                <w:sz w:val="20"/>
              </w:rPr>
              <w:t>GENERAL – General Schedule (Code GE)</w:t>
            </w:r>
          </w:p>
        </w:tc>
      </w:tr>
      <w:tr w:rsidR="00BC584B" w:rsidRPr="00E82DB7" w14:paraId="3542ED1D" w14:textId="77777777" w:rsidTr="000A2486">
        <w:trPr>
          <w:cantSplit/>
          <w:trHeight w:val="20"/>
        </w:trPr>
        <w:tc>
          <w:tcPr>
            <w:tcW w:w="1293" w:type="pct"/>
            <w:tcBorders>
              <w:top w:val="single" w:sz="4" w:space="0" w:color="auto"/>
              <w:left w:val="single" w:sz="4" w:space="0" w:color="auto"/>
              <w:bottom w:val="single" w:sz="4" w:space="0" w:color="auto"/>
              <w:right w:val="single" w:sz="4" w:space="0" w:color="auto"/>
            </w:tcBorders>
          </w:tcPr>
          <w:p w14:paraId="1D70DE85" w14:textId="77777777" w:rsidR="00BC584B" w:rsidRPr="0004237E" w:rsidRDefault="00BC584B" w:rsidP="000A2486">
            <w:pPr>
              <w:keepNext/>
              <w:rPr>
                <w:rFonts w:ascii="Arial Narrow" w:hAnsi="Arial Narrow"/>
                <w:b/>
                <w:sz w:val="20"/>
              </w:rPr>
            </w:pPr>
            <w:r w:rsidRPr="0004237E">
              <w:rPr>
                <w:rFonts w:ascii="Arial Narrow" w:hAnsi="Arial Narrow"/>
                <w:b/>
                <w:sz w:val="20"/>
              </w:rPr>
              <w:t>Prescriber type:</w:t>
            </w:r>
          </w:p>
        </w:tc>
        <w:tc>
          <w:tcPr>
            <w:tcW w:w="3707" w:type="pct"/>
            <w:tcBorders>
              <w:top w:val="single" w:sz="4" w:space="0" w:color="auto"/>
              <w:left w:val="single" w:sz="4" w:space="0" w:color="auto"/>
              <w:bottom w:val="single" w:sz="4" w:space="0" w:color="auto"/>
              <w:right w:val="single" w:sz="4" w:space="0" w:color="auto"/>
            </w:tcBorders>
          </w:tcPr>
          <w:p w14:paraId="0E155907" w14:textId="77777777" w:rsidR="00BC584B" w:rsidRPr="0004237E" w:rsidRDefault="00BC584B" w:rsidP="000A2486">
            <w:pPr>
              <w:keepNext/>
              <w:rPr>
                <w:rFonts w:ascii="Arial Narrow" w:hAnsi="Arial Narrow"/>
                <w:sz w:val="20"/>
              </w:rPr>
            </w:pPr>
            <w:r w:rsidRPr="0004237E">
              <w:rPr>
                <w:rFonts w:ascii="Arial Narrow" w:hAnsi="Arial Narrow"/>
                <w:sz w:val="20"/>
              </w:rPr>
              <w:fldChar w:fldCharType="begin">
                <w:ffData>
                  <w:name w:val=""/>
                  <w:enabled/>
                  <w:calcOnExit w:val="0"/>
                  <w:checkBox>
                    <w:sizeAuto/>
                    <w:default w:val="1"/>
                  </w:checkBox>
                </w:ffData>
              </w:fldChar>
            </w:r>
            <w:r w:rsidRPr="0004237E">
              <w:rPr>
                <w:rFonts w:ascii="Arial Narrow" w:hAnsi="Arial Narrow"/>
                <w:sz w:val="20"/>
              </w:rPr>
              <w:instrText xml:space="preserve"> FORMCHECKBOX </w:instrText>
            </w:r>
            <w:r w:rsidR="00775281">
              <w:rPr>
                <w:rFonts w:ascii="Arial Narrow" w:hAnsi="Arial Narrow"/>
                <w:sz w:val="20"/>
              </w:rPr>
            </w:r>
            <w:r w:rsidR="00775281">
              <w:rPr>
                <w:rFonts w:ascii="Arial Narrow" w:hAnsi="Arial Narrow"/>
                <w:sz w:val="20"/>
              </w:rPr>
              <w:fldChar w:fldCharType="separate"/>
            </w:r>
            <w:r w:rsidRPr="0004237E">
              <w:rPr>
                <w:rFonts w:ascii="Arial Narrow" w:hAnsi="Arial Narrow"/>
                <w:sz w:val="20"/>
              </w:rPr>
              <w:fldChar w:fldCharType="end"/>
            </w:r>
            <w:r w:rsidRPr="0004237E">
              <w:rPr>
                <w:rFonts w:ascii="Arial Narrow" w:hAnsi="Arial Narrow"/>
                <w:sz w:val="20"/>
              </w:rPr>
              <w:t xml:space="preserve">Medical Practitioners  </w:t>
            </w:r>
          </w:p>
          <w:p w14:paraId="64052AAC" w14:textId="77777777" w:rsidR="00BC584B" w:rsidRPr="0004237E" w:rsidRDefault="00BC584B" w:rsidP="000A2486">
            <w:pPr>
              <w:keepNext/>
              <w:rPr>
                <w:rFonts w:ascii="Arial Narrow" w:hAnsi="Arial Narrow"/>
                <w:sz w:val="20"/>
              </w:rPr>
            </w:pPr>
            <w:r w:rsidRPr="0004237E">
              <w:rPr>
                <w:rFonts w:ascii="Arial Narrow" w:hAnsi="Arial Narrow"/>
                <w:sz w:val="20"/>
              </w:rPr>
              <w:fldChar w:fldCharType="begin">
                <w:ffData>
                  <w:name w:val=""/>
                  <w:enabled/>
                  <w:calcOnExit w:val="0"/>
                  <w:checkBox>
                    <w:sizeAuto/>
                    <w:default w:val="1"/>
                  </w:checkBox>
                </w:ffData>
              </w:fldChar>
            </w:r>
            <w:r w:rsidRPr="0004237E">
              <w:rPr>
                <w:rFonts w:ascii="Arial Narrow" w:hAnsi="Arial Narrow"/>
                <w:sz w:val="20"/>
              </w:rPr>
              <w:instrText xml:space="preserve"> FORMCHECKBOX </w:instrText>
            </w:r>
            <w:r w:rsidR="00775281">
              <w:rPr>
                <w:rFonts w:ascii="Arial Narrow" w:hAnsi="Arial Narrow"/>
                <w:sz w:val="20"/>
              </w:rPr>
            </w:r>
            <w:r w:rsidR="00775281">
              <w:rPr>
                <w:rFonts w:ascii="Arial Narrow" w:hAnsi="Arial Narrow"/>
                <w:sz w:val="20"/>
              </w:rPr>
              <w:fldChar w:fldCharType="separate"/>
            </w:r>
            <w:r w:rsidRPr="0004237E">
              <w:rPr>
                <w:rFonts w:ascii="Arial Narrow" w:hAnsi="Arial Narrow"/>
                <w:sz w:val="20"/>
              </w:rPr>
              <w:fldChar w:fldCharType="end"/>
            </w:r>
            <w:r w:rsidRPr="0004237E">
              <w:rPr>
                <w:rFonts w:ascii="Arial Narrow" w:hAnsi="Arial Narrow"/>
                <w:sz w:val="20"/>
              </w:rPr>
              <w:t>Nurse practitioners</w:t>
            </w:r>
          </w:p>
        </w:tc>
      </w:tr>
      <w:tr w:rsidR="00BC584B" w:rsidRPr="00E82DB7" w14:paraId="6AA29C6B" w14:textId="77777777" w:rsidTr="000A2486">
        <w:trPr>
          <w:cantSplit/>
          <w:trHeight w:val="20"/>
        </w:trPr>
        <w:tc>
          <w:tcPr>
            <w:tcW w:w="1293" w:type="pct"/>
            <w:tcBorders>
              <w:top w:val="single" w:sz="4" w:space="0" w:color="auto"/>
              <w:left w:val="single" w:sz="4" w:space="0" w:color="auto"/>
              <w:bottom w:val="single" w:sz="4" w:space="0" w:color="auto"/>
              <w:right w:val="single" w:sz="4" w:space="0" w:color="auto"/>
            </w:tcBorders>
          </w:tcPr>
          <w:p w14:paraId="638F4933" w14:textId="77777777" w:rsidR="00BC584B" w:rsidRPr="0004237E" w:rsidRDefault="00BC584B" w:rsidP="000A2486">
            <w:pPr>
              <w:keepNext/>
              <w:rPr>
                <w:rFonts w:ascii="Arial Narrow" w:hAnsi="Arial Narrow"/>
                <w:b/>
                <w:sz w:val="20"/>
              </w:rPr>
            </w:pPr>
            <w:r w:rsidRPr="0004237E">
              <w:rPr>
                <w:rFonts w:ascii="Arial Narrow" w:hAnsi="Arial Narrow"/>
                <w:b/>
                <w:sz w:val="20"/>
              </w:rPr>
              <w:t>PBS Indication:</w:t>
            </w:r>
          </w:p>
        </w:tc>
        <w:tc>
          <w:tcPr>
            <w:tcW w:w="3707" w:type="pct"/>
            <w:tcBorders>
              <w:top w:val="single" w:sz="4" w:space="0" w:color="auto"/>
              <w:left w:val="single" w:sz="4" w:space="0" w:color="auto"/>
              <w:bottom w:val="single" w:sz="4" w:space="0" w:color="auto"/>
              <w:right w:val="single" w:sz="4" w:space="0" w:color="auto"/>
            </w:tcBorders>
          </w:tcPr>
          <w:p w14:paraId="0AF8174D" w14:textId="77777777" w:rsidR="00BC584B" w:rsidRPr="0004237E" w:rsidRDefault="00BC584B" w:rsidP="000A2486">
            <w:pPr>
              <w:keepNext/>
              <w:rPr>
                <w:rFonts w:ascii="Arial Narrow" w:hAnsi="Arial Narrow"/>
                <w:sz w:val="20"/>
              </w:rPr>
            </w:pPr>
            <w:r w:rsidRPr="0004237E">
              <w:rPr>
                <w:rFonts w:ascii="Arial Narrow" w:hAnsi="Arial Narrow"/>
                <w:sz w:val="20"/>
              </w:rPr>
              <w:t>Nausea and vomiting</w:t>
            </w:r>
          </w:p>
        </w:tc>
      </w:tr>
      <w:tr w:rsidR="00BC584B" w:rsidRPr="004B566B" w14:paraId="2C09A8BF" w14:textId="77777777" w:rsidTr="000A2486">
        <w:trPr>
          <w:cantSplit/>
          <w:trHeight w:val="20"/>
        </w:trPr>
        <w:tc>
          <w:tcPr>
            <w:tcW w:w="1293" w:type="pct"/>
            <w:tcBorders>
              <w:top w:val="single" w:sz="4" w:space="0" w:color="auto"/>
              <w:left w:val="single" w:sz="4" w:space="0" w:color="auto"/>
              <w:bottom w:val="single" w:sz="4" w:space="0" w:color="auto"/>
              <w:right w:val="single" w:sz="4" w:space="0" w:color="auto"/>
            </w:tcBorders>
          </w:tcPr>
          <w:p w14:paraId="7B579E97" w14:textId="77777777" w:rsidR="00BC584B" w:rsidRPr="0004237E" w:rsidRDefault="00BC584B" w:rsidP="000A2486">
            <w:pPr>
              <w:keepNext/>
              <w:rPr>
                <w:rFonts w:ascii="Arial Narrow" w:hAnsi="Arial Narrow"/>
                <w:b/>
                <w:sz w:val="20"/>
              </w:rPr>
            </w:pPr>
            <w:r w:rsidRPr="0004237E">
              <w:rPr>
                <w:rFonts w:ascii="Arial Narrow" w:hAnsi="Arial Narrow"/>
                <w:b/>
                <w:sz w:val="20"/>
              </w:rPr>
              <w:t>Restriction Level / Method:</w:t>
            </w:r>
          </w:p>
        </w:tc>
        <w:tc>
          <w:tcPr>
            <w:tcW w:w="3707" w:type="pct"/>
            <w:tcBorders>
              <w:top w:val="single" w:sz="4" w:space="0" w:color="auto"/>
              <w:left w:val="single" w:sz="4" w:space="0" w:color="auto"/>
              <w:bottom w:val="single" w:sz="4" w:space="0" w:color="auto"/>
              <w:right w:val="single" w:sz="4" w:space="0" w:color="auto"/>
            </w:tcBorders>
          </w:tcPr>
          <w:p w14:paraId="6B6C125F" w14:textId="77777777" w:rsidR="00BC584B" w:rsidRPr="0004237E" w:rsidRDefault="00BC584B" w:rsidP="000A2486">
            <w:pPr>
              <w:keepNext/>
              <w:rPr>
                <w:rFonts w:ascii="Arial Narrow" w:hAnsi="Arial Narrow"/>
                <w:sz w:val="20"/>
              </w:rPr>
            </w:pPr>
            <w:r w:rsidRPr="0004237E">
              <w:rPr>
                <w:rFonts w:ascii="Arial Narrow" w:hAnsi="Arial Narrow"/>
                <w:sz w:val="20"/>
              </w:rPr>
              <w:fldChar w:fldCharType="begin">
                <w:ffData>
                  <w:name w:val=""/>
                  <w:enabled/>
                  <w:calcOnExit w:val="0"/>
                  <w:checkBox>
                    <w:sizeAuto/>
                    <w:default w:val="1"/>
                  </w:checkBox>
                </w:ffData>
              </w:fldChar>
            </w:r>
            <w:r w:rsidRPr="0004237E">
              <w:rPr>
                <w:rFonts w:ascii="Arial Narrow" w:hAnsi="Arial Narrow"/>
                <w:sz w:val="20"/>
              </w:rPr>
              <w:instrText xml:space="preserve"> FORMCHECKBOX </w:instrText>
            </w:r>
            <w:r w:rsidR="00775281">
              <w:rPr>
                <w:rFonts w:ascii="Arial Narrow" w:hAnsi="Arial Narrow"/>
                <w:sz w:val="20"/>
              </w:rPr>
            </w:r>
            <w:r w:rsidR="00775281">
              <w:rPr>
                <w:rFonts w:ascii="Arial Narrow" w:hAnsi="Arial Narrow"/>
                <w:sz w:val="20"/>
              </w:rPr>
              <w:fldChar w:fldCharType="separate"/>
            </w:r>
            <w:r w:rsidRPr="0004237E">
              <w:rPr>
                <w:rFonts w:ascii="Arial Narrow" w:hAnsi="Arial Narrow"/>
                <w:sz w:val="20"/>
              </w:rPr>
              <w:fldChar w:fldCharType="end"/>
            </w:r>
            <w:r w:rsidRPr="0004237E">
              <w:rPr>
                <w:rFonts w:ascii="Arial Narrow" w:hAnsi="Arial Narrow"/>
                <w:sz w:val="20"/>
              </w:rPr>
              <w:t>Authority Required (STREAMLINED)</w:t>
            </w:r>
          </w:p>
        </w:tc>
      </w:tr>
      <w:tr w:rsidR="00BC584B" w:rsidRPr="00E82DB7" w14:paraId="5862C361" w14:textId="77777777" w:rsidTr="000A2486">
        <w:trPr>
          <w:cantSplit/>
          <w:trHeight w:val="20"/>
        </w:trPr>
        <w:tc>
          <w:tcPr>
            <w:tcW w:w="1293" w:type="pct"/>
            <w:tcBorders>
              <w:top w:val="single" w:sz="4" w:space="0" w:color="auto"/>
              <w:left w:val="single" w:sz="4" w:space="0" w:color="auto"/>
              <w:bottom w:val="single" w:sz="4" w:space="0" w:color="auto"/>
              <w:right w:val="single" w:sz="4" w:space="0" w:color="auto"/>
            </w:tcBorders>
          </w:tcPr>
          <w:p w14:paraId="099B5FF6" w14:textId="77777777" w:rsidR="00BC584B" w:rsidRPr="0004237E" w:rsidRDefault="00BC584B" w:rsidP="000A2486">
            <w:pPr>
              <w:keepNext/>
              <w:rPr>
                <w:rFonts w:ascii="Arial Narrow" w:hAnsi="Arial Narrow"/>
                <w:b/>
                <w:sz w:val="20"/>
              </w:rPr>
            </w:pPr>
            <w:r w:rsidRPr="0004237E">
              <w:rPr>
                <w:rFonts w:ascii="Arial Narrow" w:hAnsi="Arial Narrow"/>
                <w:b/>
                <w:sz w:val="20"/>
              </w:rPr>
              <w:t>Clinical criteria:</w:t>
            </w:r>
          </w:p>
          <w:p w14:paraId="28BD192A" w14:textId="77777777" w:rsidR="00BC584B" w:rsidRPr="0004237E" w:rsidRDefault="00BC584B" w:rsidP="000A2486">
            <w:pPr>
              <w:keepNext/>
              <w:rPr>
                <w:rFonts w:ascii="Arial Narrow" w:hAnsi="Arial Narrow"/>
                <w:b/>
                <w:sz w:val="20"/>
              </w:rPr>
            </w:pPr>
          </w:p>
        </w:tc>
        <w:tc>
          <w:tcPr>
            <w:tcW w:w="3707" w:type="pct"/>
            <w:tcBorders>
              <w:top w:val="single" w:sz="4" w:space="0" w:color="auto"/>
              <w:left w:val="single" w:sz="4" w:space="0" w:color="auto"/>
              <w:bottom w:val="single" w:sz="4" w:space="0" w:color="auto"/>
              <w:right w:val="single" w:sz="4" w:space="0" w:color="auto"/>
            </w:tcBorders>
          </w:tcPr>
          <w:p w14:paraId="797B2DF5" w14:textId="77777777" w:rsidR="00BC584B" w:rsidRPr="00B51DD1" w:rsidRDefault="00BC584B" w:rsidP="000A2486">
            <w:pPr>
              <w:keepNext/>
              <w:rPr>
                <w:rFonts w:ascii="Arial Narrow" w:hAnsi="Arial Narrow"/>
                <w:sz w:val="20"/>
                <w:lang w:val="en-GB"/>
              </w:rPr>
            </w:pPr>
            <w:r w:rsidRPr="00B51DD1">
              <w:rPr>
                <w:rFonts w:ascii="Arial Narrow" w:hAnsi="Arial Narrow"/>
                <w:sz w:val="20"/>
                <w:lang w:val="en-GB"/>
              </w:rPr>
              <w:t>The condition must be associated with cytotoxic chemotherapy being used to treat malignancy,</w:t>
            </w:r>
          </w:p>
          <w:p w14:paraId="059EF7B5" w14:textId="77777777" w:rsidR="00BC584B" w:rsidRPr="00B51DD1" w:rsidRDefault="00BC584B" w:rsidP="000A2486">
            <w:pPr>
              <w:keepNext/>
              <w:rPr>
                <w:rFonts w:ascii="Arial Narrow" w:hAnsi="Arial Narrow"/>
                <w:b/>
                <w:bCs/>
                <w:sz w:val="20"/>
                <w:lang w:val="en-GB"/>
              </w:rPr>
            </w:pPr>
            <w:r w:rsidRPr="00B51DD1">
              <w:rPr>
                <w:rFonts w:ascii="Arial Narrow" w:hAnsi="Arial Narrow"/>
                <w:b/>
                <w:bCs/>
                <w:sz w:val="20"/>
                <w:lang w:val="en-GB"/>
              </w:rPr>
              <w:t>AND</w:t>
            </w:r>
          </w:p>
          <w:p w14:paraId="3E919D37" w14:textId="77777777" w:rsidR="00BC584B" w:rsidRPr="00B51DD1" w:rsidRDefault="00BC584B" w:rsidP="000A2486">
            <w:pPr>
              <w:keepNext/>
              <w:rPr>
                <w:rFonts w:ascii="Arial Narrow" w:hAnsi="Arial Narrow"/>
                <w:sz w:val="20"/>
                <w:lang w:val="en-GB"/>
              </w:rPr>
            </w:pPr>
            <w:r w:rsidRPr="00B51DD1">
              <w:rPr>
                <w:rFonts w:ascii="Arial Narrow" w:hAnsi="Arial Narrow"/>
                <w:sz w:val="20"/>
                <w:lang w:val="en-GB"/>
              </w:rPr>
              <w:t>The treatment must be in combination with dexamethasone,</w:t>
            </w:r>
          </w:p>
          <w:p w14:paraId="7349253D" w14:textId="77777777" w:rsidR="00BC584B" w:rsidRPr="00B51DD1" w:rsidRDefault="00BC584B" w:rsidP="000A2486">
            <w:pPr>
              <w:keepNext/>
              <w:rPr>
                <w:rFonts w:ascii="Arial Narrow" w:hAnsi="Arial Narrow"/>
                <w:b/>
                <w:bCs/>
                <w:sz w:val="20"/>
                <w:lang w:val="en-GB"/>
              </w:rPr>
            </w:pPr>
            <w:r w:rsidRPr="00B51DD1">
              <w:rPr>
                <w:rFonts w:ascii="Arial Narrow" w:hAnsi="Arial Narrow"/>
                <w:b/>
                <w:bCs/>
                <w:sz w:val="20"/>
                <w:lang w:val="en-GB"/>
              </w:rPr>
              <w:t>AND</w:t>
            </w:r>
          </w:p>
          <w:p w14:paraId="58268254" w14:textId="77777777" w:rsidR="00BC584B" w:rsidRPr="0004237E" w:rsidRDefault="00BC584B" w:rsidP="000A2486">
            <w:pPr>
              <w:keepNext/>
              <w:rPr>
                <w:rFonts w:ascii="Arial Narrow" w:hAnsi="Arial Narrow"/>
                <w:sz w:val="20"/>
              </w:rPr>
            </w:pPr>
            <w:r w:rsidRPr="00B51DD1">
              <w:rPr>
                <w:rFonts w:ascii="Arial Narrow" w:hAnsi="Arial Narrow"/>
                <w:sz w:val="20"/>
              </w:rPr>
              <w:t>Patient must be scheduled to be administered a chemotherapy regimen that includes either carboplatin or oxaliplatin</w:t>
            </w:r>
            <w:r w:rsidRPr="0004237E">
              <w:rPr>
                <w:rFonts w:ascii="Arial Narrow" w:hAnsi="Arial Narrow"/>
                <w:sz w:val="20"/>
              </w:rPr>
              <w:t>.</w:t>
            </w:r>
          </w:p>
        </w:tc>
      </w:tr>
      <w:tr w:rsidR="00BC584B" w:rsidRPr="00E82DB7" w14:paraId="1FC34B1B" w14:textId="77777777" w:rsidTr="000A2486">
        <w:trPr>
          <w:cantSplit/>
          <w:trHeight w:val="20"/>
        </w:trPr>
        <w:tc>
          <w:tcPr>
            <w:tcW w:w="1293" w:type="pct"/>
            <w:tcBorders>
              <w:top w:val="single" w:sz="4" w:space="0" w:color="auto"/>
              <w:left w:val="single" w:sz="4" w:space="0" w:color="auto"/>
              <w:bottom w:val="single" w:sz="4" w:space="0" w:color="auto"/>
              <w:right w:val="single" w:sz="4" w:space="0" w:color="auto"/>
            </w:tcBorders>
          </w:tcPr>
          <w:p w14:paraId="5FEE4B89" w14:textId="77777777" w:rsidR="00BC584B" w:rsidRPr="0004237E" w:rsidRDefault="00BC584B" w:rsidP="000A2486">
            <w:pPr>
              <w:keepNext/>
              <w:rPr>
                <w:rFonts w:ascii="Arial Narrow" w:hAnsi="Arial Narrow"/>
                <w:b/>
                <w:sz w:val="20"/>
              </w:rPr>
            </w:pPr>
            <w:r w:rsidRPr="0004237E">
              <w:rPr>
                <w:rFonts w:ascii="Arial Narrow" w:hAnsi="Arial Narrow"/>
                <w:b/>
                <w:sz w:val="20"/>
              </w:rPr>
              <w:t>Prescribing Instructions</w:t>
            </w:r>
          </w:p>
        </w:tc>
        <w:tc>
          <w:tcPr>
            <w:tcW w:w="3707" w:type="pct"/>
            <w:tcBorders>
              <w:top w:val="single" w:sz="4" w:space="0" w:color="auto"/>
              <w:left w:val="single" w:sz="4" w:space="0" w:color="auto"/>
              <w:bottom w:val="single" w:sz="4" w:space="0" w:color="auto"/>
              <w:right w:val="single" w:sz="4" w:space="0" w:color="auto"/>
            </w:tcBorders>
          </w:tcPr>
          <w:p w14:paraId="53D4A4CE" w14:textId="465C3C87" w:rsidR="00BC584B" w:rsidRPr="0004237E" w:rsidRDefault="00BC584B" w:rsidP="000A2486">
            <w:pPr>
              <w:keepNext/>
              <w:rPr>
                <w:rFonts w:ascii="Arial Narrow" w:hAnsi="Arial Narrow"/>
                <w:sz w:val="20"/>
              </w:rPr>
            </w:pPr>
            <w:r w:rsidRPr="0004237E">
              <w:rPr>
                <w:rFonts w:ascii="Arial Narrow" w:hAnsi="Arial Narrow"/>
                <w:sz w:val="20"/>
              </w:rPr>
              <w:t xml:space="preserve">No more than 1 vial of fosnetupitant 235 </w:t>
            </w:r>
            <w:r w:rsidR="009E2338">
              <w:rPr>
                <w:rFonts w:ascii="Arial Narrow" w:hAnsi="Arial Narrow"/>
                <w:sz w:val="20"/>
              </w:rPr>
              <w:t> mg</w:t>
            </w:r>
            <w:r w:rsidRPr="0004237E">
              <w:rPr>
                <w:rFonts w:ascii="Arial Narrow" w:hAnsi="Arial Narrow"/>
                <w:sz w:val="20"/>
              </w:rPr>
              <w:t xml:space="preserve"> plus palonosetron 250 microgram injection will be authorised per cycle of cytotoxic chemotherapy.</w:t>
            </w:r>
          </w:p>
        </w:tc>
      </w:tr>
    </w:tbl>
    <w:p w14:paraId="2224FD3D" w14:textId="77777777" w:rsidR="00BC584B" w:rsidRPr="00A548DE" w:rsidRDefault="00BC584B" w:rsidP="004B1CB4">
      <w:pPr>
        <w:rPr>
          <w:iCs/>
        </w:rPr>
      </w:pPr>
    </w:p>
    <w:p w14:paraId="3B8DD830" w14:textId="77777777" w:rsidR="00BC584B" w:rsidRPr="0002340D" w:rsidRDefault="00BC584B" w:rsidP="00D30D5B">
      <w:pPr>
        <w:pStyle w:val="ExecSumBodyText"/>
        <w:numPr>
          <w:ilvl w:val="1"/>
          <w:numId w:val="1"/>
        </w:numPr>
        <w:rPr>
          <w:iCs/>
        </w:rPr>
      </w:pPr>
      <w:r w:rsidRPr="0002340D">
        <w:rPr>
          <w:iCs/>
        </w:rPr>
        <w:t>The proposed restrictions are similar to those proposed in the July 2020 NEPA IV submission except that:</w:t>
      </w:r>
    </w:p>
    <w:p w14:paraId="4BAB8DC9" w14:textId="77777777" w:rsidR="00BC584B" w:rsidRPr="0002340D" w:rsidRDefault="00A228C7" w:rsidP="009D322D">
      <w:pPr>
        <w:pStyle w:val="ExecSumBodyText"/>
        <w:numPr>
          <w:ilvl w:val="0"/>
          <w:numId w:val="10"/>
        </w:numPr>
        <w:ind w:left="1080"/>
        <w:rPr>
          <w:iCs/>
        </w:rPr>
      </w:pPr>
      <w:r w:rsidRPr="0002340D">
        <w:rPr>
          <w:iCs/>
        </w:rPr>
        <w:t xml:space="preserve">For </w:t>
      </w:r>
      <w:r w:rsidR="00BC584B" w:rsidRPr="0002340D">
        <w:rPr>
          <w:iCs/>
        </w:rPr>
        <w:t>Restrictions 3 and 4</w:t>
      </w:r>
      <w:r w:rsidRPr="0002340D">
        <w:rPr>
          <w:iCs/>
        </w:rPr>
        <w:t xml:space="preserve">, there was no specification that </w:t>
      </w:r>
      <w:r w:rsidR="00BC584B" w:rsidRPr="0002340D">
        <w:rPr>
          <w:iCs/>
        </w:rPr>
        <w:t xml:space="preserve">the chemotherapy regimens </w:t>
      </w:r>
      <w:r w:rsidRPr="0002340D">
        <w:rPr>
          <w:iCs/>
        </w:rPr>
        <w:t xml:space="preserve">should be </w:t>
      </w:r>
      <w:r w:rsidR="00BC584B" w:rsidRPr="0002340D">
        <w:rPr>
          <w:iCs/>
        </w:rPr>
        <w:t>moderately emetogenic</w:t>
      </w:r>
      <w:r w:rsidRPr="0002340D">
        <w:rPr>
          <w:iCs/>
        </w:rPr>
        <w:t>; and</w:t>
      </w:r>
    </w:p>
    <w:p w14:paraId="0F6B3250" w14:textId="087AF529" w:rsidR="00BC584B" w:rsidRPr="0002340D" w:rsidRDefault="000F13F9" w:rsidP="009D322D">
      <w:pPr>
        <w:pStyle w:val="ExecSumBodyText"/>
        <w:numPr>
          <w:ilvl w:val="0"/>
          <w:numId w:val="10"/>
        </w:numPr>
        <w:ind w:left="1080"/>
        <w:rPr>
          <w:iCs/>
        </w:rPr>
      </w:pPr>
      <w:r>
        <w:rPr>
          <w:iCs/>
        </w:rPr>
        <w:t>Removal of</w:t>
      </w:r>
      <w:r w:rsidRPr="0002340D">
        <w:rPr>
          <w:iCs/>
        </w:rPr>
        <w:t xml:space="preserve"> </w:t>
      </w:r>
      <w:r w:rsidR="00BC584B" w:rsidRPr="0002340D">
        <w:rPr>
          <w:iCs/>
        </w:rPr>
        <w:t xml:space="preserve">administrative advice </w:t>
      </w:r>
      <w:r w:rsidR="008D0FE4" w:rsidRPr="0002340D">
        <w:rPr>
          <w:iCs/>
        </w:rPr>
        <w:t xml:space="preserve">which recommends </w:t>
      </w:r>
      <w:r w:rsidR="00BC584B" w:rsidRPr="0002340D">
        <w:rPr>
          <w:iCs/>
        </w:rPr>
        <w:t>that i) the drug should not be PBS-subsidised for nausea and vomiting associated with radiotherapy being used to treat malignancy, and ii) no increase in the maximum quantity</w:t>
      </w:r>
      <w:r w:rsidR="00A228C7" w:rsidRPr="0002340D">
        <w:rPr>
          <w:iCs/>
        </w:rPr>
        <w:t>/</w:t>
      </w:r>
      <w:r w:rsidR="00BC584B" w:rsidRPr="0002340D">
        <w:rPr>
          <w:iCs/>
        </w:rPr>
        <w:t xml:space="preserve">number of units </w:t>
      </w:r>
      <w:r w:rsidR="00A228C7" w:rsidRPr="0002340D">
        <w:rPr>
          <w:iCs/>
        </w:rPr>
        <w:t xml:space="preserve">and the </w:t>
      </w:r>
      <w:r w:rsidR="00BC584B" w:rsidRPr="0002340D">
        <w:rPr>
          <w:iCs/>
        </w:rPr>
        <w:t>maximum number of repeats</w:t>
      </w:r>
      <w:r w:rsidR="00A228C7" w:rsidRPr="0002340D">
        <w:rPr>
          <w:iCs/>
        </w:rPr>
        <w:t xml:space="preserve"> will be authorised.</w:t>
      </w:r>
    </w:p>
    <w:p w14:paraId="1E75D5D2" w14:textId="3726EBED" w:rsidR="00A228C7" w:rsidRPr="0002340D" w:rsidRDefault="00A228C7" w:rsidP="00A228C7">
      <w:pPr>
        <w:pStyle w:val="ExecSumBodyText"/>
        <w:numPr>
          <w:ilvl w:val="1"/>
          <w:numId w:val="1"/>
        </w:numPr>
        <w:rPr>
          <w:iCs/>
        </w:rPr>
      </w:pPr>
      <w:r w:rsidRPr="0002340D">
        <w:rPr>
          <w:iCs/>
        </w:rPr>
        <w:t>The maximum quantity and number of repeats</w:t>
      </w:r>
      <w:r w:rsidR="00444C86" w:rsidRPr="0002340D">
        <w:rPr>
          <w:iCs/>
        </w:rPr>
        <w:t>, as well as the prescribing instruction limiting quantities to 1 vial per chemotherapy cycle,</w:t>
      </w:r>
      <w:r w:rsidRPr="0002340D">
        <w:rPr>
          <w:iCs/>
        </w:rPr>
        <w:t xml:space="preserve"> are consistent with those in the previous NEPA IV submission and the current restriction for </w:t>
      </w:r>
      <w:r w:rsidR="00372438" w:rsidRPr="0002340D">
        <w:rPr>
          <w:iCs/>
        </w:rPr>
        <w:t>Emend</w:t>
      </w:r>
      <w:r w:rsidRPr="0002340D">
        <w:rPr>
          <w:iCs/>
        </w:rPr>
        <w:t xml:space="preserve"> IV.</w:t>
      </w:r>
    </w:p>
    <w:p w14:paraId="299899F4" w14:textId="43C995A7" w:rsidR="00A228C7" w:rsidRDefault="00A228C7" w:rsidP="00A228C7">
      <w:pPr>
        <w:pStyle w:val="ExecSumBodyText"/>
        <w:numPr>
          <w:ilvl w:val="1"/>
          <w:numId w:val="1"/>
        </w:numPr>
        <w:rPr>
          <w:iCs/>
        </w:rPr>
      </w:pPr>
      <w:r w:rsidRPr="0002340D">
        <w:rPr>
          <w:iCs/>
        </w:rPr>
        <w:t xml:space="preserve">The requested price is higher than </w:t>
      </w:r>
      <w:r w:rsidR="00C21375" w:rsidRPr="0002340D">
        <w:rPr>
          <w:iCs/>
        </w:rPr>
        <w:t xml:space="preserve">i) </w:t>
      </w:r>
      <w:r w:rsidRPr="0002340D">
        <w:rPr>
          <w:iCs/>
        </w:rPr>
        <w:t xml:space="preserve">that proposed in the </w:t>
      </w:r>
      <w:r w:rsidR="00C21375" w:rsidRPr="0002340D">
        <w:rPr>
          <w:iCs/>
        </w:rPr>
        <w:t xml:space="preserve">previous July 2020 PBAC consideration of NEPA IV, and ii) that proposed in the November 2016 PBAC consideration of NEPA. Refer to </w:t>
      </w:r>
      <w:r w:rsidR="00C21375" w:rsidRPr="0002340D">
        <w:rPr>
          <w:iCs/>
        </w:rPr>
        <w:fldChar w:fldCharType="begin"/>
      </w:r>
      <w:r w:rsidR="00C21375" w:rsidRPr="0002340D">
        <w:rPr>
          <w:iCs/>
        </w:rPr>
        <w:instrText xml:space="preserve"> REF _Ref122531195 \h  \* MERGEFORMAT </w:instrText>
      </w:r>
      <w:r w:rsidR="00C21375" w:rsidRPr="0002340D">
        <w:rPr>
          <w:iCs/>
        </w:rPr>
      </w:r>
      <w:r w:rsidR="00C21375" w:rsidRPr="0002340D">
        <w:rPr>
          <w:iCs/>
        </w:rPr>
        <w:fldChar w:fldCharType="separate"/>
      </w:r>
      <w:r w:rsidR="00775281" w:rsidRPr="00775281">
        <w:rPr>
          <w:iCs/>
        </w:rPr>
        <w:t xml:space="preserve">Table </w:t>
      </w:r>
      <w:r w:rsidR="00775281" w:rsidRPr="00775281">
        <w:rPr>
          <w:iCs/>
          <w:noProof/>
        </w:rPr>
        <w:t>2</w:t>
      </w:r>
      <w:r w:rsidR="00C21375" w:rsidRPr="0002340D">
        <w:rPr>
          <w:iCs/>
        </w:rPr>
        <w:fldChar w:fldCharType="end"/>
      </w:r>
      <w:r w:rsidR="00C21375" w:rsidRPr="0002340D">
        <w:rPr>
          <w:iCs/>
        </w:rPr>
        <w:t>.</w:t>
      </w:r>
    </w:p>
    <w:p w14:paraId="0B90DD08" w14:textId="7511E5A8" w:rsidR="00537FEB" w:rsidRDefault="00537FEB" w:rsidP="00A228C7">
      <w:pPr>
        <w:pStyle w:val="ExecSumBodyText"/>
        <w:numPr>
          <w:ilvl w:val="1"/>
          <w:numId w:val="1"/>
        </w:numPr>
        <w:rPr>
          <w:iCs/>
        </w:rPr>
      </w:pPr>
      <w:r w:rsidRPr="00A548DE">
        <w:rPr>
          <w:iCs/>
        </w:rPr>
        <w:t>The Pre-Sub-Committee Response</w:t>
      </w:r>
      <w:r w:rsidR="00F12A18" w:rsidRPr="00A548DE">
        <w:rPr>
          <w:iCs/>
        </w:rPr>
        <w:t xml:space="preserve"> (PSCR) </w:t>
      </w:r>
      <w:r w:rsidR="00383A9B">
        <w:rPr>
          <w:iCs/>
        </w:rPr>
        <w:t xml:space="preserve">and pre-PBAC response </w:t>
      </w:r>
      <w:r w:rsidRPr="00A548DE">
        <w:rPr>
          <w:iCs/>
        </w:rPr>
        <w:t xml:space="preserve">advised the sponsor was amenable to changes to the requested listing to restrict NEPA IV to patients who are unsuitable for oral anti-emetics. </w:t>
      </w:r>
    </w:p>
    <w:p w14:paraId="506DC469" w14:textId="77777777" w:rsidR="00A548DE" w:rsidRPr="00C33D30" w:rsidRDefault="00A548DE" w:rsidP="00A548DE">
      <w:pPr>
        <w:ind w:firstLine="709"/>
        <w:rPr>
          <w:rFonts w:asciiTheme="minorHAnsi" w:hAnsiTheme="minorHAnsi"/>
          <w:i/>
        </w:rPr>
      </w:pPr>
      <w:r w:rsidRPr="00C33D30">
        <w:rPr>
          <w:rFonts w:asciiTheme="minorHAnsi" w:hAnsiTheme="minorHAnsi"/>
          <w:i/>
        </w:rPr>
        <w:t>For more detail on PBAC’s view, see section 7 PBAC outcome.</w:t>
      </w:r>
    </w:p>
    <w:p w14:paraId="5E56F61D" w14:textId="77777777" w:rsidR="00B50DB8" w:rsidRPr="00C21375" w:rsidDel="00195452" w:rsidRDefault="00203181" w:rsidP="004E18E9">
      <w:pPr>
        <w:pStyle w:val="2-SectionHeading"/>
      </w:pPr>
      <w:bookmarkStart w:id="14" w:name="_Toc124841993"/>
      <w:r w:rsidRPr="00C21375" w:rsidDel="00195452">
        <w:t xml:space="preserve">Population and </w:t>
      </w:r>
      <w:r w:rsidR="008E0D3C" w:rsidRPr="00C21375" w:rsidDel="00195452">
        <w:t>d</w:t>
      </w:r>
      <w:r w:rsidRPr="00C21375" w:rsidDel="00195452">
        <w:t>isease</w:t>
      </w:r>
      <w:bookmarkEnd w:id="14"/>
    </w:p>
    <w:p w14:paraId="492C9385" w14:textId="77777777" w:rsidR="00C21375" w:rsidRPr="00C21375" w:rsidRDefault="00653509" w:rsidP="004E18E9">
      <w:pPr>
        <w:pStyle w:val="3-BodyText"/>
      </w:pPr>
      <w:r w:rsidRPr="00653509">
        <w:t xml:space="preserve">Chemotherapy-induced nausea and vomiting </w:t>
      </w:r>
      <w:r>
        <w:t>(</w:t>
      </w:r>
      <w:r w:rsidR="00C21375" w:rsidRPr="00C21375">
        <w:t>CINV</w:t>
      </w:r>
      <w:r>
        <w:t>)</w:t>
      </w:r>
      <w:r>
        <w:rPr>
          <w:rStyle w:val="FootnoteReference"/>
        </w:rPr>
        <w:footnoteReference w:id="1"/>
      </w:r>
      <w:r w:rsidR="00C21375" w:rsidRPr="00C21375">
        <w:t xml:space="preserve"> can significantly affect a patient’s quality of life (QoL), leading to poor compliance with further chemotherapy treatment.</w:t>
      </w:r>
    </w:p>
    <w:p w14:paraId="4E243F1D" w14:textId="77777777" w:rsidR="00653509" w:rsidRDefault="00653509" w:rsidP="004E18E9">
      <w:pPr>
        <w:pStyle w:val="3-BodyText"/>
      </w:pPr>
      <w:r w:rsidRPr="00653509">
        <w:t>Acute-onset nausea and/or vomiting usually occurs within a few minutes to several hours after drug administration and commonly resolves within the first 24 hours.</w:t>
      </w:r>
      <w:r w:rsidRPr="00653509">
        <w:rPr>
          <w:rFonts w:ascii="Calibri" w:hAnsi="Calibri"/>
          <w:snapToGrid/>
        </w:rPr>
        <w:t xml:space="preserve"> </w:t>
      </w:r>
      <w:r w:rsidRPr="00653509">
        <w:t>Delayed-onset nausea and/or vomiting develops in patients more than 24 hours after chemotherapy is administered and commonly occurs when cisplatin, carboplatin, cyclophosphamide, and/or doxorubicin are used</w:t>
      </w:r>
      <w:r>
        <w:t>.</w:t>
      </w:r>
    </w:p>
    <w:p w14:paraId="5F9627A8" w14:textId="361C7A75" w:rsidR="00C21375" w:rsidRPr="00C21375" w:rsidRDefault="00653509" w:rsidP="004E18E9">
      <w:pPr>
        <w:pStyle w:val="3-BodyText"/>
      </w:pPr>
      <w:r w:rsidRPr="00653509">
        <w:t xml:space="preserve">Primary prophylaxis refers to not having had a prior episode of CINV and secondary prophylaxis refers to having had a prior episode of CINV (also referred to as refractory CINV). </w:t>
      </w:r>
      <w:r w:rsidR="000A2486">
        <w:t>B</w:t>
      </w:r>
      <w:r w:rsidRPr="00653509">
        <w:t>reakthrough CINV refers to CINV which occurs despite prophylaxis</w:t>
      </w:r>
      <w:r>
        <w:t>.</w:t>
      </w:r>
    </w:p>
    <w:p w14:paraId="1E7C35FE" w14:textId="6B35A2DC" w:rsidR="00653509" w:rsidRPr="00653509" w:rsidRDefault="00653509" w:rsidP="00653509">
      <w:pPr>
        <w:pStyle w:val="3-BodyText"/>
        <w:spacing w:after="0"/>
      </w:pPr>
      <w:r>
        <w:t xml:space="preserve">Australian </w:t>
      </w:r>
      <w:r w:rsidRPr="00653509">
        <w:t xml:space="preserve">eviQ </w:t>
      </w:r>
      <w:r>
        <w:t>g</w:t>
      </w:r>
      <w:r w:rsidRPr="00653509">
        <w:t>uidelines</w:t>
      </w:r>
      <w:r>
        <w:rPr>
          <w:rStyle w:val="FootnoteReference"/>
        </w:rPr>
        <w:footnoteReference w:id="2"/>
      </w:r>
      <w:r w:rsidRPr="00653509">
        <w:t xml:space="preserve"> categorise the emetogenic potential of chemotherapy as follows:</w:t>
      </w:r>
    </w:p>
    <w:p w14:paraId="1E302293" w14:textId="77777777" w:rsidR="00653509" w:rsidRDefault="00653509" w:rsidP="009D322D">
      <w:pPr>
        <w:pStyle w:val="3-BodyText"/>
        <w:numPr>
          <w:ilvl w:val="0"/>
          <w:numId w:val="11"/>
        </w:numPr>
        <w:spacing w:after="0"/>
        <w:ind w:left="1080"/>
      </w:pPr>
      <w:r w:rsidRPr="00653509">
        <w:t>High risk: 90% or more of patients experience acute emesis.</w:t>
      </w:r>
    </w:p>
    <w:p w14:paraId="37AB17F3" w14:textId="77777777" w:rsidR="00653509" w:rsidRDefault="00653509" w:rsidP="009D322D">
      <w:pPr>
        <w:pStyle w:val="3-BodyText"/>
        <w:numPr>
          <w:ilvl w:val="0"/>
          <w:numId w:val="11"/>
        </w:numPr>
        <w:spacing w:after="0"/>
        <w:ind w:left="1080"/>
      </w:pPr>
      <w:r w:rsidRPr="00653509">
        <w:t>Moderate risk: 30% to 90% of patients experience acute emesis.</w:t>
      </w:r>
    </w:p>
    <w:p w14:paraId="27A3A3D7" w14:textId="77777777" w:rsidR="000A2486" w:rsidRDefault="00653509" w:rsidP="009D322D">
      <w:pPr>
        <w:pStyle w:val="3-BodyText"/>
        <w:numPr>
          <w:ilvl w:val="0"/>
          <w:numId w:val="11"/>
        </w:numPr>
        <w:spacing w:after="0"/>
        <w:ind w:left="1080"/>
      </w:pPr>
      <w:r w:rsidRPr="00653509">
        <w:t>Low risk: 10% to 30% of patients experience acute emesis.</w:t>
      </w:r>
    </w:p>
    <w:p w14:paraId="7BB8040C" w14:textId="336AEA1A" w:rsidR="00C21375" w:rsidRPr="00FF6AF8" w:rsidRDefault="00653509" w:rsidP="009D322D">
      <w:pPr>
        <w:pStyle w:val="3-BodyText"/>
        <w:numPr>
          <w:ilvl w:val="0"/>
          <w:numId w:val="11"/>
        </w:numPr>
        <w:spacing w:after="0"/>
        <w:ind w:left="1080"/>
      </w:pPr>
      <w:r w:rsidRPr="00FF6AF8">
        <w:t>Minimal risk: fewer than 10% of patients experience acute emesis.</w:t>
      </w:r>
    </w:p>
    <w:p w14:paraId="5FDCACCB" w14:textId="5C37A608" w:rsidR="000A2486" w:rsidRPr="0002340D" w:rsidRDefault="000A2486" w:rsidP="00507ADC">
      <w:pPr>
        <w:pStyle w:val="3-BodyText"/>
        <w:spacing w:before="120"/>
        <w:rPr>
          <w:iCs/>
        </w:rPr>
      </w:pPr>
      <w:r w:rsidRPr="0002340D">
        <w:rPr>
          <w:iCs/>
        </w:rPr>
        <w:t xml:space="preserve">For single IV chemotherapy use, </w:t>
      </w:r>
      <w:r w:rsidR="008D0FE4" w:rsidRPr="0002340D">
        <w:rPr>
          <w:iCs/>
        </w:rPr>
        <w:t>e</w:t>
      </w:r>
      <w:r w:rsidRPr="0002340D">
        <w:rPr>
          <w:iCs/>
        </w:rPr>
        <w:t>viQ</w:t>
      </w:r>
      <w:r w:rsidR="00AF2115" w:rsidRPr="0002340D">
        <w:rPr>
          <w:iCs/>
        </w:rPr>
        <w:t xml:space="preserve"> guidelines</w:t>
      </w:r>
      <w:r w:rsidRPr="0002340D">
        <w:rPr>
          <w:rStyle w:val="FootnoteReference"/>
          <w:iCs/>
        </w:rPr>
        <w:footnoteReference w:id="3"/>
      </w:r>
      <w:r w:rsidRPr="0002340D">
        <w:rPr>
          <w:iCs/>
        </w:rPr>
        <w:t xml:space="preserve"> classify </w:t>
      </w:r>
      <w:r w:rsidR="00382B8B" w:rsidRPr="0002340D">
        <w:rPr>
          <w:iCs/>
        </w:rPr>
        <w:t xml:space="preserve">(non-exhaustive) </w:t>
      </w:r>
      <w:r w:rsidR="00AF2115" w:rsidRPr="0002340D">
        <w:rPr>
          <w:iCs/>
        </w:rPr>
        <w:t>anthracycline/cyclophosphamide (</w:t>
      </w:r>
      <w:r w:rsidRPr="0002340D">
        <w:rPr>
          <w:iCs/>
        </w:rPr>
        <w:t>AC</w:t>
      </w:r>
      <w:r w:rsidR="00AF2115" w:rsidRPr="0002340D">
        <w:rPr>
          <w:iCs/>
        </w:rPr>
        <w:t>)</w:t>
      </w:r>
      <w:r w:rsidRPr="0002340D">
        <w:rPr>
          <w:iCs/>
        </w:rPr>
        <w:t xml:space="preserve"> combination </w:t>
      </w:r>
      <w:r w:rsidR="00382B8B" w:rsidRPr="0002340D">
        <w:rPr>
          <w:iCs/>
        </w:rPr>
        <w:t>(</w:t>
      </w:r>
      <w:r w:rsidRPr="0002340D">
        <w:rPr>
          <w:iCs/>
        </w:rPr>
        <w:t>breast cancer protocols</w:t>
      </w:r>
      <w:r w:rsidR="00382B8B" w:rsidRPr="0002340D">
        <w:rPr>
          <w:iCs/>
        </w:rPr>
        <w:t>)</w:t>
      </w:r>
      <w:r w:rsidRPr="0002340D">
        <w:rPr>
          <w:iCs/>
        </w:rPr>
        <w:t>, cisplatin</w:t>
      </w:r>
      <w:r w:rsidR="00382B8B" w:rsidRPr="0002340D">
        <w:rPr>
          <w:iCs/>
        </w:rPr>
        <w:t xml:space="preserve">, and cyclophosphamide </w:t>
      </w:r>
      <w:r w:rsidR="00382B8B" w:rsidRPr="0002340D">
        <w:rPr>
          <w:iCs/>
          <w:u w:val="single"/>
        </w:rPr>
        <w:t>&gt;</w:t>
      </w:r>
      <w:r w:rsidR="00382B8B" w:rsidRPr="0002340D">
        <w:rPr>
          <w:iCs/>
        </w:rPr>
        <w:t xml:space="preserve"> 1500</w:t>
      </w:r>
      <w:r w:rsidR="009E2338">
        <w:rPr>
          <w:iCs/>
        </w:rPr>
        <w:t> mg</w:t>
      </w:r>
      <w:r w:rsidR="00382B8B" w:rsidRPr="0002340D">
        <w:rPr>
          <w:iCs/>
        </w:rPr>
        <w:t>/m</w:t>
      </w:r>
      <w:r w:rsidR="00382B8B" w:rsidRPr="0002340D">
        <w:rPr>
          <w:iCs/>
          <w:vertAlign w:val="superscript"/>
        </w:rPr>
        <w:t>2</w:t>
      </w:r>
      <w:r w:rsidRPr="0002340D">
        <w:rPr>
          <w:iCs/>
        </w:rPr>
        <w:t xml:space="preserve"> as highly emetogenic</w:t>
      </w:r>
      <w:r w:rsidR="00382B8B" w:rsidRPr="0002340D">
        <w:rPr>
          <w:iCs/>
        </w:rPr>
        <w:t xml:space="preserve">, and cyclophosphamide &lt; 1500 </w:t>
      </w:r>
      <w:r w:rsidR="009E2338">
        <w:rPr>
          <w:iCs/>
        </w:rPr>
        <w:t> mg</w:t>
      </w:r>
      <w:r w:rsidR="00382B8B" w:rsidRPr="0002340D">
        <w:rPr>
          <w:iCs/>
        </w:rPr>
        <w:t>/m</w:t>
      </w:r>
      <w:r w:rsidR="00382B8B" w:rsidRPr="0002340D">
        <w:rPr>
          <w:iCs/>
          <w:vertAlign w:val="superscript"/>
        </w:rPr>
        <w:t>2</w:t>
      </w:r>
      <w:r w:rsidR="00382B8B" w:rsidRPr="0002340D">
        <w:rPr>
          <w:iCs/>
        </w:rPr>
        <w:t>, epirubicin, doxorubicin, and irinotecan</w:t>
      </w:r>
      <w:r w:rsidR="00382B8B" w:rsidRPr="0002340D">
        <w:rPr>
          <w:iCs/>
          <w:vertAlign w:val="superscript"/>
        </w:rPr>
        <w:t xml:space="preserve"> </w:t>
      </w:r>
      <w:r w:rsidR="00382B8B" w:rsidRPr="0002340D">
        <w:rPr>
          <w:iCs/>
        </w:rPr>
        <w:t xml:space="preserve">(higher end of moderate risk) as moderately emetogenic. </w:t>
      </w:r>
      <w:r w:rsidR="008D0FE4" w:rsidRPr="0002340D">
        <w:rPr>
          <w:iCs/>
        </w:rPr>
        <w:t>However, e</w:t>
      </w:r>
      <w:r w:rsidR="00225895" w:rsidRPr="0002340D">
        <w:rPr>
          <w:iCs/>
        </w:rPr>
        <w:t>viQ guidelines note that oxaliplatin, epirubicin, and irinotecan may be highly emetogenic in clinical practice for some patients.</w:t>
      </w:r>
    </w:p>
    <w:p w14:paraId="398C2104" w14:textId="02B21CF5" w:rsidR="00515E72" w:rsidRPr="00515E72" w:rsidRDefault="00FF6AF8" w:rsidP="00515E72">
      <w:pPr>
        <w:pStyle w:val="3-BodyText"/>
      </w:pPr>
      <w:r w:rsidRPr="00FF6AF8">
        <w:t xml:space="preserve">The submission </w:t>
      </w:r>
      <w:r w:rsidR="00507ADC">
        <w:t>stated</w:t>
      </w:r>
      <w:r w:rsidR="00507ADC" w:rsidRPr="00FF6AF8">
        <w:t xml:space="preserve"> </w:t>
      </w:r>
      <w:r w:rsidRPr="00FF6AF8">
        <w:t>NEPA IV has a clinical place, particularly for patients with swallowing difficulties</w:t>
      </w:r>
      <w:r w:rsidR="00515E72" w:rsidRPr="00515E72">
        <w:t xml:space="preserve"> who cannot use the oral form</w:t>
      </w:r>
      <w:r w:rsidR="00515E72">
        <w:t xml:space="preserve"> (NEPA)</w:t>
      </w:r>
      <w:r w:rsidRPr="00FF6AF8">
        <w:t xml:space="preserve">, or difficulties absorbing the drug from the oral form. Patients with swallowing difficulties include patients with head and neck cancer </w:t>
      </w:r>
      <w:r w:rsidR="00515E72">
        <w:t>or patients with</w:t>
      </w:r>
      <w:r w:rsidRPr="00FF6AF8">
        <w:t xml:space="preserve"> other types of cancer </w:t>
      </w:r>
      <w:r w:rsidR="00515E72">
        <w:t>associated with</w:t>
      </w:r>
      <w:r w:rsidRPr="00FF6AF8">
        <w:t xml:space="preserve"> dysphagia and mouth ulcers. The submission also noted that some patients who do not have swallowing difficulties are treated with a NK1 IV formulation mainly because of a faster mode of action, ease of administration, and patient choice.</w:t>
      </w:r>
    </w:p>
    <w:p w14:paraId="1CC95F98" w14:textId="68FB91BD" w:rsidR="00FF6AF8" w:rsidRDefault="00FF6AF8" w:rsidP="000A2486">
      <w:pPr>
        <w:pStyle w:val="3-BodyText"/>
      </w:pPr>
      <w:r w:rsidRPr="00FF6AF8">
        <w:t xml:space="preserve">Fosnetupitant (netupitant is the active moiety of fosnetupitant) is a high-affinity NK1 RA and </w:t>
      </w:r>
      <w:r w:rsidR="001D3771">
        <w:t>PALO</w:t>
      </w:r>
      <w:r w:rsidRPr="00FF6AF8">
        <w:t xml:space="preserve"> is a 5-HT3 RA. NK1 RA and 5</w:t>
      </w:r>
      <w:r>
        <w:t>-</w:t>
      </w:r>
      <w:r w:rsidRPr="00FF6AF8">
        <w:t>HT3 RA drugs are used in combination for the treatment of nausea and vomiting associated with emetogenic chemotherapy</w:t>
      </w:r>
      <w:r w:rsidRPr="00FF6AF8">
        <w:rPr>
          <w:vertAlign w:val="superscript"/>
        </w:rPr>
        <w:footnoteReference w:id="4"/>
      </w:r>
      <w:r w:rsidRPr="00FF6AF8">
        <w:t>. Treatment is in combination with DEX</w:t>
      </w:r>
      <w:r>
        <w:t xml:space="preserve">. </w:t>
      </w:r>
      <w:r w:rsidRPr="00FF6AF8">
        <w:t xml:space="preserve">The recommended dosing regimen </w:t>
      </w:r>
      <w:r w:rsidR="00515E72">
        <w:t xml:space="preserve">for NEPA IV </w:t>
      </w:r>
      <w:r w:rsidRPr="00FF6AF8">
        <w:t xml:space="preserve">in the Product Information (PI) is one vial (including fosnetupitant 235 </w:t>
      </w:r>
      <w:r w:rsidR="009E2338">
        <w:t> mg</w:t>
      </w:r>
      <w:r w:rsidRPr="00FF6AF8">
        <w:t xml:space="preserve"> plus </w:t>
      </w:r>
      <w:r w:rsidR="001D3771">
        <w:t>PALO</w:t>
      </w:r>
      <w:r w:rsidRPr="00FF6AF8">
        <w:t xml:space="preserve"> 250 mcg</w:t>
      </w:r>
      <w:r>
        <w:t xml:space="preserve"> (0.25 </w:t>
      </w:r>
      <w:r w:rsidR="009E2338">
        <w:t> mg</w:t>
      </w:r>
      <w:r>
        <w:t>)</w:t>
      </w:r>
      <w:r w:rsidRPr="00FF6AF8">
        <w:t>) administered as an IV infusion over 30 minutes, initiated approximately 30 minutes prior to the start of each chemotherapy cycle</w:t>
      </w:r>
      <w:r>
        <w:t>.</w:t>
      </w:r>
    </w:p>
    <w:p w14:paraId="52619499" w14:textId="30BCD213" w:rsidR="00A548DE" w:rsidRPr="00C33D30" w:rsidRDefault="00A548DE" w:rsidP="00A548DE">
      <w:pPr>
        <w:ind w:firstLine="709"/>
        <w:rPr>
          <w:rFonts w:asciiTheme="minorHAnsi" w:hAnsiTheme="minorHAnsi"/>
          <w:i/>
        </w:rPr>
      </w:pPr>
      <w:r w:rsidRPr="00C33D30">
        <w:rPr>
          <w:rFonts w:asciiTheme="minorHAnsi" w:hAnsiTheme="minorHAnsi"/>
          <w:i/>
        </w:rPr>
        <w:t>For more detail on PBAC’s view, see section 7 PBAC outcome.</w:t>
      </w:r>
    </w:p>
    <w:p w14:paraId="38B954FD" w14:textId="77777777" w:rsidR="00B50DB8" w:rsidRPr="00515E72" w:rsidRDefault="00B50DB8" w:rsidP="004E18E9">
      <w:pPr>
        <w:pStyle w:val="2-SectionHeading"/>
      </w:pPr>
      <w:bookmarkStart w:id="15" w:name="_Toc124841994"/>
      <w:r w:rsidRPr="00515E72">
        <w:t>Comparator</w:t>
      </w:r>
      <w:bookmarkEnd w:id="15"/>
    </w:p>
    <w:p w14:paraId="3DF07879" w14:textId="14977DAE" w:rsidR="00C42DB1" w:rsidRPr="00C42DB1" w:rsidRDefault="00515E72" w:rsidP="00882E3C">
      <w:pPr>
        <w:pStyle w:val="3-BodyText"/>
        <w:rPr>
          <w:snapToGrid/>
          <w:lang w:val="en-US"/>
        </w:rPr>
      </w:pPr>
      <w:r w:rsidRPr="00515E72">
        <w:t xml:space="preserve">The submission nominated </w:t>
      </w:r>
      <w:r w:rsidR="00372438">
        <w:t>Emend</w:t>
      </w:r>
      <w:r w:rsidRPr="00515E72">
        <w:t xml:space="preserve"> IV + a 5-HT3 RA as the main comparator, whilst also specifying PALO</w:t>
      </w:r>
      <w:r>
        <w:t xml:space="preserve"> IV</w:t>
      </w:r>
      <w:r w:rsidRPr="00515E72">
        <w:t xml:space="preserve"> as the specific 5-HT3 RA partner to </w:t>
      </w:r>
      <w:r w:rsidR="00372438">
        <w:t>Emend</w:t>
      </w:r>
      <w:r>
        <w:t xml:space="preserve"> IV</w:t>
      </w:r>
      <w:r w:rsidRPr="00515E72">
        <w:t>. The main arguments provided to support this nomination include</w:t>
      </w:r>
      <w:r w:rsidR="00C42DB1">
        <w:t>:</w:t>
      </w:r>
    </w:p>
    <w:p w14:paraId="720AF3C4" w14:textId="13CE13C2" w:rsidR="00C42DB1" w:rsidRPr="00C42DB1" w:rsidRDefault="00515E72" w:rsidP="009D322D">
      <w:pPr>
        <w:pStyle w:val="3-BodyText"/>
        <w:numPr>
          <w:ilvl w:val="0"/>
          <w:numId w:val="12"/>
        </w:numPr>
        <w:ind w:left="1080"/>
        <w:rPr>
          <w:snapToGrid/>
          <w:lang w:val="en-US"/>
        </w:rPr>
      </w:pPr>
      <w:r>
        <w:t xml:space="preserve">the </w:t>
      </w:r>
      <w:r w:rsidR="00C42DB1">
        <w:t xml:space="preserve">comparator </w:t>
      </w:r>
      <w:r w:rsidR="00485AFF">
        <w:t>contains the</w:t>
      </w:r>
      <w:r>
        <w:t xml:space="preserve"> same </w:t>
      </w:r>
      <w:r w:rsidRPr="00515E72">
        <w:t xml:space="preserve">pharmacological therapies </w:t>
      </w:r>
      <w:r>
        <w:t>as NEPA IV</w:t>
      </w:r>
      <w:r w:rsidR="00C42DB1">
        <w:t xml:space="preserve">. </w:t>
      </w:r>
      <w:r w:rsidR="00C42DB1" w:rsidRPr="00C42DB1">
        <w:t>Both fosnetupitant and fosaprepitant are pro-drugs for oral netupitant and aprepitant</w:t>
      </w:r>
      <w:r w:rsidR="00C42DB1">
        <w:t>;</w:t>
      </w:r>
    </w:p>
    <w:p w14:paraId="5A974F0C" w14:textId="739BE70A" w:rsidR="00C42DB1" w:rsidRPr="00C42DB1" w:rsidRDefault="00372438" w:rsidP="009D322D">
      <w:pPr>
        <w:pStyle w:val="3-BodyText"/>
        <w:numPr>
          <w:ilvl w:val="0"/>
          <w:numId w:val="12"/>
        </w:numPr>
        <w:ind w:left="1080"/>
        <w:rPr>
          <w:snapToGrid/>
          <w:lang w:val="en-US"/>
        </w:rPr>
      </w:pPr>
      <w:r>
        <w:t>Emend</w:t>
      </w:r>
      <w:r w:rsidR="00C42DB1" w:rsidRPr="00C42DB1">
        <w:t xml:space="preserve"> </w:t>
      </w:r>
      <w:r w:rsidR="00627571" w:rsidRPr="00C42DB1">
        <w:t>IV +</w:t>
      </w:r>
      <w:r w:rsidR="00C42DB1" w:rsidRPr="00C42DB1">
        <w:t xml:space="preserve"> a 5-HT3 RA is the treatment most likely to be replaced in clinical practice</w:t>
      </w:r>
      <w:r w:rsidR="00C42DB1">
        <w:t xml:space="preserve">; and </w:t>
      </w:r>
    </w:p>
    <w:p w14:paraId="36262025" w14:textId="3F0AE5AD" w:rsidR="00C42DB1" w:rsidRPr="00C42DB1" w:rsidRDefault="00372438" w:rsidP="009D322D">
      <w:pPr>
        <w:pStyle w:val="3-BodyText"/>
        <w:numPr>
          <w:ilvl w:val="0"/>
          <w:numId w:val="12"/>
        </w:numPr>
        <w:ind w:left="1080"/>
        <w:rPr>
          <w:snapToGrid/>
          <w:lang w:val="en-US"/>
        </w:rPr>
      </w:pPr>
      <w:r>
        <w:t>Emend</w:t>
      </w:r>
      <w:r w:rsidR="00C42DB1">
        <w:t xml:space="preserve"> IV</w:t>
      </w:r>
      <w:r w:rsidR="00C42DB1" w:rsidRPr="00C42DB1">
        <w:t xml:space="preserve"> + </w:t>
      </w:r>
      <w:r w:rsidR="00C42DB1">
        <w:t>PALO</w:t>
      </w:r>
      <w:r w:rsidR="00C42DB1" w:rsidRPr="00C42DB1">
        <w:t xml:space="preserve"> IV is the least expensive PBS combination of a NK1 </w:t>
      </w:r>
      <w:r w:rsidR="00C42DB1">
        <w:t xml:space="preserve">RA </w:t>
      </w:r>
      <w:r w:rsidR="00C42DB1" w:rsidRPr="00C42DB1">
        <w:t xml:space="preserve">and </w:t>
      </w:r>
      <w:r w:rsidR="00C42DB1">
        <w:t xml:space="preserve">a </w:t>
      </w:r>
      <w:r w:rsidR="00C42DB1" w:rsidRPr="00C42DB1">
        <w:t>5-HT3 RA</w:t>
      </w:r>
      <w:r w:rsidR="00C42DB1">
        <w:t>.</w:t>
      </w:r>
    </w:p>
    <w:p w14:paraId="3D9E54DB" w14:textId="2F60E5F6" w:rsidR="00C42DB1" w:rsidRPr="0002340D" w:rsidRDefault="00372438" w:rsidP="00C42DB1">
      <w:pPr>
        <w:pStyle w:val="3-BodyText"/>
        <w:rPr>
          <w:iCs/>
          <w:snapToGrid/>
          <w:lang w:val="en-US"/>
        </w:rPr>
      </w:pPr>
      <w:r w:rsidRPr="0002340D">
        <w:rPr>
          <w:iCs/>
        </w:rPr>
        <w:t>Emend</w:t>
      </w:r>
      <w:r w:rsidR="00C42DB1" w:rsidRPr="0002340D">
        <w:rPr>
          <w:iCs/>
        </w:rPr>
        <w:t xml:space="preserve"> IV plus a 5-HT3 RA is an appropriate comparator. However, NEPA IV may substitute for other therapies: </w:t>
      </w:r>
    </w:p>
    <w:p w14:paraId="4F15343C" w14:textId="39DAE39B" w:rsidR="001D0A6E" w:rsidRPr="0002340D" w:rsidRDefault="001D0A6E" w:rsidP="009D322D">
      <w:pPr>
        <w:pStyle w:val="3-BodyText"/>
        <w:numPr>
          <w:ilvl w:val="0"/>
          <w:numId w:val="13"/>
        </w:numPr>
        <w:ind w:left="1080"/>
        <w:rPr>
          <w:iCs/>
          <w:snapToGrid/>
          <w:lang w:val="en-US"/>
        </w:rPr>
      </w:pPr>
      <w:r w:rsidRPr="0002340D">
        <w:rPr>
          <w:iCs/>
        </w:rPr>
        <w:t xml:space="preserve">NEPA: </w:t>
      </w:r>
      <w:r w:rsidR="00C42DB1" w:rsidRPr="0002340D">
        <w:rPr>
          <w:iCs/>
        </w:rPr>
        <w:t xml:space="preserve">The proposed restriction does not specifically exclude patients without swallowing difficulties. NEPA contains the same therapies as NEPA IV but in an oral form. Part of the submission’s rationale for the proposed listing of NEPA IV is that the IV formulation is preferred over oral options as it has a faster mode of action. </w:t>
      </w:r>
      <w:r w:rsidRPr="0002340D">
        <w:rPr>
          <w:iCs/>
        </w:rPr>
        <w:t>Recogni</w:t>
      </w:r>
      <w:r w:rsidR="00656A90">
        <w:rPr>
          <w:iCs/>
        </w:rPr>
        <w:t>s</w:t>
      </w:r>
      <w:r w:rsidRPr="0002340D">
        <w:rPr>
          <w:iCs/>
        </w:rPr>
        <w:t>ing</w:t>
      </w:r>
      <w:r w:rsidR="00C42DB1" w:rsidRPr="0002340D">
        <w:rPr>
          <w:iCs/>
        </w:rPr>
        <w:t xml:space="preserve"> the low response rate of a survey of </w:t>
      </w:r>
      <w:r w:rsidRPr="0002340D">
        <w:rPr>
          <w:iCs/>
        </w:rPr>
        <w:t>medical oncologists and haematology nurses</w:t>
      </w:r>
      <w:r w:rsidRPr="0002340D">
        <w:rPr>
          <w:rStyle w:val="FootnoteReference"/>
          <w:iCs/>
        </w:rPr>
        <w:footnoteReference w:id="5"/>
      </w:r>
      <w:r w:rsidRPr="0002340D">
        <w:rPr>
          <w:iCs/>
        </w:rPr>
        <w:t xml:space="preserve">, </w:t>
      </w:r>
      <w:r w:rsidR="00C42DB1" w:rsidRPr="0002340D">
        <w:rPr>
          <w:iCs/>
        </w:rPr>
        <w:t>expert advice</w:t>
      </w:r>
      <w:r w:rsidRPr="0002340D">
        <w:rPr>
          <w:iCs/>
        </w:rPr>
        <w:t xml:space="preserve"> received by the sponsor indicated that</w:t>
      </w:r>
      <w:r w:rsidR="00C42DB1" w:rsidRPr="0002340D">
        <w:rPr>
          <w:iCs/>
        </w:rPr>
        <w:t xml:space="preserve"> a main reason for using IV combinations in patients who did not have swallowing difficulties was the clinical superiority of IV anti-emetics over oral options (e.g. quicker, more effective, better responses, and ensures more absorption). </w:t>
      </w:r>
      <w:r w:rsidR="00F425E2">
        <w:rPr>
          <w:iCs/>
        </w:rPr>
        <w:t>Given this view</w:t>
      </w:r>
      <w:r w:rsidR="00C42DB1" w:rsidRPr="0002340D">
        <w:rPr>
          <w:iCs/>
        </w:rPr>
        <w:t>, NEPA IV is also expected to replace NEPA although the extent of substitution is difficult to quantify.</w:t>
      </w:r>
      <w:r w:rsidR="00884D75">
        <w:rPr>
          <w:i/>
        </w:rPr>
        <w:t xml:space="preserve"> </w:t>
      </w:r>
    </w:p>
    <w:p w14:paraId="12649A77" w14:textId="2644AAB1" w:rsidR="00393AF2" w:rsidRPr="0002340D" w:rsidRDefault="001D0A6E" w:rsidP="009D322D">
      <w:pPr>
        <w:pStyle w:val="3-BodyText"/>
        <w:numPr>
          <w:ilvl w:val="0"/>
          <w:numId w:val="13"/>
        </w:numPr>
        <w:ind w:left="1080"/>
        <w:rPr>
          <w:iCs/>
          <w:snapToGrid/>
          <w:lang w:val="en-US"/>
        </w:rPr>
      </w:pPr>
      <w:r w:rsidRPr="0002340D">
        <w:rPr>
          <w:iCs/>
        </w:rPr>
        <w:t xml:space="preserve">Single use of a 5-HT3 RA: There is a high risk that NEPA IV will substitute for single use of a 5-HT3 RA. </w:t>
      </w:r>
      <w:r w:rsidR="00393AF2" w:rsidRPr="0002340D">
        <w:rPr>
          <w:iCs/>
        </w:rPr>
        <w:t>This concern was raised by the PBAC in the July 2020 consideration of NEPA IV (paragraph 4.3, Fosnetupitant</w:t>
      </w:r>
      <w:r w:rsidR="001B347F" w:rsidRPr="0002340D">
        <w:rPr>
          <w:iCs/>
        </w:rPr>
        <w:t>/pa</w:t>
      </w:r>
      <w:r w:rsidR="00523521" w:rsidRPr="0002340D">
        <w:rPr>
          <w:iCs/>
        </w:rPr>
        <w:t>l</w:t>
      </w:r>
      <w:r w:rsidR="001B347F" w:rsidRPr="0002340D">
        <w:rPr>
          <w:iCs/>
        </w:rPr>
        <w:t>onosetron</w:t>
      </w:r>
      <w:r w:rsidR="00393AF2" w:rsidRPr="0002340D">
        <w:rPr>
          <w:iCs/>
        </w:rPr>
        <w:t xml:space="preserve"> </w:t>
      </w:r>
      <w:r w:rsidR="00523521" w:rsidRPr="0002340D">
        <w:rPr>
          <w:iCs/>
        </w:rPr>
        <w:t>Public Summary Document (PSD), July 2020 PBAC Meeting).</w:t>
      </w:r>
      <w:r w:rsidR="00393AF2" w:rsidRPr="0002340D">
        <w:rPr>
          <w:iCs/>
        </w:rPr>
        <w:t xml:space="preserve"> Refer to </w:t>
      </w:r>
      <w:r w:rsidR="00393AF2" w:rsidRPr="0002340D">
        <w:rPr>
          <w:iCs/>
        </w:rPr>
        <w:fldChar w:fldCharType="begin"/>
      </w:r>
      <w:r w:rsidR="00393AF2" w:rsidRPr="0002340D">
        <w:rPr>
          <w:iCs/>
        </w:rPr>
        <w:instrText xml:space="preserve"> REF _Ref122531759 \h  \* MERGEFORMAT </w:instrText>
      </w:r>
      <w:r w:rsidR="00393AF2" w:rsidRPr="0002340D">
        <w:rPr>
          <w:iCs/>
        </w:rPr>
      </w:r>
      <w:r w:rsidR="00393AF2" w:rsidRPr="0002340D">
        <w:rPr>
          <w:iCs/>
        </w:rPr>
        <w:fldChar w:fldCharType="separate"/>
      </w:r>
      <w:r w:rsidR="00775281" w:rsidRPr="00775281">
        <w:rPr>
          <w:iCs/>
        </w:rPr>
        <w:t xml:space="preserve">Table </w:t>
      </w:r>
      <w:r w:rsidR="00775281" w:rsidRPr="00775281">
        <w:rPr>
          <w:iCs/>
          <w:noProof/>
        </w:rPr>
        <w:t>3</w:t>
      </w:r>
      <w:r w:rsidR="00393AF2" w:rsidRPr="0002340D">
        <w:rPr>
          <w:iCs/>
        </w:rPr>
        <w:fldChar w:fldCharType="end"/>
      </w:r>
      <w:r w:rsidR="00393AF2" w:rsidRPr="0002340D">
        <w:rPr>
          <w:iCs/>
        </w:rPr>
        <w:t xml:space="preserve"> for details. </w:t>
      </w:r>
    </w:p>
    <w:p w14:paraId="3C527B04" w14:textId="77777777" w:rsidR="00A16162" w:rsidRDefault="00393AF2" w:rsidP="00393AF2">
      <w:pPr>
        <w:pStyle w:val="3-BodyText"/>
        <w:rPr>
          <w:snapToGrid/>
          <w:lang w:val="en-US"/>
        </w:rPr>
      </w:pPr>
      <w:r w:rsidRPr="0002340D">
        <w:rPr>
          <w:iCs/>
        </w:rPr>
        <w:t>Overall, NEPA IV may replace IV forms of NK1 and 5-HT3</w:t>
      </w:r>
      <w:r w:rsidR="00781AE1" w:rsidRPr="0002340D">
        <w:rPr>
          <w:iCs/>
        </w:rPr>
        <w:t xml:space="preserve"> </w:t>
      </w:r>
      <w:r w:rsidRPr="0002340D">
        <w:rPr>
          <w:iCs/>
        </w:rPr>
        <w:t xml:space="preserve">RAs (for those who have swallowing difficulties), NEPA and other oral forms of NK1 RAs used with 5-HT3 RAs. </w:t>
      </w:r>
      <w:r w:rsidR="00372438" w:rsidRPr="0002340D">
        <w:rPr>
          <w:iCs/>
        </w:rPr>
        <w:t>Emend</w:t>
      </w:r>
      <w:r w:rsidRPr="0002340D">
        <w:rPr>
          <w:iCs/>
        </w:rPr>
        <w:t xml:space="preserve"> IV + PALO </w:t>
      </w:r>
      <w:r w:rsidR="00656A90">
        <w:rPr>
          <w:iCs/>
        </w:rPr>
        <w:t>is currently not</w:t>
      </w:r>
      <w:r w:rsidRPr="0002340D">
        <w:rPr>
          <w:iCs/>
        </w:rPr>
        <w:t xml:space="preserve"> the lowest cost combination of a NK1 and 5-HT3 RA, </w:t>
      </w:r>
      <w:r w:rsidR="00656A90">
        <w:rPr>
          <w:iCs/>
        </w:rPr>
        <w:t>with</w:t>
      </w:r>
      <w:r w:rsidR="00656A90" w:rsidRPr="0002340D">
        <w:rPr>
          <w:iCs/>
        </w:rPr>
        <w:t xml:space="preserve"> </w:t>
      </w:r>
      <w:r w:rsidRPr="0002340D">
        <w:rPr>
          <w:iCs/>
        </w:rPr>
        <w:t xml:space="preserve">NEPA and combinations of aprepitant with other 5-HT3 RAs </w:t>
      </w:r>
      <w:r w:rsidR="00656A90">
        <w:rPr>
          <w:iCs/>
        </w:rPr>
        <w:t>having</w:t>
      </w:r>
      <w:r w:rsidRPr="0002340D">
        <w:rPr>
          <w:iCs/>
        </w:rPr>
        <w:t xml:space="preserve"> lower costs. </w:t>
      </w:r>
      <w:r w:rsidR="002516F0">
        <w:rPr>
          <w:iCs/>
        </w:rPr>
        <w:t>The PBAC</w:t>
      </w:r>
      <w:r w:rsidR="002516F0">
        <w:rPr>
          <w:rFonts w:ascii="Open Sans" w:hAnsi="Open Sans" w:cs="Open Sans"/>
          <w:color w:val="222222"/>
          <w:sz w:val="20"/>
          <w:szCs w:val="20"/>
          <w:shd w:val="clear" w:color="auto" w:fill="FFFFFF"/>
        </w:rPr>
        <w:t xml:space="preserve"> </w:t>
      </w:r>
      <w:r w:rsidR="002516F0" w:rsidRPr="002516F0">
        <w:rPr>
          <w:iCs/>
        </w:rPr>
        <w:t>cannot make a positive recommendation for a medicine that is substantially more costly than an alternative medicine unless it is satisfied that the proposed medicine also provides a significant improvement in health</w:t>
      </w:r>
      <w:r w:rsidR="00DB0EF4">
        <w:rPr>
          <w:iCs/>
        </w:rPr>
        <w:t xml:space="preserve"> </w:t>
      </w:r>
      <w:r w:rsidRPr="0002340D">
        <w:rPr>
          <w:iCs/>
        </w:rPr>
        <w:t>(</w:t>
      </w:r>
      <w:r w:rsidR="002516F0">
        <w:rPr>
          <w:iCs/>
        </w:rPr>
        <w:t xml:space="preserve">PBAC </w:t>
      </w:r>
      <w:r w:rsidR="00786720">
        <w:rPr>
          <w:iCs/>
        </w:rPr>
        <w:t>G</w:t>
      </w:r>
      <w:r w:rsidR="002516F0">
        <w:rPr>
          <w:iCs/>
        </w:rPr>
        <w:t>uidelines</w:t>
      </w:r>
      <w:r w:rsidR="00786720">
        <w:rPr>
          <w:iCs/>
        </w:rPr>
        <w:t>, version 5.0</w:t>
      </w:r>
      <w:r w:rsidR="002516F0">
        <w:rPr>
          <w:iCs/>
        </w:rPr>
        <w:t xml:space="preserve"> reference to </w:t>
      </w:r>
      <w:r w:rsidRPr="00786720">
        <w:rPr>
          <w:i/>
        </w:rPr>
        <w:t>National Health Act 1953</w:t>
      </w:r>
      <w:r w:rsidRPr="0002340D">
        <w:rPr>
          <w:iCs/>
        </w:rPr>
        <w:t xml:space="preserve">, Section 101(3B). </w:t>
      </w:r>
      <w:r w:rsidR="00537FEB" w:rsidRPr="00A548DE">
        <w:rPr>
          <w:snapToGrid/>
          <w:lang w:val="en-US"/>
        </w:rPr>
        <w:t>The</w:t>
      </w:r>
      <w:r w:rsidR="00F12A18" w:rsidRPr="00A548DE">
        <w:rPr>
          <w:snapToGrid/>
          <w:lang w:val="en-US"/>
        </w:rPr>
        <w:t xml:space="preserve"> </w:t>
      </w:r>
      <w:r w:rsidR="00537FEB" w:rsidRPr="00A548DE">
        <w:rPr>
          <w:snapToGrid/>
          <w:lang w:val="en-US"/>
        </w:rPr>
        <w:t>PSCR</w:t>
      </w:r>
      <w:r w:rsidR="00F12A18" w:rsidRPr="00A548DE">
        <w:rPr>
          <w:snapToGrid/>
          <w:lang w:val="en-US"/>
        </w:rPr>
        <w:t xml:space="preserve"> (</w:t>
      </w:r>
      <w:r w:rsidR="00537FEB" w:rsidRPr="00A548DE">
        <w:rPr>
          <w:snapToGrid/>
          <w:lang w:val="en-US"/>
        </w:rPr>
        <w:t xml:space="preserve">pg. 1) stated the use of Emend IV in practice </w:t>
      </w:r>
      <w:r w:rsidR="00F12A18" w:rsidRPr="00A548DE">
        <w:rPr>
          <w:snapToGrid/>
          <w:lang w:val="en-US"/>
        </w:rPr>
        <w:t>i</w:t>
      </w:r>
      <w:r w:rsidR="00537FEB" w:rsidRPr="00A548DE">
        <w:rPr>
          <w:snapToGrid/>
          <w:lang w:val="en-US"/>
        </w:rPr>
        <w:t xml:space="preserve">s low (approximately 5% of relevant prescribing) based on PBS prescribing data, with </w:t>
      </w:r>
      <w:r w:rsidR="00FB5E38" w:rsidRPr="00A548DE">
        <w:rPr>
          <w:snapToGrid/>
          <w:lang w:val="en-US"/>
        </w:rPr>
        <w:t>most of the</w:t>
      </w:r>
      <w:r w:rsidR="00537FEB" w:rsidRPr="00A548DE">
        <w:rPr>
          <w:snapToGrid/>
          <w:lang w:val="en-US"/>
        </w:rPr>
        <w:t xml:space="preserve"> dispensing </w:t>
      </w:r>
      <w:r w:rsidR="00F12A18" w:rsidRPr="00A548DE">
        <w:rPr>
          <w:snapToGrid/>
          <w:lang w:val="en-US"/>
        </w:rPr>
        <w:t xml:space="preserve">being </w:t>
      </w:r>
      <w:r w:rsidR="00537FEB" w:rsidRPr="00A548DE">
        <w:rPr>
          <w:snapToGrid/>
          <w:lang w:val="en-US"/>
        </w:rPr>
        <w:t xml:space="preserve">for oral anti-emetics. On that basis, the PSCR argued it is clear clinicians do not </w:t>
      </w:r>
      <w:r w:rsidR="00FB5E38" w:rsidRPr="00A548DE">
        <w:rPr>
          <w:snapToGrid/>
          <w:lang w:val="en-US"/>
        </w:rPr>
        <w:t>use</w:t>
      </w:r>
      <w:r w:rsidR="00537FEB" w:rsidRPr="00A548DE">
        <w:rPr>
          <w:snapToGrid/>
          <w:lang w:val="en-US"/>
        </w:rPr>
        <w:t xml:space="preserve"> IV anti-emetics at the same rate as oral therapies and the IV formulations would appear to have a specific place in therapy. In addition, the </w:t>
      </w:r>
      <w:r w:rsidR="00F12A18" w:rsidRPr="00A548DE">
        <w:rPr>
          <w:snapToGrid/>
          <w:lang w:val="en-US"/>
        </w:rPr>
        <w:t>s</w:t>
      </w:r>
      <w:r w:rsidR="00537FEB" w:rsidRPr="00A548DE">
        <w:rPr>
          <w:snapToGrid/>
          <w:lang w:val="en-US"/>
        </w:rPr>
        <w:t xml:space="preserve">ponsor noted a survey of </w:t>
      </w:r>
      <w:r w:rsidR="00FB5E38" w:rsidRPr="00A548DE">
        <w:rPr>
          <w:snapToGrid/>
          <w:lang w:val="en-US"/>
        </w:rPr>
        <w:t>clinical</w:t>
      </w:r>
      <w:r w:rsidR="00537FEB" w:rsidRPr="00A548DE">
        <w:rPr>
          <w:snapToGrid/>
          <w:lang w:val="en-US"/>
        </w:rPr>
        <w:t xml:space="preserve"> practice was undertaken, which indicated IV formulations are used in specific populations, such as </w:t>
      </w:r>
      <w:r w:rsidR="00F12A18" w:rsidRPr="00A548DE">
        <w:rPr>
          <w:snapToGrid/>
          <w:lang w:val="en-US"/>
        </w:rPr>
        <w:t>for patients</w:t>
      </w:r>
      <w:r w:rsidR="00537FEB" w:rsidRPr="00A548DE">
        <w:rPr>
          <w:snapToGrid/>
          <w:lang w:val="en-US"/>
        </w:rPr>
        <w:t xml:space="preserve"> unable to swallow, or for whom an oral medication is contraindicated. </w:t>
      </w:r>
    </w:p>
    <w:p w14:paraId="58D2BD75" w14:textId="1CDA2B7A" w:rsidR="00537FEB" w:rsidRDefault="00537FEB" w:rsidP="00393AF2">
      <w:pPr>
        <w:pStyle w:val="3-BodyText"/>
        <w:rPr>
          <w:snapToGrid/>
          <w:lang w:val="en-US"/>
        </w:rPr>
      </w:pPr>
      <w:bookmarkStart w:id="16" w:name="_Ref130888492"/>
      <w:r w:rsidRPr="00A548DE">
        <w:rPr>
          <w:snapToGrid/>
          <w:lang w:val="en-US"/>
        </w:rPr>
        <w:t xml:space="preserve">The ESC considered IV anti-emetics could be more convenient than oral therapies for some patients and </w:t>
      </w:r>
      <w:r w:rsidR="008A6257">
        <w:rPr>
          <w:snapToGrid/>
          <w:lang w:val="en-US"/>
        </w:rPr>
        <w:t xml:space="preserve">hence NEPA IV </w:t>
      </w:r>
      <w:r w:rsidRPr="00A548DE">
        <w:rPr>
          <w:snapToGrid/>
          <w:lang w:val="en-US"/>
        </w:rPr>
        <w:t>would likely replac</w:t>
      </w:r>
      <w:r w:rsidR="008A6257">
        <w:rPr>
          <w:snapToGrid/>
          <w:lang w:val="en-US"/>
        </w:rPr>
        <w:t>e oral therapies</w:t>
      </w:r>
      <w:r w:rsidRPr="00A548DE">
        <w:rPr>
          <w:snapToGrid/>
          <w:lang w:val="en-US"/>
        </w:rPr>
        <w:t xml:space="preserve"> in practice to some extent, </w:t>
      </w:r>
      <w:r w:rsidR="00FB5E38" w:rsidRPr="00A548DE">
        <w:rPr>
          <w:snapToGrid/>
          <w:lang w:val="en-US"/>
        </w:rPr>
        <w:t>particularly</w:t>
      </w:r>
      <w:r w:rsidRPr="00A548DE">
        <w:rPr>
          <w:snapToGrid/>
          <w:lang w:val="en-US"/>
        </w:rPr>
        <w:t xml:space="preserve"> as the 5-HT3 RA component was also included in NEPA IV.</w:t>
      </w:r>
      <w:r w:rsidR="00FB5E38" w:rsidRPr="00A548DE">
        <w:rPr>
          <w:snapToGrid/>
          <w:lang w:val="en-US"/>
        </w:rPr>
        <w:t xml:space="preserve"> Furthermore, the ESC noted the survey referred to by the </w:t>
      </w:r>
      <w:r w:rsidR="00F12A18" w:rsidRPr="00A548DE">
        <w:rPr>
          <w:snapToGrid/>
          <w:lang w:val="en-US"/>
        </w:rPr>
        <w:t>s</w:t>
      </w:r>
      <w:r w:rsidR="00FB5E38" w:rsidRPr="00A548DE">
        <w:rPr>
          <w:snapToGrid/>
          <w:lang w:val="en-US"/>
        </w:rPr>
        <w:t>ponsor indicated that 47% of patients are receiving IV anti-emetics</w:t>
      </w:r>
      <w:r w:rsidR="00B17AAF" w:rsidRPr="00A548DE">
        <w:rPr>
          <w:snapToGrid/>
          <w:lang w:val="en-US"/>
        </w:rPr>
        <w:t xml:space="preserve"> </w:t>
      </w:r>
      <w:bookmarkStart w:id="17" w:name="_Hlk129243388"/>
      <w:r w:rsidR="00B17AAF" w:rsidRPr="00A548DE">
        <w:rPr>
          <w:snapToGrid/>
          <w:lang w:val="en-US"/>
        </w:rPr>
        <w:t>despite not having swallowing difficulties</w:t>
      </w:r>
      <w:bookmarkEnd w:id="17"/>
      <w:r w:rsidR="00B17AAF" w:rsidRPr="00A548DE">
        <w:rPr>
          <w:snapToGrid/>
          <w:lang w:val="en-US"/>
        </w:rPr>
        <w:t xml:space="preserve">. </w:t>
      </w:r>
      <w:r w:rsidRPr="00A548DE">
        <w:rPr>
          <w:snapToGrid/>
          <w:lang w:val="en-US"/>
        </w:rPr>
        <w:t xml:space="preserve">To that end, the ESC advised all oral therapies should be considered alternative therapies, unless NEPA IV </w:t>
      </w:r>
      <w:r w:rsidR="00F12A18" w:rsidRPr="00A548DE">
        <w:rPr>
          <w:snapToGrid/>
          <w:lang w:val="en-US"/>
        </w:rPr>
        <w:t>could be</w:t>
      </w:r>
      <w:r w:rsidRPr="00A548DE">
        <w:rPr>
          <w:snapToGrid/>
          <w:lang w:val="en-US"/>
        </w:rPr>
        <w:t xml:space="preserve"> specifically restricted to patients unsuitable for oral therapies</w:t>
      </w:r>
      <w:r w:rsidR="00F12A18" w:rsidRPr="00A548DE">
        <w:rPr>
          <w:snapToGrid/>
          <w:lang w:val="en-US"/>
        </w:rPr>
        <w:t>. The ESC</w:t>
      </w:r>
      <w:r w:rsidRPr="00A548DE">
        <w:rPr>
          <w:snapToGrid/>
          <w:lang w:val="en-US"/>
        </w:rPr>
        <w:t xml:space="preserve"> noted the PSCR indicated the sponsor was amenable to such a restriction.</w:t>
      </w:r>
      <w:r w:rsidR="00A548DE">
        <w:rPr>
          <w:snapToGrid/>
          <w:lang w:val="en-US"/>
        </w:rPr>
        <w:t xml:space="preserve"> </w:t>
      </w:r>
      <w:r w:rsidR="00EC7295">
        <w:rPr>
          <w:snapToGrid/>
          <w:lang w:val="en-US"/>
        </w:rPr>
        <w:t xml:space="preserve">The Pre-PBAC Response noted the advice of the ESC and proposed additional restriction text to restrict the listing of NEPA IV to use only </w:t>
      </w:r>
      <w:r w:rsidR="00F62580">
        <w:rPr>
          <w:snapToGrid/>
          <w:lang w:val="en-US"/>
        </w:rPr>
        <w:t>in</w:t>
      </w:r>
      <w:r w:rsidR="00EC7295">
        <w:rPr>
          <w:snapToGrid/>
          <w:lang w:val="en-US"/>
        </w:rPr>
        <w:t xml:space="preserve"> patients who are unable to swallow or are otherwise contraindicated to oral anti-</w:t>
      </w:r>
      <w:r w:rsidR="001F1970">
        <w:rPr>
          <w:snapToGrid/>
          <w:lang w:val="en-US"/>
        </w:rPr>
        <w:t>emetics</w:t>
      </w:r>
      <w:r w:rsidR="00F62580">
        <w:rPr>
          <w:snapToGrid/>
          <w:lang w:val="en-US"/>
        </w:rPr>
        <w:t xml:space="preserve">. The Pre-PBAC Response </w:t>
      </w:r>
      <w:r w:rsidR="00EC7295">
        <w:rPr>
          <w:snapToGrid/>
          <w:lang w:val="en-US"/>
        </w:rPr>
        <w:t>argued this could be monitored at the proposed restriction level (streamlined authority).</w:t>
      </w:r>
      <w:bookmarkEnd w:id="16"/>
    </w:p>
    <w:p w14:paraId="4589D7EA" w14:textId="05F88EA5" w:rsidR="00A548DE" w:rsidRPr="009D322D" w:rsidRDefault="00A548DE" w:rsidP="009D322D">
      <w:pPr>
        <w:ind w:firstLine="709"/>
        <w:rPr>
          <w:rFonts w:asciiTheme="minorHAnsi" w:hAnsiTheme="minorHAnsi"/>
          <w:i/>
        </w:rPr>
      </w:pPr>
      <w:r w:rsidRPr="00C33D30">
        <w:rPr>
          <w:rFonts w:asciiTheme="minorHAnsi" w:hAnsiTheme="minorHAnsi"/>
          <w:i/>
        </w:rPr>
        <w:t>For more detail on PBAC’s view, see section 7 PBAC outcome.</w:t>
      </w:r>
    </w:p>
    <w:p w14:paraId="6812452B" w14:textId="77777777" w:rsidR="00223D5A" w:rsidRPr="00407F2D" w:rsidRDefault="00223D5A" w:rsidP="00223D5A">
      <w:pPr>
        <w:pStyle w:val="2-SectionHeading"/>
      </w:pPr>
      <w:bookmarkStart w:id="18" w:name="_Toc124841995"/>
      <w:bookmarkStart w:id="19" w:name="_Toc22897640"/>
      <w:r>
        <w:t>C</w:t>
      </w:r>
      <w:r w:rsidRPr="00407F2D">
        <w:t>onsideration of the evidence</w:t>
      </w:r>
      <w:bookmarkEnd w:id="18"/>
    </w:p>
    <w:p w14:paraId="07DFEC6F" w14:textId="77777777" w:rsidR="00A548DE" w:rsidRPr="006E1229" w:rsidRDefault="00A548DE" w:rsidP="009D322D">
      <w:pPr>
        <w:pStyle w:val="4-SubsectionHeading"/>
      </w:pPr>
      <w:bookmarkStart w:id="20" w:name="_Hlk76375935"/>
      <w:bookmarkStart w:id="21" w:name="_Toc124841996"/>
      <w:r w:rsidRPr="006E1229">
        <w:t>Sponsor hearing</w:t>
      </w:r>
    </w:p>
    <w:p w14:paraId="63751788" w14:textId="3B1EAA4B" w:rsidR="00A548DE" w:rsidRPr="00F91542" w:rsidRDefault="00A548DE" w:rsidP="00A548DE">
      <w:pPr>
        <w:widowControl w:val="0"/>
        <w:numPr>
          <w:ilvl w:val="1"/>
          <w:numId w:val="1"/>
        </w:numPr>
        <w:spacing w:after="120"/>
        <w:rPr>
          <w:rFonts w:cs="Calibri"/>
          <w:bCs/>
          <w:snapToGrid w:val="0"/>
        </w:rPr>
      </w:pPr>
      <w:r w:rsidRPr="00F91542">
        <w:rPr>
          <w:rFonts w:cs="Calibri"/>
          <w:bCs/>
          <w:snapToGrid w:val="0"/>
        </w:rPr>
        <w:t>There was no hearing for this item.</w:t>
      </w:r>
    </w:p>
    <w:p w14:paraId="189DCC00" w14:textId="77777777" w:rsidR="00A548DE" w:rsidRPr="006E1229" w:rsidRDefault="00A548DE" w:rsidP="009D322D">
      <w:pPr>
        <w:pStyle w:val="4-SubsectionHeading"/>
      </w:pPr>
      <w:r w:rsidRPr="006E1229">
        <w:t>Consumer comments</w:t>
      </w:r>
    </w:p>
    <w:p w14:paraId="78A7CBF3" w14:textId="3C23FCFB" w:rsidR="00A548DE" w:rsidRPr="00836F75" w:rsidRDefault="00A548DE" w:rsidP="00A548DE">
      <w:pPr>
        <w:widowControl w:val="0"/>
        <w:numPr>
          <w:ilvl w:val="1"/>
          <w:numId w:val="1"/>
        </w:numPr>
        <w:spacing w:after="120"/>
        <w:rPr>
          <w:rFonts w:asciiTheme="minorHAnsi" w:hAnsiTheme="minorHAnsi"/>
          <w:bCs/>
          <w:snapToGrid w:val="0"/>
        </w:rPr>
      </w:pPr>
      <w:bookmarkStart w:id="22" w:name="_Hlk76382618"/>
      <w:r w:rsidRPr="00836F75">
        <w:rPr>
          <w:rFonts w:asciiTheme="minorHAnsi" w:hAnsiTheme="minorHAnsi"/>
          <w:bCs/>
          <w:snapToGrid w:val="0"/>
        </w:rPr>
        <w:t xml:space="preserve">The PBAC noted the input from </w:t>
      </w:r>
      <w:r w:rsidR="00023B72">
        <w:rPr>
          <w:rFonts w:asciiTheme="minorHAnsi" w:hAnsiTheme="minorHAnsi"/>
          <w:bCs/>
          <w:snapToGrid w:val="0"/>
        </w:rPr>
        <w:t xml:space="preserve">Antengene (AUS) Pty Ltd (the sponsor of the PBS-listed drug </w:t>
      </w:r>
      <w:r w:rsidR="007D56AC">
        <w:rPr>
          <w:rFonts w:asciiTheme="minorHAnsi" w:hAnsiTheme="minorHAnsi"/>
          <w:bCs/>
          <w:snapToGrid w:val="0"/>
        </w:rPr>
        <w:t>s</w:t>
      </w:r>
      <w:r w:rsidR="00023B72">
        <w:rPr>
          <w:rFonts w:asciiTheme="minorHAnsi" w:hAnsiTheme="minorHAnsi"/>
          <w:bCs/>
          <w:snapToGrid w:val="0"/>
        </w:rPr>
        <w:t>elinexor), which discussed the impact of</w:t>
      </w:r>
      <w:r w:rsidR="007D56AC">
        <w:rPr>
          <w:rFonts w:asciiTheme="minorHAnsi" w:hAnsiTheme="minorHAnsi"/>
          <w:bCs/>
          <w:snapToGrid w:val="0"/>
        </w:rPr>
        <w:t xml:space="preserve"> chemotherapy-induced nausea and vomiting and highlighted the need for additional treatment options and for broader review of the structure of the listings of anti-emetic agents for this purpose.</w:t>
      </w:r>
    </w:p>
    <w:bookmarkEnd w:id="20"/>
    <w:bookmarkEnd w:id="22"/>
    <w:p w14:paraId="1FF47377" w14:textId="54554D91" w:rsidR="00B60939" w:rsidRPr="00C9624D" w:rsidRDefault="00B60939" w:rsidP="002E4F02">
      <w:pPr>
        <w:pStyle w:val="4-SubsectionHeading"/>
      </w:pPr>
      <w:r w:rsidRPr="00C9624D">
        <w:t>Clinical trials</w:t>
      </w:r>
      <w:bookmarkEnd w:id="19"/>
      <w:bookmarkEnd w:id="21"/>
    </w:p>
    <w:p w14:paraId="68B8472A" w14:textId="279D4675" w:rsidR="00393236" w:rsidRPr="0002340D" w:rsidRDefault="00393AF2" w:rsidP="002E4F02">
      <w:pPr>
        <w:pStyle w:val="3-BodyText"/>
      </w:pPr>
      <w:r w:rsidRPr="0002340D">
        <w:rPr>
          <w:snapToGrid/>
        </w:rPr>
        <w:t>The submission was based on two head-to-head</w:t>
      </w:r>
      <w:r w:rsidR="00BE2D28" w:rsidRPr="0002340D">
        <w:rPr>
          <w:snapToGrid/>
        </w:rPr>
        <w:t>,</w:t>
      </w:r>
      <w:r w:rsidRPr="0002340D">
        <w:rPr>
          <w:snapToGrid/>
        </w:rPr>
        <w:t xml:space="preserve"> double-blinded</w:t>
      </w:r>
      <w:r w:rsidR="00BE2D28" w:rsidRPr="0002340D">
        <w:rPr>
          <w:snapToGrid/>
        </w:rPr>
        <w:t>,</w:t>
      </w:r>
      <w:r w:rsidRPr="0002340D">
        <w:rPr>
          <w:snapToGrid/>
        </w:rPr>
        <w:t xml:space="preserve"> randomised trials (CONSOLE and CONSOLE-BC) which compared the administration of a premixed infusion</w:t>
      </w:r>
      <w:r w:rsidRPr="0002340D">
        <w:rPr>
          <w:snapToGrid/>
          <w:vertAlign w:val="superscript"/>
        </w:rPr>
        <w:footnoteReference w:id="6"/>
      </w:r>
      <w:r w:rsidRPr="0002340D">
        <w:rPr>
          <w:snapToGrid/>
        </w:rPr>
        <w:t xml:space="preserve"> of </w:t>
      </w:r>
      <w:r w:rsidR="00863E89" w:rsidRPr="0002340D">
        <w:rPr>
          <w:snapToGrid/>
        </w:rPr>
        <w:t>FosNTP</w:t>
      </w:r>
      <w:r w:rsidRPr="0002340D">
        <w:rPr>
          <w:snapToGrid/>
        </w:rPr>
        <w:t xml:space="preserve"> + </w:t>
      </w:r>
      <w:r w:rsidR="00863E89" w:rsidRPr="0002340D">
        <w:rPr>
          <w:snapToGrid/>
        </w:rPr>
        <w:t xml:space="preserve">PALO </w:t>
      </w:r>
      <w:r w:rsidRPr="0002340D">
        <w:rPr>
          <w:snapToGrid/>
        </w:rPr>
        <w:t>+ DEX</w:t>
      </w:r>
      <w:r w:rsidR="00CA256D" w:rsidRPr="0002340D">
        <w:rPr>
          <w:snapToGrid/>
        </w:rPr>
        <w:t xml:space="preserve"> (henceforth referred to as </w:t>
      </w:r>
      <w:bookmarkStart w:id="23" w:name="_Hlk124169688"/>
      <w:r w:rsidR="00CA256D" w:rsidRPr="0002340D">
        <w:rPr>
          <w:snapToGrid/>
        </w:rPr>
        <w:t xml:space="preserve">FosNTP+PALO </w:t>
      </w:r>
      <w:bookmarkEnd w:id="23"/>
      <w:r w:rsidR="00CA256D" w:rsidRPr="0002340D">
        <w:rPr>
          <w:snapToGrid/>
        </w:rPr>
        <w:t>with use of DEX assumed)</w:t>
      </w:r>
      <w:r w:rsidRPr="0002340D">
        <w:rPr>
          <w:snapToGrid/>
        </w:rPr>
        <w:t xml:space="preserve">, with </w:t>
      </w:r>
      <w:r w:rsidR="00CA256D" w:rsidRPr="0002340D">
        <w:rPr>
          <w:snapToGrid/>
        </w:rPr>
        <w:t>FosAPR</w:t>
      </w:r>
      <w:r w:rsidRPr="0002340D">
        <w:rPr>
          <w:snapToGrid/>
        </w:rPr>
        <w:t xml:space="preserve"> + </w:t>
      </w:r>
      <w:r w:rsidR="00CA256D" w:rsidRPr="0002340D">
        <w:rPr>
          <w:snapToGrid/>
        </w:rPr>
        <w:t>PALO</w:t>
      </w:r>
      <w:r w:rsidRPr="0002340D">
        <w:rPr>
          <w:snapToGrid/>
        </w:rPr>
        <w:t xml:space="preserve"> + DEX injection (henceforth referred to as </w:t>
      </w:r>
      <w:r w:rsidR="00966F38" w:rsidRPr="0002340D">
        <w:rPr>
          <w:snapToGrid/>
        </w:rPr>
        <w:t>FosAPR</w:t>
      </w:r>
      <w:r w:rsidRPr="0002340D">
        <w:rPr>
          <w:snapToGrid/>
        </w:rPr>
        <w:t xml:space="preserve">+PALO with use of DEX assumed), in patients receiving two types of HEC (platinum-based therapy, &gt;85% for lung cancer in CONSOLE and AC </w:t>
      </w:r>
      <w:r w:rsidR="001B347F" w:rsidRPr="0002340D">
        <w:rPr>
          <w:snapToGrid/>
        </w:rPr>
        <w:t xml:space="preserve">combination </w:t>
      </w:r>
      <w:r w:rsidRPr="0002340D">
        <w:rPr>
          <w:snapToGrid/>
        </w:rPr>
        <w:t>for breast cancer in CONSOLE-BC)</w:t>
      </w:r>
      <w:r w:rsidR="00393236" w:rsidRPr="0002340D">
        <w:rPr>
          <w:snapToGrid/>
        </w:rPr>
        <w:t>.</w:t>
      </w:r>
      <w:r w:rsidR="009D12D9" w:rsidRPr="0002340D">
        <w:rPr>
          <w:snapToGrid/>
        </w:rPr>
        <w:t xml:space="preserve"> </w:t>
      </w:r>
      <w:r w:rsidR="00CA256D" w:rsidRPr="0002340D">
        <w:rPr>
          <w:snapToGrid/>
        </w:rPr>
        <w:t xml:space="preserve">The submission assumed that premixed FosNTP+PALO, as administered in the trials, was a reasonable proxy for NEPA IV. </w:t>
      </w:r>
      <w:r w:rsidR="009D12D9" w:rsidRPr="0002340D">
        <w:rPr>
          <w:snapToGrid/>
        </w:rPr>
        <w:t>The</w:t>
      </w:r>
      <w:r w:rsidR="00CA256D" w:rsidRPr="0002340D">
        <w:rPr>
          <w:snapToGrid/>
        </w:rPr>
        <w:t xml:space="preserve"> CONSOLE and CONSOLE-BC trials </w:t>
      </w:r>
      <w:r w:rsidR="009D12D9" w:rsidRPr="0002340D">
        <w:rPr>
          <w:snapToGrid/>
        </w:rPr>
        <w:t>have not been previously considered by the PBAC</w:t>
      </w:r>
      <w:r w:rsidR="00A77FA8" w:rsidRPr="0002340D">
        <w:rPr>
          <w:snapToGrid/>
        </w:rPr>
        <w:t xml:space="preserve"> (refer to </w:t>
      </w:r>
      <w:r w:rsidR="00A77FA8" w:rsidRPr="0002340D">
        <w:rPr>
          <w:snapToGrid/>
        </w:rPr>
        <w:fldChar w:fldCharType="begin"/>
      </w:r>
      <w:r w:rsidR="00A77FA8" w:rsidRPr="0002340D">
        <w:rPr>
          <w:snapToGrid/>
        </w:rPr>
        <w:instrText xml:space="preserve"> REF _Ref122531195 \h </w:instrText>
      </w:r>
      <w:r w:rsidR="0002340D" w:rsidRPr="0002340D">
        <w:rPr>
          <w:snapToGrid/>
        </w:rPr>
        <w:instrText xml:space="preserve"> \* MERGEFORMAT </w:instrText>
      </w:r>
      <w:r w:rsidR="00A77FA8" w:rsidRPr="0002340D">
        <w:rPr>
          <w:snapToGrid/>
        </w:rPr>
      </w:r>
      <w:r w:rsidR="00A77FA8" w:rsidRPr="0002340D">
        <w:rPr>
          <w:snapToGrid/>
        </w:rPr>
        <w:fldChar w:fldCharType="separate"/>
      </w:r>
      <w:r w:rsidR="00775281">
        <w:t xml:space="preserve">Table </w:t>
      </w:r>
      <w:r w:rsidR="00775281">
        <w:rPr>
          <w:noProof/>
        </w:rPr>
        <w:t>2</w:t>
      </w:r>
      <w:r w:rsidR="00A77FA8" w:rsidRPr="0002340D">
        <w:rPr>
          <w:snapToGrid/>
        </w:rPr>
        <w:fldChar w:fldCharType="end"/>
      </w:r>
      <w:r w:rsidR="00A77FA8" w:rsidRPr="0002340D">
        <w:rPr>
          <w:snapToGrid/>
        </w:rPr>
        <w:t xml:space="preserve"> for details</w:t>
      </w:r>
      <w:r w:rsidR="00CA256D" w:rsidRPr="0002340D">
        <w:rPr>
          <w:snapToGrid/>
        </w:rPr>
        <w:t xml:space="preserve"> on previous submissions for NEPA and NEPA IV</w:t>
      </w:r>
      <w:r w:rsidR="00A77FA8" w:rsidRPr="0002340D">
        <w:rPr>
          <w:snapToGrid/>
        </w:rPr>
        <w:t>)</w:t>
      </w:r>
      <w:r w:rsidR="00B74D2B" w:rsidRPr="0002340D">
        <w:rPr>
          <w:snapToGrid/>
        </w:rPr>
        <w:t>.</w:t>
      </w:r>
      <w:r w:rsidR="00A77FA8" w:rsidRPr="0002340D">
        <w:rPr>
          <w:snapToGrid/>
        </w:rPr>
        <w:t xml:space="preserve"> </w:t>
      </w:r>
    </w:p>
    <w:p w14:paraId="1543EF90" w14:textId="6D7F260A" w:rsidR="009D12D9" w:rsidRPr="009D12D9" w:rsidRDefault="009D12D9" w:rsidP="002E2180">
      <w:pPr>
        <w:pStyle w:val="3-BodyText"/>
      </w:pPr>
      <w:r w:rsidRPr="009D12D9">
        <w:rPr>
          <w:iCs/>
        </w:rPr>
        <w:t xml:space="preserve">The CONSOLE trial </w:t>
      </w:r>
      <w:r w:rsidR="00CE055C">
        <w:rPr>
          <w:iCs/>
        </w:rPr>
        <w:t xml:space="preserve">was </w:t>
      </w:r>
      <w:r w:rsidRPr="009D12D9">
        <w:rPr>
          <w:iCs/>
        </w:rPr>
        <w:t xml:space="preserve">comprised of two phases: a single chemotherapy cycle (S-cycle; Course 1); and a multiple chemotherapy cycles phase (M-cycles; Courses 2-4). </w:t>
      </w:r>
      <w:r w:rsidRPr="009D12D9">
        <w:rPr>
          <w:iCs/>
          <w:snapToGrid/>
        </w:rPr>
        <w:t>The S-cycle evaluated the non</w:t>
      </w:r>
      <w:r>
        <w:rPr>
          <w:iCs/>
          <w:snapToGrid/>
        </w:rPr>
        <w:t>-</w:t>
      </w:r>
      <w:r w:rsidRPr="009D12D9">
        <w:rPr>
          <w:iCs/>
          <w:snapToGrid/>
        </w:rPr>
        <w:t xml:space="preserve">inferiority of FosNTP to FosAPR when administered once in combination with PALO 0.75 </w:t>
      </w:r>
      <w:r w:rsidR="009E2338">
        <w:rPr>
          <w:iCs/>
          <w:snapToGrid/>
        </w:rPr>
        <w:t> mg</w:t>
      </w:r>
      <w:r w:rsidRPr="009D12D9">
        <w:rPr>
          <w:iCs/>
          <w:snapToGrid/>
        </w:rPr>
        <w:t xml:space="preserve"> and DEX to patients receiving cisplatin-based chemotherapy. The M-cycles evaluated the safety of administering </w:t>
      </w:r>
      <w:r w:rsidR="006C05CA">
        <w:rPr>
          <w:iCs/>
          <w:snapToGrid/>
        </w:rPr>
        <w:t>multiple (</w:t>
      </w:r>
      <w:r w:rsidRPr="009D12D9">
        <w:rPr>
          <w:iCs/>
          <w:snapToGrid/>
        </w:rPr>
        <w:t>up to three</w:t>
      </w:r>
      <w:r w:rsidR="006C05CA">
        <w:rPr>
          <w:iCs/>
          <w:snapToGrid/>
        </w:rPr>
        <w:t>)</w:t>
      </w:r>
      <w:r w:rsidRPr="009D12D9">
        <w:rPr>
          <w:iCs/>
          <w:snapToGrid/>
        </w:rPr>
        <w:t xml:space="preserve"> courses of FosNTP to patients who had completed the S-cycle and consented to participate. Thus</w:t>
      </w:r>
      <w:r>
        <w:rPr>
          <w:iCs/>
          <w:snapToGrid/>
        </w:rPr>
        <w:t>,</w:t>
      </w:r>
      <w:r w:rsidRPr="009D12D9">
        <w:rPr>
          <w:iCs/>
          <w:snapToGrid/>
        </w:rPr>
        <w:t xml:space="preserve"> the S-cycle represents the blinded randomised control phase</w:t>
      </w:r>
      <w:r>
        <w:rPr>
          <w:iCs/>
          <w:snapToGrid/>
        </w:rPr>
        <w:t xml:space="preserve"> and the key evidence for comparative effectiveness and safety. T</w:t>
      </w:r>
      <w:r w:rsidRPr="009D12D9">
        <w:rPr>
          <w:iCs/>
          <w:snapToGrid/>
        </w:rPr>
        <w:t xml:space="preserve">he M-cycles </w:t>
      </w:r>
      <w:r>
        <w:rPr>
          <w:iCs/>
          <w:snapToGrid/>
        </w:rPr>
        <w:t xml:space="preserve">phase </w:t>
      </w:r>
      <w:r w:rsidRPr="009D12D9">
        <w:rPr>
          <w:iCs/>
          <w:snapToGrid/>
        </w:rPr>
        <w:t>represent</w:t>
      </w:r>
      <w:r>
        <w:rPr>
          <w:iCs/>
          <w:snapToGrid/>
        </w:rPr>
        <w:t>s</w:t>
      </w:r>
      <w:r w:rsidRPr="009D12D9">
        <w:rPr>
          <w:iCs/>
          <w:snapToGrid/>
        </w:rPr>
        <w:t xml:space="preserve"> the </w:t>
      </w:r>
      <w:r>
        <w:rPr>
          <w:iCs/>
          <w:snapToGrid/>
        </w:rPr>
        <w:t>open-label</w:t>
      </w:r>
      <w:r w:rsidRPr="009D12D9">
        <w:rPr>
          <w:iCs/>
          <w:snapToGrid/>
        </w:rPr>
        <w:t xml:space="preserve"> single arm phase</w:t>
      </w:r>
      <w:r w:rsidRPr="009D12D9">
        <w:rPr>
          <w:i/>
          <w:iCs/>
          <w:snapToGrid/>
        </w:rPr>
        <w:t>.</w:t>
      </w:r>
    </w:p>
    <w:p w14:paraId="3510FFEC" w14:textId="6CD2B856" w:rsidR="009D12D9" w:rsidRPr="009D12D9" w:rsidRDefault="009D12D9" w:rsidP="002E2180">
      <w:pPr>
        <w:pStyle w:val="3-BodyText"/>
      </w:pPr>
      <w:r w:rsidRPr="009D12D9">
        <w:rPr>
          <w:iCs/>
          <w:snapToGrid/>
        </w:rPr>
        <w:t xml:space="preserve">A PALO dose of 0.75 </w:t>
      </w:r>
      <w:r w:rsidR="009E2338">
        <w:rPr>
          <w:iCs/>
          <w:snapToGrid/>
        </w:rPr>
        <w:t> mg</w:t>
      </w:r>
      <w:r w:rsidRPr="009D12D9">
        <w:rPr>
          <w:iCs/>
          <w:snapToGrid/>
        </w:rPr>
        <w:t xml:space="preserve"> was administered in the CONSOLE and CONSOLE-BC trials. This dose is higher than the PALO component dose (0.25 </w:t>
      </w:r>
      <w:r w:rsidR="009E2338">
        <w:rPr>
          <w:iCs/>
          <w:snapToGrid/>
        </w:rPr>
        <w:t> mg</w:t>
      </w:r>
      <w:r w:rsidRPr="009D12D9">
        <w:rPr>
          <w:iCs/>
          <w:snapToGrid/>
        </w:rPr>
        <w:t>) in NEPA IV. The submission presented evidence to support that both doses have equivalent efficacy and safety</w:t>
      </w:r>
      <w:r>
        <w:rPr>
          <w:iCs/>
          <w:snapToGrid/>
        </w:rPr>
        <w:t>.</w:t>
      </w:r>
    </w:p>
    <w:p w14:paraId="7C08A1D6" w14:textId="3391DFD8" w:rsidR="009D12D9" w:rsidRPr="009D12D9" w:rsidRDefault="009D12D9" w:rsidP="002E2180">
      <w:pPr>
        <w:pStyle w:val="3-BodyText"/>
      </w:pPr>
      <w:r>
        <w:rPr>
          <w:iCs/>
          <w:snapToGrid/>
        </w:rPr>
        <w:t xml:space="preserve">A claim of </w:t>
      </w:r>
      <w:r w:rsidR="001B347F">
        <w:rPr>
          <w:iCs/>
          <w:snapToGrid/>
        </w:rPr>
        <w:t>superior safety</w:t>
      </w:r>
      <w:r>
        <w:rPr>
          <w:iCs/>
          <w:snapToGrid/>
        </w:rPr>
        <w:t xml:space="preserve"> in terms of a reduced risk of injection site reactions </w:t>
      </w:r>
      <w:r w:rsidR="00234B32">
        <w:rPr>
          <w:iCs/>
          <w:snapToGrid/>
        </w:rPr>
        <w:t>(I</w:t>
      </w:r>
      <w:r>
        <w:rPr>
          <w:iCs/>
          <w:snapToGrid/>
        </w:rPr>
        <w:t>SRs) was made based on a meta-analysis of the CONSOLE and CONSOLE-BC trials conducted for the submission.</w:t>
      </w:r>
    </w:p>
    <w:p w14:paraId="5D6F3FF4" w14:textId="52FF48C2" w:rsidR="00862502" w:rsidRPr="00B50DB8" w:rsidRDefault="00A73134" w:rsidP="002E4F02">
      <w:pPr>
        <w:pStyle w:val="3-BodyText"/>
      </w:pPr>
      <w:r>
        <w:rPr>
          <w:snapToGrid/>
          <w:lang w:val="en-US"/>
        </w:rPr>
        <w:t>Details of the trials</w:t>
      </w:r>
      <w:r w:rsidR="009D12D9">
        <w:rPr>
          <w:snapToGrid/>
          <w:lang w:val="en-US"/>
        </w:rPr>
        <w:t xml:space="preserve"> </w:t>
      </w:r>
      <w:r>
        <w:rPr>
          <w:snapToGrid/>
          <w:lang w:val="en-US"/>
        </w:rPr>
        <w:t xml:space="preserve">presented in the submission are provided in </w:t>
      </w:r>
      <w:r w:rsidR="00696EF9">
        <w:rPr>
          <w:snapToGrid/>
          <w:lang w:val="en-US"/>
        </w:rPr>
        <w:fldChar w:fldCharType="begin"/>
      </w:r>
      <w:r w:rsidR="00696EF9">
        <w:rPr>
          <w:snapToGrid/>
          <w:lang w:val="en-US"/>
        </w:rPr>
        <w:instrText xml:space="preserve"> REF _Ref104803956 \h </w:instrText>
      </w:r>
      <w:r w:rsidR="00696EF9">
        <w:rPr>
          <w:snapToGrid/>
          <w:lang w:val="en-US"/>
        </w:rPr>
      </w:r>
      <w:r w:rsidR="00696EF9">
        <w:rPr>
          <w:snapToGrid/>
          <w:lang w:val="en-US"/>
        </w:rPr>
        <w:fldChar w:fldCharType="separate"/>
      </w:r>
      <w:r w:rsidR="00775281">
        <w:t xml:space="preserve">Table </w:t>
      </w:r>
      <w:r w:rsidR="00775281">
        <w:rPr>
          <w:noProof/>
        </w:rPr>
        <w:t>4</w:t>
      </w:r>
      <w:r w:rsidR="00696EF9">
        <w:rPr>
          <w:snapToGrid/>
          <w:lang w:val="en-US"/>
        </w:rPr>
        <w:fldChar w:fldCharType="end"/>
      </w:r>
      <w:r>
        <w:rPr>
          <w:snapToGrid/>
          <w:lang w:val="en-US"/>
        </w:rPr>
        <w:t>.</w:t>
      </w:r>
      <w:r w:rsidR="00BC591F">
        <w:rPr>
          <w:snapToGrid/>
          <w:lang w:val="en-US"/>
        </w:rPr>
        <w:t xml:space="preserve"> </w:t>
      </w:r>
    </w:p>
    <w:p w14:paraId="0FF56828" w14:textId="54F471AB" w:rsidR="006927E8" w:rsidRDefault="00696EF9" w:rsidP="006927E8">
      <w:pPr>
        <w:pStyle w:val="Caption"/>
      </w:pPr>
      <w:bookmarkStart w:id="24" w:name="_Ref104803956"/>
      <w:r>
        <w:t xml:space="preserve">Table </w:t>
      </w:r>
      <w:fldSimple w:instr=" SEQ Table \* ARABIC ">
        <w:r w:rsidR="00775281">
          <w:rPr>
            <w:noProof/>
          </w:rPr>
          <w:t>4</w:t>
        </w:r>
      </w:fldSimple>
      <w:bookmarkEnd w:id="24"/>
      <w:r>
        <w:t>:</w:t>
      </w:r>
      <w:r w:rsidR="00BC591F" w:rsidRPr="002E4F02">
        <w:rPr>
          <w:rStyle w:val="CommentReference"/>
          <w:b/>
          <w:szCs w:val="24"/>
        </w:rPr>
        <w:t xml:space="preserve"> </w:t>
      </w:r>
      <w:r w:rsidR="006927E8" w:rsidRPr="0023413C">
        <w:rPr>
          <w:rStyle w:val="CommentReference"/>
          <w:b/>
          <w:szCs w:val="24"/>
        </w:rPr>
        <w:t>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5"/>
        <w:gridCol w:w="5459"/>
        <w:gridCol w:w="2123"/>
      </w:tblGrid>
      <w:tr w:rsidR="006927E8" w:rsidRPr="00B41614" w14:paraId="06508C7B" w14:textId="77777777" w:rsidTr="008D0FE4">
        <w:trPr>
          <w:cantSplit/>
          <w:tblHeader/>
        </w:trPr>
        <w:tc>
          <w:tcPr>
            <w:tcW w:w="796" w:type="pct"/>
            <w:vAlign w:val="center"/>
          </w:tcPr>
          <w:p w14:paraId="54A98B51" w14:textId="77777777" w:rsidR="006927E8" w:rsidRPr="00B41614" w:rsidRDefault="006927E8" w:rsidP="006927E8">
            <w:pPr>
              <w:pStyle w:val="In-tableHeading"/>
            </w:pPr>
            <w:r w:rsidRPr="00B41614">
              <w:t>Trial ID</w:t>
            </w:r>
          </w:p>
        </w:tc>
        <w:tc>
          <w:tcPr>
            <w:tcW w:w="3027" w:type="pct"/>
            <w:vAlign w:val="center"/>
          </w:tcPr>
          <w:p w14:paraId="07527287" w14:textId="77777777" w:rsidR="006927E8" w:rsidRPr="00B41614" w:rsidRDefault="006927E8" w:rsidP="006927E8">
            <w:pPr>
              <w:pStyle w:val="In-tableHeading"/>
            </w:pPr>
            <w:r w:rsidRPr="00B41614">
              <w:t>Protocol title/ Publication title</w:t>
            </w:r>
          </w:p>
        </w:tc>
        <w:tc>
          <w:tcPr>
            <w:tcW w:w="1177" w:type="pct"/>
            <w:vAlign w:val="center"/>
          </w:tcPr>
          <w:p w14:paraId="01005F31" w14:textId="77777777" w:rsidR="006927E8" w:rsidRPr="00B41614" w:rsidRDefault="006927E8" w:rsidP="006927E8">
            <w:pPr>
              <w:pStyle w:val="In-tableHeading"/>
            </w:pPr>
            <w:r w:rsidRPr="00B41614">
              <w:t>Publication citation</w:t>
            </w:r>
          </w:p>
        </w:tc>
      </w:tr>
      <w:tr w:rsidR="006927E8" w:rsidRPr="00CB38A8" w14:paraId="3EF7D484" w14:textId="77777777" w:rsidTr="008D0FE4">
        <w:trPr>
          <w:cantSplit/>
        </w:trPr>
        <w:tc>
          <w:tcPr>
            <w:tcW w:w="796" w:type="pct"/>
            <w:vMerge w:val="restart"/>
            <w:vAlign w:val="center"/>
          </w:tcPr>
          <w:p w14:paraId="5B2A0E92" w14:textId="77777777" w:rsidR="006927E8" w:rsidRPr="00CB38A8" w:rsidRDefault="006927E8" w:rsidP="006927E8">
            <w:pPr>
              <w:pStyle w:val="TableText0"/>
            </w:pPr>
            <w:r>
              <w:t>CONSOLE</w:t>
            </w:r>
          </w:p>
        </w:tc>
        <w:tc>
          <w:tcPr>
            <w:tcW w:w="3027" w:type="pct"/>
            <w:tcBorders>
              <w:bottom w:val="nil"/>
            </w:tcBorders>
          </w:tcPr>
          <w:p w14:paraId="777DCBBD" w14:textId="77777777" w:rsidR="006927E8" w:rsidRPr="00AB6248" w:rsidRDefault="006927E8" w:rsidP="006927E8">
            <w:pPr>
              <w:pStyle w:val="TableText0"/>
              <w:rPr>
                <w:szCs w:val="18"/>
              </w:rPr>
            </w:pPr>
            <w:r w:rsidRPr="00595029">
              <w:t xml:space="preserve">Hata A, Okamoto I, et al. Randomized, Double-Blind, Phase III Study of Fosnetupitant Versus Fosaprepitant for Prevention of Highly Emetogenic Chemotherapy-Induced Nausea and Vomiting: CONSOLE. </w:t>
            </w:r>
          </w:p>
        </w:tc>
        <w:tc>
          <w:tcPr>
            <w:tcW w:w="1177" w:type="pct"/>
            <w:tcBorders>
              <w:bottom w:val="nil"/>
            </w:tcBorders>
            <w:vAlign w:val="center"/>
          </w:tcPr>
          <w:p w14:paraId="2FFE044D" w14:textId="77777777" w:rsidR="006927E8" w:rsidRPr="00CB38A8" w:rsidRDefault="006927E8" w:rsidP="006927E8">
            <w:pPr>
              <w:pStyle w:val="TableText0"/>
            </w:pPr>
            <w:r w:rsidRPr="002639A6">
              <w:rPr>
                <w:i/>
                <w:szCs w:val="18"/>
              </w:rPr>
              <w:t>Journal of Clinical Oncology</w:t>
            </w:r>
            <w:r w:rsidRPr="002639A6">
              <w:rPr>
                <w:szCs w:val="18"/>
              </w:rPr>
              <w:t xml:space="preserve"> </w:t>
            </w:r>
            <w:r w:rsidRPr="002639A6">
              <w:t>2022; 40(2): 180-</w:t>
            </w:r>
            <w:r>
              <w:t>188.</w:t>
            </w:r>
          </w:p>
        </w:tc>
      </w:tr>
      <w:tr w:rsidR="006927E8" w:rsidRPr="00CB38A8" w14:paraId="7EDB2B45" w14:textId="77777777" w:rsidTr="008D0FE4">
        <w:trPr>
          <w:cantSplit/>
          <w:trHeight w:val="1157"/>
        </w:trPr>
        <w:tc>
          <w:tcPr>
            <w:tcW w:w="796" w:type="pct"/>
            <w:vMerge/>
            <w:vAlign w:val="center"/>
          </w:tcPr>
          <w:p w14:paraId="44A09DED" w14:textId="77777777" w:rsidR="006927E8" w:rsidRPr="00CB38A8" w:rsidRDefault="006927E8" w:rsidP="006927E8">
            <w:pPr>
              <w:pStyle w:val="TableText0"/>
            </w:pPr>
          </w:p>
        </w:tc>
        <w:tc>
          <w:tcPr>
            <w:tcW w:w="3027" w:type="pct"/>
            <w:tcBorders>
              <w:top w:val="nil"/>
            </w:tcBorders>
          </w:tcPr>
          <w:p w14:paraId="60D75BFF" w14:textId="77777777" w:rsidR="006927E8" w:rsidRPr="00E34A35" w:rsidRDefault="006927E8" w:rsidP="006927E8">
            <w:pPr>
              <w:pStyle w:val="TableText0"/>
              <w:rPr>
                <w:szCs w:val="18"/>
              </w:rPr>
            </w:pPr>
            <w:r w:rsidRPr="002639A6">
              <w:rPr>
                <w:szCs w:val="18"/>
                <w:lang w:val="en-US"/>
              </w:rPr>
              <w:t xml:space="preserve">Hata A, Shiraishi Y, et al. Exploratory Analysis Comparing Fosnetupitant Versus Fosaprepitant for Prevention of Highly Emetogenic Chemotherapy-Induced Nausea and Vomiting (CINV): A Randomized, Double-Blind, Phase 3 Study (CONSOLE). </w:t>
            </w:r>
          </w:p>
        </w:tc>
        <w:tc>
          <w:tcPr>
            <w:tcW w:w="1177" w:type="pct"/>
            <w:tcBorders>
              <w:top w:val="nil"/>
            </w:tcBorders>
            <w:vAlign w:val="center"/>
          </w:tcPr>
          <w:p w14:paraId="40F129BE" w14:textId="77777777" w:rsidR="006927E8" w:rsidRPr="00E34A35" w:rsidRDefault="006927E8" w:rsidP="006927E8">
            <w:pPr>
              <w:pStyle w:val="TableText0"/>
              <w:rPr>
                <w:szCs w:val="18"/>
              </w:rPr>
            </w:pPr>
            <w:r w:rsidRPr="002639A6">
              <w:rPr>
                <w:i/>
                <w:szCs w:val="18"/>
                <w:lang w:val="en-US"/>
              </w:rPr>
              <w:t>Oncology and Therapy</w:t>
            </w:r>
            <w:r w:rsidRPr="002639A6">
              <w:rPr>
                <w:szCs w:val="18"/>
                <w:lang w:val="en-US"/>
              </w:rPr>
              <w:t xml:space="preserve"> 2022; 10(1): 253-</w:t>
            </w:r>
            <w:r>
              <w:rPr>
                <w:szCs w:val="18"/>
                <w:lang w:val="en-US"/>
              </w:rPr>
              <w:t>262.</w:t>
            </w:r>
          </w:p>
        </w:tc>
      </w:tr>
      <w:tr w:rsidR="006927E8" w:rsidRPr="00CB38A8" w14:paraId="09E652EB" w14:textId="77777777" w:rsidTr="008D0FE4">
        <w:trPr>
          <w:cantSplit/>
        </w:trPr>
        <w:tc>
          <w:tcPr>
            <w:tcW w:w="796" w:type="pct"/>
            <w:vMerge w:val="restart"/>
            <w:vAlign w:val="center"/>
          </w:tcPr>
          <w:p w14:paraId="391800AF" w14:textId="77777777" w:rsidR="006927E8" w:rsidRPr="00CB38A8" w:rsidRDefault="006927E8" w:rsidP="006927E8">
            <w:pPr>
              <w:pStyle w:val="TableText0"/>
            </w:pPr>
            <w:r>
              <w:t>CONSOLE-BC</w:t>
            </w:r>
          </w:p>
        </w:tc>
        <w:tc>
          <w:tcPr>
            <w:tcW w:w="3027" w:type="pct"/>
            <w:tcBorders>
              <w:bottom w:val="nil"/>
            </w:tcBorders>
            <w:vAlign w:val="center"/>
          </w:tcPr>
          <w:p w14:paraId="68DF14E9" w14:textId="77777777" w:rsidR="006927E8" w:rsidRPr="00CB38A8" w:rsidRDefault="006927E8" w:rsidP="006927E8">
            <w:pPr>
              <w:pStyle w:val="TableText0"/>
            </w:pPr>
            <w:r w:rsidRPr="002639A6">
              <w:rPr>
                <w:szCs w:val="18"/>
              </w:rPr>
              <w:t>Matsuura K, et al. A phase 3 safety study of fosnetupitant as an antiemetic in patients receiving anthracycline and cyclophosphamide: CONSOLE-BC.)</w:t>
            </w:r>
          </w:p>
        </w:tc>
        <w:tc>
          <w:tcPr>
            <w:tcW w:w="1177" w:type="pct"/>
            <w:tcBorders>
              <w:bottom w:val="nil"/>
            </w:tcBorders>
            <w:vAlign w:val="center"/>
          </w:tcPr>
          <w:p w14:paraId="51321898" w14:textId="77777777" w:rsidR="006927E8" w:rsidRPr="004A2558" w:rsidRDefault="006927E8" w:rsidP="006927E8">
            <w:pPr>
              <w:pStyle w:val="TableText0"/>
            </w:pPr>
            <w:r w:rsidRPr="002639A6">
              <w:rPr>
                <w:i/>
                <w:szCs w:val="18"/>
              </w:rPr>
              <w:t>Cancer</w:t>
            </w:r>
            <w:r w:rsidRPr="002639A6">
              <w:rPr>
                <w:szCs w:val="18"/>
              </w:rPr>
              <w:t xml:space="preserve"> 2022; 128(8): 1692-</w:t>
            </w:r>
            <w:r>
              <w:rPr>
                <w:szCs w:val="18"/>
              </w:rPr>
              <w:t>1698</w:t>
            </w:r>
            <w:r>
              <w:t>.</w:t>
            </w:r>
          </w:p>
        </w:tc>
      </w:tr>
      <w:tr w:rsidR="006927E8" w:rsidRPr="00CB38A8" w14:paraId="551310AF" w14:textId="77777777" w:rsidTr="008D0FE4">
        <w:trPr>
          <w:cantSplit/>
          <w:trHeight w:val="1377"/>
        </w:trPr>
        <w:tc>
          <w:tcPr>
            <w:tcW w:w="796" w:type="pct"/>
            <w:vMerge/>
            <w:vAlign w:val="center"/>
          </w:tcPr>
          <w:p w14:paraId="6407B0B9" w14:textId="77777777" w:rsidR="006927E8" w:rsidRPr="00CB38A8" w:rsidRDefault="006927E8" w:rsidP="006927E8">
            <w:pPr>
              <w:pStyle w:val="TableText0"/>
            </w:pPr>
          </w:p>
        </w:tc>
        <w:tc>
          <w:tcPr>
            <w:tcW w:w="3027" w:type="pct"/>
            <w:tcBorders>
              <w:top w:val="nil"/>
            </w:tcBorders>
            <w:vAlign w:val="center"/>
          </w:tcPr>
          <w:p w14:paraId="1613A19F" w14:textId="77777777" w:rsidR="006927E8" w:rsidRPr="00E34A35" w:rsidRDefault="006927E8" w:rsidP="006927E8">
            <w:pPr>
              <w:pStyle w:val="TableText0"/>
              <w:rPr>
                <w:szCs w:val="18"/>
              </w:rPr>
            </w:pPr>
            <w:r w:rsidRPr="002639A6">
              <w:rPr>
                <w:szCs w:val="18"/>
              </w:rPr>
              <w:t>Tsurutani J</w:t>
            </w:r>
            <w:r>
              <w:rPr>
                <w:szCs w:val="18"/>
              </w:rPr>
              <w:t xml:space="preserve">, </w:t>
            </w:r>
            <w:r w:rsidRPr="002639A6">
              <w:rPr>
                <w:szCs w:val="18"/>
              </w:rPr>
              <w:t xml:space="preserve">et al. A randomized, double-blind, multicenter, phase III study of fosnetupitant for the prevention of chemotherapy-induced nausea and vomiting (CINV) in patients receiving doxorubic-incyclophosphamide/ epirubicincyclophosphamide (AC/EC) based highly emetogenic chemotherapy: CONSOLE-BC. </w:t>
            </w:r>
          </w:p>
        </w:tc>
        <w:tc>
          <w:tcPr>
            <w:tcW w:w="1177" w:type="pct"/>
            <w:tcBorders>
              <w:top w:val="nil"/>
            </w:tcBorders>
            <w:vAlign w:val="center"/>
          </w:tcPr>
          <w:p w14:paraId="0A2C0045" w14:textId="77777777" w:rsidR="006927E8" w:rsidRPr="00CB38A8" w:rsidRDefault="006927E8" w:rsidP="006927E8">
            <w:pPr>
              <w:pStyle w:val="TableText0"/>
              <w:rPr>
                <w:i/>
              </w:rPr>
            </w:pPr>
            <w:r w:rsidRPr="002639A6">
              <w:rPr>
                <w:i/>
                <w:szCs w:val="18"/>
              </w:rPr>
              <w:t>Journal of Clinical Oncology</w:t>
            </w:r>
            <w:r w:rsidRPr="002639A6">
              <w:rPr>
                <w:szCs w:val="18"/>
              </w:rPr>
              <w:t xml:space="preserve"> 2021; 39</w:t>
            </w:r>
            <w:r>
              <w:rPr>
                <w:szCs w:val="18"/>
              </w:rPr>
              <w:t xml:space="preserve"> </w:t>
            </w:r>
            <w:r w:rsidRPr="002639A6">
              <w:rPr>
                <w:szCs w:val="18"/>
              </w:rPr>
              <w:t>(SUPPL</w:t>
            </w:r>
            <w:r>
              <w:rPr>
                <w:szCs w:val="18"/>
              </w:rPr>
              <w:t>.</w:t>
            </w:r>
            <w:r w:rsidRPr="002639A6">
              <w:rPr>
                <w:szCs w:val="18"/>
              </w:rPr>
              <w:t>15)</w:t>
            </w:r>
          </w:p>
        </w:tc>
      </w:tr>
    </w:tbl>
    <w:p w14:paraId="5773FD90" w14:textId="77777777" w:rsidR="008E0D3C" w:rsidRDefault="006927E8" w:rsidP="006927E8">
      <w:pPr>
        <w:pStyle w:val="TableFooter"/>
      </w:pPr>
      <w:r>
        <w:t xml:space="preserve">Source: Table 2-5, p46 </w:t>
      </w:r>
      <w:r w:rsidRPr="00D13A3E">
        <w:t xml:space="preserve">of the </w:t>
      </w:r>
      <w:r>
        <w:t>submission.</w:t>
      </w:r>
    </w:p>
    <w:p w14:paraId="17D35E0C" w14:textId="77777777" w:rsidR="006927E8" w:rsidRDefault="006927E8" w:rsidP="006927E8"/>
    <w:p w14:paraId="22CBB8F2" w14:textId="43256065" w:rsidR="007F1017" w:rsidRPr="00B74D2B" w:rsidRDefault="008F120A" w:rsidP="00EC5836">
      <w:pPr>
        <w:pStyle w:val="3-BodyText"/>
      </w:pPr>
      <w:r w:rsidRPr="00B50DB8">
        <w:t xml:space="preserve">The key features of the direct randomised trials </w:t>
      </w:r>
      <w:r w:rsidRPr="00B74D2B">
        <w:t>are summarised in</w:t>
      </w:r>
      <w:r w:rsidR="00D6076E" w:rsidRPr="00B74D2B">
        <w:t xml:space="preserve"> </w:t>
      </w:r>
      <w:r w:rsidR="00D6076E" w:rsidRPr="00B74D2B">
        <w:fldChar w:fldCharType="begin"/>
      </w:r>
      <w:r w:rsidR="00D6076E" w:rsidRPr="00B74D2B">
        <w:instrText xml:space="preserve"> REF _Ref104804098 \h  \* MERGEFORMAT </w:instrText>
      </w:r>
      <w:r w:rsidR="00D6076E" w:rsidRPr="00B74D2B">
        <w:fldChar w:fldCharType="separate"/>
      </w:r>
      <w:r w:rsidR="00775281" w:rsidRPr="00775281">
        <w:t>Table 5</w:t>
      </w:r>
      <w:r w:rsidR="00D6076E" w:rsidRPr="00B74D2B">
        <w:fldChar w:fldCharType="end"/>
      </w:r>
      <w:r w:rsidRPr="00B74D2B">
        <w:t>.</w:t>
      </w:r>
      <w:r w:rsidR="00BC591F" w:rsidRPr="00B74D2B">
        <w:t xml:space="preserve"> </w:t>
      </w:r>
    </w:p>
    <w:p w14:paraId="7C82D36F" w14:textId="44D50F83" w:rsidR="007F1017" w:rsidRPr="00D6076E" w:rsidRDefault="00696EF9" w:rsidP="00D6076E">
      <w:pPr>
        <w:pStyle w:val="Caption"/>
        <w:rPr>
          <w:rStyle w:val="CommentReference"/>
          <w:rFonts w:eastAsiaTheme="majorEastAsia" w:cstheme="majorBidi"/>
          <w:b/>
          <w:szCs w:val="24"/>
        </w:rPr>
      </w:pPr>
      <w:bookmarkStart w:id="25" w:name="_Ref104804098"/>
      <w:r w:rsidRPr="00D6076E">
        <w:rPr>
          <w:rStyle w:val="CommentReference"/>
          <w:rFonts w:eastAsiaTheme="majorEastAsia" w:cstheme="majorBidi"/>
          <w:b/>
          <w:szCs w:val="24"/>
        </w:rPr>
        <w:t xml:space="preserve">Table </w:t>
      </w:r>
      <w:r w:rsidR="00896576">
        <w:rPr>
          <w:rStyle w:val="CommentReference"/>
          <w:rFonts w:eastAsiaTheme="majorEastAsia" w:cstheme="majorBidi"/>
          <w:b/>
          <w:szCs w:val="24"/>
        </w:rPr>
        <w:fldChar w:fldCharType="begin"/>
      </w:r>
      <w:r w:rsidR="00896576">
        <w:rPr>
          <w:rStyle w:val="CommentReference"/>
          <w:rFonts w:eastAsiaTheme="majorEastAsia" w:cstheme="majorBidi"/>
          <w:b/>
          <w:szCs w:val="24"/>
        </w:rPr>
        <w:instrText xml:space="preserve"> SEQ Table \* ARABIC </w:instrText>
      </w:r>
      <w:r w:rsidR="00896576">
        <w:rPr>
          <w:rStyle w:val="CommentReference"/>
          <w:rFonts w:eastAsiaTheme="majorEastAsia" w:cstheme="majorBidi"/>
          <w:b/>
          <w:szCs w:val="24"/>
        </w:rPr>
        <w:fldChar w:fldCharType="separate"/>
      </w:r>
      <w:r w:rsidR="00775281">
        <w:rPr>
          <w:rStyle w:val="CommentReference"/>
          <w:rFonts w:eastAsiaTheme="majorEastAsia" w:cstheme="majorBidi"/>
          <w:b/>
          <w:noProof/>
          <w:szCs w:val="24"/>
        </w:rPr>
        <w:t>5</w:t>
      </w:r>
      <w:r w:rsidR="00896576">
        <w:rPr>
          <w:rStyle w:val="CommentReference"/>
          <w:rFonts w:eastAsiaTheme="majorEastAsia" w:cstheme="majorBidi"/>
          <w:b/>
          <w:szCs w:val="24"/>
        </w:rPr>
        <w:fldChar w:fldCharType="end"/>
      </w:r>
      <w:bookmarkEnd w:id="25"/>
      <w:r w:rsidR="00D6076E" w:rsidRPr="00D6076E">
        <w:rPr>
          <w:rStyle w:val="CommentReference"/>
          <w:rFonts w:eastAsiaTheme="majorEastAsia" w:cstheme="majorBidi"/>
          <w:b/>
          <w:szCs w:val="24"/>
        </w:rPr>
        <w:t xml:space="preserve">: </w:t>
      </w:r>
      <w:r w:rsidR="007F1017" w:rsidRPr="00D6076E">
        <w:rPr>
          <w:rStyle w:val="CommentReference"/>
          <w:rFonts w:eastAsiaTheme="majorEastAsia" w:cstheme="majorBidi"/>
          <w:b/>
          <w:szCs w:val="24"/>
        </w:rPr>
        <w:t xml:space="preserve">Key features of the included </w:t>
      </w:r>
      <w:r w:rsidR="00B74D2B">
        <w:rPr>
          <w:rStyle w:val="CommentReference"/>
          <w:rFonts w:eastAsiaTheme="majorEastAsia" w:cstheme="majorBidi"/>
          <w:b/>
          <w:szCs w:val="24"/>
        </w:rPr>
        <w:t xml:space="preserve">trials comparing </w:t>
      </w:r>
      <w:r w:rsidR="00B74D2B" w:rsidRPr="00B74D2B">
        <w:rPr>
          <w:rFonts w:eastAsiaTheme="majorEastAsia" w:cstheme="majorBidi"/>
          <w:szCs w:val="24"/>
        </w:rPr>
        <w:t>FosNTP + PALO</w:t>
      </w:r>
      <w:r w:rsidR="00B74D2B">
        <w:rPr>
          <w:rFonts w:eastAsiaTheme="majorEastAsia" w:cstheme="majorBidi"/>
          <w:szCs w:val="24"/>
        </w:rPr>
        <w:t xml:space="preserve"> with </w:t>
      </w:r>
      <w:r w:rsidR="00B74D2B" w:rsidRPr="00B74D2B">
        <w:rPr>
          <w:rFonts w:eastAsiaTheme="majorEastAsia" w:cstheme="majorBidi"/>
          <w:szCs w:val="24"/>
        </w:rPr>
        <w:t>FosAPR + PALO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83"/>
        <w:gridCol w:w="855"/>
        <w:gridCol w:w="1915"/>
        <w:gridCol w:w="1380"/>
        <w:gridCol w:w="1775"/>
        <w:gridCol w:w="1509"/>
      </w:tblGrid>
      <w:tr w:rsidR="00CF1B1E" w:rsidRPr="00B41614" w14:paraId="74A80B66" w14:textId="77777777" w:rsidTr="008D0FE4">
        <w:trPr>
          <w:cantSplit/>
          <w:tblHeader/>
        </w:trPr>
        <w:tc>
          <w:tcPr>
            <w:tcW w:w="878" w:type="pct"/>
            <w:shd w:val="clear" w:color="auto" w:fill="auto"/>
            <w:vAlign w:val="center"/>
          </w:tcPr>
          <w:p w14:paraId="41F63A04" w14:textId="77777777" w:rsidR="00CF1B1E" w:rsidRPr="00B41614" w:rsidRDefault="00CF1B1E" w:rsidP="001E34DF">
            <w:pPr>
              <w:pStyle w:val="In-tableHeading"/>
            </w:pPr>
            <w:r w:rsidRPr="00B41614">
              <w:t>Trial</w:t>
            </w:r>
          </w:p>
        </w:tc>
        <w:tc>
          <w:tcPr>
            <w:tcW w:w="474" w:type="pct"/>
            <w:shd w:val="clear" w:color="auto" w:fill="auto"/>
            <w:vAlign w:val="center"/>
          </w:tcPr>
          <w:p w14:paraId="1E1C8C7D" w14:textId="77777777" w:rsidR="00CF1B1E" w:rsidRPr="00B41614" w:rsidRDefault="00CF1B1E" w:rsidP="00EC5836">
            <w:pPr>
              <w:pStyle w:val="In-tableHeading"/>
              <w:jc w:val="center"/>
            </w:pPr>
            <w:r w:rsidRPr="00B41614">
              <w:t>N</w:t>
            </w:r>
          </w:p>
        </w:tc>
        <w:tc>
          <w:tcPr>
            <w:tcW w:w="1062" w:type="pct"/>
            <w:shd w:val="clear" w:color="auto" w:fill="auto"/>
            <w:vAlign w:val="center"/>
          </w:tcPr>
          <w:p w14:paraId="48465381" w14:textId="3F6C5339" w:rsidR="00CF1B1E" w:rsidRPr="00B41614" w:rsidRDefault="00CF1B1E" w:rsidP="00CF1B1E">
            <w:pPr>
              <w:pStyle w:val="In-tableHeading"/>
              <w:jc w:val="center"/>
            </w:pPr>
            <w:r w:rsidRPr="00B41614">
              <w:t xml:space="preserve">Design/ </w:t>
            </w:r>
            <w:r>
              <w:t xml:space="preserve">outcome/ </w:t>
            </w:r>
            <w:r w:rsidRPr="00B41614">
              <w:t>duration</w:t>
            </w:r>
            <w:r>
              <w:t xml:space="preserve"> post-administration of chemo</w:t>
            </w:r>
          </w:p>
        </w:tc>
        <w:tc>
          <w:tcPr>
            <w:tcW w:w="765" w:type="pct"/>
            <w:shd w:val="clear" w:color="auto" w:fill="auto"/>
            <w:vAlign w:val="center"/>
          </w:tcPr>
          <w:p w14:paraId="4CFE4944" w14:textId="77777777" w:rsidR="00CF1B1E" w:rsidRPr="00B41614" w:rsidRDefault="00CF1B1E" w:rsidP="00EC5836">
            <w:pPr>
              <w:pStyle w:val="In-tableHeading"/>
              <w:jc w:val="center"/>
            </w:pPr>
            <w:r w:rsidRPr="00B41614">
              <w:t>Risk of bias</w:t>
            </w:r>
          </w:p>
        </w:tc>
        <w:tc>
          <w:tcPr>
            <w:tcW w:w="984" w:type="pct"/>
            <w:shd w:val="clear" w:color="auto" w:fill="auto"/>
            <w:vAlign w:val="center"/>
          </w:tcPr>
          <w:p w14:paraId="524D8188" w14:textId="77777777" w:rsidR="00CF1B1E" w:rsidRPr="00B41614" w:rsidRDefault="00CF1B1E" w:rsidP="00EC5836">
            <w:pPr>
              <w:pStyle w:val="In-tableHeading"/>
              <w:jc w:val="center"/>
            </w:pPr>
            <w:r w:rsidRPr="00B41614">
              <w:t>Patient population</w:t>
            </w:r>
          </w:p>
        </w:tc>
        <w:tc>
          <w:tcPr>
            <w:tcW w:w="837" w:type="pct"/>
            <w:shd w:val="clear" w:color="auto" w:fill="auto"/>
            <w:vAlign w:val="center"/>
          </w:tcPr>
          <w:p w14:paraId="026F115B" w14:textId="77777777" w:rsidR="00CF1B1E" w:rsidRPr="00B41614" w:rsidRDefault="00CF1B1E" w:rsidP="00EC5836">
            <w:pPr>
              <w:pStyle w:val="In-tableHeading"/>
              <w:jc w:val="center"/>
            </w:pPr>
            <w:r w:rsidRPr="00B41614">
              <w:t>Outcome(s)</w:t>
            </w:r>
          </w:p>
        </w:tc>
      </w:tr>
      <w:tr w:rsidR="00CF1B1E" w:rsidRPr="00E2771E" w14:paraId="24DADF4B" w14:textId="77777777" w:rsidTr="008D0FE4">
        <w:trPr>
          <w:cantSplit/>
        </w:trPr>
        <w:tc>
          <w:tcPr>
            <w:tcW w:w="878" w:type="pct"/>
            <w:shd w:val="clear" w:color="auto" w:fill="auto"/>
            <w:vAlign w:val="center"/>
          </w:tcPr>
          <w:p w14:paraId="60E17CAB" w14:textId="77777777" w:rsidR="00CF1B1E" w:rsidRDefault="00CF1B1E" w:rsidP="00EC5836">
            <w:pPr>
              <w:pStyle w:val="TableText0"/>
              <w:rPr>
                <w:lang w:val="en-US"/>
              </w:rPr>
            </w:pPr>
            <w:r>
              <w:rPr>
                <w:lang w:val="en-US"/>
              </w:rPr>
              <w:t>CONSOLE</w:t>
            </w:r>
          </w:p>
          <w:p w14:paraId="67897C50" w14:textId="4ED65455" w:rsidR="00CF1B1E" w:rsidRPr="00E2771E" w:rsidRDefault="00CF1B1E" w:rsidP="00EC5836">
            <w:pPr>
              <w:pStyle w:val="TableText0"/>
              <w:rPr>
                <w:lang w:val="en-US"/>
              </w:rPr>
            </w:pPr>
            <w:r>
              <w:rPr>
                <w:lang w:val="en-US"/>
              </w:rPr>
              <w:t>(S-Cycle)</w:t>
            </w:r>
          </w:p>
        </w:tc>
        <w:tc>
          <w:tcPr>
            <w:tcW w:w="474" w:type="pct"/>
            <w:shd w:val="clear" w:color="auto" w:fill="auto"/>
            <w:vAlign w:val="center"/>
          </w:tcPr>
          <w:p w14:paraId="20730034" w14:textId="5E769FB5" w:rsidR="00CF1B1E" w:rsidRPr="00E2771E" w:rsidRDefault="00CF1B1E" w:rsidP="00EC5836">
            <w:pPr>
              <w:pStyle w:val="TableText0"/>
              <w:jc w:val="center"/>
              <w:rPr>
                <w:lang w:val="en-US"/>
              </w:rPr>
            </w:pPr>
            <w:r>
              <w:rPr>
                <w:lang w:val="en-US"/>
              </w:rPr>
              <w:t>785</w:t>
            </w:r>
          </w:p>
        </w:tc>
        <w:tc>
          <w:tcPr>
            <w:tcW w:w="1062" w:type="pct"/>
            <w:shd w:val="clear" w:color="auto" w:fill="auto"/>
            <w:vAlign w:val="center"/>
          </w:tcPr>
          <w:p w14:paraId="5E29C6B5" w14:textId="5AA9AB84" w:rsidR="00CF1B1E" w:rsidRPr="00E2771E" w:rsidRDefault="00CF1B1E" w:rsidP="00CF1B1E">
            <w:pPr>
              <w:pStyle w:val="TableText0"/>
              <w:jc w:val="center"/>
              <w:rPr>
                <w:lang w:val="en-US"/>
              </w:rPr>
            </w:pPr>
            <w:r>
              <w:rPr>
                <w:lang w:val="en-US"/>
              </w:rPr>
              <w:t>R, DB</w:t>
            </w:r>
          </w:p>
        </w:tc>
        <w:tc>
          <w:tcPr>
            <w:tcW w:w="765" w:type="pct"/>
            <w:shd w:val="clear" w:color="auto" w:fill="auto"/>
            <w:vAlign w:val="center"/>
          </w:tcPr>
          <w:p w14:paraId="03B8EABE" w14:textId="77777777" w:rsidR="00CF1B1E" w:rsidRPr="00B20491" w:rsidRDefault="00CF1B1E" w:rsidP="00EC5836">
            <w:pPr>
              <w:pStyle w:val="TableText0"/>
              <w:jc w:val="center"/>
              <w:rPr>
                <w:iCs/>
                <w:lang w:val="en-US"/>
              </w:rPr>
            </w:pPr>
            <w:r w:rsidRPr="00B20491">
              <w:rPr>
                <w:iCs/>
                <w:lang w:val="en-US"/>
              </w:rPr>
              <w:t>Low</w:t>
            </w:r>
          </w:p>
        </w:tc>
        <w:tc>
          <w:tcPr>
            <w:tcW w:w="984" w:type="pct"/>
            <w:shd w:val="clear" w:color="auto" w:fill="auto"/>
            <w:vAlign w:val="center"/>
          </w:tcPr>
          <w:p w14:paraId="68123E75" w14:textId="4641924E" w:rsidR="00CF1B1E" w:rsidRPr="00E2771E" w:rsidRDefault="00CF1B1E" w:rsidP="00CF1B1E">
            <w:pPr>
              <w:pStyle w:val="TableText0"/>
              <w:jc w:val="center"/>
              <w:rPr>
                <w:lang w:val="en-US"/>
              </w:rPr>
            </w:pPr>
            <w:r>
              <w:t>A</w:t>
            </w:r>
            <w:r w:rsidRPr="00CF1B1E">
              <w:t>dults receiving HEC</w:t>
            </w:r>
            <w:r>
              <w:t xml:space="preserve"> </w:t>
            </w:r>
            <w:r w:rsidRPr="00CF1B1E">
              <w:t>containing cisplatin</w:t>
            </w:r>
            <w:r>
              <w:t xml:space="preserve"> primarily for lung cancer (&gt;85%)</w:t>
            </w:r>
          </w:p>
        </w:tc>
        <w:tc>
          <w:tcPr>
            <w:tcW w:w="837" w:type="pct"/>
            <w:shd w:val="clear" w:color="auto" w:fill="auto"/>
            <w:vAlign w:val="center"/>
          </w:tcPr>
          <w:p w14:paraId="2CED0B77" w14:textId="77777777" w:rsidR="00CF1B1E" w:rsidRDefault="00CF1B1E" w:rsidP="00CF1B1E">
            <w:pPr>
              <w:pStyle w:val="TableText0"/>
              <w:jc w:val="center"/>
              <w:rPr>
                <w:lang w:val="en-US"/>
              </w:rPr>
            </w:pPr>
            <w:r>
              <w:rPr>
                <w:lang w:val="en-US"/>
              </w:rPr>
              <w:t>CR</w:t>
            </w:r>
          </w:p>
          <w:p w14:paraId="1CDDA2C2" w14:textId="230F9FD7" w:rsidR="00CF1B1E" w:rsidRDefault="00CF1B1E" w:rsidP="00CF1B1E">
            <w:pPr>
              <w:pStyle w:val="TableText0"/>
              <w:jc w:val="center"/>
              <w:rPr>
                <w:lang w:val="en-US"/>
              </w:rPr>
            </w:pPr>
            <w:r>
              <w:rPr>
                <w:lang w:val="en-US"/>
              </w:rPr>
              <w:t xml:space="preserve">Overall: </w:t>
            </w:r>
            <w:r w:rsidRPr="00AC2DA6">
              <w:t>0-120 hr</w:t>
            </w:r>
          </w:p>
          <w:p w14:paraId="7DB9ADBC" w14:textId="77777777" w:rsidR="00CF1B1E" w:rsidRDefault="00CF1B1E" w:rsidP="00CF1B1E">
            <w:pPr>
              <w:pStyle w:val="TableText0"/>
              <w:jc w:val="center"/>
            </w:pPr>
            <w:r w:rsidRPr="00CF1B1E">
              <w:t>Acute: 0-24 hr</w:t>
            </w:r>
          </w:p>
          <w:p w14:paraId="574B0D84" w14:textId="77777777" w:rsidR="00CF1B1E" w:rsidRDefault="00CF1B1E" w:rsidP="00CF1B1E">
            <w:pPr>
              <w:pStyle w:val="TableText0"/>
              <w:jc w:val="center"/>
            </w:pPr>
            <w:r w:rsidRPr="00AC2DA6">
              <w:t>Delayed: 24-120 hr</w:t>
            </w:r>
          </w:p>
          <w:p w14:paraId="7552637B" w14:textId="77777777" w:rsidR="00CF1B1E" w:rsidRDefault="00CF1B1E" w:rsidP="00CF1B1E">
            <w:pPr>
              <w:pStyle w:val="TableText0"/>
              <w:jc w:val="center"/>
              <w:rPr>
                <w:lang w:val="en-US"/>
              </w:rPr>
            </w:pPr>
            <w:r w:rsidRPr="00CF1B1E">
              <w:rPr>
                <w:lang w:val="en-US"/>
              </w:rPr>
              <w:t>0-168 hr</w:t>
            </w:r>
          </w:p>
          <w:p w14:paraId="1EF2FAA1" w14:textId="74BF606A" w:rsidR="00CF1B1E" w:rsidRPr="00E2771E" w:rsidRDefault="00CF1B1E" w:rsidP="00CF1B1E">
            <w:pPr>
              <w:pStyle w:val="TableText0"/>
              <w:jc w:val="center"/>
              <w:rPr>
                <w:lang w:val="en-US"/>
              </w:rPr>
            </w:pPr>
            <w:r w:rsidRPr="00AC2DA6">
              <w:t>120-168 hr</w:t>
            </w:r>
          </w:p>
        </w:tc>
      </w:tr>
      <w:tr w:rsidR="00CF1B1E" w:rsidRPr="00E2771E" w14:paraId="6CC2C8A3" w14:textId="77777777" w:rsidTr="008D0FE4">
        <w:trPr>
          <w:cantSplit/>
        </w:trPr>
        <w:tc>
          <w:tcPr>
            <w:tcW w:w="878" w:type="pct"/>
            <w:shd w:val="clear" w:color="auto" w:fill="auto"/>
            <w:vAlign w:val="center"/>
          </w:tcPr>
          <w:p w14:paraId="7BB4F6CA" w14:textId="7DD721D3" w:rsidR="00CF1B1E" w:rsidRPr="00E2771E" w:rsidRDefault="00CF1B1E" w:rsidP="00EC5836">
            <w:pPr>
              <w:pStyle w:val="TableText0"/>
              <w:rPr>
                <w:lang w:val="en-US"/>
              </w:rPr>
            </w:pPr>
            <w:r>
              <w:rPr>
                <w:lang w:val="en-US"/>
              </w:rPr>
              <w:t>CONSOLE-BC</w:t>
            </w:r>
          </w:p>
        </w:tc>
        <w:tc>
          <w:tcPr>
            <w:tcW w:w="474" w:type="pct"/>
            <w:shd w:val="clear" w:color="auto" w:fill="auto"/>
            <w:vAlign w:val="center"/>
          </w:tcPr>
          <w:p w14:paraId="686CAC93" w14:textId="30B6CAC3" w:rsidR="00CF1B1E" w:rsidRPr="00E2771E" w:rsidRDefault="00BC2B7D" w:rsidP="00EC5836">
            <w:pPr>
              <w:pStyle w:val="TableText0"/>
              <w:jc w:val="center"/>
              <w:rPr>
                <w:lang w:val="en-US"/>
              </w:rPr>
            </w:pPr>
            <w:r>
              <w:rPr>
                <w:lang w:val="en-US"/>
              </w:rPr>
              <w:t>102</w:t>
            </w:r>
          </w:p>
        </w:tc>
        <w:tc>
          <w:tcPr>
            <w:tcW w:w="1062" w:type="pct"/>
            <w:shd w:val="clear" w:color="auto" w:fill="auto"/>
            <w:vAlign w:val="center"/>
          </w:tcPr>
          <w:p w14:paraId="33D53E66" w14:textId="14A4BDEA" w:rsidR="00CF1B1E" w:rsidRPr="00E2771E" w:rsidRDefault="00BC2B7D" w:rsidP="00EC5836">
            <w:pPr>
              <w:pStyle w:val="TableText0"/>
              <w:jc w:val="center"/>
              <w:rPr>
                <w:lang w:val="en-US"/>
              </w:rPr>
            </w:pPr>
            <w:r>
              <w:rPr>
                <w:lang w:val="en-US"/>
              </w:rPr>
              <w:t>R, DB</w:t>
            </w:r>
          </w:p>
        </w:tc>
        <w:tc>
          <w:tcPr>
            <w:tcW w:w="765" w:type="pct"/>
            <w:shd w:val="clear" w:color="auto" w:fill="auto"/>
            <w:vAlign w:val="center"/>
          </w:tcPr>
          <w:p w14:paraId="16C79FC1" w14:textId="5AFB2AB5" w:rsidR="00CF1B1E" w:rsidRPr="00B20491" w:rsidRDefault="00BC2B7D" w:rsidP="00EC5836">
            <w:pPr>
              <w:pStyle w:val="TableText0"/>
              <w:jc w:val="center"/>
              <w:rPr>
                <w:iCs/>
                <w:lang w:val="en-US"/>
              </w:rPr>
            </w:pPr>
            <w:r w:rsidRPr="00B20491">
              <w:rPr>
                <w:iCs/>
                <w:lang w:val="en-US"/>
              </w:rPr>
              <w:t>Low</w:t>
            </w:r>
          </w:p>
        </w:tc>
        <w:tc>
          <w:tcPr>
            <w:tcW w:w="984" w:type="pct"/>
            <w:shd w:val="clear" w:color="auto" w:fill="auto"/>
            <w:vAlign w:val="center"/>
          </w:tcPr>
          <w:p w14:paraId="03487AA5" w14:textId="19BA8839" w:rsidR="00CF1B1E" w:rsidRPr="00E2771E" w:rsidRDefault="00BC2B7D" w:rsidP="00BC2B7D">
            <w:pPr>
              <w:pStyle w:val="TableText0"/>
              <w:jc w:val="center"/>
              <w:rPr>
                <w:lang w:val="en-US"/>
              </w:rPr>
            </w:pPr>
            <w:r>
              <w:rPr>
                <w:lang w:val="en-US"/>
              </w:rPr>
              <w:t xml:space="preserve">Adults receiving AC for breast cancer. </w:t>
            </w:r>
          </w:p>
        </w:tc>
        <w:tc>
          <w:tcPr>
            <w:tcW w:w="837" w:type="pct"/>
            <w:shd w:val="clear" w:color="auto" w:fill="auto"/>
            <w:vAlign w:val="center"/>
          </w:tcPr>
          <w:p w14:paraId="4E71B6CA" w14:textId="77777777" w:rsidR="00BC2B7D" w:rsidRDefault="00BC2B7D" w:rsidP="00BC2B7D">
            <w:pPr>
              <w:pStyle w:val="TableText0"/>
              <w:jc w:val="center"/>
              <w:rPr>
                <w:lang w:val="en-US"/>
              </w:rPr>
            </w:pPr>
            <w:r>
              <w:rPr>
                <w:lang w:val="en-US"/>
              </w:rPr>
              <w:t>CR</w:t>
            </w:r>
          </w:p>
          <w:p w14:paraId="0E95C304" w14:textId="7B7E5379" w:rsidR="00CF1B1E" w:rsidRPr="00E2771E" w:rsidRDefault="00BC2B7D" w:rsidP="00BC2B7D">
            <w:pPr>
              <w:pStyle w:val="TableText0"/>
              <w:jc w:val="center"/>
              <w:rPr>
                <w:lang w:val="en-US"/>
              </w:rPr>
            </w:pPr>
            <w:r>
              <w:rPr>
                <w:lang w:val="en-US"/>
              </w:rPr>
              <w:t xml:space="preserve">Overall: </w:t>
            </w:r>
            <w:r w:rsidRPr="00AC2DA6">
              <w:t>0-120 hr</w:t>
            </w:r>
          </w:p>
        </w:tc>
      </w:tr>
      <w:tr w:rsidR="00CF1B1E" w:rsidRPr="00E2771E" w14:paraId="3DCF85F6" w14:textId="77777777" w:rsidTr="008D0FE4">
        <w:trPr>
          <w:cantSplit/>
        </w:trPr>
        <w:tc>
          <w:tcPr>
            <w:tcW w:w="878" w:type="pct"/>
            <w:shd w:val="clear" w:color="auto" w:fill="auto"/>
            <w:vAlign w:val="center"/>
          </w:tcPr>
          <w:p w14:paraId="0FD0A5A8" w14:textId="260065F7" w:rsidR="00CF1B1E" w:rsidRPr="00E2771E" w:rsidRDefault="00CF1B1E" w:rsidP="00EC5836">
            <w:pPr>
              <w:pStyle w:val="TableText0"/>
              <w:rPr>
                <w:lang w:val="en-US"/>
              </w:rPr>
            </w:pPr>
            <w:r w:rsidRPr="00E2771E">
              <w:rPr>
                <w:lang w:val="en-US"/>
              </w:rPr>
              <w:t>Meta-analysis</w:t>
            </w:r>
            <w:r w:rsidR="00BC2B7D">
              <w:rPr>
                <w:lang w:val="en-US"/>
              </w:rPr>
              <w:t xml:space="preserve"> (CONSOLE and CONSOLE-BC)</w:t>
            </w:r>
          </w:p>
        </w:tc>
        <w:tc>
          <w:tcPr>
            <w:tcW w:w="474" w:type="pct"/>
            <w:shd w:val="clear" w:color="auto" w:fill="auto"/>
            <w:vAlign w:val="center"/>
          </w:tcPr>
          <w:p w14:paraId="526FCCA3" w14:textId="15230AB4" w:rsidR="00CF1B1E" w:rsidRPr="00E2771E" w:rsidRDefault="001B347F" w:rsidP="00BC2B7D">
            <w:pPr>
              <w:pStyle w:val="TableText0"/>
              <w:jc w:val="center"/>
              <w:rPr>
                <w:lang w:val="en-US"/>
              </w:rPr>
            </w:pPr>
            <w:r>
              <w:rPr>
                <w:lang w:val="en-US"/>
              </w:rPr>
              <w:t>887</w:t>
            </w:r>
          </w:p>
        </w:tc>
        <w:tc>
          <w:tcPr>
            <w:tcW w:w="3648" w:type="pct"/>
            <w:gridSpan w:val="4"/>
            <w:shd w:val="clear" w:color="auto" w:fill="auto"/>
            <w:vAlign w:val="center"/>
          </w:tcPr>
          <w:p w14:paraId="60111DBC" w14:textId="77777777" w:rsidR="005655C6" w:rsidRDefault="00BC2B7D" w:rsidP="00BC2B7D">
            <w:pPr>
              <w:pStyle w:val="TableText0"/>
              <w:jc w:val="center"/>
              <w:rPr>
                <w:lang w:val="en-US"/>
              </w:rPr>
            </w:pPr>
            <w:r>
              <w:rPr>
                <w:lang w:val="en-US"/>
              </w:rPr>
              <w:t>Outcome: TRAEs</w:t>
            </w:r>
            <w:r w:rsidR="005655C6">
              <w:rPr>
                <w:lang w:val="en-US"/>
              </w:rPr>
              <w:t>- ISRs</w:t>
            </w:r>
          </w:p>
          <w:p w14:paraId="260A624E" w14:textId="5E72A6A6" w:rsidR="00CF1B1E" w:rsidRPr="0002340D" w:rsidRDefault="00BC2B7D" w:rsidP="005655C6">
            <w:pPr>
              <w:pStyle w:val="TableText0"/>
              <w:jc w:val="center"/>
              <w:rPr>
                <w:iCs/>
                <w:lang w:val="en-US"/>
              </w:rPr>
            </w:pPr>
            <w:r w:rsidRPr="0002340D">
              <w:rPr>
                <w:iCs/>
                <w:sz w:val="18"/>
                <w:szCs w:val="22"/>
                <w:lang w:val="en-US"/>
              </w:rPr>
              <w:t xml:space="preserve">Clinical heterogeneity arising from differences in </w:t>
            </w:r>
            <w:r w:rsidR="005655C6" w:rsidRPr="0002340D">
              <w:rPr>
                <w:iCs/>
                <w:sz w:val="18"/>
                <w:szCs w:val="22"/>
                <w:lang w:val="en-US"/>
              </w:rPr>
              <w:t xml:space="preserve">patient/disease characteristics and chemo regimens. </w:t>
            </w:r>
          </w:p>
        </w:tc>
      </w:tr>
    </w:tbl>
    <w:p w14:paraId="12B8C681" w14:textId="1BCB48BB" w:rsidR="00045017" w:rsidRDefault="005655C6" w:rsidP="00EC5836">
      <w:pPr>
        <w:pStyle w:val="FooterTableFigure"/>
      </w:pPr>
      <w:r w:rsidRPr="0078378F">
        <w:t>Source: Compiled during the evaluation based on Sections 2.3-2.</w:t>
      </w:r>
      <w:r>
        <w:t>6</w:t>
      </w:r>
      <w:r w:rsidRPr="0078378F">
        <w:t xml:space="preserve"> of the submission</w:t>
      </w:r>
      <w:r w:rsidR="00045017">
        <w:t>.</w:t>
      </w:r>
    </w:p>
    <w:p w14:paraId="55A40540" w14:textId="73E04BE7" w:rsidR="00620C25" w:rsidRPr="00B1011F" w:rsidRDefault="001B347F" w:rsidP="00EC5836">
      <w:pPr>
        <w:pStyle w:val="FooterTableFigure"/>
        <w:rPr>
          <w:sz w:val="20"/>
        </w:rPr>
      </w:pPr>
      <w:r>
        <w:t>AC=anthracycline plus cyclophosphamide; AEs=adverse events; chemo=chemotherapy; CR=complete response (overall CR was the primary outcome in both CONSOLE and CONSOLE-BC. It is defined as n</w:t>
      </w:r>
      <w:r w:rsidRPr="00B74D2B">
        <w:t>o emetic event</w:t>
      </w:r>
      <w:r>
        <w:t xml:space="preserve"> and</w:t>
      </w:r>
      <w:r w:rsidRPr="00B74D2B">
        <w:t xml:space="preserve"> no rescue medication</w:t>
      </w:r>
      <w:r>
        <w:t>);</w:t>
      </w:r>
      <w:r w:rsidRPr="00B74D2B">
        <w:t xml:space="preserve"> </w:t>
      </w:r>
      <w:r w:rsidRPr="0072416F">
        <w:t xml:space="preserve">DB=double blind; </w:t>
      </w:r>
      <w:r>
        <w:t xml:space="preserve">HEC=highly emetogenic chemotherapy; ISRs=injection site reactions; </w:t>
      </w:r>
      <w:r w:rsidRPr="0072416F">
        <w:t>R=randomised</w:t>
      </w:r>
      <w:r>
        <w:t>; S-Cycle=single course of chemotherapy (randomised phase); TRAEs=</w:t>
      </w:r>
      <w:r>
        <w:rPr>
          <w:lang w:val="en-US"/>
        </w:rPr>
        <w:t>treatment-related adverse events</w:t>
      </w:r>
      <w:r w:rsidR="00BC2B7D">
        <w:rPr>
          <w:lang w:val="en-US"/>
        </w:rPr>
        <w:t xml:space="preserve"> </w:t>
      </w:r>
    </w:p>
    <w:p w14:paraId="3015E32F" w14:textId="681C1DE2" w:rsidR="00620C25" w:rsidRPr="0002340D" w:rsidRDefault="005655C6" w:rsidP="005655C6">
      <w:pPr>
        <w:pStyle w:val="3-BodyText"/>
        <w:rPr>
          <w:szCs w:val="18"/>
        </w:rPr>
      </w:pPr>
      <w:r w:rsidRPr="0002340D">
        <w:rPr>
          <w:szCs w:val="18"/>
        </w:rPr>
        <w:t xml:space="preserve">A non-inferiority (NI) margin of 10% </w:t>
      </w:r>
      <w:r w:rsidR="001B347F" w:rsidRPr="0002340D">
        <w:rPr>
          <w:szCs w:val="18"/>
        </w:rPr>
        <w:t xml:space="preserve">for overall complete response (CR) </w:t>
      </w:r>
      <w:r w:rsidRPr="0002340D">
        <w:rPr>
          <w:szCs w:val="18"/>
        </w:rPr>
        <w:t xml:space="preserve">was pre-specified </w:t>
      </w:r>
      <w:r w:rsidR="000638E4" w:rsidRPr="0002340D">
        <w:rPr>
          <w:szCs w:val="18"/>
        </w:rPr>
        <w:t>for the CONSOLE trial</w:t>
      </w:r>
      <w:r w:rsidRPr="0002340D">
        <w:rPr>
          <w:szCs w:val="18"/>
        </w:rPr>
        <w:t xml:space="preserve">. If the lower margin of the conﬁdence interval (CI) was higher than </w:t>
      </w:r>
      <w:r w:rsidR="00680ADA" w:rsidRPr="0002340D">
        <w:rPr>
          <w:szCs w:val="18"/>
        </w:rPr>
        <w:t>-</w:t>
      </w:r>
      <w:r w:rsidRPr="0002340D">
        <w:rPr>
          <w:szCs w:val="18"/>
        </w:rPr>
        <w:t xml:space="preserve">10%, non-inferiority was considered to be conﬁrmed, and if it was higher than 0%, superiority was considered to be conﬁrmed. The clinical </w:t>
      </w:r>
      <w:r w:rsidR="00A77FA8" w:rsidRPr="0002340D">
        <w:rPr>
          <w:szCs w:val="18"/>
        </w:rPr>
        <w:t xml:space="preserve">rationale </w:t>
      </w:r>
      <w:r w:rsidRPr="0002340D">
        <w:rPr>
          <w:szCs w:val="18"/>
        </w:rPr>
        <w:t xml:space="preserve">for the </w:t>
      </w:r>
      <w:r w:rsidR="00A77FA8" w:rsidRPr="0002340D">
        <w:rPr>
          <w:szCs w:val="18"/>
        </w:rPr>
        <w:t xml:space="preserve">proposed </w:t>
      </w:r>
      <w:r w:rsidR="001B347F" w:rsidRPr="0002340D">
        <w:rPr>
          <w:szCs w:val="18"/>
        </w:rPr>
        <w:t>minimum clinically important difference (</w:t>
      </w:r>
      <w:r w:rsidRPr="0002340D">
        <w:rPr>
          <w:szCs w:val="18"/>
        </w:rPr>
        <w:t>MCID</w:t>
      </w:r>
      <w:r w:rsidR="001B347F" w:rsidRPr="0002340D">
        <w:rPr>
          <w:szCs w:val="18"/>
        </w:rPr>
        <w:t>)</w:t>
      </w:r>
      <w:r w:rsidRPr="0002340D">
        <w:rPr>
          <w:szCs w:val="18"/>
        </w:rPr>
        <w:t xml:space="preserve"> was not clear from the trial publications or the submission.</w:t>
      </w:r>
      <w:r w:rsidR="000638E4" w:rsidRPr="0002340D">
        <w:rPr>
          <w:szCs w:val="18"/>
        </w:rPr>
        <w:t xml:space="preserve"> The primary objective of the CONSOLE-BC trial was to descriptively assess safety. Thus</w:t>
      </w:r>
      <w:r w:rsidR="00CA256D" w:rsidRPr="0002340D">
        <w:rPr>
          <w:szCs w:val="18"/>
        </w:rPr>
        <w:t>,</w:t>
      </w:r>
      <w:r w:rsidR="000638E4" w:rsidRPr="0002340D">
        <w:rPr>
          <w:szCs w:val="18"/>
        </w:rPr>
        <w:t xml:space="preserve"> no NI margins for efficacy or safety were pre-specified</w:t>
      </w:r>
      <w:r w:rsidR="001B347F" w:rsidRPr="0002340D">
        <w:rPr>
          <w:szCs w:val="18"/>
        </w:rPr>
        <w:t xml:space="preserve"> in CONSOLE-BC</w:t>
      </w:r>
      <w:r w:rsidR="000638E4" w:rsidRPr="0002340D">
        <w:rPr>
          <w:szCs w:val="18"/>
        </w:rPr>
        <w:t xml:space="preserve">. </w:t>
      </w:r>
    </w:p>
    <w:p w14:paraId="1A1387D1" w14:textId="21A71E36" w:rsidR="00234B32" w:rsidRPr="00680091" w:rsidRDefault="00234B32" w:rsidP="005655C6">
      <w:pPr>
        <w:pStyle w:val="3-BodyText"/>
        <w:rPr>
          <w:szCs w:val="18"/>
        </w:rPr>
      </w:pPr>
      <w:r>
        <w:rPr>
          <w:szCs w:val="18"/>
        </w:rPr>
        <w:t xml:space="preserve">For the </w:t>
      </w:r>
      <w:r w:rsidRPr="00234B32">
        <w:rPr>
          <w:szCs w:val="18"/>
        </w:rPr>
        <w:t>meta-analysis of safety outcomes (ISRs)</w:t>
      </w:r>
      <w:r>
        <w:rPr>
          <w:szCs w:val="18"/>
        </w:rPr>
        <w:t xml:space="preserve">, the submission proposed </w:t>
      </w:r>
      <w:r w:rsidRPr="00234B32">
        <w:rPr>
          <w:szCs w:val="18"/>
        </w:rPr>
        <w:t>a risk reduction of &gt;25%</w:t>
      </w:r>
      <w:r>
        <w:rPr>
          <w:szCs w:val="18"/>
        </w:rPr>
        <w:t xml:space="preserve"> </w:t>
      </w:r>
      <w:r w:rsidRPr="00234B32">
        <w:rPr>
          <w:szCs w:val="18"/>
        </w:rPr>
        <w:t xml:space="preserve">(i.e., a </w:t>
      </w:r>
      <w:r w:rsidR="00523521">
        <w:rPr>
          <w:szCs w:val="18"/>
        </w:rPr>
        <w:t>risk ratio (</w:t>
      </w:r>
      <w:r w:rsidRPr="00234B32">
        <w:rPr>
          <w:szCs w:val="18"/>
        </w:rPr>
        <w:t>RR</w:t>
      </w:r>
      <w:r w:rsidR="00523521">
        <w:rPr>
          <w:szCs w:val="18"/>
        </w:rPr>
        <w:t>)</w:t>
      </w:r>
      <w:r w:rsidRPr="00234B32">
        <w:rPr>
          <w:szCs w:val="18"/>
        </w:rPr>
        <w:t xml:space="preserve"> &lt; 0.75) as clinically meaningful </w:t>
      </w:r>
      <w:r>
        <w:rPr>
          <w:szCs w:val="18"/>
        </w:rPr>
        <w:t>for treatment related adverse events (TRAEs) related ISRs.</w:t>
      </w:r>
      <w:r w:rsidRPr="00234B32">
        <w:rPr>
          <w:szCs w:val="18"/>
        </w:rPr>
        <w:t xml:space="preserve"> The submission noted that no MCID was identified in the published domain for this disease area and that the 25% risk reduction was based on Grading of Recommendations, Assessment, Development and </w:t>
      </w:r>
      <w:r w:rsidRPr="00680091">
        <w:rPr>
          <w:szCs w:val="18"/>
        </w:rPr>
        <w:t>Evaluations (GRADE)</w:t>
      </w:r>
      <w:r w:rsidR="001B347F" w:rsidRPr="00680091">
        <w:rPr>
          <w:rStyle w:val="FootnoteReference"/>
          <w:szCs w:val="18"/>
        </w:rPr>
        <w:footnoteReference w:id="7"/>
      </w:r>
      <w:r w:rsidRPr="00680091">
        <w:rPr>
          <w:szCs w:val="18"/>
        </w:rPr>
        <w:t>.</w:t>
      </w:r>
    </w:p>
    <w:p w14:paraId="52B94A3B" w14:textId="77777777" w:rsidR="00B60939" w:rsidRPr="00680091" w:rsidRDefault="00B60939" w:rsidP="00EC5836">
      <w:pPr>
        <w:pStyle w:val="4-SubsectionHeading"/>
      </w:pPr>
      <w:bookmarkStart w:id="26" w:name="_Toc22897641"/>
      <w:bookmarkStart w:id="27" w:name="_Toc124841997"/>
      <w:r w:rsidRPr="00680091">
        <w:t>Comparative effectiveness</w:t>
      </w:r>
      <w:bookmarkEnd w:id="26"/>
      <w:bookmarkEnd w:id="27"/>
    </w:p>
    <w:p w14:paraId="60D8A8A3" w14:textId="36416C41" w:rsidR="00A77FA8" w:rsidRPr="00680091" w:rsidRDefault="00A77FA8" w:rsidP="00EC5836">
      <w:pPr>
        <w:pStyle w:val="3-BodyText"/>
      </w:pPr>
      <w:r w:rsidRPr="00680091">
        <w:t xml:space="preserve">The results of </w:t>
      </w:r>
      <w:r w:rsidR="00541CED" w:rsidRPr="00680091">
        <w:t xml:space="preserve">key </w:t>
      </w:r>
      <w:r w:rsidRPr="00680091">
        <w:t>efficacy outcomes in CONSOLE are summarised in</w:t>
      </w:r>
      <w:r w:rsidR="006A6202" w:rsidRPr="00680091">
        <w:t xml:space="preserve"> </w:t>
      </w:r>
      <w:r w:rsidR="006A6202" w:rsidRPr="00680091">
        <w:fldChar w:fldCharType="begin"/>
      </w:r>
      <w:r w:rsidR="006A6202" w:rsidRPr="00680091">
        <w:instrText xml:space="preserve"> REF _Ref122682051 \h </w:instrText>
      </w:r>
      <w:r w:rsidR="00680091">
        <w:instrText xml:space="preserve"> \* MERGEFORMAT </w:instrText>
      </w:r>
      <w:r w:rsidR="006A6202" w:rsidRPr="00680091">
        <w:fldChar w:fldCharType="separate"/>
      </w:r>
      <w:r w:rsidR="00775281">
        <w:t xml:space="preserve">Table </w:t>
      </w:r>
      <w:r w:rsidR="00775281">
        <w:rPr>
          <w:noProof/>
        </w:rPr>
        <w:t>6</w:t>
      </w:r>
      <w:r w:rsidR="006A6202" w:rsidRPr="00680091">
        <w:fldChar w:fldCharType="end"/>
      </w:r>
      <w:r w:rsidR="006A6202" w:rsidRPr="00680091">
        <w:t>.</w:t>
      </w:r>
    </w:p>
    <w:p w14:paraId="720ED38E" w14:textId="39868288" w:rsidR="00A77FA8" w:rsidRDefault="00A77FA8" w:rsidP="00A77FA8">
      <w:pPr>
        <w:pStyle w:val="Caption"/>
      </w:pPr>
      <w:bookmarkStart w:id="28" w:name="_Ref122682051"/>
      <w:r>
        <w:t xml:space="preserve">Table </w:t>
      </w:r>
      <w:fldSimple w:instr=" SEQ Table \* ARABIC ">
        <w:r w:rsidR="00775281">
          <w:rPr>
            <w:noProof/>
          </w:rPr>
          <w:t>6</w:t>
        </w:r>
      </w:fldSimple>
      <w:bookmarkEnd w:id="28"/>
      <w:r>
        <w:t>: Efficacy outcomes in CONSOLE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2"/>
        <w:gridCol w:w="1105"/>
        <w:gridCol w:w="1389"/>
        <w:gridCol w:w="1407"/>
        <w:gridCol w:w="1924"/>
        <w:gridCol w:w="1520"/>
      </w:tblGrid>
      <w:tr w:rsidR="00A77FA8" w:rsidRPr="00AC2DA6" w14:paraId="309EA7B3" w14:textId="77777777" w:rsidTr="008D0FE4">
        <w:trPr>
          <w:cantSplit/>
          <w:tblHeader/>
        </w:trPr>
        <w:tc>
          <w:tcPr>
            <w:tcW w:w="927" w:type="pct"/>
            <w:vMerge w:val="restart"/>
            <w:shd w:val="clear" w:color="auto" w:fill="auto"/>
          </w:tcPr>
          <w:p w14:paraId="3DD6F1C9" w14:textId="77777777" w:rsidR="00A77FA8" w:rsidRPr="00AC2DA6" w:rsidRDefault="00A77FA8" w:rsidP="002E2180">
            <w:pPr>
              <w:pStyle w:val="Tabletext"/>
              <w:keepNext/>
              <w:rPr>
                <w:b/>
              </w:rPr>
            </w:pPr>
            <w:r w:rsidRPr="00AC2DA6">
              <w:rPr>
                <w:b/>
              </w:rPr>
              <w:t>Outcome</w:t>
            </w:r>
            <w:r w:rsidRPr="00AC2DA6">
              <w:rPr>
                <w:b/>
              </w:rPr>
              <w:br/>
              <w:t>(</w:t>
            </w:r>
            <w:r>
              <w:rPr>
                <w:b/>
              </w:rPr>
              <w:t>time post-chemotherapy</w:t>
            </w:r>
            <w:r w:rsidRPr="00AC2DA6">
              <w:rPr>
                <w:b/>
              </w:rPr>
              <w:t>)</w:t>
            </w:r>
          </w:p>
        </w:tc>
        <w:tc>
          <w:tcPr>
            <w:tcW w:w="613" w:type="pct"/>
            <w:vMerge w:val="restart"/>
            <w:shd w:val="clear" w:color="auto" w:fill="auto"/>
          </w:tcPr>
          <w:p w14:paraId="7A0687F4" w14:textId="77777777" w:rsidR="00A77FA8" w:rsidRPr="00AC2DA6" w:rsidRDefault="00A77FA8" w:rsidP="002E2180">
            <w:pPr>
              <w:pStyle w:val="Tabletext"/>
              <w:keepNext/>
              <w:rPr>
                <w:b/>
              </w:rPr>
            </w:pPr>
            <w:r w:rsidRPr="00AC2DA6">
              <w:rPr>
                <w:b/>
              </w:rPr>
              <w:t>Definition</w:t>
            </w:r>
            <w:r>
              <w:rPr>
                <w:b/>
              </w:rPr>
              <w:t xml:space="preserve"> of outcome</w:t>
            </w:r>
          </w:p>
        </w:tc>
        <w:tc>
          <w:tcPr>
            <w:tcW w:w="3461" w:type="pct"/>
            <w:gridSpan w:val="4"/>
            <w:shd w:val="clear" w:color="auto" w:fill="auto"/>
          </w:tcPr>
          <w:p w14:paraId="679A96F8" w14:textId="77777777" w:rsidR="00A77FA8" w:rsidRPr="00AC2DA6" w:rsidRDefault="00A77FA8" w:rsidP="002E2180">
            <w:pPr>
              <w:pStyle w:val="Tabletext"/>
              <w:keepNext/>
              <w:rPr>
                <w:b/>
              </w:rPr>
            </w:pPr>
            <w:r w:rsidRPr="00AC2DA6">
              <w:rPr>
                <w:b/>
              </w:rPr>
              <w:t>CONSOLE (S phase, 1</w:t>
            </w:r>
            <w:r w:rsidRPr="00AC2DA6">
              <w:rPr>
                <w:b/>
                <w:vertAlign w:val="superscript"/>
              </w:rPr>
              <w:t>st</w:t>
            </w:r>
            <w:r w:rsidRPr="00AC2DA6">
              <w:rPr>
                <w:b/>
              </w:rPr>
              <w:t xml:space="preserve"> </w:t>
            </w:r>
            <w:r>
              <w:rPr>
                <w:b/>
              </w:rPr>
              <w:t xml:space="preserve">chemotherapy </w:t>
            </w:r>
            <w:r w:rsidRPr="00AC2DA6">
              <w:rPr>
                <w:b/>
              </w:rPr>
              <w:t>treatment cycle)</w:t>
            </w:r>
          </w:p>
        </w:tc>
      </w:tr>
      <w:tr w:rsidR="00A77FA8" w:rsidRPr="00AC2DA6" w14:paraId="53578DD6" w14:textId="77777777" w:rsidTr="008D0FE4">
        <w:trPr>
          <w:cantSplit/>
          <w:tblHeader/>
        </w:trPr>
        <w:tc>
          <w:tcPr>
            <w:tcW w:w="927" w:type="pct"/>
            <w:vMerge/>
            <w:shd w:val="clear" w:color="auto" w:fill="auto"/>
          </w:tcPr>
          <w:p w14:paraId="51943E51" w14:textId="77777777" w:rsidR="00A77FA8" w:rsidRPr="00AC2DA6" w:rsidRDefault="00A77FA8" w:rsidP="002E2180">
            <w:pPr>
              <w:pStyle w:val="Tabletext"/>
              <w:keepNext/>
              <w:rPr>
                <w:b/>
              </w:rPr>
            </w:pPr>
          </w:p>
        </w:tc>
        <w:tc>
          <w:tcPr>
            <w:tcW w:w="613" w:type="pct"/>
            <w:vMerge/>
            <w:shd w:val="clear" w:color="auto" w:fill="auto"/>
          </w:tcPr>
          <w:p w14:paraId="3F277D6C" w14:textId="77777777" w:rsidR="00A77FA8" w:rsidRPr="00AC2DA6" w:rsidRDefault="00A77FA8" w:rsidP="002E2180">
            <w:pPr>
              <w:pStyle w:val="Tabletext"/>
              <w:keepNext/>
              <w:rPr>
                <w:b/>
              </w:rPr>
            </w:pPr>
          </w:p>
        </w:tc>
        <w:tc>
          <w:tcPr>
            <w:tcW w:w="770" w:type="pct"/>
            <w:shd w:val="clear" w:color="auto" w:fill="auto"/>
          </w:tcPr>
          <w:p w14:paraId="69036376" w14:textId="5AB09B17" w:rsidR="00A77FA8" w:rsidRPr="00AC2DA6" w:rsidRDefault="00F160FA" w:rsidP="002E2180">
            <w:pPr>
              <w:pStyle w:val="Tabletext"/>
              <w:keepNext/>
              <w:rPr>
                <w:b/>
              </w:rPr>
            </w:pPr>
            <w:r>
              <w:rPr>
                <w:b/>
              </w:rPr>
              <w:t>FosNTP</w:t>
            </w:r>
            <w:r w:rsidR="00A77FA8" w:rsidRPr="00AC2DA6">
              <w:rPr>
                <w:b/>
              </w:rPr>
              <w:t>+PALO IV</w:t>
            </w:r>
          </w:p>
          <w:p w14:paraId="420B8DCB" w14:textId="77777777" w:rsidR="00A77FA8" w:rsidRPr="00AC2DA6" w:rsidRDefault="00A77FA8" w:rsidP="002E2180">
            <w:pPr>
              <w:pStyle w:val="Tabletext"/>
              <w:keepNext/>
              <w:rPr>
                <w:b/>
              </w:rPr>
            </w:pPr>
            <w:r w:rsidRPr="00AC2DA6">
              <w:rPr>
                <w:b/>
              </w:rPr>
              <w:t>N=392</w:t>
            </w:r>
          </w:p>
        </w:tc>
        <w:tc>
          <w:tcPr>
            <w:tcW w:w="780" w:type="pct"/>
            <w:shd w:val="clear" w:color="auto" w:fill="auto"/>
          </w:tcPr>
          <w:p w14:paraId="504B7C1D" w14:textId="18525053" w:rsidR="00A77FA8" w:rsidRPr="00AC2DA6" w:rsidRDefault="00966F38" w:rsidP="002E2180">
            <w:pPr>
              <w:pStyle w:val="Tabletext"/>
              <w:keepNext/>
              <w:rPr>
                <w:b/>
              </w:rPr>
            </w:pPr>
            <w:r>
              <w:rPr>
                <w:b/>
              </w:rPr>
              <w:t>FosAPR</w:t>
            </w:r>
            <w:r w:rsidR="00A77FA8" w:rsidRPr="00AC2DA6">
              <w:rPr>
                <w:b/>
              </w:rPr>
              <w:t>+PALO IV</w:t>
            </w:r>
          </w:p>
          <w:p w14:paraId="7AE5366E" w14:textId="77777777" w:rsidR="00A77FA8" w:rsidRPr="00AC2DA6" w:rsidRDefault="00A77FA8" w:rsidP="002E2180">
            <w:pPr>
              <w:pStyle w:val="Tabletext"/>
              <w:keepNext/>
              <w:rPr>
                <w:b/>
              </w:rPr>
            </w:pPr>
            <w:r w:rsidRPr="00AC2DA6">
              <w:rPr>
                <w:b/>
              </w:rPr>
              <w:t>N=393</w:t>
            </w:r>
          </w:p>
        </w:tc>
        <w:tc>
          <w:tcPr>
            <w:tcW w:w="1911" w:type="pct"/>
            <w:gridSpan w:val="2"/>
            <w:shd w:val="clear" w:color="auto" w:fill="auto"/>
          </w:tcPr>
          <w:p w14:paraId="0D3E2D74" w14:textId="77777777" w:rsidR="00A77FA8" w:rsidRDefault="00A77FA8" w:rsidP="00541CED">
            <w:pPr>
              <w:pStyle w:val="Tabletext"/>
              <w:keepNext/>
              <w:rPr>
                <w:b/>
                <w:color w:val="403152" w:themeColor="accent4" w:themeShade="80"/>
                <w:vertAlign w:val="superscript"/>
              </w:rPr>
            </w:pPr>
            <w:r>
              <w:rPr>
                <w:b/>
              </w:rPr>
              <w:t>Comparative effectiveness</w:t>
            </w:r>
            <w:r w:rsidRPr="00AC2DA6">
              <w:rPr>
                <w:b/>
              </w:rPr>
              <w:t xml:space="preserve"> (95% CI) </w:t>
            </w:r>
            <w:r w:rsidR="00541CED">
              <w:rPr>
                <w:b/>
                <w:color w:val="403152" w:themeColor="accent4" w:themeShade="80"/>
                <w:vertAlign w:val="superscript"/>
              </w:rPr>
              <w:t>a</w:t>
            </w:r>
          </w:p>
          <w:p w14:paraId="46660841" w14:textId="5F8BB675" w:rsidR="00F042AB" w:rsidRPr="00F042AB" w:rsidRDefault="00F042AB" w:rsidP="00F042AB">
            <w:pPr>
              <w:pStyle w:val="Tabletext"/>
              <w:keepNext/>
              <w:rPr>
                <w:b/>
              </w:rPr>
            </w:pPr>
            <w:r>
              <w:rPr>
                <w:b/>
              </w:rPr>
              <w:t>FosNTP</w:t>
            </w:r>
            <w:r w:rsidRPr="00AC2DA6">
              <w:rPr>
                <w:b/>
              </w:rPr>
              <w:t>+PALO</w:t>
            </w:r>
            <w:r w:rsidRPr="00DB5886">
              <w:rPr>
                <w:b/>
              </w:rPr>
              <w:t xml:space="preserve"> vs. </w:t>
            </w:r>
            <w:r>
              <w:rPr>
                <w:b/>
              </w:rPr>
              <w:t>F</w:t>
            </w:r>
            <w:r w:rsidRPr="00DB5886">
              <w:rPr>
                <w:b/>
              </w:rPr>
              <w:t>osAPR+PALO</w:t>
            </w:r>
          </w:p>
        </w:tc>
      </w:tr>
      <w:tr w:rsidR="00A77FA8" w:rsidRPr="00AC2DA6" w14:paraId="4A341F28" w14:textId="77777777" w:rsidTr="008D0FE4">
        <w:trPr>
          <w:cantSplit/>
          <w:tblHeader/>
        </w:trPr>
        <w:tc>
          <w:tcPr>
            <w:tcW w:w="927" w:type="pct"/>
            <w:vMerge/>
            <w:shd w:val="clear" w:color="auto" w:fill="auto"/>
          </w:tcPr>
          <w:p w14:paraId="60E93DFB" w14:textId="77777777" w:rsidR="00A77FA8" w:rsidRPr="00AC2DA6" w:rsidRDefault="00A77FA8" w:rsidP="002E2180">
            <w:pPr>
              <w:pStyle w:val="Tabletext"/>
              <w:keepNext/>
              <w:rPr>
                <w:b/>
              </w:rPr>
            </w:pPr>
          </w:p>
        </w:tc>
        <w:tc>
          <w:tcPr>
            <w:tcW w:w="613" w:type="pct"/>
            <w:vMerge/>
            <w:shd w:val="clear" w:color="auto" w:fill="auto"/>
          </w:tcPr>
          <w:p w14:paraId="6EFBADF5" w14:textId="77777777" w:rsidR="00A77FA8" w:rsidRPr="00AC2DA6" w:rsidRDefault="00A77FA8" w:rsidP="002E2180">
            <w:pPr>
              <w:pStyle w:val="Tabletext"/>
              <w:keepNext/>
              <w:rPr>
                <w:b/>
              </w:rPr>
            </w:pPr>
          </w:p>
        </w:tc>
        <w:tc>
          <w:tcPr>
            <w:tcW w:w="770" w:type="pct"/>
            <w:shd w:val="clear" w:color="auto" w:fill="auto"/>
          </w:tcPr>
          <w:p w14:paraId="484D7FCC" w14:textId="77777777" w:rsidR="00A77FA8" w:rsidRPr="00AC2DA6" w:rsidRDefault="00A77FA8" w:rsidP="002E2180">
            <w:pPr>
              <w:pStyle w:val="Tabletext"/>
              <w:keepNext/>
              <w:rPr>
                <w:b/>
              </w:rPr>
            </w:pPr>
            <w:r w:rsidRPr="00AC2DA6">
              <w:rPr>
                <w:b/>
              </w:rPr>
              <w:t>n (%)</w:t>
            </w:r>
          </w:p>
        </w:tc>
        <w:tc>
          <w:tcPr>
            <w:tcW w:w="780" w:type="pct"/>
            <w:shd w:val="clear" w:color="auto" w:fill="auto"/>
          </w:tcPr>
          <w:p w14:paraId="602C8F3F" w14:textId="77777777" w:rsidR="00A77FA8" w:rsidRPr="00AC2DA6" w:rsidRDefault="00A77FA8" w:rsidP="002E2180">
            <w:pPr>
              <w:pStyle w:val="Tabletext"/>
              <w:keepNext/>
              <w:rPr>
                <w:b/>
              </w:rPr>
            </w:pPr>
            <w:r w:rsidRPr="00AC2DA6">
              <w:rPr>
                <w:b/>
              </w:rPr>
              <w:t>n (%)</w:t>
            </w:r>
          </w:p>
        </w:tc>
        <w:tc>
          <w:tcPr>
            <w:tcW w:w="1067" w:type="pct"/>
            <w:shd w:val="clear" w:color="auto" w:fill="auto"/>
          </w:tcPr>
          <w:p w14:paraId="2880516F" w14:textId="710748DD" w:rsidR="00A77FA8" w:rsidRPr="00AC2DA6" w:rsidRDefault="00A77FA8" w:rsidP="00566203">
            <w:pPr>
              <w:pStyle w:val="Tabletext"/>
              <w:keepNext/>
              <w:rPr>
                <w:b/>
              </w:rPr>
            </w:pPr>
            <w:r w:rsidRPr="00AC2DA6">
              <w:rPr>
                <w:b/>
              </w:rPr>
              <w:t>Risk difference</w:t>
            </w:r>
          </w:p>
        </w:tc>
        <w:tc>
          <w:tcPr>
            <w:tcW w:w="844" w:type="pct"/>
            <w:shd w:val="clear" w:color="auto" w:fill="auto"/>
          </w:tcPr>
          <w:p w14:paraId="5DC0D83A" w14:textId="48EBCBB2" w:rsidR="00A77FA8" w:rsidRPr="00AC2DA6" w:rsidRDefault="00A77FA8" w:rsidP="00566203">
            <w:pPr>
              <w:pStyle w:val="Tabletext"/>
              <w:keepNext/>
              <w:rPr>
                <w:b/>
              </w:rPr>
            </w:pPr>
            <w:r w:rsidRPr="00AC2DA6">
              <w:rPr>
                <w:b/>
              </w:rPr>
              <w:t>Risk ratio</w:t>
            </w:r>
            <w:r>
              <w:rPr>
                <w:b/>
              </w:rPr>
              <w:t xml:space="preserve"> </w:t>
            </w:r>
          </w:p>
        </w:tc>
      </w:tr>
      <w:tr w:rsidR="00A77FA8" w:rsidRPr="00AC2DA6" w14:paraId="18E46E99" w14:textId="77777777" w:rsidTr="008D0FE4">
        <w:trPr>
          <w:cantSplit/>
        </w:trPr>
        <w:tc>
          <w:tcPr>
            <w:tcW w:w="927" w:type="pct"/>
            <w:shd w:val="clear" w:color="auto" w:fill="auto"/>
          </w:tcPr>
          <w:p w14:paraId="4C9C258F" w14:textId="77777777" w:rsidR="00A77FA8" w:rsidRPr="00AC2DA6" w:rsidRDefault="00A77FA8" w:rsidP="002E2180">
            <w:pPr>
              <w:pStyle w:val="Tabletext"/>
              <w:keepNext/>
              <w:rPr>
                <w:b/>
                <w:bCs/>
              </w:rPr>
            </w:pPr>
            <w:r w:rsidRPr="00AC2DA6">
              <w:rPr>
                <w:b/>
                <w:bCs/>
              </w:rPr>
              <w:t>Complete Response (CR)</w:t>
            </w:r>
          </w:p>
        </w:tc>
        <w:tc>
          <w:tcPr>
            <w:tcW w:w="4073" w:type="pct"/>
            <w:gridSpan w:val="5"/>
            <w:shd w:val="clear" w:color="auto" w:fill="auto"/>
          </w:tcPr>
          <w:p w14:paraId="1D59CB99" w14:textId="77777777" w:rsidR="00A77FA8" w:rsidRPr="00AC2DA6" w:rsidRDefault="00A77FA8" w:rsidP="002E2180">
            <w:pPr>
              <w:pStyle w:val="Tabletext"/>
              <w:keepNext/>
              <w:rPr>
                <w:b/>
                <w:bCs/>
              </w:rPr>
            </w:pPr>
          </w:p>
        </w:tc>
      </w:tr>
      <w:tr w:rsidR="00A77FA8" w:rsidRPr="00AC2DA6" w14:paraId="2EB1BAB8" w14:textId="77777777" w:rsidTr="008D0FE4">
        <w:trPr>
          <w:cantSplit/>
        </w:trPr>
        <w:tc>
          <w:tcPr>
            <w:tcW w:w="927" w:type="pct"/>
            <w:shd w:val="clear" w:color="auto" w:fill="auto"/>
          </w:tcPr>
          <w:p w14:paraId="0E739809" w14:textId="3586E975" w:rsidR="00A77FA8" w:rsidRPr="00AC2DA6" w:rsidRDefault="00A77FA8" w:rsidP="002E2180">
            <w:pPr>
              <w:pStyle w:val="Tabletext"/>
              <w:keepNext/>
            </w:pPr>
            <w:r w:rsidRPr="00AC2DA6">
              <w:t>Overall</w:t>
            </w:r>
            <w:r w:rsidR="00541CED">
              <w:rPr>
                <w:vertAlign w:val="superscript"/>
              </w:rPr>
              <w:t>b</w:t>
            </w:r>
            <w:r w:rsidRPr="00AC2DA6">
              <w:t>: 0-120 hr</w:t>
            </w:r>
          </w:p>
        </w:tc>
        <w:tc>
          <w:tcPr>
            <w:tcW w:w="613" w:type="pct"/>
            <w:vMerge w:val="restart"/>
            <w:shd w:val="clear" w:color="auto" w:fill="auto"/>
          </w:tcPr>
          <w:p w14:paraId="039C4A72" w14:textId="77777777" w:rsidR="00A77FA8" w:rsidRPr="00AC2DA6" w:rsidRDefault="00A77FA8" w:rsidP="002E2180">
            <w:pPr>
              <w:pStyle w:val="Tabletext"/>
              <w:keepNext/>
            </w:pPr>
            <w:r w:rsidRPr="00AC2DA6">
              <w:t>No emetic event, no rescue medication</w:t>
            </w:r>
          </w:p>
        </w:tc>
        <w:tc>
          <w:tcPr>
            <w:tcW w:w="770" w:type="pct"/>
            <w:shd w:val="clear" w:color="auto" w:fill="auto"/>
          </w:tcPr>
          <w:p w14:paraId="1DE09B3B" w14:textId="77777777" w:rsidR="00A77FA8" w:rsidRPr="00AC2DA6" w:rsidRDefault="00A77FA8" w:rsidP="002E2180">
            <w:pPr>
              <w:pStyle w:val="Tabletext"/>
              <w:keepNext/>
            </w:pPr>
            <w:r w:rsidRPr="00AC2DA6">
              <w:t>295 (75.2%)</w:t>
            </w:r>
            <w:r w:rsidRPr="00AC2DA6">
              <w:rPr>
                <w:color w:val="403152" w:themeColor="accent4" w:themeShade="80"/>
                <w:vertAlign w:val="superscript"/>
              </w:rPr>
              <w:t>a</w:t>
            </w:r>
          </w:p>
        </w:tc>
        <w:tc>
          <w:tcPr>
            <w:tcW w:w="780" w:type="pct"/>
            <w:shd w:val="clear" w:color="auto" w:fill="auto"/>
          </w:tcPr>
          <w:p w14:paraId="4CAFF987" w14:textId="77777777" w:rsidR="00A77FA8" w:rsidRPr="00AC2DA6" w:rsidRDefault="00A77FA8" w:rsidP="002E2180">
            <w:pPr>
              <w:pStyle w:val="Tabletext"/>
              <w:keepNext/>
            </w:pPr>
            <w:r w:rsidRPr="00AC2DA6">
              <w:t>279 (71.0%)</w:t>
            </w:r>
            <w:r w:rsidRPr="00AC2DA6">
              <w:rPr>
                <w:vertAlign w:val="superscript"/>
              </w:rPr>
              <w:t xml:space="preserve"> </w:t>
            </w:r>
            <w:r w:rsidRPr="00AC2DA6">
              <w:rPr>
                <w:color w:val="403152" w:themeColor="accent4" w:themeShade="80"/>
                <w:vertAlign w:val="superscript"/>
              </w:rPr>
              <w:t>a</w:t>
            </w:r>
          </w:p>
        </w:tc>
        <w:tc>
          <w:tcPr>
            <w:tcW w:w="1067" w:type="pct"/>
            <w:shd w:val="clear" w:color="auto" w:fill="auto"/>
          </w:tcPr>
          <w:p w14:paraId="16049ABE" w14:textId="77777777" w:rsidR="00A77FA8" w:rsidRPr="00AC2DA6" w:rsidRDefault="00A77FA8" w:rsidP="002E2180">
            <w:pPr>
              <w:pStyle w:val="Tabletext"/>
              <w:keepNext/>
            </w:pPr>
            <w:r w:rsidRPr="00AC2DA6">
              <w:t xml:space="preserve">4.1% (-2.1%, 10.3%) </w:t>
            </w:r>
            <w:r w:rsidRPr="00AC2DA6">
              <w:rPr>
                <w:color w:val="403152" w:themeColor="accent4" w:themeShade="80"/>
                <w:vertAlign w:val="superscript"/>
              </w:rPr>
              <w:t>a</w:t>
            </w:r>
          </w:p>
        </w:tc>
        <w:tc>
          <w:tcPr>
            <w:tcW w:w="844" w:type="pct"/>
            <w:shd w:val="clear" w:color="auto" w:fill="auto"/>
          </w:tcPr>
          <w:p w14:paraId="49B137AD" w14:textId="77777777" w:rsidR="00A77FA8" w:rsidRPr="00AC2DA6" w:rsidRDefault="00A77FA8" w:rsidP="002E2180">
            <w:pPr>
              <w:pStyle w:val="Tabletext"/>
              <w:keepNext/>
            </w:pPr>
            <w:r w:rsidRPr="00AC2DA6">
              <w:t>1.06 (0.97, 1.15)</w:t>
            </w:r>
          </w:p>
        </w:tc>
      </w:tr>
      <w:tr w:rsidR="00A77FA8" w:rsidRPr="00AC2DA6" w14:paraId="4C988EFF" w14:textId="77777777" w:rsidTr="008D0FE4">
        <w:trPr>
          <w:cantSplit/>
        </w:trPr>
        <w:tc>
          <w:tcPr>
            <w:tcW w:w="927" w:type="pct"/>
            <w:shd w:val="clear" w:color="auto" w:fill="auto"/>
          </w:tcPr>
          <w:p w14:paraId="7354FAA2" w14:textId="77777777" w:rsidR="00A77FA8" w:rsidRPr="00AC2DA6" w:rsidRDefault="00A77FA8" w:rsidP="002E2180">
            <w:pPr>
              <w:pStyle w:val="Tabletext"/>
              <w:keepNext/>
            </w:pPr>
            <w:r w:rsidRPr="00AC2DA6">
              <w:t>Acute: 0-24 hr</w:t>
            </w:r>
          </w:p>
        </w:tc>
        <w:tc>
          <w:tcPr>
            <w:tcW w:w="613" w:type="pct"/>
            <w:vMerge/>
            <w:shd w:val="clear" w:color="auto" w:fill="auto"/>
          </w:tcPr>
          <w:p w14:paraId="1E20183B" w14:textId="77777777" w:rsidR="00A77FA8" w:rsidRPr="00AC2DA6" w:rsidRDefault="00A77FA8" w:rsidP="002E2180">
            <w:pPr>
              <w:pStyle w:val="Tabletext"/>
              <w:keepNext/>
            </w:pPr>
          </w:p>
        </w:tc>
        <w:tc>
          <w:tcPr>
            <w:tcW w:w="770" w:type="pct"/>
            <w:shd w:val="clear" w:color="auto" w:fill="auto"/>
          </w:tcPr>
          <w:p w14:paraId="504E612E" w14:textId="77777777" w:rsidR="00A77FA8" w:rsidRPr="00AC2DA6" w:rsidRDefault="00A77FA8" w:rsidP="002E2180">
            <w:pPr>
              <w:pStyle w:val="Tabletext"/>
              <w:keepNext/>
            </w:pPr>
            <w:r w:rsidRPr="00AC2DA6">
              <w:t>368 (93.9%)</w:t>
            </w:r>
          </w:p>
        </w:tc>
        <w:tc>
          <w:tcPr>
            <w:tcW w:w="780" w:type="pct"/>
            <w:shd w:val="clear" w:color="auto" w:fill="auto"/>
          </w:tcPr>
          <w:p w14:paraId="69F30211" w14:textId="77777777" w:rsidR="00A77FA8" w:rsidRPr="00AC2DA6" w:rsidRDefault="00A77FA8" w:rsidP="002E2180">
            <w:pPr>
              <w:pStyle w:val="Tabletext"/>
              <w:keepNext/>
            </w:pPr>
            <w:r w:rsidRPr="00AC2DA6">
              <w:t>364 (92.6%)</w:t>
            </w:r>
          </w:p>
        </w:tc>
        <w:tc>
          <w:tcPr>
            <w:tcW w:w="1067" w:type="pct"/>
            <w:shd w:val="clear" w:color="auto" w:fill="auto"/>
          </w:tcPr>
          <w:p w14:paraId="2AA336A5" w14:textId="77777777" w:rsidR="00A77FA8" w:rsidRPr="00AC2DA6" w:rsidRDefault="00A77FA8" w:rsidP="002E2180">
            <w:pPr>
              <w:pStyle w:val="Tabletext"/>
              <w:keepNext/>
            </w:pPr>
            <w:r w:rsidRPr="00AC2DA6">
              <w:t>1.3% (-2.3%, 4.8%)</w:t>
            </w:r>
          </w:p>
        </w:tc>
        <w:tc>
          <w:tcPr>
            <w:tcW w:w="844" w:type="pct"/>
            <w:shd w:val="clear" w:color="auto" w:fill="auto"/>
          </w:tcPr>
          <w:p w14:paraId="52742411" w14:textId="77777777" w:rsidR="00A77FA8" w:rsidRPr="00AC2DA6" w:rsidRDefault="00A77FA8" w:rsidP="002E2180">
            <w:pPr>
              <w:pStyle w:val="Tabletext"/>
              <w:keepNext/>
            </w:pPr>
            <w:r w:rsidRPr="00AC2DA6">
              <w:t>1.01 (0.98, 1.05)</w:t>
            </w:r>
          </w:p>
        </w:tc>
      </w:tr>
      <w:tr w:rsidR="00A77FA8" w:rsidRPr="00AC2DA6" w14:paraId="6F3E8E33" w14:textId="77777777" w:rsidTr="008D0FE4">
        <w:trPr>
          <w:cantSplit/>
        </w:trPr>
        <w:tc>
          <w:tcPr>
            <w:tcW w:w="927" w:type="pct"/>
            <w:shd w:val="clear" w:color="auto" w:fill="auto"/>
          </w:tcPr>
          <w:p w14:paraId="13B298EB" w14:textId="77777777" w:rsidR="00A77FA8" w:rsidRPr="00AC2DA6" w:rsidRDefault="00A77FA8" w:rsidP="002E2180">
            <w:pPr>
              <w:pStyle w:val="Tabletext"/>
              <w:keepNext/>
            </w:pPr>
            <w:r w:rsidRPr="00AC2DA6">
              <w:t>Delayed: 24-120 hr</w:t>
            </w:r>
          </w:p>
        </w:tc>
        <w:tc>
          <w:tcPr>
            <w:tcW w:w="613" w:type="pct"/>
            <w:vMerge/>
            <w:shd w:val="clear" w:color="auto" w:fill="auto"/>
          </w:tcPr>
          <w:p w14:paraId="45A11F66" w14:textId="77777777" w:rsidR="00A77FA8" w:rsidRPr="00AC2DA6" w:rsidRDefault="00A77FA8" w:rsidP="002E2180">
            <w:pPr>
              <w:pStyle w:val="Tabletext"/>
              <w:keepNext/>
            </w:pPr>
          </w:p>
        </w:tc>
        <w:tc>
          <w:tcPr>
            <w:tcW w:w="770" w:type="pct"/>
            <w:shd w:val="clear" w:color="auto" w:fill="auto"/>
          </w:tcPr>
          <w:p w14:paraId="513E7674" w14:textId="77777777" w:rsidR="00A77FA8" w:rsidRPr="00AC2DA6" w:rsidRDefault="00A77FA8" w:rsidP="002E2180">
            <w:pPr>
              <w:pStyle w:val="Tabletext"/>
              <w:keepNext/>
            </w:pPr>
            <w:r w:rsidRPr="00AC2DA6">
              <w:t>301 (76.8%)</w:t>
            </w:r>
          </w:p>
        </w:tc>
        <w:tc>
          <w:tcPr>
            <w:tcW w:w="780" w:type="pct"/>
            <w:shd w:val="clear" w:color="auto" w:fill="auto"/>
          </w:tcPr>
          <w:p w14:paraId="64531748" w14:textId="77777777" w:rsidR="00A77FA8" w:rsidRPr="00AC2DA6" w:rsidRDefault="00A77FA8" w:rsidP="002E2180">
            <w:pPr>
              <w:pStyle w:val="Tabletext"/>
              <w:keepNext/>
            </w:pPr>
            <w:r w:rsidRPr="00AC2DA6">
              <w:t>286 (72.8%)</w:t>
            </w:r>
          </w:p>
        </w:tc>
        <w:tc>
          <w:tcPr>
            <w:tcW w:w="1067" w:type="pct"/>
            <w:shd w:val="clear" w:color="auto" w:fill="auto"/>
          </w:tcPr>
          <w:p w14:paraId="62B10882" w14:textId="77777777" w:rsidR="00A77FA8" w:rsidRPr="00AC2DA6" w:rsidRDefault="00A77FA8" w:rsidP="002E2180">
            <w:pPr>
              <w:pStyle w:val="Tabletext"/>
              <w:keepNext/>
            </w:pPr>
            <w:r w:rsidRPr="00AC2DA6">
              <w:t>4.0% (-2.1%, 10.1%)</w:t>
            </w:r>
          </w:p>
        </w:tc>
        <w:tc>
          <w:tcPr>
            <w:tcW w:w="844" w:type="pct"/>
            <w:shd w:val="clear" w:color="auto" w:fill="auto"/>
          </w:tcPr>
          <w:p w14:paraId="3CA05DE2" w14:textId="77777777" w:rsidR="00A77FA8" w:rsidRPr="00AC2DA6" w:rsidRDefault="00A77FA8" w:rsidP="002E2180">
            <w:pPr>
              <w:pStyle w:val="Tabletext"/>
              <w:keepNext/>
            </w:pPr>
            <w:r w:rsidRPr="00AC2DA6">
              <w:t>1.06 (0.97, 1.14)</w:t>
            </w:r>
          </w:p>
        </w:tc>
      </w:tr>
      <w:tr w:rsidR="00A77FA8" w:rsidRPr="00AC2DA6" w14:paraId="0A3092E1" w14:textId="77777777" w:rsidTr="008D0FE4">
        <w:trPr>
          <w:cantSplit/>
        </w:trPr>
        <w:tc>
          <w:tcPr>
            <w:tcW w:w="927" w:type="pct"/>
            <w:shd w:val="clear" w:color="auto" w:fill="auto"/>
          </w:tcPr>
          <w:p w14:paraId="4DE23855" w14:textId="77777777" w:rsidR="00A77FA8" w:rsidRPr="00AC2DA6" w:rsidRDefault="00A77FA8" w:rsidP="002E2180">
            <w:pPr>
              <w:pStyle w:val="Tabletext"/>
              <w:keepNext/>
            </w:pPr>
            <w:r w:rsidRPr="00AC2DA6">
              <w:t>0-168 hr</w:t>
            </w:r>
          </w:p>
        </w:tc>
        <w:tc>
          <w:tcPr>
            <w:tcW w:w="613" w:type="pct"/>
            <w:vMerge/>
            <w:shd w:val="clear" w:color="auto" w:fill="auto"/>
          </w:tcPr>
          <w:p w14:paraId="7A97EDD1" w14:textId="77777777" w:rsidR="00A77FA8" w:rsidRPr="00AC2DA6" w:rsidRDefault="00A77FA8" w:rsidP="002E2180">
            <w:pPr>
              <w:pStyle w:val="Tabletext"/>
              <w:keepNext/>
            </w:pPr>
          </w:p>
        </w:tc>
        <w:tc>
          <w:tcPr>
            <w:tcW w:w="770" w:type="pct"/>
            <w:shd w:val="clear" w:color="auto" w:fill="auto"/>
          </w:tcPr>
          <w:p w14:paraId="318B5C12" w14:textId="77777777" w:rsidR="00A77FA8" w:rsidRPr="00AC2DA6" w:rsidRDefault="00A77FA8" w:rsidP="002E2180">
            <w:pPr>
              <w:pStyle w:val="Tabletext"/>
              <w:keepNext/>
            </w:pPr>
            <w:r w:rsidRPr="00AC2DA6">
              <w:t>287 (73.2%)</w:t>
            </w:r>
          </w:p>
        </w:tc>
        <w:tc>
          <w:tcPr>
            <w:tcW w:w="780" w:type="pct"/>
            <w:shd w:val="clear" w:color="auto" w:fill="auto"/>
          </w:tcPr>
          <w:p w14:paraId="4A57DCCE" w14:textId="77777777" w:rsidR="00A77FA8" w:rsidRPr="00AC2DA6" w:rsidRDefault="00A77FA8" w:rsidP="002E2180">
            <w:pPr>
              <w:pStyle w:val="Tabletext"/>
              <w:keepNext/>
            </w:pPr>
            <w:r w:rsidRPr="00AC2DA6">
              <w:t>263 (66.9%)</w:t>
            </w:r>
          </w:p>
        </w:tc>
        <w:tc>
          <w:tcPr>
            <w:tcW w:w="1067" w:type="pct"/>
            <w:shd w:val="clear" w:color="auto" w:fill="auto"/>
          </w:tcPr>
          <w:p w14:paraId="27BEA281" w14:textId="77777777" w:rsidR="00A77FA8" w:rsidRPr="00AC2DA6" w:rsidRDefault="00A77FA8" w:rsidP="002E2180">
            <w:pPr>
              <w:pStyle w:val="Tabletext"/>
              <w:keepNext/>
            </w:pPr>
            <w:r w:rsidRPr="00AC2DA6">
              <w:t>6.3% (-0.0%, 12.7%)</w:t>
            </w:r>
          </w:p>
        </w:tc>
        <w:tc>
          <w:tcPr>
            <w:tcW w:w="844" w:type="pct"/>
            <w:shd w:val="clear" w:color="auto" w:fill="auto"/>
          </w:tcPr>
          <w:p w14:paraId="576CF645" w14:textId="77777777" w:rsidR="00A77FA8" w:rsidRPr="00AC2DA6" w:rsidRDefault="00A77FA8" w:rsidP="002E2180">
            <w:pPr>
              <w:pStyle w:val="Tabletext"/>
              <w:keepNext/>
            </w:pPr>
            <w:r w:rsidRPr="00AC2DA6">
              <w:t>1.10 (1.00, 1.12)</w:t>
            </w:r>
          </w:p>
        </w:tc>
      </w:tr>
      <w:tr w:rsidR="00A77FA8" w:rsidRPr="00AC2DA6" w14:paraId="52472B4E" w14:textId="77777777" w:rsidTr="008D0FE4">
        <w:trPr>
          <w:cantSplit/>
        </w:trPr>
        <w:tc>
          <w:tcPr>
            <w:tcW w:w="927" w:type="pct"/>
            <w:shd w:val="clear" w:color="auto" w:fill="auto"/>
          </w:tcPr>
          <w:p w14:paraId="047F851A" w14:textId="77777777" w:rsidR="00A77FA8" w:rsidRPr="00AC2DA6" w:rsidRDefault="00A77FA8" w:rsidP="002E2180">
            <w:pPr>
              <w:pStyle w:val="Tabletext"/>
              <w:keepNext/>
            </w:pPr>
            <w:r w:rsidRPr="00AC2DA6">
              <w:t>120-168 hr</w:t>
            </w:r>
          </w:p>
        </w:tc>
        <w:tc>
          <w:tcPr>
            <w:tcW w:w="613" w:type="pct"/>
            <w:vMerge/>
            <w:shd w:val="clear" w:color="auto" w:fill="auto"/>
          </w:tcPr>
          <w:p w14:paraId="2B21F53D" w14:textId="77777777" w:rsidR="00A77FA8" w:rsidRPr="00AC2DA6" w:rsidRDefault="00A77FA8" w:rsidP="002E2180">
            <w:pPr>
              <w:pStyle w:val="Tabletext"/>
              <w:keepNext/>
            </w:pPr>
          </w:p>
        </w:tc>
        <w:tc>
          <w:tcPr>
            <w:tcW w:w="770" w:type="pct"/>
            <w:shd w:val="clear" w:color="auto" w:fill="auto"/>
          </w:tcPr>
          <w:p w14:paraId="50C9E0E1" w14:textId="77777777" w:rsidR="00A77FA8" w:rsidRPr="00AC2DA6" w:rsidRDefault="00A77FA8" w:rsidP="002E2180">
            <w:pPr>
              <w:pStyle w:val="Tabletext"/>
              <w:keepNext/>
            </w:pPr>
            <w:r w:rsidRPr="00AC2DA6">
              <w:t>339 (86.5%)</w:t>
            </w:r>
          </w:p>
        </w:tc>
        <w:tc>
          <w:tcPr>
            <w:tcW w:w="780" w:type="pct"/>
            <w:shd w:val="clear" w:color="auto" w:fill="auto"/>
          </w:tcPr>
          <w:p w14:paraId="6BC4E8A9" w14:textId="77777777" w:rsidR="00A77FA8" w:rsidRPr="00AC2DA6" w:rsidRDefault="00A77FA8" w:rsidP="002E2180">
            <w:pPr>
              <w:pStyle w:val="Tabletext"/>
              <w:keepNext/>
            </w:pPr>
            <w:r w:rsidRPr="00AC2DA6">
              <w:t>320 (81.4%)</w:t>
            </w:r>
          </w:p>
        </w:tc>
        <w:tc>
          <w:tcPr>
            <w:tcW w:w="1067" w:type="pct"/>
            <w:shd w:val="clear" w:color="auto" w:fill="auto"/>
          </w:tcPr>
          <w:p w14:paraId="7C1E7BD3" w14:textId="77777777" w:rsidR="00A77FA8" w:rsidRPr="00AC2DA6" w:rsidRDefault="00A77FA8" w:rsidP="002E2180">
            <w:pPr>
              <w:pStyle w:val="Tabletext"/>
              <w:keepNext/>
            </w:pPr>
            <w:r w:rsidRPr="00AC2DA6">
              <w:t>5.1% (-0.0%, 10.2%)</w:t>
            </w:r>
          </w:p>
        </w:tc>
        <w:tc>
          <w:tcPr>
            <w:tcW w:w="844" w:type="pct"/>
            <w:shd w:val="clear" w:color="auto" w:fill="auto"/>
          </w:tcPr>
          <w:p w14:paraId="3881452A" w14:textId="77777777" w:rsidR="00A77FA8" w:rsidRPr="00AC2DA6" w:rsidRDefault="00A77FA8" w:rsidP="002E2180">
            <w:pPr>
              <w:pStyle w:val="Tabletext"/>
              <w:keepNext/>
            </w:pPr>
            <w:r w:rsidRPr="00AC2DA6">
              <w:t>1.06 (1.00, 1.13)</w:t>
            </w:r>
          </w:p>
        </w:tc>
      </w:tr>
      <w:tr w:rsidR="00A77FA8" w:rsidRPr="00AC2DA6" w14:paraId="76370086" w14:textId="77777777" w:rsidTr="008D0FE4">
        <w:trPr>
          <w:cantSplit/>
        </w:trPr>
        <w:tc>
          <w:tcPr>
            <w:tcW w:w="927" w:type="pct"/>
            <w:shd w:val="clear" w:color="auto" w:fill="auto"/>
          </w:tcPr>
          <w:p w14:paraId="6662E4B7" w14:textId="77777777" w:rsidR="00A77FA8" w:rsidRPr="00AC2DA6" w:rsidRDefault="00A77FA8" w:rsidP="002E2180">
            <w:pPr>
              <w:pStyle w:val="Tabletext"/>
              <w:keepNext/>
              <w:rPr>
                <w:b/>
                <w:bCs/>
              </w:rPr>
            </w:pPr>
            <w:r w:rsidRPr="00AC2DA6">
              <w:rPr>
                <w:b/>
                <w:bCs/>
              </w:rPr>
              <w:t>Total control rate</w:t>
            </w:r>
          </w:p>
        </w:tc>
        <w:tc>
          <w:tcPr>
            <w:tcW w:w="4073" w:type="pct"/>
            <w:gridSpan w:val="5"/>
            <w:shd w:val="clear" w:color="auto" w:fill="auto"/>
          </w:tcPr>
          <w:p w14:paraId="7AED21CF" w14:textId="77777777" w:rsidR="00A77FA8" w:rsidRPr="00AC2DA6" w:rsidRDefault="00A77FA8" w:rsidP="002E2180">
            <w:pPr>
              <w:pStyle w:val="Tabletext"/>
              <w:keepNext/>
              <w:rPr>
                <w:b/>
                <w:bCs/>
              </w:rPr>
            </w:pPr>
          </w:p>
        </w:tc>
      </w:tr>
      <w:tr w:rsidR="00A77FA8" w:rsidRPr="00AC2DA6" w14:paraId="10FF72E3" w14:textId="77777777" w:rsidTr="008D0FE4">
        <w:trPr>
          <w:cantSplit/>
        </w:trPr>
        <w:tc>
          <w:tcPr>
            <w:tcW w:w="927" w:type="pct"/>
            <w:shd w:val="clear" w:color="auto" w:fill="auto"/>
          </w:tcPr>
          <w:p w14:paraId="371C1E79" w14:textId="77777777" w:rsidR="00A77FA8" w:rsidRPr="00AC2DA6" w:rsidRDefault="00A77FA8" w:rsidP="002E2180">
            <w:pPr>
              <w:pStyle w:val="Tabletext"/>
              <w:keepNext/>
            </w:pPr>
            <w:r w:rsidRPr="00AC2DA6">
              <w:t>Overall: 0-120 hr</w:t>
            </w:r>
          </w:p>
        </w:tc>
        <w:tc>
          <w:tcPr>
            <w:tcW w:w="613" w:type="pct"/>
            <w:vMerge w:val="restart"/>
            <w:shd w:val="clear" w:color="auto" w:fill="auto"/>
          </w:tcPr>
          <w:p w14:paraId="4CC9E34B" w14:textId="65EAABF7" w:rsidR="00A77FA8" w:rsidRPr="00541CED" w:rsidRDefault="00A77FA8" w:rsidP="002E2180">
            <w:pPr>
              <w:pStyle w:val="Tabletext"/>
              <w:keepNext/>
              <w:rPr>
                <w:vertAlign w:val="superscript"/>
              </w:rPr>
            </w:pPr>
            <w:r w:rsidRPr="00AC2DA6">
              <w:t>No emetic event, no rescue medication, no nausea</w:t>
            </w:r>
            <w:r w:rsidR="00541CED">
              <w:rPr>
                <w:vertAlign w:val="superscript"/>
              </w:rPr>
              <w:t>c</w:t>
            </w:r>
          </w:p>
        </w:tc>
        <w:tc>
          <w:tcPr>
            <w:tcW w:w="770" w:type="pct"/>
            <w:shd w:val="clear" w:color="auto" w:fill="auto"/>
          </w:tcPr>
          <w:p w14:paraId="78219E31" w14:textId="77777777" w:rsidR="00A77FA8" w:rsidRPr="00AC2DA6" w:rsidRDefault="00A77FA8" w:rsidP="002E2180">
            <w:pPr>
              <w:pStyle w:val="Tabletext"/>
              <w:keepNext/>
            </w:pPr>
            <w:r w:rsidRPr="00AC2DA6">
              <w:t>196 (50.0%)</w:t>
            </w:r>
          </w:p>
        </w:tc>
        <w:tc>
          <w:tcPr>
            <w:tcW w:w="780" w:type="pct"/>
            <w:shd w:val="clear" w:color="auto" w:fill="auto"/>
          </w:tcPr>
          <w:p w14:paraId="3CBEB7DC" w14:textId="45A4E9DE" w:rsidR="00A77FA8" w:rsidRPr="00AC2DA6" w:rsidRDefault="00C2026C" w:rsidP="00C2026C">
            <w:pPr>
              <w:pStyle w:val="Tabletext"/>
              <w:keepNext/>
            </w:pPr>
            <w:r w:rsidRPr="00AC2DA6">
              <w:t>1</w:t>
            </w:r>
            <w:r>
              <w:t>85</w:t>
            </w:r>
            <w:r w:rsidRPr="00AC2DA6">
              <w:t xml:space="preserve"> </w:t>
            </w:r>
            <w:r w:rsidR="00A77FA8" w:rsidRPr="00AC2DA6">
              <w:t>(47.1%)</w:t>
            </w:r>
          </w:p>
        </w:tc>
        <w:tc>
          <w:tcPr>
            <w:tcW w:w="1067" w:type="pct"/>
            <w:shd w:val="clear" w:color="auto" w:fill="auto"/>
          </w:tcPr>
          <w:p w14:paraId="7BA048B6" w14:textId="77777777" w:rsidR="00A77FA8" w:rsidRPr="00AC2DA6" w:rsidRDefault="00A77FA8" w:rsidP="002E2180">
            <w:pPr>
              <w:pStyle w:val="Tabletext"/>
              <w:keepNext/>
            </w:pPr>
            <w:r w:rsidRPr="00AC2DA6">
              <w:t>0.9% (-6.1%, 8.9%)</w:t>
            </w:r>
          </w:p>
        </w:tc>
        <w:tc>
          <w:tcPr>
            <w:tcW w:w="844" w:type="pct"/>
            <w:shd w:val="clear" w:color="auto" w:fill="auto"/>
          </w:tcPr>
          <w:p w14:paraId="4F126D7F" w14:textId="77777777" w:rsidR="00A77FA8" w:rsidRPr="00AC2DA6" w:rsidRDefault="00A77FA8" w:rsidP="002E2180">
            <w:pPr>
              <w:pStyle w:val="Tabletext"/>
              <w:keepNext/>
            </w:pPr>
            <w:r w:rsidRPr="00AC2DA6">
              <w:t>1.02 (0.88, 1.17)</w:t>
            </w:r>
          </w:p>
        </w:tc>
      </w:tr>
      <w:tr w:rsidR="00A77FA8" w:rsidRPr="00AC2DA6" w14:paraId="6081E01C" w14:textId="77777777" w:rsidTr="008D0FE4">
        <w:trPr>
          <w:cantSplit/>
        </w:trPr>
        <w:tc>
          <w:tcPr>
            <w:tcW w:w="927" w:type="pct"/>
            <w:shd w:val="clear" w:color="auto" w:fill="auto"/>
          </w:tcPr>
          <w:p w14:paraId="32E72876" w14:textId="77777777" w:rsidR="00A77FA8" w:rsidRPr="00AC2DA6" w:rsidRDefault="00A77FA8" w:rsidP="002E2180">
            <w:pPr>
              <w:pStyle w:val="Tabletext"/>
              <w:keepNext/>
            </w:pPr>
            <w:r w:rsidRPr="00AC2DA6">
              <w:t>Acute: 0-24 hr</w:t>
            </w:r>
          </w:p>
        </w:tc>
        <w:tc>
          <w:tcPr>
            <w:tcW w:w="613" w:type="pct"/>
            <w:vMerge/>
            <w:shd w:val="clear" w:color="auto" w:fill="auto"/>
          </w:tcPr>
          <w:p w14:paraId="690800F8" w14:textId="77777777" w:rsidR="00A77FA8" w:rsidRPr="00AC2DA6" w:rsidRDefault="00A77FA8" w:rsidP="002E2180">
            <w:pPr>
              <w:pStyle w:val="Tabletext"/>
              <w:keepNext/>
            </w:pPr>
          </w:p>
        </w:tc>
        <w:tc>
          <w:tcPr>
            <w:tcW w:w="770" w:type="pct"/>
            <w:shd w:val="clear" w:color="auto" w:fill="auto"/>
          </w:tcPr>
          <w:p w14:paraId="731A1C95" w14:textId="77777777" w:rsidR="00A77FA8" w:rsidRPr="00AC2DA6" w:rsidRDefault="00A77FA8" w:rsidP="002E2180">
            <w:pPr>
              <w:pStyle w:val="Tabletext"/>
              <w:keepNext/>
            </w:pPr>
            <w:r w:rsidRPr="00AC2DA6">
              <w:t>296 (75.5%)</w:t>
            </w:r>
          </w:p>
        </w:tc>
        <w:tc>
          <w:tcPr>
            <w:tcW w:w="780" w:type="pct"/>
            <w:shd w:val="clear" w:color="auto" w:fill="auto"/>
          </w:tcPr>
          <w:p w14:paraId="4BC76EF3" w14:textId="77777777" w:rsidR="00A77FA8" w:rsidRPr="00AC2DA6" w:rsidRDefault="00A77FA8" w:rsidP="002E2180">
            <w:pPr>
              <w:pStyle w:val="Tabletext"/>
              <w:keepNext/>
            </w:pPr>
            <w:r w:rsidRPr="00AC2DA6">
              <w:t>314 (79.9%)</w:t>
            </w:r>
          </w:p>
        </w:tc>
        <w:tc>
          <w:tcPr>
            <w:tcW w:w="1067" w:type="pct"/>
            <w:shd w:val="clear" w:color="auto" w:fill="auto"/>
          </w:tcPr>
          <w:p w14:paraId="3CF82CA1" w14:textId="77777777" w:rsidR="00A77FA8" w:rsidRPr="00AC2DA6" w:rsidRDefault="00A77FA8" w:rsidP="002E2180">
            <w:pPr>
              <w:pStyle w:val="Tabletext"/>
              <w:keepNext/>
            </w:pPr>
            <w:r w:rsidRPr="00AC2DA6">
              <w:t>-4.6% (-10.4%, 1.2%)</w:t>
            </w:r>
          </w:p>
        </w:tc>
        <w:tc>
          <w:tcPr>
            <w:tcW w:w="844" w:type="pct"/>
            <w:shd w:val="clear" w:color="auto" w:fill="auto"/>
          </w:tcPr>
          <w:p w14:paraId="17D4F9DA" w14:textId="77777777" w:rsidR="00A77FA8" w:rsidRPr="00AC2DA6" w:rsidRDefault="00A77FA8" w:rsidP="002E2180">
            <w:pPr>
              <w:pStyle w:val="Tabletext"/>
              <w:keepNext/>
            </w:pPr>
            <w:r w:rsidRPr="00AC2DA6">
              <w:t>0.94 (0.87, 1.02)</w:t>
            </w:r>
          </w:p>
        </w:tc>
      </w:tr>
      <w:tr w:rsidR="00A77FA8" w:rsidRPr="00AC2DA6" w14:paraId="69B3971E" w14:textId="77777777" w:rsidTr="008D0FE4">
        <w:trPr>
          <w:cantSplit/>
          <w:trHeight w:val="259"/>
        </w:trPr>
        <w:tc>
          <w:tcPr>
            <w:tcW w:w="927" w:type="pct"/>
            <w:shd w:val="clear" w:color="auto" w:fill="auto"/>
          </w:tcPr>
          <w:p w14:paraId="717F69AF" w14:textId="77777777" w:rsidR="00A77FA8" w:rsidRPr="00AC2DA6" w:rsidRDefault="00A77FA8" w:rsidP="002E2180">
            <w:pPr>
              <w:pStyle w:val="Tabletext"/>
              <w:keepNext/>
            </w:pPr>
            <w:r w:rsidRPr="00AC2DA6">
              <w:t>Delayed: 24-120 hr</w:t>
            </w:r>
          </w:p>
        </w:tc>
        <w:tc>
          <w:tcPr>
            <w:tcW w:w="613" w:type="pct"/>
            <w:vMerge/>
            <w:shd w:val="clear" w:color="auto" w:fill="auto"/>
          </w:tcPr>
          <w:p w14:paraId="400664C5" w14:textId="77777777" w:rsidR="00A77FA8" w:rsidRPr="00AC2DA6" w:rsidRDefault="00A77FA8" w:rsidP="002E2180">
            <w:pPr>
              <w:pStyle w:val="Tabletext"/>
              <w:keepNext/>
            </w:pPr>
          </w:p>
        </w:tc>
        <w:tc>
          <w:tcPr>
            <w:tcW w:w="770" w:type="pct"/>
            <w:shd w:val="clear" w:color="auto" w:fill="auto"/>
          </w:tcPr>
          <w:p w14:paraId="5054BFB1" w14:textId="77777777" w:rsidR="00A77FA8" w:rsidRPr="00AC2DA6" w:rsidRDefault="00A77FA8" w:rsidP="002E2180">
            <w:pPr>
              <w:pStyle w:val="Tabletext"/>
              <w:keepNext/>
            </w:pPr>
            <w:r w:rsidRPr="00AC2DA6">
              <w:t>205 (52.3%)</w:t>
            </w:r>
          </w:p>
        </w:tc>
        <w:tc>
          <w:tcPr>
            <w:tcW w:w="780" w:type="pct"/>
            <w:shd w:val="clear" w:color="auto" w:fill="auto"/>
          </w:tcPr>
          <w:p w14:paraId="5E4AD93E" w14:textId="77777777" w:rsidR="00A77FA8" w:rsidRPr="00AC2DA6" w:rsidRDefault="00A77FA8" w:rsidP="002E2180">
            <w:pPr>
              <w:pStyle w:val="Tabletext"/>
              <w:keepNext/>
            </w:pPr>
            <w:r w:rsidRPr="00AC2DA6">
              <w:t>193 (49.1%)</w:t>
            </w:r>
          </w:p>
        </w:tc>
        <w:tc>
          <w:tcPr>
            <w:tcW w:w="1067" w:type="pct"/>
            <w:shd w:val="clear" w:color="auto" w:fill="auto"/>
          </w:tcPr>
          <w:p w14:paraId="787D0799" w14:textId="77777777" w:rsidR="00A77FA8" w:rsidRPr="00AC2DA6" w:rsidRDefault="00A77FA8" w:rsidP="002E2180">
            <w:pPr>
              <w:pStyle w:val="Tabletext"/>
              <w:keepNext/>
            </w:pPr>
            <w:r w:rsidRPr="00AC2DA6">
              <w:t>3.1% (-3.9%, 10.1%)</w:t>
            </w:r>
          </w:p>
        </w:tc>
        <w:tc>
          <w:tcPr>
            <w:tcW w:w="844" w:type="pct"/>
            <w:shd w:val="clear" w:color="auto" w:fill="auto"/>
          </w:tcPr>
          <w:p w14:paraId="6F995DE2" w14:textId="77777777" w:rsidR="00A77FA8" w:rsidRPr="00AC2DA6" w:rsidRDefault="00A77FA8" w:rsidP="002E2180">
            <w:pPr>
              <w:pStyle w:val="Tabletext"/>
              <w:keepNext/>
            </w:pPr>
            <w:r w:rsidRPr="00AC2DA6">
              <w:t>1.06 (0.93, 1.22)</w:t>
            </w:r>
          </w:p>
        </w:tc>
      </w:tr>
      <w:tr w:rsidR="00A77FA8" w:rsidRPr="00AC2DA6" w14:paraId="4128DD12" w14:textId="77777777" w:rsidTr="008D0FE4">
        <w:trPr>
          <w:cantSplit/>
        </w:trPr>
        <w:tc>
          <w:tcPr>
            <w:tcW w:w="927" w:type="pct"/>
            <w:shd w:val="clear" w:color="auto" w:fill="auto"/>
          </w:tcPr>
          <w:p w14:paraId="29B94905" w14:textId="77777777" w:rsidR="00A77FA8" w:rsidRPr="00AC2DA6" w:rsidRDefault="00A77FA8" w:rsidP="002E2180">
            <w:pPr>
              <w:pStyle w:val="Tabletext"/>
              <w:keepNext/>
            </w:pPr>
            <w:r w:rsidRPr="00AC2DA6">
              <w:t>0-168 hr</w:t>
            </w:r>
          </w:p>
        </w:tc>
        <w:tc>
          <w:tcPr>
            <w:tcW w:w="613" w:type="pct"/>
            <w:vMerge/>
            <w:shd w:val="clear" w:color="auto" w:fill="auto"/>
          </w:tcPr>
          <w:p w14:paraId="4433069B" w14:textId="77777777" w:rsidR="00A77FA8" w:rsidRPr="00AC2DA6" w:rsidRDefault="00A77FA8" w:rsidP="002E2180">
            <w:pPr>
              <w:pStyle w:val="Tabletext"/>
              <w:keepNext/>
            </w:pPr>
          </w:p>
        </w:tc>
        <w:tc>
          <w:tcPr>
            <w:tcW w:w="770" w:type="pct"/>
            <w:shd w:val="clear" w:color="auto" w:fill="auto"/>
          </w:tcPr>
          <w:p w14:paraId="74912E37" w14:textId="77777777" w:rsidR="00A77FA8" w:rsidRPr="00AC2DA6" w:rsidRDefault="00A77FA8" w:rsidP="002E2180">
            <w:pPr>
              <w:pStyle w:val="Tabletext"/>
              <w:keepNext/>
            </w:pPr>
            <w:r w:rsidRPr="00AC2DA6">
              <w:t>181 (46.2%)</w:t>
            </w:r>
          </w:p>
        </w:tc>
        <w:tc>
          <w:tcPr>
            <w:tcW w:w="780" w:type="pct"/>
            <w:shd w:val="clear" w:color="auto" w:fill="auto"/>
          </w:tcPr>
          <w:p w14:paraId="00A6DFE2" w14:textId="77777777" w:rsidR="00A77FA8" w:rsidRPr="00AC2DA6" w:rsidRDefault="00A77FA8" w:rsidP="002E2180">
            <w:pPr>
              <w:pStyle w:val="Tabletext"/>
              <w:keepNext/>
            </w:pPr>
            <w:r w:rsidRPr="00AC2DA6">
              <w:t>177 (45.0%)</w:t>
            </w:r>
          </w:p>
        </w:tc>
        <w:tc>
          <w:tcPr>
            <w:tcW w:w="1067" w:type="pct"/>
            <w:shd w:val="clear" w:color="auto" w:fill="auto"/>
          </w:tcPr>
          <w:p w14:paraId="1CE783CC" w14:textId="77777777" w:rsidR="00A77FA8" w:rsidRPr="00AC2DA6" w:rsidRDefault="00A77FA8" w:rsidP="002E2180">
            <w:pPr>
              <w:pStyle w:val="Tabletext"/>
              <w:keepNext/>
            </w:pPr>
            <w:r w:rsidRPr="00AC2DA6">
              <w:t>1.0% (-6.0%, 8.0%)</w:t>
            </w:r>
          </w:p>
        </w:tc>
        <w:tc>
          <w:tcPr>
            <w:tcW w:w="844" w:type="pct"/>
            <w:shd w:val="clear" w:color="auto" w:fill="auto"/>
          </w:tcPr>
          <w:p w14:paraId="78B7E068" w14:textId="77777777" w:rsidR="00A77FA8" w:rsidRPr="00AC2DA6" w:rsidRDefault="00A77FA8" w:rsidP="002E2180">
            <w:pPr>
              <w:pStyle w:val="Tabletext"/>
              <w:keepNext/>
            </w:pPr>
            <w:r w:rsidRPr="00AC2DA6">
              <w:t>1.02 (0.88, 1.19)</w:t>
            </w:r>
          </w:p>
        </w:tc>
      </w:tr>
      <w:tr w:rsidR="00A77FA8" w:rsidRPr="00AC2DA6" w14:paraId="2E4476A8" w14:textId="77777777" w:rsidTr="008D0FE4">
        <w:trPr>
          <w:cantSplit/>
        </w:trPr>
        <w:tc>
          <w:tcPr>
            <w:tcW w:w="927" w:type="pct"/>
            <w:shd w:val="clear" w:color="auto" w:fill="auto"/>
          </w:tcPr>
          <w:p w14:paraId="57B5D155" w14:textId="77777777" w:rsidR="00A77FA8" w:rsidRPr="00AC2DA6" w:rsidRDefault="00A77FA8" w:rsidP="002E2180">
            <w:pPr>
              <w:pStyle w:val="Tabletext"/>
              <w:keepNext/>
            </w:pPr>
            <w:r w:rsidRPr="00AC2DA6">
              <w:t>120-168 hr</w:t>
            </w:r>
          </w:p>
        </w:tc>
        <w:tc>
          <w:tcPr>
            <w:tcW w:w="613" w:type="pct"/>
            <w:vMerge/>
            <w:shd w:val="clear" w:color="auto" w:fill="auto"/>
          </w:tcPr>
          <w:p w14:paraId="752C82E4" w14:textId="77777777" w:rsidR="00A77FA8" w:rsidRPr="00AC2DA6" w:rsidRDefault="00A77FA8" w:rsidP="002E2180">
            <w:pPr>
              <w:pStyle w:val="Tabletext"/>
              <w:keepNext/>
            </w:pPr>
          </w:p>
        </w:tc>
        <w:tc>
          <w:tcPr>
            <w:tcW w:w="770" w:type="pct"/>
            <w:shd w:val="clear" w:color="auto" w:fill="auto"/>
          </w:tcPr>
          <w:p w14:paraId="47A65CF0" w14:textId="77777777" w:rsidR="00A77FA8" w:rsidRPr="00AC2DA6" w:rsidRDefault="00A77FA8" w:rsidP="002E2180">
            <w:pPr>
              <w:pStyle w:val="Tabletext"/>
              <w:keepNext/>
            </w:pPr>
            <w:r w:rsidRPr="00AC2DA6">
              <w:t>273 (69.6%)</w:t>
            </w:r>
          </w:p>
        </w:tc>
        <w:tc>
          <w:tcPr>
            <w:tcW w:w="780" w:type="pct"/>
            <w:shd w:val="clear" w:color="auto" w:fill="auto"/>
          </w:tcPr>
          <w:p w14:paraId="5448439F" w14:textId="77777777" w:rsidR="00A77FA8" w:rsidRPr="00AC2DA6" w:rsidRDefault="00A77FA8" w:rsidP="002E2180">
            <w:pPr>
              <w:pStyle w:val="Tabletext"/>
              <w:keepNext/>
            </w:pPr>
            <w:r w:rsidRPr="00AC2DA6">
              <w:t>260 (66.2%)</w:t>
            </w:r>
          </w:p>
        </w:tc>
        <w:tc>
          <w:tcPr>
            <w:tcW w:w="1067" w:type="pct"/>
            <w:shd w:val="clear" w:color="auto" w:fill="auto"/>
          </w:tcPr>
          <w:p w14:paraId="7356FBD5" w14:textId="77777777" w:rsidR="00A77FA8" w:rsidRPr="00AC2DA6" w:rsidRDefault="00A77FA8" w:rsidP="002E2180">
            <w:pPr>
              <w:pStyle w:val="Tabletext"/>
              <w:keepNext/>
            </w:pPr>
            <w:r w:rsidRPr="00AC2DA6">
              <w:t>3.3% (-3.2%, 9.8%)</w:t>
            </w:r>
          </w:p>
        </w:tc>
        <w:tc>
          <w:tcPr>
            <w:tcW w:w="844" w:type="pct"/>
            <w:shd w:val="clear" w:color="auto" w:fill="auto"/>
          </w:tcPr>
          <w:p w14:paraId="6B0808BF" w14:textId="77777777" w:rsidR="00A77FA8" w:rsidRPr="00AC2DA6" w:rsidRDefault="00A77FA8" w:rsidP="002E2180">
            <w:pPr>
              <w:pStyle w:val="Tabletext"/>
              <w:keepNext/>
            </w:pPr>
            <w:r w:rsidRPr="00AC2DA6">
              <w:t>1.05 (0.95, 1.16)</w:t>
            </w:r>
          </w:p>
        </w:tc>
      </w:tr>
    </w:tbl>
    <w:p w14:paraId="2F3D9ACF" w14:textId="77777777" w:rsidR="00A77FA8" w:rsidRDefault="00A77FA8" w:rsidP="00A77FA8">
      <w:pPr>
        <w:pStyle w:val="TableFooter"/>
      </w:pPr>
      <w:r>
        <w:t>Source: Modified from Table 2-16, pp72-73 of the submission.</w:t>
      </w:r>
    </w:p>
    <w:p w14:paraId="6968B9F5" w14:textId="4DE82AFB" w:rsidR="00A77FA8" w:rsidRPr="007377EA" w:rsidRDefault="00A77FA8" w:rsidP="00A77FA8">
      <w:pPr>
        <w:pStyle w:val="TableFooter"/>
      </w:pPr>
      <w:r w:rsidRPr="007377EA">
        <w:t>CI</w:t>
      </w:r>
      <w:r>
        <w:t>=</w:t>
      </w:r>
      <w:r w:rsidRPr="007377EA">
        <w:t xml:space="preserve">confidence interval; </w:t>
      </w:r>
      <w:r w:rsidR="00F160FA">
        <w:t>FosNTP</w:t>
      </w:r>
      <w:r>
        <w:t xml:space="preserve">=fosnetupitant; FosAPR=fosaprepitant; </w:t>
      </w:r>
      <w:r w:rsidRPr="007377EA">
        <w:t>n</w:t>
      </w:r>
      <w:r>
        <w:t>=</w:t>
      </w:r>
      <w:r w:rsidRPr="007377EA">
        <w:t>number of participants with event; N</w:t>
      </w:r>
      <w:r>
        <w:t>=</w:t>
      </w:r>
      <w:r w:rsidRPr="007377EA">
        <w:t>total participants in group</w:t>
      </w:r>
      <w:r>
        <w:t>;</w:t>
      </w:r>
      <w:r w:rsidRPr="007377EA">
        <w:t xml:space="preserve"> </w:t>
      </w:r>
      <w:r>
        <w:t>PALO=palonosetron;</w:t>
      </w:r>
    </w:p>
    <w:p w14:paraId="1C84F4B2" w14:textId="2786F35D" w:rsidR="00541CED" w:rsidRDefault="00541CED" w:rsidP="00A77FA8">
      <w:pPr>
        <w:pStyle w:val="TableFooter"/>
      </w:pPr>
      <w:r>
        <w:rPr>
          <w:vertAlign w:val="superscript"/>
        </w:rPr>
        <w:t>a</w:t>
      </w:r>
      <w:r w:rsidR="009D322D">
        <w:rPr>
          <w:vertAlign w:val="superscript"/>
        </w:rPr>
        <w:t xml:space="preserve"> </w:t>
      </w:r>
      <w:r w:rsidRPr="007377EA">
        <w:t xml:space="preserve">The CONSOLE primary outcome </w:t>
      </w:r>
      <w:r>
        <w:t xml:space="preserve">(i.e., Overall CR) </w:t>
      </w:r>
      <w:r w:rsidRPr="007377EA">
        <w:t xml:space="preserve">treatment difference was reported in the publication. All other </w:t>
      </w:r>
      <w:r>
        <w:t>r</w:t>
      </w:r>
      <w:r w:rsidRPr="007377EA">
        <w:t>isk differences</w:t>
      </w:r>
      <w:r>
        <w:t xml:space="preserve"> and r</w:t>
      </w:r>
      <w:r w:rsidRPr="007377EA">
        <w:t xml:space="preserve">isk </w:t>
      </w:r>
      <w:r>
        <w:t>r</w:t>
      </w:r>
      <w:r w:rsidRPr="007377EA">
        <w:t>atios were calculated using RevMan 5.3</w:t>
      </w:r>
      <w:r>
        <w:t xml:space="preserve"> for the submission</w:t>
      </w:r>
    </w:p>
    <w:p w14:paraId="71B2E622" w14:textId="7F330F46" w:rsidR="00A77FA8" w:rsidRPr="007377EA" w:rsidRDefault="00541CED" w:rsidP="00A77FA8">
      <w:pPr>
        <w:pStyle w:val="TableFooter"/>
      </w:pPr>
      <w:r w:rsidRPr="00541CED">
        <w:rPr>
          <w:vertAlign w:val="superscript"/>
        </w:rPr>
        <w:t>b</w:t>
      </w:r>
      <w:r w:rsidR="009D322D">
        <w:rPr>
          <w:vertAlign w:val="superscript"/>
        </w:rPr>
        <w:t xml:space="preserve"> </w:t>
      </w:r>
      <w:r>
        <w:t>The O</w:t>
      </w:r>
      <w:r w:rsidR="00A77FA8" w:rsidRPr="007377EA">
        <w:t>verall CR rate was st</w:t>
      </w:r>
      <w:r w:rsidR="00A77FA8">
        <w:t>ratified by sex and age category</w:t>
      </w:r>
      <w:r w:rsidR="00A77FA8" w:rsidRPr="007377EA">
        <w:t>.</w:t>
      </w:r>
    </w:p>
    <w:p w14:paraId="7733A966" w14:textId="64DDDE1F" w:rsidR="00A77FA8" w:rsidRPr="007377EA" w:rsidRDefault="00541CED" w:rsidP="00A77FA8">
      <w:pPr>
        <w:pStyle w:val="TableFooter"/>
      </w:pPr>
      <w:r>
        <w:rPr>
          <w:vertAlign w:val="superscript"/>
        </w:rPr>
        <w:t>c</w:t>
      </w:r>
      <w:r w:rsidR="009D322D">
        <w:rPr>
          <w:vertAlign w:val="superscript"/>
        </w:rPr>
        <w:t xml:space="preserve"> </w:t>
      </w:r>
      <w:r w:rsidR="00A77FA8">
        <w:t>Na</w:t>
      </w:r>
      <w:r w:rsidR="00A77FA8" w:rsidRPr="007377EA">
        <w:t>usea was assessed by patients on a 4-point Likert scale (none, mild, moderate or severe).</w:t>
      </w:r>
    </w:p>
    <w:p w14:paraId="0CC448B4" w14:textId="158F8C51" w:rsidR="00A77FA8" w:rsidRPr="00A77FA8" w:rsidRDefault="00A77FA8" w:rsidP="00A77FA8">
      <w:pPr>
        <w:pStyle w:val="TableFooter"/>
        <w:rPr>
          <w:snapToGrid w:val="0"/>
        </w:rPr>
      </w:pPr>
    </w:p>
    <w:p w14:paraId="6163C038" w14:textId="6822588D" w:rsidR="00541CED" w:rsidRDefault="00541CED" w:rsidP="00541CED">
      <w:pPr>
        <w:pStyle w:val="3-BodyText"/>
      </w:pPr>
      <w:r>
        <w:t>In the randomised double-blind S-cycle phase, the primary endpoint of overall CR (defined as “</w:t>
      </w:r>
      <w:r w:rsidRPr="00541CED">
        <w:t>No emetic event</w:t>
      </w:r>
      <w:r>
        <w:t xml:space="preserve"> and </w:t>
      </w:r>
      <w:r w:rsidRPr="00541CED">
        <w:t>no rescue medication</w:t>
      </w:r>
      <w:r>
        <w:t>”)</w:t>
      </w:r>
      <w:r w:rsidRPr="00541CED">
        <w:t xml:space="preserve"> </w:t>
      </w:r>
      <w:r>
        <w:t xml:space="preserve">was 75.2% versus 71.0% with FosNTP+PALO versus FosAPR+PALO, respectively. The between group difference was 4.1% (95% CI: -2.1%, 10.3%), demonstrating non-inferiority of </w:t>
      </w:r>
      <w:r w:rsidR="00F160FA">
        <w:t>FosNTP</w:t>
      </w:r>
      <w:r>
        <w:t xml:space="preserve"> compared to FosAPR (lower margin of the 95% CI for the </w:t>
      </w:r>
      <w:r w:rsidR="00566203">
        <w:t>absolute</w:t>
      </w:r>
      <w:r>
        <w:t xml:space="preserve"> difference of -2.1% was above the NI margin of -10%). Superiority was not demonstrated from the data.</w:t>
      </w:r>
    </w:p>
    <w:p w14:paraId="7B478BBA" w14:textId="5AE836E1" w:rsidR="00B52BB4" w:rsidRDefault="00B52BB4" w:rsidP="00541CED">
      <w:pPr>
        <w:pStyle w:val="3-BodyText"/>
      </w:pPr>
      <w:r>
        <w:t xml:space="preserve">Other secondary CR outcomes were generally similar between the FosNTP+PALO IV </w:t>
      </w:r>
      <w:r w:rsidR="00566203">
        <w:t>and</w:t>
      </w:r>
      <w:r>
        <w:t xml:space="preserve"> the </w:t>
      </w:r>
      <w:r w:rsidR="00966F38">
        <w:t>FosAPR</w:t>
      </w:r>
      <w:r>
        <w:t>+ PALO IV treatment arms, with no statistically significant differences over the acute, delayed or overall durations.</w:t>
      </w:r>
    </w:p>
    <w:p w14:paraId="4AD1FCFC" w14:textId="6B1A9B27" w:rsidR="00541CED" w:rsidRDefault="00541CED" w:rsidP="00541CED">
      <w:pPr>
        <w:pStyle w:val="3-BodyText"/>
      </w:pPr>
      <w:r w:rsidRPr="00541CED">
        <w:t xml:space="preserve">The </w:t>
      </w:r>
      <w:r>
        <w:t>time to treatment failure (</w:t>
      </w:r>
      <w:r w:rsidRPr="00541CED">
        <w:t>TTF</w:t>
      </w:r>
      <w:r>
        <w:t>)</w:t>
      </w:r>
      <w:r w:rsidRPr="00541CED">
        <w:t xml:space="preserve"> </w:t>
      </w:r>
      <w:r>
        <w:t>(</w:t>
      </w:r>
      <w:r w:rsidRPr="00541CED">
        <w:t>time to first emetic event or use of rescue medication</w:t>
      </w:r>
      <w:r>
        <w:t>)</w:t>
      </w:r>
      <w:r w:rsidRPr="00541CED">
        <w:t xml:space="preserve"> Kaplan-Meier (KM) curves in CONSOLE are presented in</w:t>
      </w:r>
      <w:r>
        <w:t xml:space="preserve"> </w:t>
      </w:r>
      <w:r w:rsidR="00B52BB4">
        <w:fldChar w:fldCharType="begin"/>
      </w:r>
      <w:r w:rsidR="00B52BB4">
        <w:instrText xml:space="preserve"> REF _Ref122683081 \h </w:instrText>
      </w:r>
      <w:r w:rsidR="00B52BB4">
        <w:fldChar w:fldCharType="separate"/>
      </w:r>
      <w:r w:rsidR="00775281">
        <w:t xml:space="preserve">Figure </w:t>
      </w:r>
      <w:r w:rsidR="00775281">
        <w:rPr>
          <w:noProof/>
        </w:rPr>
        <w:t>1</w:t>
      </w:r>
      <w:r w:rsidR="00B52BB4">
        <w:fldChar w:fldCharType="end"/>
      </w:r>
      <w:r w:rsidR="00B52BB4">
        <w:t>.</w:t>
      </w:r>
    </w:p>
    <w:p w14:paraId="0E1C1E1B" w14:textId="1F1E0A72" w:rsidR="00541CED" w:rsidRDefault="00541CED" w:rsidP="00541CED">
      <w:pPr>
        <w:pStyle w:val="Caption"/>
      </w:pPr>
      <w:bookmarkStart w:id="29" w:name="_Ref122683081"/>
      <w:r>
        <w:t xml:space="preserve">Figure </w:t>
      </w:r>
      <w:fldSimple w:instr=" SEQ Figure \* ARABIC ">
        <w:r w:rsidR="00775281">
          <w:rPr>
            <w:noProof/>
          </w:rPr>
          <w:t>1</w:t>
        </w:r>
      </w:fldSimple>
      <w:bookmarkEnd w:id="29"/>
      <w:r>
        <w:t>: CONSOLE – Time to treatment failure (TTF)</w:t>
      </w:r>
      <w:r w:rsidR="00566203">
        <w:rPr>
          <w:vertAlign w:val="superscript"/>
        </w:rPr>
        <w:t xml:space="preserve">a </w:t>
      </w:r>
      <w:r w:rsidR="00566203">
        <w:t>(S-cycle phase)</w:t>
      </w:r>
    </w:p>
    <w:p w14:paraId="67BBA07D" w14:textId="77777777" w:rsidR="00541CED" w:rsidRDefault="00541CED" w:rsidP="00541CED">
      <w:pPr>
        <w:pStyle w:val="TableFooter"/>
      </w:pPr>
      <w:r w:rsidRPr="004771F9">
        <w:rPr>
          <w:noProof/>
        </w:rPr>
        <w:drawing>
          <wp:inline distT="0" distB="0" distL="0" distR="0" wp14:anchorId="7E0CBF2F" wp14:editId="078126F2">
            <wp:extent cx="5732145" cy="2828925"/>
            <wp:effectExtent l="0" t="0" r="1905" b="9525"/>
            <wp:docPr id="9" name="Picture 9" descr="Figure 1: CONSOLE – Time to treatment failure (TTF)a (S-cycle ph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Figure 1: CONSOLE – Time to treatment failure (TTF)a (S-cycle phase)"/>
                    <pic:cNvPicPr/>
                  </pic:nvPicPr>
                  <pic:blipFill>
                    <a:blip r:embed="rId8"/>
                    <a:stretch>
                      <a:fillRect/>
                    </a:stretch>
                  </pic:blipFill>
                  <pic:spPr>
                    <a:xfrm>
                      <a:off x="0" y="0"/>
                      <a:ext cx="5732145" cy="2828925"/>
                    </a:xfrm>
                    <a:prstGeom prst="rect">
                      <a:avLst/>
                    </a:prstGeom>
                  </pic:spPr>
                </pic:pic>
              </a:graphicData>
            </a:graphic>
          </wp:inline>
        </w:drawing>
      </w:r>
    </w:p>
    <w:p w14:paraId="76BD7732" w14:textId="77777777" w:rsidR="00B52BB4" w:rsidRDefault="00541CED" w:rsidP="00541CED">
      <w:pPr>
        <w:pStyle w:val="TableFooter"/>
      </w:pPr>
      <w:r>
        <w:t>Source: Fig</w:t>
      </w:r>
      <w:r w:rsidR="00B52BB4">
        <w:t>ure 2-4, p71 of the submission.</w:t>
      </w:r>
    </w:p>
    <w:p w14:paraId="452715BF" w14:textId="77777777" w:rsidR="00566203" w:rsidRDefault="00B52BB4" w:rsidP="00541CED">
      <w:pPr>
        <w:pStyle w:val="TableFooter"/>
      </w:pPr>
      <w:r>
        <w:t xml:space="preserve">CI=confidence interval; </w:t>
      </w:r>
      <w:r w:rsidR="00541CED">
        <w:t>FosAPR=fosaprepitant; FosNTP=fosnetupitant; HR=hazard ratio; S-cycle=</w:t>
      </w:r>
      <w:r w:rsidR="00541CED" w:rsidRPr="00392513">
        <w:t xml:space="preserve"> single chemotherapy cycle</w:t>
      </w:r>
    </w:p>
    <w:p w14:paraId="1C462B85" w14:textId="2E9F4878" w:rsidR="00541CED" w:rsidRDefault="00566203" w:rsidP="00541CED">
      <w:pPr>
        <w:pStyle w:val="TableFooter"/>
      </w:pPr>
      <w:r>
        <w:rPr>
          <w:vertAlign w:val="superscript"/>
        </w:rPr>
        <w:t>a</w:t>
      </w:r>
      <w:r w:rsidR="009D322D">
        <w:rPr>
          <w:vertAlign w:val="superscript"/>
        </w:rPr>
        <w:t xml:space="preserve"> </w:t>
      </w:r>
      <w:r>
        <w:t>T</w:t>
      </w:r>
      <w:r w:rsidR="00541CED">
        <w:t>ime to first emetic event or use of rescue medication.</w:t>
      </w:r>
    </w:p>
    <w:p w14:paraId="47E30084" w14:textId="77777777" w:rsidR="00541CED" w:rsidRDefault="00541CED" w:rsidP="00541CED"/>
    <w:p w14:paraId="6221FEFE" w14:textId="0A76C6C7" w:rsidR="00B52BB4" w:rsidRDefault="00B52BB4" w:rsidP="00541CED">
      <w:pPr>
        <w:pStyle w:val="3-BodyText"/>
      </w:pPr>
      <w:r w:rsidRPr="00B52BB4">
        <w:t xml:space="preserve">The reduction in the hazard of first emetic event or use of rescue medication favoured the </w:t>
      </w:r>
      <w:r w:rsidR="00F160FA">
        <w:t>FosNTP</w:t>
      </w:r>
      <w:r w:rsidRPr="00B52BB4">
        <w:t xml:space="preserve">+PALO IV treatment arm over the </w:t>
      </w:r>
      <w:r w:rsidR="00966F38">
        <w:t>FosAPR</w:t>
      </w:r>
      <w:r w:rsidRPr="00B52BB4">
        <w:t>+PALO IV treatment arm, but was not statistically significant (</w:t>
      </w:r>
      <w:r w:rsidR="00566203">
        <w:t>hazard ratio (</w:t>
      </w:r>
      <w:r w:rsidRPr="00B52BB4">
        <w:t>HR</w:t>
      </w:r>
      <w:r w:rsidR="00566203">
        <w:t>):</w:t>
      </w:r>
      <w:r w:rsidRPr="00B52BB4">
        <w:t xml:space="preserve"> 0.79; 95% CI: 0.61, 1.02; </w:t>
      </w:r>
      <w:r w:rsidRPr="00B52BB4">
        <w:rPr>
          <w:iCs/>
        </w:rPr>
        <w:t>p</w:t>
      </w:r>
      <w:r w:rsidRPr="00B52BB4">
        <w:t>=0.071)</w:t>
      </w:r>
      <w:r>
        <w:t>.</w:t>
      </w:r>
    </w:p>
    <w:p w14:paraId="76FB1CF2" w14:textId="69A9FE71" w:rsidR="00A77FA8" w:rsidRPr="00A77FA8" w:rsidRDefault="00B52BB4" w:rsidP="00EC5836">
      <w:pPr>
        <w:pStyle w:val="3-BodyText"/>
      </w:pPr>
      <w:r w:rsidRPr="00B52BB4">
        <w:t>The primary objective of the CONSOLE-BC trial was the assessment of safety.</w:t>
      </w:r>
      <w:r>
        <w:t xml:space="preserve"> Safety results are presented further below. Results </w:t>
      </w:r>
      <w:r w:rsidR="00566203">
        <w:t>of</w:t>
      </w:r>
      <w:r>
        <w:t xml:space="preserve"> </w:t>
      </w:r>
      <w:r w:rsidR="000638E4">
        <w:t xml:space="preserve">exploratory </w:t>
      </w:r>
      <w:r>
        <w:t xml:space="preserve">secondary efficacy outcomes are summarised in </w:t>
      </w:r>
      <w:r w:rsidR="000638E4">
        <w:fldChar w:fldCharType="begin"/>
      </w:r>
      <w:r w:rsidR="000638E4">
        <w:instrText xml:space="preserve"> REF _Ref122683799 \h </w:instrText>
      </w:r>
      <w:r w:rsidR="000638E4">
        <w:fldChar w:fldCharType="separate"/>
      </w:r>
      <w:r w:rsidR="00775281">
        <w:t xml:space="preserve">Table </w:t>
      </w:r>
      <w:r w:rsidR="00775281">
        <w:rPr>
          <w:noProof/>
        </w:rPr>
        <w:t>7</w:t>
      </w:r>
      <w:r w:rsidR="000638E4">
        <w:fldChar w:fldCharType="end"/>
      </w:r>
      <w:r w:rsidR="000638E4">
        <w:t>.</w:t>
      </w:r>
    </w:p>
    <w:p w14:paraId="71065402" w14:textId="200132D9" w:rsidR="00B52BB4" w:rsidRDefault="00B52BB4" w:rsidP="00B52BB4">
      <w:pPr>
        <w:pStyle w:val="Caption"/>
      </w:pPr>
      <w:bookmarkStart w:id="30" w:name="_Ref122683799"/>
      <w:r>
        <w:t xml:space="preserve">Table </w:t>
      </w:r>
      <w:fldSimple w:instr=" SEQ Table \* ARABIC ">
        <w:r w:rsidR="00775281">
          <w:rPr>
            <w:noProof/>
          </w:rPr>
          <w:t>7</w:t>
        </w:r>
      </w:fldSimple>
      <w:bookmarkEnd w:id="30"/>
      <w:r>
        <w:t>: CONSOLE-BC – Secondary efficacy outcomes</w:t>
      </w:r>
    </w:p>
    <w:tbl>
      <w:tblPr>
        <w:tblStyle w:val="TableGrid"/>
        <w:tblW w:w="9356" w:type="dxa"/>
        <w:tblLayout w:type="fixed"/>
        <w:tblLook w:val="04A0" w:firstRow="1" w:lastRow="0" w:firstColumn="1" w:lastColumn="0" w:noHBand="0" w:noVBand="1"/>
      </w:tblPr>
      <w:tblGrid>
        <w:gridCol w:w="1271"/>
        <w:gridCol w:w="1276"/>
        <w:gridCol w:w="1702"/>
        <w:gridCol w:w="2123"/>
        <w:gridCol w:w="1700"/>
        <w:gridCol w:w="1284"/>
      </w:tblGrid>
      <w:tr w:rsidR="00B52BB4" w14:paraId="7E2F042E" w14:textId="77777777" w:rsidTr="002E2180">
        <w:trPr>
          <w:trHeight w:val="698"/>
        </w:trPr>
        <w:tc>
          <w:tcPr>
            <w:tcW w:w="1271" w:type="dxa"/>
            <w:vMerge w:val="restart"/>
            <w:tcBorders>
              <w:bottom w:val="single" w:sz="4" w:space="0" w:color="auto"/>
            </w:tcBorders>
          </w:tcPr>
          <w:p w14:paraId="1AD1B9B4" w14:textId="77777777" w:rsidR="00B52BB4" w:rsidRPr="00DB5886" w:rsidRDefault="00B52BB4" w:rsidP="003C0771">
            <w:pPr>
              <w:pStyle w:val="Tabletext"/>
              <w:keepNext/>
              <w:rPr>
                <w:b/>
              </w:rPr>
            </w:pPr>
            <w:r w:rsidRPr="00DB5886">
              <w:rPr>
                <w:b/>
              </w:rPr>
              <w:t>Outcome</w:t>
            </w:r>
            <w:r w:rsidRPr="00DB5886">
              <w:rPr>
                <w:b/>
              </w:rPr>
              <w:br/>
              <w:t>(including timeframe)</w:t>
            </w:r>
          </w:p>
        </w:tc>
        <w:tc>
          <w:tcPr>
            <w:tcW w:w="1276" w:type="dxa"/>
            <w:vMerge w:val="restart"/>
            <w:tcBorders>
              <w:bottom w:val="single" w:sz="4" w:space="0" w:color="auto"/>
            </w:tcBorders>
          </w:tcPr>
          <w:p w14:paraId="7ACDF44C" w14:textId="77777777" w:rsidR="00B52BB4" w:rsidRPr="00DB5886" w:rsidRDefault="00B52BB4" w:rsidP="003C0771">
            <w:pPr>
              <w:pStyle w:val="Tabletext"/>
              <w:keepNext/>
              <w:rPr>
                <w:b/>
              </w:rPr>
            </w:pPr>
            <w:r w:rsidRPr="00DB5886">
              <w:rPr>
                <w:b/>
              </w:rPr>
              <w:t>Definition</w:t>
            </w:r>
          </w:p>
        </w:tc>
        <w:tc>
          <w:tcPr>
            <w:tcW w:w="1702" w:type="dxa"/>
            <w:vMerge w:val="restart"/>
            <w:tcBorders>
              <w:bottom w:val="single" w:sz="4" w:space="0" w:color="auto"/>
            </w:tcBorders>
          </w:tcPr>
          <w:p w14:paraId="4A21F381" w14:textId="45AC0D7C" w:rsidR="00B52BB4" w:rsidRPr="00DB5886" w:rsidRDefault="00F160FA" w:rsidP="003C0771">
            <w:pPr>
              <w:pStyle w:val="Tabletext"/>
              <w:keepNext/>
              <w:rPr>
                <w:b/>
              </w:rPr>
            </w:pPr>
            <w:r>
              <w:rPr>
                <w:b/>
              </w:rPr>
              <w:t>FosNTP</w:t>
            </w:r>
            <w:r w:rsidR="00B52BB4" w:rsidRPr="00DB5886">
              <w:rPr>
                <w:b/>
              </w:rPr>
              <w:t>+PALO IV</w:t>
            </w:r>
          </w:p>
          <w:p w14:paraId="13878B49" w14:textId="77777777" w:rsidR="00B52BB4" w:rsidRPr="00DB5886" w:rsidRDefault="00B52BB4" w:rsidP="003C0771">
            <w:pPr>
              <w:pStyle w:val="Tabletext"/>
              <w:keepNext/>
              <w:rPr>
                <w:b/>
              </w:rPr>
            </w:pPr>
            <w:r w:rsidRPr="00DB5886">
              <w:rPr>
                <w:b/>
              </w:rPr>
              <w:t>N=51</w:t>
            </w:r>
          </w:p>
          <w:p w14:paraId="51F726D1" w14:textId="77777777" w:rsidR="00B52BB4" w:rsidRPr="00DB5886" w:rsidRDefault="00B52BB4" w:rsidP="003C0771">
            <w:pPr>
              <w:pStyle w:val="Tabletext"/>
              <w:keepNext/>
              <w:rPr>
                <w:b/>
              </w:rPr>
            </w:pPr>
            <w:r w:rsidRPr="00DB5886">
              <w:rPr>
                <w:b/>
              </w:rPr>
              <w:t>n (%)</w:t>
            </w:r>
          </w:p>
        </w:tc>
        <w:tc>
          <w:tcPr>
            <w:tcW w:w="2123" w:type="dxa"/>
            <w:vMerge w:val="restart"/>
            <w:tcBorders>
              <w:bottom w:val="single" w:sz="4" w:space="0" w:color="auto"/>
            </w:tcBorders>
          </w:tcPr>
          <w:p w14:paraId="1198FBB7" w14:textId="460A5FA8" w:rsidR="00B52BB4" w:rsidRPr="00DB5886" w:rsidRDefault="00966F38" w:rsidP="003C0771">
            <w:pPr>
              <w:pStyle w:val="Tabletext"/>
              <w:keepNext/>
              <w:rPr>
                <w:b/>
              </w:rPr>
            </w:pPr>
            <w:r>
              <w:rPr>
                <w:b/>
              </w:rPr>
              <w:t>FosAPR</w:t>
            </w:r>
            <w:r w:rsidR="00B52BB4" w:rsidRPr="00DB5886">
              <w:rPr>
                <w:b/>
              </w:rPr>
              <w:t xml:space="preserve">+PALO </w:t>
            </w:r>
            <w:r w:rsidR="00B52BB4">
              <w:rPr>
                <w:b/>
              </w:rPr>
              <w:t>I</w:t>
            </w:r>
            <w:r w:rsidR="00B52BB4" w:rsidRPr="00DB5886">
              <w:rPr>
                <w:b/>
              </w:rPr>
              <w:t>V</w:t>
            </w:r>
          </w:p>
          <w:p w14:paraId="34FD6283" w14:textId="77777777" w:rsidR="00B52BB4" w:rsidRPr="00DB5886" w:rsidRDefault="00B52BB4" w:rsidP="003C0771">
            <w:pPr>
              <w:pStyle w:val="Tabletext"/>
              <w:keepNext/>
              <w:rPr>
                <w:b/>
              </w:rPr>
            </w:pPr>
            <w:r w:rsidRPr="00DB5886">
              <w:rPr>
                <w:b/>
              </w:rPr>
              <w:t>N=49</w:t>
            </w:r>
          </w:p>
          <w:p w14:paraId="77B91CEB" w14:textId="77777777" w:rsidR="00B52BB4" w:rsidRPr="00DB5886" w:rsidRDefault="00B52BB4" w:rsidP="003C0771">
            <w:pPr>
              <w:pStyle w:val="Tabletext"/>
              <w:keepNext/>
              <w:rPr>
                <w:b/>
              </w:rPr>
            </w:pPr>
            <w:r w:rsidRPr="00DB5886">
              <w:rPr>
                <w:b/>
              </w:rPr>
              <w:t>n (%)</w:t>
            </w:r>
          </w:p>
        </w:tc>
        <w:tc>
          <w:tcPr>
            <w:tcW w:w="2984" w:type="dxa"/>
            <w:gridSpan w:val="2"/>
            <w:tcBorders>
              <w:bottom w:val="single" w:sz="4" w:space="0" w:color="auto"/>
            </w:tcBorders>
          </w:tcPr>
          <w:p w14:paraId="139761B4" w14:textId="77777777" w:rsidR="00B52BB4" w:rsidRPr="00DB5886" w:rsidRDefault="00B52BB4" w:rsidP="003C0771">
            <w:pPr>
              <w:pStyle w:val="Tabletext"/>
              <w:keepNext/>
              <w:rPr>
                <w:b/>
              </w:rPr>
            </w:pPr>
            <w:r w:rsidRPr="00DB5886">
              <w:rPr>
                <w:b/>
              </w:rPr>
              <w:t>Comparative treatment effect</w:t>
            </w:r>
          </w:p>
          <w:p w14:paraId="318BF375" w14:textId="77777777" w:rsidR="00B52BB4" w:rsidRPr="00DB5886" w:rsidRDefault="00B52BB4" w:rsidP="003C0771">
            <w:pPr>
              <w:pStyle w:val="Tabletext"/>
              <w:keepNext/>
              <w:rPr>
                <w:b/>
                <w:color w:val="403152" w:themeColor="accent4" w:themeShade="80"/>
                <w:vertAlign w:val="superscript"/>
              </w:rPr>
            </w:pPr>
            <w:r w:rsidRPr="00DB5886">
              <w:rPr>
                <w:b/>
              </w:rPr>
              <w:t>(95% CI)</w:t>
            </w:r>
            <w:r w:rsidRPr="00DB5886">
              <w:rPr>
                <w:b/>
                <w:color w:val="403152" w:themeColor="accent4" w:themeShade="80"/>
                <w:vertAlign w:val="superscript"/>
              </w:rPr>
              <w:t>a</w:t>
            </w:r>
          </w:p>
          <w:p w14:paraId="6107AAC4" w14:textId="2629AAAA" w:rsidR="00B52BB4" w:rsidRPr="00DB5886" w:rsidRDefault="00F160FA" w:rsidP="003C0771">
            <w:pPr>
              <w:pStyle w:val="Tabletext"/>
              <w:keepNext/>
              <w:rPr>
                <w:b/>
              </w:rPr>
            </w:pPr>
            <w:r>
              <w:rPr>
                <w:b/>
              </w:rPr>
              <w:t>FosNTP</w:t>
            </w:r>
            <w:r w:rsidR="00B52BB4" w:rsidRPr="00DB5886">
              <w:rPr>
                <w:b/>
              </w:rPr>
              <w:t xml:space="preserve">+PALO vs. </w:t>
            </w:r>
            <w:r w:rsidR="00966F38">
              <w:rPr>
                <w:b/>
              </w:rPr>
              <w:t>FosAPR</w:t>
            </w:r>
            <w:r w:rsidR="00B52BB4" w:rsidRPr="00DB5886">
              <w:rPr>
                <w:b/>
              </w:rPr>
              <w:t>+PALO</w:t>
            </w:r>
          </w:p>
        </w:tc>
      </w:tr>
      <w:tr w:rsidR="00B52BB4" w14:paraId="4995A672" w14:textId="77777777" w:rsidTr="002E2180">
        <w:tc>
          <w:tcPr>
            <w:tcW w:w="1271" w:type="dxa"/>
            <w:vMerge/>
          </w:tcPr>
          <w:p w14:paraId="6CC056E3" w14:textId="77777777" w:rsidR="00B52BB4" w:rsidRPr="00DB5886" w:rsidRDefault="00B52BB4" w:rsidP="003C0771">
            <w:pPr>
              <w:pStyle w:val="Tabletext"/>
              <w:keepNext/>
              <w:rPr>
                <w:b/>
              </w:rPr>
            </w:pPr>
          </w:p>
        </w:tc>
        <w:tc>
          <w:tcPr>
            <w:tcW w:w="1276" w:type="dxa"/>
            <w:vMerge/>
          </w:tcPr>
          <w:p w14:paraId="29D23E2C" w14:textId="77777777" w:rsidR="00B52BB4" w:rsidRPr="00DB5886" w:rsidRDefault="00B52BB4" w:rsidP="003C0771">
            <w:pPr>
              <w:pStyle w:val="Tabletext"/>
              <w:keepNext/>
              <w:rPr>
                <w:b/>
              </w:rPr>
            </w:pPr>
          </w:p>
        </w:tc>
        <w:tc>
          <w:tcPr>
            <w:tcW w:w="1702" w:type="dxa"/>
            <w:vMerge/>
          </w:tcPr>
          <w:p w14:paraId="01A7F3A2" w14:textId="77777777" w:rsidR="00B52BB4" w:rsidRPr="00DB5886" w:rsidRDefault="00B52BB4" w:rsidP="003C0771">
            <w:pPr>
              <w:pStyle w:val="Tabletext"/>
              <w:keepNext/>
              <w:rPr>
                <w:b/>
              </w:rPr>
            </w:pPr>
          </w:p>
        </w:tc>
        <w:tc>
          <w:tcPr>
            <w:tcW w:w="2123" w:type="dxa"/>
            <w:vMerge/>
          </w:tcPr>
          <w:p w14:paraId="233A3292" w14:textId="77777777" w:rsidR="00B52BB4" w:rsidRPr="00DB5886" w:rsidRDefault="00B52BB4" w:rsidP="003C0771">
            <w:pPr>
              <w:pStyle w:val="Tabletext"/>
              <w:keepNext/>
              <w:rPr>
                <w:b/>
              </w:rPr>
            </w:pPr>
          </w:p>
        </w:tc>
        <w:tc>
          <w:tcPr>
            <w:tcW w:w="1700" w:type="dxa"/>
          </w:tcPr>
          <w:p w14:paraId="0AB2BEAB" w14:textId="77777777" w:rsidR="00B52BB4" w:rsidRPr="005D7F59" w:rsidRDefault="00B52BB4" w:rsidP="003C0771">
            <w:pPr>
              <w:pStyle w:val="Tabletext"/>
              <w:keepNext/>
              <w:rPr>
                <w:b/>
                <w:vertAlign w:val="superscript"/>
              </w:rPr>
            </w:pPr>
            <w:r w:rsidRPr="00DB5886">
              <w:rPr>
                <w:b/>
              </w:rPr>
              <w:t>Risk difference</w:t>
            </w:r>
            <w:r>
              <w:rPr>
                <w:b/>
                <w:vertAlign w:val="superscript"/>
              </w:rPr>
              <w:t>a</w:t>
            </w:r>
          </w:p>
        </w:tc>
        <w:tc>
          <w:tcPr>
            <w:tcW w:w="1284" w:type="dxa"/>
          </w:tcPr>
          <w:p w14:paraId="06496ADF" w14:textId="77777777" w:rsidR="00B52BB4" w:rsidRPr="005D7F59" w:rsidRDefault="00B52BB4" w:rsidP="003C0771">
            <w:pPr>
              <w:pStyle w:val="Tabletext"/>
              <w:keepNext/>
              <w:rPr>
                <w:b/>
                <w:vertAlign w:val="superscript"/>
              </w:rPr>
            </w:pPr>
            <w:r w:rsidRPr="00DB5886">
              <w:rPr>
                <w:b/>
              </w:rPr>
              <w:t>Risk ratio</w:t>
            </w:r>
            <w:r>
              <w:rPr>
                <w:b/>
                <w:vertAlign w:val="superscript"/>
              </w:rPr>
              <w:t>a</w:t>
            </w:r>
          </w:p>
        </w:tc>
      </w:tr>
      <w:tr w:rsidR="00B52BB4" w:rsidRPr="00A35AB3" w14:paraId="00ECBA4B" w14:textId="77777777" w:rsidTr="002E2180">
        <w:tc>
          <w:tcPr>
            <w:tcW w:w="9356" w:type="dxa"/>
            <w:gridSpan w:val="6"/>
          </w:tcPr>
          <w:p w14:paraId="0D1F32CE" w14:textId="77777777" w:rsidR="00B52BB4" w:rsidRPr="004145F2" w:rsidRDefault="00B52BB4" w:rsidP="003C0771">
            <w:pPr>
              <w:pStyle w:val="Tabletext"/>
              <w:keepNext/>
              <w:rPr>
                <w:b/>
                <w:bCs/>
              </w:rPr>
            </w:pPr>
            <w:r w:rsidRPr="004145F2">
              <w:rPr>
                <w:b/>
                <w:bCs/>
              </w:rPr>
              <w:t>Complete Response (CR)</w:t>
            </w:r>
          </w:p>
        </w:tc>
      </w:tr>
      <w:tr w:rsidR="00B52BB4" w:rsidRPr="00A35AB3" w14:paraId="5102A442" w14:textId="77777777" w:rsidTr="002E2180">
        <w:trPr>
          <w:trHeight w:val="972"/>
        </w:trPr>
        <w:tc>
          <w:tcPr>
            <w:tcW w:w="1271" w:type="dxa"/>
          </w:tcPr>
          <w:p w14:paraId="14B37E3B" w14:textId="25526A62" w:rsidR="00B52BB4" w:rsidRDefault="00B52BB4" w:rsidP="003C0771">
            <w:pPr>
              <w:pStyle w:val="Tabletext"/>
              <w:keepNext/>
            </w:pPr>
            <w:r>
              <w:t>Overall</w:t>
            </w:r>
            <w:r>
              <w:rPr>
                <w:vertAlign w:val="superscript"/>
              </w:rPr>
              <w:t>b</w:t>
            </w:r>
            <w:r>
              <w:t>:</w:t>
            </w:r>
          </w:p>
          <w:p w14:paraId="44FE4CA4" w14:textId="77777777" w:rsidR="00B52BB4" w:rsidRDefault="00B52BB4" w:rsidP="003C0771">
            <w:pPr>
              <w:pStyle w:val="Tabletext"/>
              <w:keepNext/>
            </w:pPr>
            <w:r>
              <w:t>0-120 hr</w:t>
            </w:r>
          </w:p>
        </w:tc>
        <w:tc>
          <w:tcPr>
            <w:tcW w:w="1276" w:type="dxa"/>
          </w:tcPr>
          <w:p w14:paraId="6ACEFF30" w14:textId="77777777" w:rsidR="00B52BB4" w:rsidRDefault="00B52BB4" w:rsidP="003C0771">
            <w:pPr>
              <w:pStyle w:val="Tabletext"/>
              <w:keepNext/>
            </w:pPr>
            <w:r>
              <w:t>No emetic event, no rescue medication</w:t>
            </w:r>
          </w:p>
        </w:tc>
        <w:tc>
          <w:tcPr>
            <w:tcW w:w="1702" w:type="dxa"/>
          </w:tcPr>
          <w:p w14:paraId="2220C13C" w14:textId="7AD2807C" w:rsidR="00B52BB4" w:rsidRPr="00A35AB3" w:rsidRDefault="00B52BB4" w:rsidP="003C0771">
            <w:pPr>
              <w:pStyle w:val="Tabletext"/>
              <w:keepNext/>
            </w:pPr>
            <w:r>
              <w:t>23 (45.9%)</w:t>
            </w:r>
          </w:p>
        </w:tc>
        <w:tc>
          <w:tcPr>
            <w:tcW w:w="2123" w:type="dxa"/>
          </w:tcPr>
          <w:p w14:paraId="5DA1EABE" w14:textId="5A07EF73" w:rsidR="00B52BB4" w:rsidRPr="00A35AB3" w:rsidRDefault="00B52BB4" w:rsidP="003C0771">
            <w:pPr>
              <w:pStyle w:val="Tabletext"/>
              <w:keepNext/>
            </w:pPr>
            <w:r>
              <w:t>25 (51.3%)</w:t>
            </w:r>
          </w:p>
        </w:tc>
        <w:tc>
          <w:tcPr>
            <w:tcW w:w="1700" w:type="dxa"/>
          </w:tcPr>
          <w:p w14:paraId="27B773F6" w14:textId="77777777" w:rsidR="00B52BB4" w:rsidRDefault="00B52BB4" w:rsidP="003C0771">
            <w:pPr>
              <w:pStyle w:val="Tabletext"/>
              <w:keepNext/>
            </w:pPr>
            <w:r>
              <w:t>-5.9%</w:t>
            </w:r>
          </w:p>
          <w:p w14:paraId="43E85E49" w14:textId="77777777" w:rsidR="00B52BB4" w:rsidRPr="00A35AB3" w:rsidRDefault="00B52BB4" w:rsidP="003C0771">
            <w:pPr>
              <w:pStyle w:val="Tabletext"/>
              <w:keepNext/>
            </w:pPr>
            <w:r>
              <w:t>(-25.5%, 13.6%)</w:t>
            </w:r>
          </w:p>
        </w:tc>
        <w:tc>
          <w:tcPr>
            <w:tcW w:w="1284" w:type="dxa"/>
          </w:tcPr>
          <w:p w14:paraId="44760005" w14:textId="77777777" w:rsidR="00B52BB4" w:rsidRDefault="00B52BB4" w:rsidP="003C0771">
            <w:pPr>
              <w:pStyle w:val="Tabletext"/>
              <w:keepNext/>
            </w:pPr>
            <w:r>
              <w:t>0.88</w:t>
            </w:r>
          </w:p>
          <w:p w14:paraId="7DEB9010" w14:textId="77777777" w:rsidR="00B52BB4" w:rsidRPr="00A35AB3" w:rsidRDefault="00B52BB4" w:rsidP="003C0771">
            <w:pPr>
              <w:pStyle w:val="Tabletext"/>
              <w:keepNext/>
            </w:pPr>
            <w:r>
              <w:t>(0.59, 1.33)</w:t>
            </w:r>
          </w:p>
        </w:tc>
      </w:tr>
      <w:tr w:rsidR="00B52BB4" w:rsidRPr="004145F2" w14:paraId="3B2821AB" w14:textId="77777777" w:rsidTr="002E2180">
        <w:tc>
          <w:tcPr>
            <w:tcW w:w="9356" w:type="dxa"/>
            <w:gridSpan w:val="6"/>
          </w:tcPr>
          <w:p w14:paraId="6D6447EC" w14:textId="77777777" w:rsidR="00B52BB4" w:rsidRPr="004145F2" w:rsidRDefault="00B52BB4" w:rsidP="003C0771">
            <w:pPr>
              <w:pStyle w:val="Tabletext"/>
              <w:keepNext/>
              <w:rPr>
                <w:b/>
                <w:bCs/>
              </w:rPr>
            </w:pPr>
            <w:r w:rsidRPr="004145F2">
              <w:rPr>
                <w:b/>
                <w:bCs/>
              </w:rPr>
              <w:t xml:space="preserve">Complete protection </w:t>
            </w:r>
          </w:p>
        </w:tc>
      </w:tr>
      <w:tr w:rsidR="00B52BB4" w:rsidRPr="00A35AB3" w14:paraId="230EDC3C" w14:textId="77777777" w:rsidTr="002E2180">
        <w:trPr>
          <w:trHeight w:val="1249"/>
        </w:trPr>
        <w:tc>
          <w:tcPr>
            <w:tcW w:w="1271" w:type="dxa"/>
          </w:tcPr>
          <w:p w14:paraId="0DA07D8F" w14:textId="77777777" w:rsidR="00B52BB4" w:rsidRDefault="00B52BB4" w:rsidP="003C0771">
            <w:pPr>
              <w:pStyle w:val="Tabletext"/>
              <w:keepNext/>
            </w:pPr>
            <w:r>
              <w:t>Overall:</w:t>
            </w:r>
          </w:p>
          <w:p w14:paraId="60FD81A8" w14:textId="77777777" w:rsidR="00B52BB4" w:rsidRDefault="00B52BB4" w:rsidP="003C0771">
            <w:pPr>
              <w:pStyle w:val="Tabletext"/>
              <w:keepNext/>
            </w:pPr>
            <w:r>
              <w:t>0-120 hr</w:t>
            </w:r>
          </w:p>
        </w:tc>
        <w:tc>
          <w:tcPr>
            <w:tcW w:w="1276" w:type="dxa"/>
          </w:tcPr>
          <w:p w14:paraId="7863F866" w14:textId="77777777" w:rsidR="00B52BB4" w:rsidRDefault="00B52BB4" w:rsidP="003C0771">
            <w:pPr>
              <w:pStyle w:val="Tabletext"/>
              <w:keepNext/>
            </w:pPr>
            <w:r>
              <w:t xml:space="preserve">No emetic event, no rescue medication, </w:t>
            </w:r>
            <w:r w:rsidRPr="009A3020">
              <w:t>no more than mild nausea</w:t>
            </w:r>
          </w:p>
        </w:tc>
        <w:tc>
          <w:tcPr>
            <w:tcW w:w="1702" w:type="dxa"/>
          </w:tcPr>
          <w:p w14:paraId="2E3D5040" w14:textId="77777777" w:rsidR="00B52BB4" w:rsidRPr="00A35AB3" w:rsidRDefault="00B52BB4" w:rsidP="003C0771">
            <w:pPr>
              <w:pStyle w:val="Tabletext"/>
              <w:keepNext/>
            </w:pPr>
            <w:r>
              <w:t>21 (41.2%)</w:t>
            </w:r>
          </w:p>
        </w:tc>
        <w:tc>
          <w:tcPr>
            <w:tcW w:w="2123" w:type="dxa"/>
          </w:tcPr>
          <w:p w14:paraId="013C7002" w14:textId="77777777" w:rsidR="00B52BB4" w:rsidRPr="00A35AB3" w:rsidRDefault="00B52BB4" w:rsidP="003C0771">
            <w:pPr>
              <w:pStyle w:val="Tabletext"/>
              <w:keepNext/>
            </w:pPr>
            <w:r>
              <w:t>23 (46.9%)</w:t>
            </w:r>
          </w:p>
        </w:tc>
        <w:tc>
          <w:tcPr>
            <w:tcW w:w="1700" w:type="dxa"/>
          </w:tcPr>
          <w:p w14:paraId="06A1BE84" w14:textId="77777777" w:rsidR="00B52BB4" w:rsidRDefault="00B52BB4" w:rsidP="003C0771">
            <w:pPr>
              <w:pStyle w:val="Tabletext"/>
              <w:keepNext/>
            </w:pPr>
            <w:r>
              <w:t>-5.8%</w:t>
            </w:r>
          </w:p>
          <w:p w14:paraId="061693DE" w14:textId="77777777" w:rsidR="00B52BB4" w:rsidRPr="00A35AB3" w:rsidRDefault="00B52BB4" w:rsidP="003C0771">
            <w:pPr>
              <w:pStyle w:val="Tabletext"/>
              <w:keepNext/>
            </w:pPr>
            <w:r>
              <w:t>(-25.2%, 13.7%)</w:t>
            </w:r>
          </w:p>
        </w:tc>
        <w:tc>
          <w:tcPr>
            <w:tcW w:w="1284" w:type="dxa"/>
          </w:tcPr>
          <w:p w14:paraId="2B335651" w14:textId="77777777" w:rsidR="00B52BB4" w:rsidRDefault="00B52BB4" w:rsidP="003C0771">
            <w:pPr>
              <w:pStyle w:val="Tabletext"/>
              <w:keepNext/>
            </w:pPr>
            <w:r>
              <w:t>0.88</w:t>
            </w:r>
          </w:p>
          <w:p w14:paraId="6B833180" w14:textId="77777777" w:rsidR="00B52BB4" w:rsidRPr="00A35AB3" w:rsidRDefault="00B52BB4" w:rsidP="003C0771">
            <w:pPr>
              <w:pStyle w:val="Tabletext"/>
              <w:keepNext/>
            </w:pPr>
            <w:r>
              <w:t>(0.56, 1.37)</w:t>
            </w:r>
          </w:p>
        </w:tc>
      </w:tr>
      <w:tr w:rsidR="00B52BB4" w:rsidRPr="004145F2" w14:paraId="503536FE" w14:textId="77777777" w:rsidTr="002E2180">
        <w:tc>
          <w:tcPr>
            <w:tcW w:w="9356" w:type="dxa"/>
            <w:gridSpan w:val="6"/>
          </w:tcPr>
          <w:p w14:paraId="0C23B075" w14:textId="77777777" w:rsidR="00B52BB4" w:rsidRPr="004145F2" w:rsidRDefault="00B52BB4" w:rsidP="003C0771">
            <w:pPr>
              <w:pStyle w:val="Tabletext"/>
              <w:keepNext/>
              <w:rPr>
                <w:b/>
                <w:bCs/>
              </w:rPr>
            </w:pPr>
            <w:r w:rsidRPr="004145F2">
              <w:rPr>
                <w:b/>
                <w:bCs/>
              </w:rPr>
              <w:t>Total control rate</w:t>
            </w:r>
          </w:p>
        </w:tc>
      </w:tr>
      <w:tr w:rsidR="00B52BB4" w:rsidRPr="00A35AB3" w14:paraId="47B5B1B0" w14:textId="77777777" w:rsidTr="002E2180">
        <w:trPr>
          <w:trHeight w:val="966"/>
        </w:trPr>
        <w:tc>
          <w:tcPr>
            <w:tcW w:w="1271" w:type="dxa"/>
          </w:tcPr>
          <w:p w14:paraId="248B9AD9" w14:textId="77777777" w:rsidR="00B52BB4" w:rsidRDefault="00B52BB4" w:rsidP="003C0771">
            <w:pPr>
              <w:pStyle w:val="Tabletext"/>
              <w:keepNext/>
            </w:pPr>
            <w:r>
              <w:t>Overall</w:t>
            </w:r>
          </w:p>
          <w:p w14:paraId="1AC031E1" w14:textId="77777777" w:rsidR="00B52BB4" w:rsidRDefault="00B52BB4" w:rsidP="003C0771">
            <w:pPr>
              <w:pStyle w:val="Tabletext"/>
              <w:keepNext/>
            </w:pPr>
            <w:r>
              <w:t>0-120 hr</w:t>
            </w:r>
          </w:p>
        </w:tc>
        <w:tc>
          <w:tcPr>
            <w:tcW w:w="1276" w:type="dxa"/>
          </w:tcPr>
          <w:p w14:paraId="5A463D4F" w14:textId="77777777" w:rsidR="00B52BB4" w:rsidRDefault="00B52BB4" w:rsidP="003C0771">
            <w:pPr>
              <w:pStyle w:val="Tabletext"/>
              <w:keepNext/>
            </w:pPr>
            <w:r>
              <w:t>No emetic event, no rescue medication, no nausea</w:t>
            </w:r>
          </w:p>
        </w:tc>
        <w:tc>
          <w:tcPr>
            <w:tcW w:w="1702" w:type="dxa"/>
          </w:tcPr>
          <w:p w14:paraId="53AADEDB" w14:textId="77777777" w:rsidR="00B52BB4" w:rsidRPr="00A35AB3" w:rsidRDefault="00B52BB4" w:rsidP="003C0771">
            <w:pPr>
              <w:pStyle w:val="Tabletext"/>
              <w:keepNext/>
            </w:pPr>
            <w:r>
              <w:t>14 (27.5%)</w:t>
            </w:r>
          </w:p>
        </w:tc>
        <w:tc>
          <w:tcPr>
            <w:tcW w:w="2123" w:type="dxa"/>
          </w:tcPr>
          <w:p w14:paraId="5D346B9F" w14:textId="77777777" w:rsidR="00B52BB4" w:rsidRPr="00A35AB3" w:rsidRDefault="00B52BB4" w:rsidP="003C0771">
            <w:pPr>
              <w:pStyle w:val="Tabletext"/>
              <w:keepNext/>
            </w:pPr>
            <w:r>
              <w:t>12 (24.5%)</w:t>
            </w:r>
          </w:p>
        </w:tc>
        <w:tc>
          <w:tcPr>
            <w:tcW w:w="1700" w:type="dxa"/>
          </w:tcPr>
          <w:p w14:paraId="3F119A76" w14:textId="77777777" w:rsidR="00B52BB4" w:rsidRDefault="00B52BB4" w:rsidP="003C0771">
            <w:pPr>
              <w:pStyle w:val="Tabletext"/>
              <w:keepNext/>
            </w:pPr>
            <w:r>
              <w:t>3.0%</w:t>
            </w:r>
          </w:p>
          <w:p w14:paraId="215F89B2" w14:textId="77777777" w:rsidR="00B52BB4" w:rsidRPr="00A35AB3" w:rsidRDefault="00B52BB4" w:rsidP="003C0771">
            <w:pPr>
              <w:pStyle w:val="Tabletext"/>
              <w:keepNext/>
            </w:pPr>
            <w:r>
              <w:t>(-14.2%, 20.1%)</w:t>
            </w:r>
          </w:p>
        </w:tc>
        <w:tc>
          <w:tcPr>
            <w:tcW w:w="1284" w:type="dxa"/>
          </w:tcPr>
          <w:p w14:paraId="6932298F" w14:textId="77777777" w:rsidR="00B52BB4" w:rsidRDefault="00B52BB4" w:rsidP="003C0771">
            <w:pPr>
              <w:pStyle w:val="Tabletext"/>
              <w:keepNext/>
            </w:pPr>
            <w:r>
              <w:t>1.12</w:t>
            </w:r>
          </w:p>
          <w:p w14:paraId="4471401F" w14:textId="77777777" w:rsidR="00B52BB4" w:rsidRPr="00A35AB3" w:rsidRDefault="00B52BB4" w:rsidP="003C0771">
            <w:pPr>
              <w:pStyle w:val="Tabletext"/>
              <w:keepNext/>
            </w:pPr>
            <w:r>
              <w:t>(0.58, 2.18)</w:t>
            </w:r>
          </w:p>
        </w:tc>
      </w:tr>
    </w:tbl>
    <w:p w14:paraId="206E9145" w14:textId="77777777" w:rsidR="00B52BB4" w:rsidRDefault="00B52BB4" w:rsidP="00B52BB4">
      <w:pPr>
        <w:pStyle w:val="TableFooter"/>
      </w:pPr>
      <w:r>
        <w:t>Source: Modified from Table 2-16, pp72-73 of the submission.</w:t>
      </w:r>
    </w:p>
    <w:p w14:paraId="4CC7BFDC" w14:textId="7EA24A75" w:rsidR="00B52BB4" w:rsidRDefault="00B52BB4" w:rsidP="00B52BB4">
      <w:pPr>
        <w:pStyle w:val="TableFooter"/>
      </w:pPr>
      <w:r>
        <w:t>CI=confidence interval; FosAPR=fosaprepitant; FosNTP=fosnetupitant; IV=intravenous</w:t>
      </w:r>
    </w:p>
    <w:p w14:paraId="261832D1" w14:textId="2FABEB14" w:rsidR="00B52BB4" w:rsidRDefault="00B52BB4" w:rsidP="00B52BB4">
      <w:pPr>
        <w:pStyle w:val="TableFooter"/>
      </w:pPr>
      <w:r>
        <w:rPr>
          <w:vertAlign w:val="superscript"/>
        </w:rPr>
        <w:t>a</w:t>
      </w:r>
      <w:r w:rsidR="009D322D">
        <w:rPr>
          <w:vertAlign w:val="superscript"/>
        </w:rPr>
        <w:t xml:space="preserve"> </w:t>
      </w:r>
      <w:r>
        <w:t>Calculated for the submission - CONSOLE-BC was a safety study (descriptive) and no formal statistical analysis of efficacy or safety was pre-specified.</w:t>
      </w:r>
    </w:p>
    <w:p w14:paraId="529D070B" w14:textId="71661CAE" w:rsidR="00A77FA8" w:rsidRDefault="00B52BB4" w:rsidP="00B52BB4">
      <w:pPr>
        <w:pStyle w:val="TableFooter"/>
      </w:pPr>
      <w:r>
        <w:rPr>
          <w:vertAlign w:val="superscript"/>
        </w:rPr>
        <w:t>b</w:t>
      </w:r>
      <w:r w:rsidR="009D322D">
        <w:rPr>
          <w:vertAlign w:val="superscript"/>
        </w:rPr>
        <w:t xml:space="preserve"> </w:t>
      </w:r>
      <w:r w:rsidRPr="00FF2CC0">
        <w:t>The overall CR rate was stratified by age category</w:t>
      </w:r>
    </w:p>
    <w:p w14:paraId="47FC501C" w14:textId="77777777" w:rsidR="00B52BB4" w:rsidRPr="00A77FA8" w:rsidRDefault="00B52BB4" w:rsidP="00B52BB4">
      <w:pPr>
        <w:rPr>
          <w:snapToGrid w:val="0"/>
        </w:rPr>
      </w:pPr>
    </w:p>
    <w:p w14:paraId="5929295F" w14:textId="6C092D8F" w:rsidR="00A77FA8" w:rsidRPr="0002340D" w:rsidRDefault="00B52BB4" w:rsidP="00EC5836">
      <w:pPr>
        <w:pStyle w:val="3-BodyText"/>
        <w:rPr>
          <w:iCs/>
        </w:rPr>
      </w:pPr>
      <w:r w:rsidRPr="0002340D">
        <w:rPr>
          <w:iCs/>
        </w:rPr>
        <w:t>There was a difference in the overall CR rate favouring the comparator FosAPR treatment arm. However, the number of patients per treatment arm was small and the trial was not powered to detect meaningful differences in efficacy. The overall CR rate standardi</w:t>
      </w:r>
      <w:r w:rsidR="00593791" w:rsidRPr="0002340D">
        <w:rPr>
          <w:iCs/>
        </w:rPr>
        <w:t>s</w:t>
      </w:r>
      <w:r w:rsidRPr="0002340D">
        <w:rPr>
          <w:iCs/>
        </w:rPr>
        <w:t xml:space="preserve">ed by age category was 45.9% (23/51 patients; 95% CI: 33.2%, 58.6%) in the </w:t>
      </w:r>
      <w:r w:rsidR="00F160FA" w:rsidRPr="0002340D">
        <w:rPr>
          <w:iCs/>
        </w:rPr>
        <w:t>FosNTP</w:t>
      </w:r>
      <w:r w:rsidRPr="0002340D">
        <w:rPr>
          <w:iCs/>
        </w:rPr>
        <w:t xml:space="preserve">+PALO IV treatment arm and 51.3% (25/49 patients; 95% CI: 37.3%, 65.2%) in the </w:t>
      </w:r>
      <w:r w:rsidR="00966F38" w:rsidRPr="0002340D">
        <w:rPr>
          <w:iCs/>
        </w:rPr>
        <w:t>FosAPR</w:t>
      </w:r>
      <w:r w:rsidRPr="0002340D">
        <w:rPr>
          <w:iCs/>
        </w:rPr>
        <w:t>+PALO IV treatment arm.</w:t>
      </w:r>
    </w:p>
    <w:p w14:paraId="53AAF996" w14:textId="3B33E973" w:rsidR="003C3ADC" w:rsidRPr="003C3ADC" w:rsidRDefault="003C3ADC" w:rsidP="003C3ADC">
      <w:pPr>
        <w:pStyle w:val="3-BodyText"/>
      </w:pPr>
      <w:r>
        <w:t xml:space="preserve">The submission presented a meta-analysis on the comparative efficacy between the PALO dose used in the included trials (0.75 </w:t>
      </w:r>
      <w:r w:rsidR="009E2338">
        <w:t> mg</w:t>
      </w:r>
      <w:r>
        <w:t xml:space="preserve">) and the registered PALO dose in NEPA IV (0.25 </w:t>
      </w:r>
      <w:r w:rsidR="009E2338">
        <w:t> mg</w:t>
      </w:r>
      <w:r>
        <w:t xml:space="preserve">). </w:t>
      </w:r>
      <w:r>
        <w:fldChar w:fldCharType="begin"/>
      </w:r>
      <w:r>
        <w:instrText xml:space="preserve"> REF _Ref122685954 \h </w:instrText>
      </w:r>
      <w:r>
        <w:fldChar w:fldCharType="separate"/>
      </w:r>
      <w:r w:rsidR="00775281">
        <w:t xml:space="preserve">Table </w:t>
      </w:r>
      <w:r w:rsidR="00775281">
        <w:rPr>
          <w:noProof/>
        </w:rPr>
        <w:t>8</w:t>
      </w:r>
      <w:r>
        <w:fldChar w:fldCharType="end"/>
      </w:r>
      <w:r>
        <w:t xml:space="preserve"> summarises the results.</w:t>
      </w:r>
    </w:p>
    <w:p w14:paraId="1673B98E" w14:textId="57155789" w:rsidR="003C3ADC" w:rsidRPr="000774EE" w:rsidRDefault="003C3ADC" w:rsidP="003C3ADC">
      <w:pPr>
        <w:pStyle w:val="Caption"/>
      </w:pPr>
      <w:bookmarkStart w:id="31" w:name="_Ref122685954"/>
      <w:r>
        <w:t xml:space="preserve">Table </w:t>
      </w:r>
      <w:fldSimple w:instr=" SEQ Table \* ARABIC ">
        <w:r w:rsidR="00775281">
          <w:rPr>
            <w:noProof/>
          </w:rPr>
          <w:t>8</w:t>
        </w:r>
      </w:fldSimple>
      <w:bookmarkEnd w:id="31"/>
      <w:r>
        <w:t xml:space="preserve">: </w:t>
      </w:r>
      <w:r w:rsidRPr="000774EE">
        <w:t xml:space="preserve">Meta-analysis comparing PALO 0.25 </w:t>
      </w:r>
      <w:r w:rsidR="009E2338">
        <w:t> mg</w:t>
      </w:r>
      <w:r w:rsidRPr="000774EE">
        <w:t xml:space="preserve"> and 0.75 </w:t>
      </w:r>
      <w:r w:rsidR="009E2338">
        <w:t> mg</w:t>
      </w:r>
      <w:r w:rsidRPr="000774EE">
        <w:t xml:space="preserve"> doses in HEC and MEC </w:t>
      </w:r>
    </w:p>
    <w:tbl>
      <w:tblPr>
        <w:tblStyle w:val="TableGrid"/>
        <w:tblW w:w="5000" w:type="pct"/>
        <w:tblLook w:val="04A0" w:firstRow="1" w:lastRow="0" w:firstColumn="1" w:lastColumn="0" w:noHBand="0" w:noVBand="1"/>
      </w:tblPr>
      <w:tblGrid>
        <w:gridCol w:w="1809"/>
        <w:gridCol w:w="2068"/>
        <w:gridCol w:w="2570"/>
        <w:gridCol w:w="2570"/>
      </w:tblGrid>
      <w:tr w:rsidR="003C3ADC" w:rsidRPr="000774EE" w14:paraId="759D8F0D" w14:textId="77777777" w:rsidTr="008D0FE4">
        <w:trPr>
          <w:cantSplit/>
        </w:trPr>
        <w:tc>
          <w:tcPr>
            <w:tcW w:w="1003" w:type="pct"/>
            <w:shd w:val="clear" w:color="auto" w:fill="auto"/>
          </w:tcPr>
          <w:p w14:paraId="70A22AE4" w14:textId="77777777" w:rsidR="003C3ADC" w:rsidRPr="000774EE" w:rsidRDefault="003C3ADC" w:rsidP="007501A4">
            <w:pPr>
              <w:pStyle w:val="Tabletext"/>
              <w:keepNext/>
              <w:rPr>
                <w:b/>
              </w:rPr>
            </w:pPr>
            <w:r w:rsidRPr="000774EE">
              <w:rPr>
                <w:b/>
              </w:rPr>
              <w:t>Methods</w:t>
            </w:r>
          </w:p>
        </w:tc>
        <w:tc>
          <w:tcPr>
            <w:tcW w:w="3997" w:type="pct"/>
            <w:gridSpan w:val="3"/>
            <w:shd w:val="clear" w:color="auto" w:fill="auto"/>
          </w:tcPr>
          <w:p w14:paraId="18545069" w14:textId="77777777" w:rsidR="003C3ADC" w:rsidRPr="000774EE" w:rsidRDefault="003C3ADC" w:rsidP="007501A4">
            <w:pPr>
              <w:pStyle w:val="Tabletext"/>
              <w:keepNext/>
            </w:pPr>
            <w:r w:rsidRPr="000774EE">
              <w:t>Random effects meta-analysis of directly comparative studies</w:t>
            </w:r>
          </w:p>
        </w:tc>
      </w:tr>
      <w:tr w:rsidR="003C3ADC" w:rsidRPr="000774EE" w14:paraId="493FB601" w14:textId="77777777" w:rsidTr="008D0FE4">
        <w:trPr>
          <w:cantSplit/>
        </w:trPr>
        <w:tc>
          <w:tcPr>
            <w:tcW w:w="1003" w:type="pct"/>
            <w:shd w:val="clear" w:color="auto" w:fill="auto"/>
          </w:tcPr>
          <w:p w14:paraId="3885EDCB" w14:textId="77777777" w:rsidR="003C3ADC" w:rsidRPr="000774EE" w:rsidRDefault="003C3ADC" w:rsidP="007501A4">
            <w:pPr>
              <w:pStyle w:val="Tabletext"/>
              <w:keepNext/>
              <w:rPr>
                <w:b/>
              </w:rPr>
            </w:pPr>
            <w:r w:rsidRPr="000774EE">
              <w:rPr>
                <w:b/>
              </w:rPr>
              <w:t>Included trials</w:t>
            </w:r>
          </w:p>
        </w:tc>
        <w:tc>
          <w:tcPr>
            <w:tcW w:w="3997" w:type="pct"/>
            <w:gridSpan w:val="3"/>
            <w:shd w:val="clear" w:color="auto" w:fill="auto"/>
          </w:tcPr>
          <w:p w14:paraId="05005932" w14:textId="12CCA961" w:rsidR="003C3ADC" w:rsidRPr="000774EE" w:rsidRDefault="003C3ADC" w:rsidP="007501A4">
            <w:pPr>
              <w:pStyle w:val="Tabletext"/>
              <w:keepNext/>
            </w:pPr>
            <w:r w:rsidRPr="000774EE">
              <w:t>8 RCTs with N=1</w:t>
            </w:r>
            <w:r w:rsidR="00566203">
              <w:t>,</w:t>
            </w:r>
            <w:r w:rsidRPr="000774EE">
              <w:t>926 patients from all randomised, double-blind studies with the two PALO doses.</w:t>
            </w:r>
          </w:p>
          <w:p w14:paraId="796A7B79" w14:textId="77777777" w:rsidR="003C3ADC" w:rsidRPr="000774EE" w:rsidRDefault="003C3ADC" w:rsidP="007501A4">
            <w:pPr>
              <w:pStyle w:val="Tabletext"/>
              <w:keepNext/>
            </w:pPr>
            <w:r w:rsidRPr="000774EE">
              <w:t>Included:</w:t>
            </w:r>
          </w:p>
          <w:p w14:paraId="050FC686" w14:textId="77777777" w:rsidR="003C3ADC" w:rsidRPr="000774EE" w:rsidRDefault="003C3ADC" w:rsidP="007501A4">
            <w:pPr>
              <w:pStyle w:val="Tabletext"/>
              <w:keepNext/>
            </w:pPr>
            <w:r w:rsidRPr="000774EE">
              <w:t>n=</w:t>
            </w:r>
            <w:r>
              <w:t>4 HEC studies, n=4 MEC studies.</w:t>
            </w:r>
          </w:p>
        </w:tc>
      </w:tr>
      <w:tr w:rsidR="003C3ADC" w:rsidRPr="000774EE" w14:paraId="071A69FB" w14:textId="77777777" w:rsidTr="008D0FE4">
        <w:trPr>
          <w:cantSplit/>
        </w:trPr>
        <w:tc>
          <w:tcPr>
            <w:tcW w:w="1003" w:type="pct"/>
            <w:shd w:val="clear" w:color="auto" w:fill="auto"/>
          </w:tcPr>
          <w:p w14:paraId="2C362E77" w14:textId="77777777" w:rsidR="003C3ADC" w:rsidRPr="000774EE" w:rsidRDefault="003C3ADC" w:rsidP="007501A4">
            <w:pPr>
              <w:pStyle w:val="Tabletext"/>
              <w:keepNext/>
              <w:rPr>
                <w:b/>
              </w:rPr>
            </w:pPr>
            <w:r w:rsidRPr="000774EE">
              <w:rPr>
                <w:b/>
              </w:rPr>
              <w:t>Outcomes</w:t>
            </w:r>
          </w:p>
        </w:tc>
        <w:tc>
          <w:tcPr>
            <w:tcW w:w="3997" w:type="pct"/>
            <w:gridSpan w:val="3"/>
            <w:shd w:val="clear" w:color="auto" w:fill="auto"/>
          </w:tcPr>
          <w:p w14:paraId="35A14680" w14:textId="77777777" w:rsidR="003C3ADC" w:rsidRPr="000774EE" w:rsidRDefault="003C3ADC" w:rsidP="007501A4">
            <w:pPr>
              <w:pStyle w:val="Tabletext"/>
              <w:keepNext/>
            </w:pPr>
          </w:p>
        </w:tc>
      </w:tr>
      <w:tr w:rsidR="003C3ADC" w:rsidRPr="000774EE" w14:paraId="3BFC47FC" w14:textId="77777777" w:rsidTr="008D0FE4">
        <w:trPr>
          <w:cantSplit/>
        </w:trPr>
        <w:tc>
          <w:tcPr>
            <w:tcW w:w="1003" w:type="pct"/>
            <w:shd w:val="clear" w:color="auto" w:fill="auto"/>
          </w:tcPr>
          <w:p w14:paraId="1B606E9E" w14:textId="77777777" w:rsidR="003C3ADC" w:rsidRPr="000774EE" w:rsidRDefault="003C3ADC" w:rsidP="007501A4">
            <w:pPr>
              <w:pStyle w:val="Tabletext"/>
              <w:keepNext/>
              <w:rPr>
                <w:b/>
              </w:rPr>
            </w:pPr>
            <w:r w:rsidRPr="000774EE">
              <w:rPr>
                <w:b/>
              </w:rPr>
              <w:t>Results</w:t>
            </w:r>
          </w:p>
        </w:tc>
        <w:tc>
          <w:tcPr>
            <w:tcW w:w="1147" w:type="pct"/>
            <w:shd w:val="clear" w:color="auto" w:fill="auto"/>
          </w:tcPr>
          <w:p w14:paraId="5D807239" w14:textId="77777777" w:rsidR="003C3ADC" w:rsidRPr="000774EE" w:rsidRDefault="003C3ADC" w:rsidP="007501A4">
            <w:pPr>
              <w:pStyle w:val="Tabletext"/>
              <w:keepNext/>
            </w:pPr>
            <w:r w:rsidRPr="000774EE">
              <w:t>All studies</w:t>
            </w:r>
          </w:p>
        </w:tc>
        <w:tc>
          <w:tcPr>
            <w:tcW w:w="1425" w:type="pct"/>
            <w:shd w:val="clear" w:color="auto" w:fill="auto"/>
          </w:tcPr>
          <w:p w14:paraId="23AAD1D8" w14:textId="77777777" w:rsidR="003C3ADC" w:rsidRPr="000774EE" w:rsidRDefault="003C3ADC" w:rsidP="007501A4">
            <w:pPr>
              <w:pStyle w:val="Tabletext"/>
              <w:keepNext/>
            </w:pPr>
            <w:r w:rsidRPr="000774EE">
              <w:t>HEC studies</w:t>
            </w:r>
          </w:p>
        </w:tc>
        <w:tc>
          <w:tcPr>
            <w:tcW w:w="1425" w:type="pct"/>
            <w:shd w:val="clear" w:color="auto" w:fill="auto"/>
          </w:tcPr>
          <w:p w14:paraId="6B411CD7" w14:textId="77777777" w:rsidR="003C3ADC" w:rsidRPr="000774EE" w:rsidRDefault="003C3ADC" w:rsidP="007501A4">
            <w:pPr>
              <w:pStyle w:val="Tabletext"/>
              <w:keepNext/>
            </w:pPr>
            <w:r w:rsidRPr="000774EE">
              <w:t>MEC studies</w:t>
            </w:r>
          </w:p>
        </w:tc>
      </w:tr>
      <w:tr w:rsidR="003C3ADC" w:rsidRPr="000774EE" w14:paraId="1C02E2E1" w14:textId="77777777" w:rsidTr="008D0FE4">
        <w:trPr>
          <w:cantSplit/>
        </w:trPr>
        <w:tc>
          <w:tcPr>
            <w:tcW w:w="1003" w:type="pct"/>
            <w:shd w:val="clear" w:color="auto" w:fill="auto"/>
          </w:tcPr>
          <w:p w14:paraId="58626D54" w14:textId="77777777" w:rsidR="003C3ADC" w:rsidRPr="000774EE" w:rsidRDefault="003C3ADC" w:rsidP="007501A4">
            <w:pPr>
              <w:pStyle w:val="Tabletext"/>
              <w:keepNext/>
              <w:rPr>
                <w:b/>
              </w:rPr>
            </w:pPr>
            <w:r w:rsidRPr="000774EE">
              <w:rPr>
                <w:b/>
              </w:rPr>
              <w:t>Number of studies (</w:t>
            </w:r>
            <w:r>
              <w:rPr>
                <w:b/>
              </w:rPr>
              <w:t xml:space="preserve">number of </w:t>
            </w:r>
            <w:r w:rsidRPr="000774EE">
              <w:rPr>
                <w:b/>
              </w:rPr>
              <w:t>patients)</w:t>
            </w:r>
          </w:p>
        </w:tc>
        <w:tc>
          <w:tcPr>
            <w:tcW w:w="1147" w:type="pct"/>
            <w:shd w:val="clear" w:color="auto" w:fill="auto"/>
          </w:tcPr>
          <w:p w14:paraId="5309271A" w14:textId="77777777" w:rsidR="003C3ADC" w:rsidRPr="000774EE" w:rsidRDefault="003C3ADC" w:rsidP="007501A4">
            <w:pPr>
              <w:pStyle w:val="Tabletext"/>
              <w:keepNext/>
            </w:pPr>
            <w:r w:rsidRPr="000774EE">
              <w:t>8 (</w:t>
            </w:r>
            <w:r>
              <w:t>N=</w:t>
            </w:r>
            <w:r w:rsidRPr="000774EE">
              <w:t>1,926)</w:t>
            </w:r>
          </w:p>
        </w:tc>
        <w:tc>
          <w:tcPr>
            <w:tcW w:w="1425" w:type="pct"/>
            <w:shd w:val="clear" w:color="auto" w:fill="auto"/>
          </w:tcPr>
          <w:p w14:paraId="212DE664" w14:textId="77777777" w:rsidR="003C3ADC" w:rsidRPr="000774EE" w:rsidRDefault="003C3ADC" w:rsidP="007501A4">
            <w:pPr>
              <w:pStyle w:val="Tabletext"/>
              <w:keepNext/>
            </w:pPr>
            <w:r w:rsidRPr="000774EE">
              <w:t>4 (</w:t>
            </w:r>
            <w:r>
              <w:t>N=</w:t>
            </w:r>
            <w:r w:rsidRPr="000774EE">
              <w:t>720)</w:t>
            </w:r>
          </w:p>
        </w:tc>
        <w:tc>
          <w:tcPr>
            <w:tcW w:w="1425" w:type="pct"/>
            <w:shd w:val="clear" w:color="auto" w:fill="auto"/>
          </w:tcPr>
          <w:p w14:paraId="78EC4AEA" w14:textId="77777777" w:rsidR="003C3ADC" w:rsidRPr="000774EE" w:rsidRDefault="003C3ADC" w:rsidP="007501A4">
            <w:pPr>
              <w:pStyle w:val="Tabletext"/>
              <w:keepNext/>
            </w:pPr>
            <w:r w:rsidRPr="000774EE">
              <w:t>4 (</w:t>
            </w:r>
            <w:r>
              <w:t>N=</w:t>
            </w:r>
            <w:r w:rsidRPr="000774EE">
              <w:t>1,206)</w:t>
            </w:r>
          </w:p>
        </w:tc>
      </w:tr>
      <w:tr w:rsidR="003C3ADC" w:rsidRPr="000774EE" w14:paraId="298149C1" w14:textId="77777777" w:rsidTr="008D0FE4">
        <w:trPr>
          <w:cantSplit/>
        </w:trPr>
        <w:tc>
          <w:tcPr>
            <w:tcW w:w="1003" w:type="pct"/>
            <w:shd w:val="clear" w:color="auto" w:fill="auto"/>
          </w:tcPr>
          <w:p w14:paraId="35C68C8F" w14:textId="77777777" w:rsidR="003C3ADC" w:rsidRPr="000774EE" w:rsidRDefault="003C3ADC" w:rsidP="007501A4">
            <w:pPr>
              <w:pStyle w:val="Tabletext"/>
              <w:keepNext/>
              <w:rPr>
                <w:b/>
              </w:rPr>
            </w:pPr>
            <w:r w:rsidRPr="000774EE">
              <w:rPr>
                <w:b/>
              </w:rPr>
              <w:t>RR (95% CI) for 5-day CR</w:t>
            </w:r>
          </w:p>
        </w:tc>
        <w:tc>
          <w:tcPr>
            <w:tcW w:w="1147" w:type="pct"/>
            <w:shd w:val="clear" w:color="auto" w:fill="auto"/>
          </w:tcPr>
          <w:p w14:paraId="1D0B13FB" w14:textId="77777777" w:rsidR="003C3ADC" w:rsidRPr="000774EE" w:rsidRDefault="003C3ADC" w:rsidP="007501A4">
            <w:pPr>
              <w:pStyle w:val="Tabletext"/>
              <w:keepNext/>
            </w:pPr>
            <w:r>
              <w:t>1.00</w:t>
            </w:r>
            <w:r w:rsidRPr="000774EE">
              <w:t xml:space="preserve"> (0.9</w:t>
            </w:r>
            <w:r>
              <w:t>1</w:t>
            </w:r>
            <w:r w:rsidRPr="000774EE">
              <w:t>,1.</w:t>
            </w:r>
            <w:r>
              <w:t>10</w:t>
            </w:r>
            <w:r w:rsidRPr="000774EE">
              <w:t>)</w:t>
            </w:r>
          </w:p>
          <w:p w14:paraId="4D0A4958" w14:textId="77777777" w:rsidR="003C3ADC" w:rsidRPr="000774EE" w:rsidRDefault="003C3ADC" w:rsidP="007501A4">
            <w:pPr>
              <w:pStyle w:val="Tabletext"/>
              <w:keepNext/>
            </w:pPr>
            <w:r w:rsidRPr="000774EE">
              <w:t>p=0.97</w:t>
            </w:r>
          </w:p>
        </w:tc>
        <w:tc>
          <w:tcPr>
            <w:tcW w:w="1425" w:type="pct"/>
            <w:shd w:val="clear" w:color="auto" w:fill="auto"/>
          </w:tcPr>
          <w:p w14:paraId="1EAC818C" w14:textId="77777777" w:rsidR="003C3ADC" w:rsidRPr="000774EE" w:rsidRDefault="003C3ADC" w:rsidP="007501A4">
            <w:pPr>
              <w:pStyle w:val="Tabletext"/>
              <w:keepNext/>
            </w:pPr>
            <w:r w:rsidRPr="000774EE">
              <w:t>1.10(0.9</w:t>
            </w:r>
            <w:r>
              <w:t>3</w:t>
            </w:r>
            <w:r w:rsidRPr="000774EE">
              <w:t>,1.31)</w:t>
            </w:r>
          </w:p>
        </w:tc>
        <w:tc>
          <w:tcPr>
            <w:tcW w:w="1425" w:type="pct"/>
            <w:shd w:val="clear" w:color="auto" w:fill="auto"/>
          </w:tcPr>
          <w:p w14:paraId="5AF2A3C3" w14:textId="77777777" w:rsidR="003C3ADC" w:rsidRPr="000774EE" w:rsidRDefault="003C3ADC" w:rsidP="007501A4">
            <w:pPr>
              <w:pStyle w:val="Tabletext"/>
              <w:keepNext/>
            </w:pPr>
            <w:r w:rsidRPr="000774EE">
              <w:t>0</w:t>
            </w:r>
            <w:r>
              <w:t>.96 (0.8</w:t>
            </w:r>
            <w:r w:rsidRPr="000774EE">
              <w:t>6,1.07)</w:t>
            </w:r>
          </w:p>
        </w:tc>
      </w:tr>
      <w:tr w:rsidR="003C3ADC" w:rsidRPr="000774EE" w14:paraId="54A63A8B" w14:textId="77777777" w:rsidTr="008D0FE4">
        <w:trPr>
          <w:cantSplit/>
        </w:trPr>
        <w:tc>
          <w:tcPr>
            <w:tcW w:w="1003" w:type="pct"/>
            <w:shd w:val="clear" w:color="auto" w:fill="auto"/>
          </w:tcPr>
          <w:p w14:paraId="5FF749C0" w14:textId="77777777" w:rsidR="003C3ADC" w:rsidRPr="000774EE" w:rsidRDefault="003C3ADC" w:rsidP="007501A4">
            <w:pPr>
              <w:pStyle w:val="Tabletext"/>
              <w:keepNext/>
              <w:rPr>
                <w:b/>
              </w:rPr>
            </w:pPr>
            <w:r w:rsidRPr="000774EE">
              <w:rPr>
                <w:b/>
              </w:rPr>
              <w:t>RR (95% CI) for acute CR</w:t>
            </w:r>
          </w:p>
        </w:tc>
        <w:tc>
          <w:tcPr>
            <w:tcW w:w="1147" w:type="pct"/>
            <w:shd w:val="clear" w:color="auto" w:fill="auto"/>
          </w:tcPr>
          <w:p w14:paraId="2CD54662" w14:textId="77777777" w:rsidR="003C3ADC" w:rsidRPr="000774EE" w:rsidRDefault="003C3ADC" w:rsidP="007501A4">
            <w:pPr>
              <w:pStyle w:val="Tabletext"/>
              <w:keepNext/>
            </w:pPr>
            <w:r w:rsidRPr="000774EE">
              <w:t>1.00 (0.91,1.</w:t>
            </w:r>
            <w:r>
              <w:t>10</w:t>
            </w:r>
            <w:r w:rsidRPr="000774EE">
              <w:t>)</w:t>
            </w:r>
          </w:p>
          <w:p w14:paraId="0CF9EC34" w14:textId="77777777" w:rsidR="003C3ADC" w:rsidRPr="000774EE" w:rsidRDefault="003C3ADC" w:rsidP="007501A4">
            <w:pPr>
              <w:pStyle w:val="Tabletext"/>
              <w:keepNext/>
            </w:pPr>
            <w:r w:rsidRPr="000774EE">
              <w:t>p=0.96</w:t>
            </w:r>
          </w:p>
        </w:tc>
        <w:tc>
          <w:tcPr>
            <w:tcW w:w="1425" w:type="pct"/>
            <w:shd w:val="clear" w:color="auto" w:fill="auto"/>
          </w:tcPr>
          <w:p w14:paraId="6AE74F1F" w14:textId="77777777" w:rsidR="003C3ADC" w:rsidRPr="000774EE" w:rsidRDefault="003C3ADC" w:rsidP="007501A4">
            <w:pPr>
              <w:pStyle w:val="Tabletext"/>
              <w:keepNext/>
            </w:pPr>
            <w:r w:rsidRPr="000774EE">
              <w:t>1.0</w:t>
            </w:r>
            <w:r>
              <w:t>8</w:t>
            </w:r>
            <w:r w:rsidRPr="000774EE">
              <w:t xml:space="preserve"> (0.8</w:t>
            </w:r>
            <w:r>
              <w:t>8</w:t>
            </w:r>
            <w:r w:rsidRPr="000774EE">
              <w:t>,1.32)</w:t>
            </w:r>
          </w:p>
          <w:p w14:paraId="46D335FF" w14:textId="77777777" w:rsidR="003C3ADC" w:rsidRPr="000774EE" w:rsidRDefault="003C3ADC" w:rsidP="007501A4">
            <w:pPr>
              <w:pStyle w:val="Tabletext"/>
              <w:keepNext/>
            </w:pPr>
            <w:r w:rsidRPr="000774EE">
              <w:t>p=0.49</w:t>
            </w:r>
          </w:p>
        </w:tc>
        <w:tc>
          <w:tcPr>
            <w:tcW w:w="1425" w:type="pct"/>
            <w:shd w:val="clear" w:color="auto" w:fill="auto"/>
          </w:tcPr>
          <w:p w14:paraId="2FCB5A78" w14:textId="77777777" w:rsidR="003C3ADC" w:rsidRPr="000774EE" w:rsidRDefault="003C3ADC" w:rsidP="007501A4">
            <w:pPr>
              <w:pStyle w:val="Tabletext"/>
              <w:keepNext/>
            </w:pPr>
            <w:r w:rsidRPr="000774EE">
              <w:t>0.9</w:t>
            </w:r>
            <w:r>
              <w:t>9</w:t>
            </w:r>
            <w:r w:rsidRPr="000774EE">
              <w:t xml:space="preserve"> (0.89,1.09)</w:t>
            </w:r>
          </w:p>
          <w:p w14:paraId="275A777A" w14:textId="77777777" w:rsidR="003C3ADC" w:rsidRPr="000774EE" w:rsidRDefault="003C3ADC" w:rsidP="007501A4">
            <w:pPr>
              <w:pStyle w:val="Tabletext"/>
              <w:keepNext/>
            </w:pPr>
            <w:r w:rsidRPr="000774EE">
              <w:t>p=0.77</w:t>
            </w:r>
          </w:p>
        </w:tc>
      </w:tr>
      <w:tr w:rsidR="00F042AB" w:rsidRPr="000774EE" w14:paraId="7A1B912F" w14:textId="77777777" w:rsidTr="008D0FE4">
        <w:trPr>
          <w:cantSplit/>
        </w:trPr>
        <w:tc>
          <w:tcPr>
            <w:tcW w:w="1003" w:type="pct"/>
            <w:shd w:val="clear" w:color="auto" w:fill="auto"/>
          </w:tcPr>
          <w:p w14:paraId="0820BB52" w14:textId="1F655151" w:rsidR="00F042AB" w:rsidRPr="000774EE" w:rsidRDefault="00F042AB" w:rsidP="00F042AB">
            <w:pPr>
              <w:pStyle w:val="Tabletext"/>
              <w:keepNext/>
              <w:rPr>
                <w:b/>
              </w:rPr>
            </w:pPr>
            <w:r w:rsidRPr="000774EE">
              <w:rPr>
                <w:b/>
              </w:rPr>
              <w:t xml:space="preserve">RR </w:t>
            </w:r>
            <w:r>
              <w:rPr>
                <w:b/>
              </w:rPr>
              <w:t xml:space="preserve">(95% CI) for </w:t>
            </w:r>
            <w:r w:rsidRPr="000774EE">
              <w:rPr>
                <w:b/>
              </w:rPr>
              <w:t>delayed emesis</w:t>
            </w:r>
          </w:p>
        </w:tc>
        <w:tc>
          <w:tcPr>
            <w:tcW w:w="1147" w:type="pct"/>
            <w:shd w:val="clear" w:color="auto" w:fill="auto"/>
          </w:tcPr>
          <w:p w14:paraId="6ABEDD94" w14:textId="77777777" w:rsidR="00F042AB" w:rsidRPr="000774EE" w:rsidRDefault="00F042AB" w:rsidP="00F042AB">
            <w:pPr>
              <w:pStyle w:val="Tabletext"/>
              <w:keepNext/>
            </w:pPr>
            <w:r w:rsidRPr="000774EE">
              <w:t>1.00 (0.92,1.09)</w:t>
            </w:r>
          </w:p>
        </w:tc>
        <w:tc>
          <w:tcPr>
            <w:tcW w:w="1425" w:type="pct"/>
            <w:shd w:val="clear" w:color="auto" w:fill="auto"/>
          </w:tcPr>
          <w:p w14:paraId="374757B9" w14:textId="77777777" w:rsidR="00F042AB" w:rsidRPr="000774EE" w:rsidRDefault="00F042AB" w:rsidP="00F042AB">
            <w:pPr>
              <w:pStyle w:val="Tabletext"/>
              <w:keepNext/>
            </w:pPr>
            <w:r w:rsidRPr="000774EE">
              <w:t>1.0</w:t>
            </w:r>
            <w:r>
              <w:t>7</w:t>
            </w:r>
            <w:r w:rsidRPr="000774EE">
              <w:t xml:space="preserve"> (0.9</w:t>
            </w:r>
            <w:r>
              <w:t>1</w:t>
            </w:r>
            <w:r w:rsidRPr="000774EE">
              <w:t>,1.2</w:t>
            </w:r>
            <w:r>
              <w:t>5</w:t>
            </w:r>
            <w:r w:rsidRPr="000774EE">
              <w:t>)</w:t>
            </w:r>
          </w:p>
        </w:tc>
        <w:tc>
          <w:tcPr>
            <w:tcW w:w="1425" w:type="pct"/>
            <w:shd w:val="clear" w:color="auto" w:fill="auto"/>
          </w:tcPr>
          <w:p w14:paraId="46FD2FB2" w14:textId="77777777" w:rsidR="00F042AB" w:rsidRPr="000774EE" w:rsidRDefault="00F042AB" w:rsidP="00F042AB">
            <w:pPr>
              <w:pStyle w:val="Tabletext"/>
              <w:keepNext/>
            </w:pPr>
            <w:r w:rsidRPr="000774EE">
              <w:t>0.98 (0.88,1.08)</w:t>
            </w:r>
          </w:p>
        </w:tc>
      </w:tr>
      <w:tr w:rsidR="00F042AB" w:rsidRPr="000774EE" w14:paraId="6BE31C7B" w14:textId="77777777" w:rsidTr="008D0FE4">
        <w:trPr>
          <w:cantSplit/>
        </w:trPr>
        <w:tc>
          <w:tcPr>
            <w:tcW w:w="1003" w:type="pct"/>
            <w:shd w:val="clear" w:color="auto" w:fill="auto"/>
          </w:tcPr>
          <w:p w14:paraId="0E9DA9E5" w14:textId="05D700A5" w:rsidR="00F042AB" w:rsidRPr="000774EE" w:rsidRDefault="00F042AB" w:rsidP="00F042AB">
            <w:pPr>
              <w:pStyle w:val="Tabletext"/>
              <w:keepNext/>
              <w:rPr>
                <w:b/>
              </w:rPr>
            </w:pPr>
            <w:r w:rsidRPr="000774EE">
              <w:rPr>
                <w:b/>
              </w:rPr>
              <w:t xml:space="preserve">RR </w:t>
            </w:r>
            <w:r>
              <w:rPr>
                <w:b/>
              </w:rPr>
              <w:t>for i</w:t>
            </w:r>
            <w:r w:rsidRPr="000774EE">
              <w:rPr>
                <w:b/>
              </w:rPr>
              <w:t>ncidence of Grade 3-4 TEAEs</w:t>
            </w:r>
          </w:p>
        </w:tc>
        <w:tc>
          <w:tcPr>
            <w:tcW w:w="3997" w:type="pct"/>
            <w:gridSpan w:val="3"/>
            <w:shd w:val="clear" w:color="auto" w:fill="auto"/>
          </w:tcPr>
          <w:p w14:paraId="518B665F" w14:textId="77777777" w:rsidR="00F042AB" w:rsidRPr="000774EE" w:rsidRDefault="00F042AB" w:rsidP="00F042AB">
            <w:pPr>
              <w:pStyle w:val="Tabletext"/>
              <w:keepNext/>
            </w:pPr>
            <w:r w:rsidRPr="000774EE">
              <w:t>No significant differences found</w:t>
            </w:r>
            <w:r>
              <w:t xml:space="preserve"> (</w:t>
            </w:r>
            <w:r>
              <w:rPr>
                <w:i/>
              </w:rPr>
              <w:t>Results</w:t>
            </w:r>
            <w:r w:rsidRPr="000774EE">
              <w:rPr>
                <w:i/>
              </w:rPr>
              <w:t xml:space="preserve"> not provided</w:t>
            </w:r>
            <w:r>
              <w:rPr>
                <w:i/>
              </w:rPr>
              <w:t xml:space="preserve"> in the submission</w:t>
            </w:r>
            <w:r>
              <w:t>)</w:t>
            </w:r>
          </w:p>
        </w:tc>
      </w:tr>
    </w:tbl>
    <w:p w14:paraId="02C88FF3" w14:textId="77777777" w:rsidR="003C3ADC" w:rsidRDefault="003C3ADC" w:rsidP="003C3ADC">
      <w:pPr>
        <w:pStyle w:val="TableFooter"/>
      </w:pPr>
      <w:r>
        <w:t>Source: Table 2-12, p60 of the submission.</w:t>
      </w:r>
    </w:p>
    <w:p w14:paraId="63471B17" w14:textId="77777777" w:rsidR="003C3ADC" w:rsidRDefault="003C3ADC" w:rsidP="003C3ADC">
      <w:pPr>
        <w:pStyle w:val="TableFooter"/>
      </w:pPr>
      <w:r w:rsidRPr="000774EE">
        <w:t>CR</w:t>
      </w:r>
      <w:r>
        <w:t>=</w:t>
      </w:r>
      <w:r w:rsidRPr="000774EE">
        <w:t xml:space="preserve">complete response; </w:t>
      </w:r>
      <w:r>
        <w:t xml:space="preserve">HEC=highly emetogenic chemotherapy; MEC=moderately emetogenic chemotherapy; PALO=palonosetron; </w:t>
      </w:r>
      <w:r w:rsidRPr="000774EE">
        <w:t>RR</w:t>
      </w:r>
      <w:r>
        <w:t>=</w:t>
      </w:r>
      <w:r w:rsidRPr="000774EE">
        <w:t>relative risk; TEAEs</w:t>
      </w:r>
      <w:r>
        <w:t>=</w:t>
      </w:r>
      <w:r w:rsidRPr="000774EE">
        <w:t>treatment emergent adverse events.</w:t>
      </w:r>
    </w:p>
    <w:p w14:paraId="6E9F144E" w14:textId="28A61D9A" w:rsidR="003C3ADC" w:rsidRDefault="003C3ADC" w:rsidP="003C3ADC">
      <w:pPr>
        <w:pStyle w:val="TableFooter"/>
      </w:pPr>
      <w:r>
        <w:t xml:space="preserve">Note: </w:t>
      </w:r>
      <w:r w:rsidRPr="00AC6AEF">
        <w:t>Results rounded to 2 decimal places</w:t>
      </w:r>
    </w:p>
    <w:p w14:paraId="07CA5C57" w14:textId="2A2DE870" w:rsidR="003C3ADC" w:rsidRDefault="003C3ADC" w:rsidP="003C3ADC">
      <w:pPr>
        <w:pStyle w:val="TableFooter"/>
      </w:pPr>
    </w:p>
    <w:p w14:paraId="603C07AC" w14:textId="2C5E96F9" w:rsidR="00934988" w:rsidRPr="00B83670" w:rsidRDefault="00B83670" w:rsidP="003C3ADC">
      <w:pPr>
        <w:pStyle w:val="3-BodyText"/>
      </w:pPr>
      <w:r w:rsidRPr="00B83670">
        <w:t xml:space="preserve">The submission concluded </w:t>
      </w:r>
      <w:r>
        <w:t>from the meta-analysis that</w:t>
      </w:r>
      <w:r w:rsidRPr="00B83670">
        <w:t xml:space="preserve"> there was similar efficacy and safety associated with both doses in terms of 5-day CR, acute CR, delayed emesis, and Grade 3-4 </w:t>
      </w:r>
      <w:r w:rsidR="00F042AB">
        <w:t>adverse events (</w:t>
      </w:r>
      <w:r w:rsidRPr="00B83670">
        <w:t>AEs</w:t>
      </w:r>
      <w:r w:rsidR="00F042AB">
        <w:t>)</w:t>
      </w:r>
      <w:r>
        <w:t xml:space="preserve">. </w:t>
      </w:r>
      <w:r w:rsidRPr="0002340D">
        <w:rPr>
          <w:iCs/>
        </w:rPr>
        <w:t>Results from other reviews</w:t>
      </w:r>
      <w:r w:rsidR="00680091" w:rsidRPr="0002340D">
        <w:rPr>
          <w:rStyle w:val="FootnoteReference"/>
          <w:iCs/>
        </w:rPr>
        <w:footnoteReference w:id="8"/>
      </w:r>
      <w:r w:rsidR="00680091" w:rsidRPr="0002340D">
        <w:rPr>
          <w:iCs/>
          <w:vertAlign w:val="superscript"/>
        </w:rPr>
        <w:t>,</w:t>
      </w:r>
      <w:r w:rsidR="00680091" w:rsidRPr="0002340D">
        <w:rPr>
          <w:rStyle w:val="FootnoteReference"/>
          <w:iCs/>
        </w:rPr>
        <w:footnoteReference w:id="9"/>
      </w:r>
      <w:r w:rsidRPr="0002340D">
        <w:rPr>
          <w:iCs/>
        </w:rPr>
        <w:t xml:space="preserve"> </w:t>
      </w:r>
      <w:r w:rsidR="00680091" w:rsidRPr="0002340D">
        <w:rPr>
          <w:iCs/>
        </w:rPr>
        <w:t xml:space="preserve">assessing the comparative effectiveness of these two PALO doses </w:t>
      </w:r>
      <w:r w:rsidRPr="0002340D">
        <w:rPr>
          <w:iCs/>
        </w:rPr>
        <w:t>appear consistent with these results.</w:t>
      </w:r>
      <w:r w:rsidRPr="00B83670">
        <w:rPr>
          <w:i/>
        </w:rPr>
        <w:t xml:space="preserve"> </w:t>
      </w:r>
    </w:p>
    <w:p w14:paraId="79FF453F" w14:textId="77777777" w:rsidR="00B60939" w:rsidRPr="00C9624D" w:rsidRDefault="00B60939" w:rsidP="00D86231">
      <w:pPr>
        <w:pStyle w:val="4-SubsectionHeading"/>
      </w:pPr>
      <w:bookmarkStart w:id="32" w:name="_Toc22897642"/>
      <w:bookmarkStart w:id="33" w:name="_Toc124841998"/>
      <w:r w:rsidRPr="00C9624D">
        <w:t>Comparative harms</w:t>
      </w:r>
      <w:bookmarkEnd w:id="32"/>
      <w:bookmarkEnd w:id="33"/>
    </w:p>
    <w:p w14:paraId="51107414" w14:textId="3ED4AA27" w:rsidR="00B60939" w:rsidRDefault="000638E4" w:rsidP="00F173FE">
      <w:pPr>
        <w:pStyle w:val="3-BodyText"/>
      </w:pPr>
      <w:r w:rsidRPr="000638E4">
        <w:fldChar w:fldCharType="begin"/>
      </w:r>
      <w:r w:rsidRPr="000638E4">
        <w:instrText xml:space="preserve"> REF _Ref122683991 \h </w:instrText>
      </w:r>
      <w:r w:rsidR="00F173FE">
        <w:instrText xml:space="preserve"> \* MERGEFORMAT </w:instrText>
      </w:r>
      <w:r w:rsidRPr="000638E4">
        <w:fldChar w:fldCharType="separate"/>
      </w:r>
      <w:r w:rsidR="00775281">
        <w:t>Table 9</w:t>
      </w:r>
      <w:r w:rsidRPr="000638E4">
        <w:fldChar w:fldCharType="end"/>
      </w:r>
      <w:r w:rsidRPr="000638E4">
        <w:t xml:space="preserve"> summarises over</w:t>
      </w:r>
      <w:r w:rsidR="00B83670">
        <w:t>all AEs in the included trials.</w:t>
      </w:r>
    </w:p>
    <w:p w14:paraId="7E588BAC" w14:textId="77777777" w:rsidR="00B83670" w:rsidRPr="000638E4" w:rsidRDefault="00B83670" w:rsidP="00B83670"/>
    <w:p w14:paraId="644138DE" w14:textId="7BA5FC4A" w:rsidR="000638E4" w:rsidRPr="004422E4" w:rsidRDefault="00D6076E" w:rsidP="000638E4">
      <w:pPr>
        <w:pStyle w:val="TableFigureHeading"/>
      </w:pPr>
      <w:bookmarkStart w:id="34" w:name="_Ref122683991"/>
      <w:r>
        <w:t xml:space="preserve">Table </w:t>
      </w:r>
      <w:fldSimple w:instr=" SEQ Table \* ARABIC ">
        <w:r w:rsidR="00775281">
          <w:rPr>
            <w:noProof/>
          </w:rPr>
          <w:t>9</w:t>
        </w:r>
      </w:fldSimple>
      <w:bookmarkEnd w:id="34"/>
      <w:r>
        <w:t xml:space="preserve">: </w:t>
      </w:r>
      <w:r w:rsidR="000638E4" w:rsidRPr="004422E4">
        <w:t>Adverse events in CONSOLE and CONSOLE-BC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6" w:type="dxa"/>
          <w:right w:w="53" w:type="dxa"/>
        </w:tblCellMar>
        <w:tblLook w:val="04A0" w:firstRow="1" w:lastRow="0" w:firstColumn="1" w:lastColumn="0" w:noHBand="0" w:noVBand="1"/>
      </w:tblPr>
      <w:tblGrid>
        <w:gridCol w:w="2709"/>
        <w:gridCol w:w="1506"/>
        <w:gridCol w:w="7"/>
        <w:gridCol w:w="1619"/>
        <w:gridCol w:w="1558"/>
        <w:gridCol w:w="1618"/>
      </w:tblGrid>
      <w:tr w:rsidR="000638E4" w:rsidRPr="004422E4" w14:paraId="3C1E777E" w14:textId="77777777" w:rsidTr="008D0FE4">
        <w:trPr>
          <w:cantSplit/>
          <w:trHeight w:val="442"/>
          <w:tblHeader/>
        </w:trPr>
        <w:tc>
          <w:tcPr>
            <w:tcW w:w="1502" w:type="pct"/>
            <w:vMerge w:val="restart"/>
            <w:shd w:val="clear" w:color="auto" w:fill="auto"/>
          </w:tcPr>
          <w:p w14:paraId="352F8972" w14:textId="77777777" w:rsidR="000638E4" w:rsidRPr="004422E4" w:rsidRDefault="000638E4" w:rsidP="008D0FE4">
            <w:pPr>
              <w:pStyle w:val="Tabletext"/>
              <w:keepNext/>
            </w:pPr>
          </w:p>
        </w:tc>
        <w:tc>
          <w:tcPr>
            <w:tcW w:w="1737" w:type="pct"/>
            <w:gridSpan w:val="3"/>
            <w:shd w:val="clear" w:color="auto" w:fill="auto"/>
          </w:tcPr>
          <w:p w14:paraId="7BB8AA5C" w14:textId="77777777" w:rsidR="000638E4" w:rsidRPr="004422E4" w:rsidRDefault="000638E4" w:rsidP="008D0FE4">
            <w:pPr>
              <w:pStyle w:val="Tabletext"/>
              <w:keepNext/>
              <w:rPr>
                <w:rFonts w:eastAsia="Arial Unicode MS"/>
                <w:b/>
              </w:rPr>
            </w:pPr>
            <w:r w:rsidRPr="004422E4">
              <w:rPr>
                <w:b/>
              </w:rPr>
              <w:t>CONSOLE (S cycle)</w:t>
            </w:r>
          </w:p>
        </w:tc>
        <w:tc>
          <w:tcPr>
            <w:tcW w:w="1761" w:type="pct"/>
            <w:gridSpan w:val="2"/>
            <w:shd w:val="clear" w:color="auto" w:fill="auto"/>
          </w:tcPr>
          <w:p w14:paraId="766C845A" w14:textId="77777777" w:rsidR="000638E4" w:rsidRPr="004422E4" w:rsidRDefault="000638E4" w:rsidP="008D0FE4">
            <w:pPr>
              <w:pStyle w:val="Tabletext"/>
              <w:keepNext/>
              <w:rPr>
                <w:b/>
              </w:rPr>
            </w:pPr>
            <w:r w:rsidRPr="004422E4">
              <w:rPr>
                <w:b/>
              </w:rPr>
              <w:t>CONSOLE-BC</w:t>
            </w:r>
          </w:p>
        </w:tc>
      </w:tr>
      <w:tr w:rsidR="000638E4" w:rsidRPr="004422E4" w14:paraId="107BAA0A" w14:textId="77777777" w:rsidTr="008D0FE4">
        <w:trPr>
          <w:cantSplit/>
          <w:trHeight w:val="548"/>
          <w:tblHeader/>
        </w:trPr>
        <w:tc>
          <w:tcPr>
            <w:tcW w:w="1502" w:type="pct"/>
            <w:vMerge/>
            <w:shd w:val="clear" w:color="auto" w:fill="auto"/>
          </w:tcPr>
          <w:p w14:paraId="77DAEDEB" w14:textId="77777777" w:rsidR="000638E4" w:rsidRPr="004422E4" w:rsidRDefault="000638E4" w:rsidP="008D0FE4">
            <w:pPr>
              <w:pStyle w:val="Tabletext"/>
              <w:keepNext/>
            </w:pPr>
          </w:p>
        </w:tc>
        <w:tc>
          <w:tcPr>
            <w:tcW w:w="839" w:type="pct"/>
            <w:gridSpan w:val="2"/>
            <w:shd w:val="clear" w:color="auto" w:fill="auto"/>
          </w:tcPr>
          <w:p w14:paraId="24E645B6" w14:textId="0699084C" w:rsidR="000638E4" w:rsidRPr="004422E4" w:rsidRDefault="00F160FA" w:rsidP="008D0FE4">
            <w:pPr>
              <w:pStyle w:val="Tabletext"/>
              <w:keepNext/>
              <w:rPr>
                <w:b/>
              </w:rPr>
            </w:pPr>
            <w:r>
              <w:rPr>
                <w:b/>
              </w:rPr>
              <w:t>FosNTP</w:t>
            </w:r>
            <w:r w:rsidR="000638E4" w:rsidRPr="004422E4">
              <w:rPr>
                <w:b/>
              </w:rPr>
              <w:t>+PALO IV</w:t>
            </w:r>
          </w:p>
          <w:p w14:paraId="310D1BFA" w14:textId="77777777" w:rsidR="000638E4" w:rsidRPr="004422E4" w:rsidRDefault="000638E4" w:rsidP="008D0FE4">
            <w:pPr>
              <w:pStyle w:val="Tabletext"/>
              <w:keepNext/>
              <w:rPr>
                <w:b/>
              </w:rPr>
            </w:pPr>
            <w:r w:rsidRPr="004422E4">
              <w:rPr>
                <w:b/>
              </w:rPr>
              <w:t>N=392</w:t>
            </w:r>
          </w:p>
        </w:tc>
        <w:tc>
          <w:tcPr>
            <w:tcW w:w="898" w:type="pct"/>
            <w:shd w:val="clear" w:color="auto" w:fill="auto"/>
          </w:tcPr>
          <w:p w14:paraId="5EF71CE3" w14:textId="2D7BE1CD" w:rsidR="000638E4" w:rsidRPr="004422E4" w:rsidRDefault="00966F38" w:rsidP="008D0FE4">
            <w:pPr>
              <w:pStyle w:val="Tabletext"/>
              <w:keepNext/>
              <w:rPr>
                <w:b/>
              </w:rPr>
            </w:pPr>
            <w:r>
              <w:rPr>
                <w:b/>
              </w:rPr>
              <w:t>FosAPR</w:t>
            </w:r>
            <w:r w:rsidR="000638E4" w:rsidRPr="004422E4">
              <w:rPr>
                <w:b/>
              </w:rPr>
              <w:t>+PALO IV</w:t>
            </w:r>
          </w:p>
          <w:p w14:paraId="491C0CDA" w14:textId="77777777" w:rsidR="000638E4" w:rsidRPr="004422E4" w:rsidRDefault="000638E4" w:rsidP="008D0FE4">
            <w:pPr>
              <w:pStyle w:val="Tabletext"/>
              <w:keepNext/>
              <w:rPr>
                <w:rFonts w:eastAsia="Arial Unicode MS"/>
                <w:b/>
              </w:rPr>
            </w:pPr>
            <w:r w:rsidRPr="004422E4">
              <w:rPr>
                <w:b/>
              </w:rPr>
              <w:t>N=393</w:t>
            </w:r>
          </w:p>
        </w:tc>
        <w:tc>
          <w:tcPr>
            <w:tcW w:w="864" w:type="pct"/>
            <w:shd w:val="clear" w:color="auto" w:fill="auto"/>
          </w:tcPr>
          <w:p w14:paraId="5425DF9C" w14:textId="26D6C5D7" w:rsidR="000638E4" w:rsidRPr="004422E4" w:rsidRDefault="00F160FA" w:rsidP="008D0FE4">
            <w:pPr>
              <w:pStyle w:val="Tabletext"/>
              <w:keepNext/>
              <w:rPr>
                <w:b/>
              </w:rPr>
            </w:pPr>
            <w:r>
              <w:rPr>
                <w:b/>
              </w:rPr>
              <w:t>FosNTP</w:t>
            </w:r>
            <w:r w:rsidR="000638E4" w:rsidRPr="004422E4">
              <w:rPr>
                <w:b/>
              </w:rPr>
              <w:t>+PALO IV</w:t>
            </w:r>
          </w:p>
          <w:p w14:paraId="4C004A66" w14:textId="77777777" w:rsidR="000638E4" w:rsidRPr="004422E4" w:rsidRDefault="000638E4" w:rsidP="008D0FE4">
            <w:pPr>
              <w:pStyle w:val="Tabletext"/>
              <w:keepNext/>
              <w:rPr>
                <w:b/>
                <w:vertAlign w:val="superscript"/>
              </w:rPr>
            </w:pPr>
            <w:r w:rsidRPr="004422E4">
              <w:rPr>
                <w:b/>
              </w:rPr>
              <w:t>N=52</w:t>
            </w:r>
          </w:p>
        </w:tc>
        <w:tc>
          <w:tcPr>
            <w:tcW w:w="897" w:type="pct"/>
            <w:shd w:val="clear" w:color="auto" w:fill="auto"/>
          </w:tcPr>
          <w:p w14:paraId="42330605" w14:textId="7B418A02" w:rsidR="000638E4" w:rsidRPr="004422E4" w:rsidRDefault="00966F38" w:rsidP="008D0FE4">
            <w:pPr>
              <w:pStyle w:val="Tabletext"/>
              <w:keepNext/>
              <w:rPr>
                <w:b/>
              </w:rPr>
            </w:pPr>
            <w:r>
              <w:rPr>
                <w:b/>
              </w:rPr>
              <w:t>FosAPR</w:t>
            </w:r>
            <w:r w:rsidR="000638E4" w:rsidRPr="004422E4">
              <w:rPr>
                <w:b/>
              </w:rPr>
              <w:t>+PALO IV</w:t>
            </w:r>
          </w:p>
          <w:p w14:paraId="3A7AB4ED" w14:textId="77777777" w:rsidR="000638E4" w:rsidRPr="004422E4" w:rsidRDefault="000638E4" w:rsidP="008D0FE4">
            <w:pPr>
              <w:pStyle w:val="Tabletext"/>
              <w:keepNext/>
              <w:rPr>
                <w:b/>
                <w:vertAlign w:val="superscript"/>
              </w:rPr>
            </w:pPr>
            <w:r w:rsidRPr="004422E4">
              <w:rPr>
                <w:b/>
              </w:rPr>
              <w:t>N=50</w:t>
            </w:r>
          </w:p>
        </w:tc>
      </w:tr>
      <w:tr w:rsidR="000638E4" w:rsidRPr="004422E4" w14:paraId="7EE927D0" w14:textId="77777777" w:rsidTr="008D0FE4">
        <w:trPr>
          <w:cantSplit/>
          <w:trHeight w:val="283"/>
          <w:tblHeader/>
        </w:trPr>
        <w:tc>
          <w:tcPr>
            <w:tcW w:w="1502" w:type="pct"/>
            <w:shd w:val="clear" w:color="auto" w:fill="auto"/>
          </w:tcPr>
          <w:p w14:paraId="7336EF1D" w14:textId="77777777" w:rsidR="000638E4" w:rsidRPr="004422E4" w:rsidRDefault="000638E4" w:rsidP="008D0FE4">
            <w:pPr>
              <w:pStyle w:val="Tabletext"/>
              <w:keepNext/>
              <w:rPr>
                <w:b/>
                <w:bCs/>
              </w:rPr>
            </w:pPr>
          </w:p>
        </w:tc>
        <w:tc>
          <w:tcPr>
            <w:tcW w:w="835" w:type="pct"/>
            <w:shd w:val="clear" w:color="auto" w:fill="auto"/>
          </w:tcPr>
          <w:p w14:paraId="1D800F31" w14:textId="77777777" w:rsidR="000638E4" w:rsidRPr="004422E4" w:rsidRDefault="000638E4" w:rsidP="008D0FE4">
            <w:pPr>
              <w:pStyle w:val="Tabletext"/>
              <w:keepNext/>
              <w:rPr>
                <w:b/>
                <w:bCs/>
              </w:rPr>
            </w:pPr>
            <w:r w:rsidRPr="004422E4">
              <w:rPr>
                <w:b/>
                <w:bCs/>
              </w:rPr>
              <w:t>n (%)</w:t>
            </w:r>
          </w:p>
        </w:tc>
        <w:tc>
          <w:tcPr>
            <w:tcW w:w="902" w:type="pct"/>
            <w:gridSpan w:val="2"/>
            <w:shd w:val="clear" w:color="auto" w:fill="auto"/>
          </w:tcPr>
          <w:p w14:paraId="54D394C1" w14:textId="0EBF204A" w:rsidR="000638E4" w:rsidRPr="004422E4" w:rsidRDefault="00530DEE" w:rsidP="008D0FE4">
            <w:pPr>
              <w:pStyle w:val="Tabletext"/>
              <w:keepNext/>
              <w:rPr>
                <w:b/>
                <w:bCs/>
              </w:rPr>
            </w:pPr>
            <w:r>
              <w:rPr>
                <w:b/>
                <w:bCs/>
              </w:rPr>
              <w:t>n</w:t>
            </w:r>
            <w:r>
              <w:rPr>
                <w:b/>
                <w:bCs/>
                <w:vertAlign w:val="superscript"/>
              </w:rPr>
              <w:t>a</w:t>
            </w:r>
            <w:r w:rsidR="000638E4" w:rsidRPr="004422E4">
              <w:rPr>
                <w:b/>
                <w:bCs/>
              </w:rPr>
              <w:t xml:space="preserve"> (%)</w:t>
            </w:r>
          </w:p>
        </w:tc>
        <w:tc>
          <w:tcPr>
            <w:tcW w:w="864" w:type="pct"/>
            <w:shd w:val="clear" w:color="auto" w:fill="auto"/>
          </w:tcPr>
          <w:p w14:paraId="53FE94AB" w14:textId="77777777" w:rsidR="000638E4" w:rsidRPr="004422E4" w:rsidRDefault="000638E4" w:rsidP="008D0FE4">
            <w:pPr>
              <w:pStyle w:val="Tabletext"/>
              <w:keepNext/>
              <w:rPr>
                <w:b/>
                <w:bCs/>
              </w:rPr>
            </w:pPr>
            <w:r w:rsidRPr="004422E4">
              <w:rPr>
                <w:b/>
                <w:bCs/>
              </w:rPr>
              <w:t>n (%)</w:t>
            </w:r>
          </w:p>
        </w:tc>
        <w:tc>
          <w:tcPr>
            <w:tcW w:w="897" w:type="pct"/>
            <w:shd w:val="clear" w:color="auto" w:fill="auto"/>
          </w:tcPr>
          <w:p w14:paraId="689A34D1" w14:textId="77777777" w:rsidR="000638E4" w:rsidRPr="004422E4" w:rsidRDefault="000638E4" w:rsidP="008D0FE4">
            <w:pPr>
              <w:pStyle w:val="Tabletext"/>
              <w:keepNext/>
              <w:rPr>
                <w:b/>
                <w:bCs/>
              </w:rPr>
            </w:pPr>
            <w:r w:rsidRPr="004422E4">
              <w:rPr>
                <w:b/>
                <w:bCs/>
              </w:rPr>
              <w:t>n (%)</w:t>
            </w:r>
          </w:p>
        </w:tc>
      </w:tr>
      <w:tr w:rsidR="000638E4" w:rsidRPr="004422E4" w14:paraId="29DE9B56" w14:textId="77777777" w:rsidTr="008D0FE4">
        <w:trPr>
          <w:cantSplit/>
          <w:trHeight w:val="20"/>
        </w:trPr>
        <w:tc>
          <w:tcPr>
            <w:tcW w:w="1502" w:type="pct"/>
            <w:shd w:val="clear" w:color="auto" w:fill="auto"/>
            <w:vAlign w:val="center"/>
          </w:tcPr>
          <w:p w14:paraId="51A95A5C" w14:textId="77777777" w:rsidR="000638E4" w:rsidRPr="004422E4" w:rsidRDefault="000638E4" w:rsidP="008D0FE4">
            <w:pPr>
              <w:pStyle w:val="Tabletext"/>
              <w:keepNext/>
            </w:pPr>
            <w:r w:rsidRPr="004422E4">
              <w:rPr>
                <w:rFonts w:eastAsia="Arial Unicode MS" w:cs="Arial Unicode MS"/>
              </w:rPr>
              <w:t>AEs (all cause)</w:t>
            </w:r>
          </w:p>
        </w:tc>
        <w:tc>
          <w:tcPr>
            <w:tcW w:w="835" w:type="pct"/>
            <w:shd w:val="clear" w:color="auto" w:fill="auto"/>
          </w:tcPr>
          <w:p w14:paraId="68FC68BD" w14:textId="77777777" w:rsidR="000638E4" w:rsidRPr="004422E4" w:rsidRDefault="000638E4" w:rsidP="008D0FE4">
            <w:pPr>
              <w:pStyle w:val="Tabletext"/>
              <w:keepNext/>
              <w:rPr>
                <w:rFonts w:eastAsia="Arial Unicode MS" w:cs="Arial Unicode MS"/>
              </w:rPr>
            </w:pPr>
            <w:r w:rsidRPr="004422E4">
              <w:rPr>
                <w:rFonts w:eastAsia="Arial Unicode MS" w:cs="Arial Unicode MS"/>
              </w:rPr>
              <w:t>390 (99.5)</w:t>
            </w:r>
          </w:p>
        </w:tc>
        <w:tc>
          <w:tcPr>
            <w:tcW w:w="902" w:type="pct"/>
            <w:gridSpan w:val="2"/>
            <w:shd w:val="clear" w:color="auto" w:fill="auto"/>
          </w:tcPr>
          <w:p w14:paraId="364B1B63" w14:textId="77777777" w:rsidR="000638E4" w:rsidRPr="004422E4" w:rsidRDefault="000638E4" w:rsidP="008D0FE4">
            <w:pPr>
              <w:pStyle w:val="Tabletext"/>
              <w:keepNext/>
            </w:pPr>
            <w:r w:rsidRPr="004422E4">
              <w:t>389 (99.0)</w:t>
            </w:r>
          </w:p>
        </w:tc>
        <w:tc>
          <w:tcPr>
            <w:tcW w:w="864" w:type="pct"/>
            <w:shd w:val="clear" w:color="auto" w:fill="auto"/>
          </w:tcPr>
          <w:p w14:paraId="7A66810C" w14:textId="77777777" w:rsidR="000638E4" w:rsidRPr="004422E4" w:rsidRDefault="000638E4" w:rsidP="008D0FE4">
            <w:pPr>
              <w:pStyle w:val="Tabletext"/>
              <w:keepNext/>
            </w:pPr>
            <w:r w:rsidRPr="004422E4">
              <w:t>52 (100)</w:t>
            </w:r>
          </w:p>
        </w:tc>
        <w:tc>
          <w:tcPr>
            <w:tcW w:w="897" w:type="pct"/>
            <w:shd w:val="clear" w:color="auto" w:fill="auto"/>
          </w:tcPr>
          <w:p w14:paraId="4971B2A1" w14:textId="77777777" w:rsidR="000638E4" w:rsidRPr="004422E4" w:rsidRDefault="000638E4" w:rsidP="008D0FE4">
            <w:pPr>
              <w:pStyle w:val="Tabletext"/>
              <w:keepNext/>
            </w:pPr>
            <w:r w:rsidRPr="004422E4">
              <w:t>49 (98.0)</w:t>
            </w:r>
          </w:p>
        </w:tc>
      </w:tr>
      <w:tr w:rsidR="000638E4" w:rsidRPr="004422E4" w14:paraId="460221C9" w14:textId="77777777" w:rsidTr="008D0FE4">
        <w:trPr>
          <w:cantSplit/>
          <w:trHeight w:val="20"/>
        </w:trPr>
        <w:tc>
          <w:tcPr>
            <w:tcW w:w="1502" w:type="pct"/>
            <w:shd w:val="clear" w:color="auto" w:fill="auto"/>
          </w:tcPr>
          <w:p w14:paraId="5BFA0BB5" w14:textId="77777777" w:rsidR="000638E4" w:rsidRPr="004422E4" w:rsidRDefault="000638E4" w:rsidP="008D0FE4">
            <w:pPr>
              <w:pStyle w:val="Tabletext"/>
              <w:keepNext/>
            </w:pPr>
            <w:r w:rsidRPr="004422E4">
              <w:t xml:space="preserve">Grade ≥3 AEs </w:t>
            </w:r>
            <w:r w:rsidRPr="004422E4">
              <w:rPr>
                <w:rFonts w:eastAsia="Arial Unicode MS" w:cs="Arial Unicode MS"/>
              </w:rPr>
              <w:t>(all cause)</w:t>
            </w:r>
          </w:p>
        </w:tc>
        <w:tc>
          <w:tcPr>
            <w:tcW w:w="835" w:type="pct"/>
            <w:shd w:val="clear" w:color="auto" w:fill="auto"/>
          </w:tcPr>
          <w:p w14:paraId="229FF3F3" w14:textId="77777777" w:rsidR="000638E4" w:rsidRPr="004422E4" w:rsidRDefault="000638E4" w:rsidP="008D0FE4">
            <w:pPr>
              <w:pStyle w:val="Tabletext"/>
              <w:keepNext/>
              <w:rPr>
                <w:rFonts w:eastAsia="Arial Unicode MS" w:cs="Arial Unicode MS"/>
              </w:rPr>
            </w:pPr>
            <w:r w:rsidRPr="004422E4">
              <w:rPr>
                <w:rFonts w:eastAsia="Arial Unicode MS" w:cs="Arial Unicode MS"/>
              </w:rPr>
              <w:t>254 (64.8)</w:t>
            </w:r>
          </w:p>
        </w:tc>
        <w:tc>
          <w:tcPr>
            <w:tcW w:w="902" w:type="pct"/>
            <w:gridSpan w:val="2"/>
            <w:shd w:val="clear" w:color="auto" w:fill="auto"/>
          </w:tcPr>
          <w:p w14:paraId="6D5E78E8" w14:textId="77777777" w:rsidR="000638E4" w:rsidRPr="004422E4" w:rsidRDefault="000638E4" w:rsidP="008D0FE4">
            <w:pPr>
              <w:pStyle w:val="Tabletext"/>
              <w:keepNext/>
            </w:pPr>
            <w:r w:rsidRPr="004422E4">
              <w:t>231 (58.8)</w:t>
            </w:r>
          </w:p>
        </w:tc>
        <w:tc>
          <w:tcPr>
            <w:tcW w:w="864" w:type="pct"/>
            <w:shd w:val="clear" w:color="auto" w:fill="auto"/>
          </w:tcPr>
          <w:p w14:paraId="5C514EFF" w14:textId="77777777" w:rsidR="000638E4" w:rsidRPr="004422E4" w:rsidRDefault="000638E4" w:rsidP="008D0FE4">
            <w:pPr>
              <w:pStyle w:val="Tabletext"/>
              <w:keepNext/>
            </w:pPr>
            <w:r w:rsidRPr="004422E4">
              <w:t>43 (82.7)</w:t>
            </w:r>
          </w:p>
        </w:tc>
        <w:tc>
          <w:tcPr>
            <w:tcW w:w="897" w:type="pct"/>
            <w:shd w:val="clear" w:color="auto" w:fill="auto"/>
          </w:tcPr>
          <w:p w14:paraId="36506A13" w14:textId="77777777" w:rsidR="000638E4" w:rsidRPr="004422E4" w:rsidRDefault="000638E4" w:rsidP="008D0FE4">
            <w:pPr>
              <w:pStyle w:val="Tabletext"/>
              <w:keepNext/>
            </w:pPr>
            <w:r w:rsidRPr="004422E4">
              <w:t>36 (72.0)</w:t>
            </w:r>
          </w:p>
        </w:tc>
      </w:tr>
      <w:tr w:rsidR="000638E4" w:rsidRPr="004422E4" w14:paraId="7B8AC401" w14:textId="77777777" w:rsidTr="008D0FE4">
        <w:trPr>
          <w:cantSplit/>
          <w:trHeight w:val="20"/>
        </w:trPr>
        <w:tc>
          <w:tcPr>
            <w:tcW w:w="1502" w:type="pct"/>
            <w:shd w:val="clear" w:color="auto" w:fill="auto"/>
          </w:tcPr>
          <w:p w14:paraId="5AD6EF6A" w14:textId="77777777" w:rsidR="000638E4" w:rsidRPr="004422E4" w:rsidRDefault="000638E4" w:rsidP="008D0FE4">
            <w:pPr>
              <w:pStyle w:val="Tabletext"/>
              <w:keepNext/>
            </w:pPr>
            <w:r w:rsidRPr="004422E4">
              <w:t xml:space="preserve">TRAEs </w:t>
            </w:r>
          </w:p>
        </w:tc>
        <w:tc>
          <w:tcPr>
            <w:tcW w:w="835" w:type="pct"/>
            <w:shd w:val="clear" w:color="auto" w:fill="auto"/>
          </w:tcPr>
          <w:p w14:paraId="02AB95B8" w14:textId="77777777" w:rsidR="000638E4" w:rsidRPr="004422E4" w:rsidRDefault="000638E4" w:rsidP="008D0FE4">
            <w:pPr>
              <w:pStyle w:val="Tabletext"/>
              <w:keepNext/>
            </w:pPr>
            <w:r w:rsidRPr="004422E4">
              <w:t>87 (22.2)</w:t>
            </w:r>
          </w:p>
        </w:tc>
        <w:tc>
          <w:tcPr>
            <w:tcW w:w="902" w:type="pct"/>
            <w:gridSpan w:val="2"/>
            <w:shd w:val="clear" w:color="auto" w:fill="auto"/>
          </w:tcPr>
          <w:p w14:paraId="0B9B7004" w14:textId="77777777" w:rsidR="000638E4" w:rsidRPr="004422E4" w:rsidRDefault="000638E4" w:rsidP="008D0FE4">
            <w:pPr>
              <w:pStyle w:val="Tabletext"/>
              <w:keepNext/>
            </w:pPr>
            <w:r w:rsidRPr="004422E4">
              <w:t>100 (25.4)</w:t>
            </w:r>
          </w:p>
        </w:tc>
        <w:tc>
          <w:tcPr>
            <w:tcW w:w="864" w:type="pct"/>
            <w:shd w:val="clear" w:color="auto" w:fill="auto"/>
          </w:tcPr>
          <w:p w14:paraId="6524F776" w14:textId="77777777" w:rsidR="000638E4" w:rsidRPr="004422E4" w:rsidRDefault="000638E4" w:rsidP="008D0FE4">
            <w:pPr>
              <w:pStyle w:val="Tabletext"/>
              <w:keepNext/>
            </w:pPr>
            <w:r w:rsidRPr="004422E4">
              <w:t>11 (21.2)</w:t>
            </w:r>
          </w:p>
        </w:tc>
        <w:tc>
          <w:tcPr>
            <w:tcW w:w="897" w:type="pct"/>
            <w:shd w:val="clear" w:color="auto" w:fill="auto"/>
          </w:tcPr>
          <w:p w14:paraId="56364891" w14:textId="77777777" w:rsidR="000638E4" w:rsidRPr="004422E4" w:rsidRDefault="000638E4" w:rsidP="008D0FE4">
            <w:pPr>
              <w:pStyle w:val="Tabletext"/>
              <w:keepNext/>
            </w:pPr>
            <w:r w:rsidRPr="004422E4">
              <w:t>11 (22.0)</w:t>
            </w:r>
          </w:p>
        </w:tc>
      </w:tr>
      <w:tr w:rsidR="000638E4" w:rsidRPr="004422E4" w14:paraId="377E4F44" w14:textId="77777777" w:rsidTr="008D0FE4">
        <w:trPr>
          <w:cantSplit/>
          <w:trHeight w:val="20"/>
        </w:trPr>
        <w:tc>
          <w:tcPr>
            <w:tcW w:w="1502" w:type="pct"/>
            <w:shd w:val="clear" w:color="auto" w:fill="auto"/>
          </w:tcPr>
          <w:p w14:paraId="158E58B2" w14:textId="77777777" w:rsidR="000638E4" w:rsidRPr="004422E4" w:rsidRDefault="000638E4" w:rsidP="008D0FE4">
            <w:pPr>
              <w:pStyle w:val="Tabletext"/>
              <w:keepNext/>
            </w:pPr>
            <w:r w:rsidRPr="004422E4">
              <w:t>Grade ≥3 TRAEs</w:t>
            </w:r>
          </w:p>
        </w:tc>
        <w:tc>
          <w:tcPr>
            <w:tcW w:w="835" w:type="pct"/>
            <w:shd w:val="clear" w:color="auto" w:fill="auto"/>
          </w:tcPr>
          <w:p w14:paraId="10ED61BC" w14:textId="77777777" w:rsidR="000638E4" w:rsidRPr="004422E4" w:rsidRDefault="000638E4" w:rsidP="008D0FE4">
            <w:pPr>
              <w:pStyle w:val="Tabletext"/>
              <w:keepNext/>
            </w:pPr>
            <w:r w:rsidRPr="004422E4">
              <w:t>10 (2.6)</w:t>
            </w:r>
          </w:p>
        </w:tc>
        <w:tc>
          <w:tcPr>
            <w:tcW w:w="902" w:type="pct"/>
            <w:gridSpan w:val="2"/>
            <w:shd w:val="clear" w:color="auto" w:fill="auto"/>
          </w:tcPr>
          <w:p w14:paraId="7DCB1E31" w14:textId="77777777" w:rsidR="000638E4" w:rsidRPr="004422E4" w:rsidRDefault="000638E4" w:rsidP="008D0FE4">
            <w:pPr>
              <w:pStyle w:val="Tabletext"/>
              <w:keepNext/>
            </w:pPr>
            <w:r w:rsidRPr="004422E4">
              <w:t>12 (3.1)</w:t>
            </w:r>
          </w:p>
        </w:tc>
        <w:tc>
          <w:tcPr>
            <w:tcW w:w="864" w:type="pct"/>
            <w:shd w:val="clear" w:color="auto" w:fill="auto"/>
          </w:tcPr>
          <w:p w14:paraId="74524724" w14:textId="77777777" w:rsidR="000638E4" w:rsidRPr="004422E4" w:rsidRDefault="000638E4" w:rsidP="008D0FE4">
            <w:pPr>
              <w:pStyle w:val="Tabletext"/>
              <w:keepNext/>
            </w:pPr>
            <w:r w:rsidRPr="004422E4">
              <w:t>5 (9.6)</w:t>
            </w:r>
          </w:p>
        </w:tc>
        <w:tc>
          <w:tcPr>
            <w:tcW w:w="897" w:type="pct"/>
            <w:shd w:val="clear" w:color="auto" w:fill="auto"/>
          </w:tcPr>
          <w:p w14:paraId="13802E56" w14:textId="77777777" w:rsidR="000638E4" w:rsidRPr="004422E4" w:rsidRDefault="000638E4" w:rsidP="008D0FE4">
            <w:pPr>
              <w:pStyle w:val="Tabletext"/>
              <w:keepNext/>
            </w:pPr>
            <w:r w:rsidRPr="004422E4">
              <w:t>0 (0.0)</w:t>
            </w:r>
          </w:p>
        </w:tc>
      </w:tr>
      <w:tr w:rsidR="000638E4" w:rsidRPr="004422E4" w14:paraId="09D78B78" w14:textId="77777777" w:rsidTr="008D0FE4">
        <w:trPr>
          <w:cantSplit/>
          <w:trHeight w:val="20"/>
        </w:trPr>
        <w:tc>
          <w:tcPr>
            <w:tcW w:w="1502" w:type="pct"/>
            <w:shd w:val="clear" w:color="auto" w:fill="auto"/>
          </w:tcPr>
          <w:p w14:paraId="03B3BC1F" w14:textId="77777777" w:rsidR="000638E4" w:rsidRPr="004422E4" w:rsidRDefault="000638E4" w:rsidP="008D0FE4">
            <w:pPr>
              <w:pStyle w:val="Tabletext"/>
              <w:keepNext/>
            </w:pPr>
            <w:r w:rsidRPr="004422E4">
              <w:t>Serious AEs</w:t>
            </w:r>
          </w:p>
        </w:tc>
        <w:tc>
          <w:tcPr>
            <w:tcW w:w="835" w:type="pct"/>
            <w:shd w:val="clear" w:color="auto" w:fill="auto"/>
          </w:tcPr>
          <w:p w14:paraId="2144B1A1" w14:textId="77777777" w:rsidR="000638E4" w:rsidRPr="004422E4" w:rsidRDefault="000638E4" w:rsidP="008D0FE4">
            <w:pPr>
              <w:pStyle w:val="Tabletext"/>
              <w:keepNext/>
            </w:pPr>
            <w:r w:rsidRPr="004422E4">
              <w:t>46 (11.7)</w:t>
            </w:r>
          </w:p>
        </w:tc>
        <w:tc>
          <w:tcPr>
            <w:tcW w:w="902" w:type="pct"/>
            <w:gridSpan w:val="2"/>
            <w:shd w:val="clear" w:color="auto" w:fill="auto"/>
          </w:tcPr>
          <w:p w14:paraId="635F2216" w14:textId="77777777" w:rsidR="000638E4" w:rsidRPr="004422E4" w:rsidRDefault="000638E4" w:rsidP="008D0FE4">
            <w:pPr>
              <w:pStyle w:val="Tabletext"/>
              <w:keepNext/>
            </w:pPr>
            <w:r w:rsidRPr="004422E4">
              <w:t>37 (9.4)</w:t>
            </w:r>
          </w:p>
        </w:tc>
        <w:tc>
          <w:tcPr>
            <w:tcW w:w="864" w:type="pct"/>
            <w:shd w:val="clear" w:color="auto" w:fill="auto"/>
          </w:tcPr>
          <w:p w14:paraId="53AB9376" w14:textId="77777777" w:rsidR="000638E4" w:rsidRPr="004422E4" w:rsidRDefault="000638E4" w:rsidP="008D0FE4">
            <w:pPr>
              <w:pStyle w:val="Tabletext"/>
              <w:keepNext/>
            </w:pPr>
            <w:r w:rsidRPr="004422E4">
              <w:t>2 (3.8)</w:t>
            </w:r>
          </w:p>
        </w:tc>
        <w:tc>
          <w:tcPr>
            <w:tcW w:w="897" w:type="pct"/>
            <w:shd w:val="clear" w:color="auto" w:fill="auto"/>
          </w:tcPr>
          <w:p w14:paraId="7844FE2A" w14:textId="77777777" w:rsidR="000638E4" w:rsidRPr="004422E4" w:rsidRDefault="000638E4" w:rsidP="008D0FE4">
            <w:pPr>
              <w:pStyle w:val="Tabletext"/>
              <w:keepNext/>
            </w:pPr>
            <w:r w:rsidRPr="004422E4">
              <w:t>0 (0.0)</w:t>
            </w:r>
          </w:p>
        </w:tc>
      </w:tr>
      <w:tr w:rsidR="000638E4" w:rsidRPr="004422E4" w14:paraId="34485352" w14:textId="77777777" w:rsidTr="008D0FE4">
        <w:trPr>
          <w:cantSplit/>
          <w:trHeight w:val="20"/>
        </w:trPr>
        <w:tc>
          <w:tcPr>
            <w:tcW w:w="1502" w:type="pct"/>
            <w:shd w:val="clear" w:color="auto" w:fill="auto"/>
          </w:tcPr>
          <w:p w14:paraId="2D0E37F6" w14:textId="77777777" w:rsidR="000638E4" w:rsidRPr="004422E4" w:rsidRDefault="000638E4" w:rsidP="008D0FE4">
            <w:pPr>
              <w:pStyle w:val="Tabletext"/>
              <w:keepNext/>
            </w:pPr>
            <w:r w:rsidRPr="004422E4">
              <w:t>Serious TRAEs</w:t>
            </w:r>
          </w:p>
        </w:tc>
        <w:tc>
          <w:tcPr>
            <w:tcW w:w="835" w:type="pct"/>
            <w:shd w:val="clear" w:color="auto" w:fill="auto"/>
          </w:tcPr>
          <w:p w14:paraId="1585A925" w14:textId="77777777" w:rsidR="000638E4" w:rsidRPr="004422E4" w:rsidRDefault="000638E4" w:rsidP="008D0FE4">
            <w:pPr>
              <w:pStyle w:val="Tabletext"/>
              <w:keepNext/>
            </w:pPr>
            <w:r w:rsidRPr="004422E4">
              <w:t>0 (0.0)</w:t>
            </w:r>
          </w:p>
        </w:tc>
        <w:tc>
          <w:tcPr>
            <w:tcW w:w="902" w:type="pct"/>
            <w:gridSpan w:val="2"/>
            <w:shd w:val="clear" w:color="auto" w:fill="auto"/>
          </w:tcPr>
          <w:p w14:paraId="43B69C93" w14:textId="77777777" w:rsidR="000638E4" w:rsidRPr="004422E4" w:rsidRDefault="000638E4" w:rsidP="008D0FE4">
            <w:pPr>
              <w:pStyle w:val="Tabletext"/>
              <w:keepNext/>
            </w:pPr>
            <w:r w:rsidRPr="004422E4">
              <w:t>2 (0.5)</w:t>
            </w:r>
          </w:p>
        </w:tc>
        <w:tc>
          <w:tcPr>
            <w:tcW w:w="864" w:type="pct"/>
            <w:shd w:val="clear" w:color="auto" w:fill="auto"/>
          </w:tcPr>
          <w:p w14:paraId="4FA18CB7" w14:textId="77777777" w:rsidR="000638E4" w:rsidRPr="004422E4" w:rsidRDefault="000638E4" w:rsidP="008D0FE4">
            <w:pPr>
              <w:pStyle w:val="Tabletext"/>
              <w:keepNext/>
            </w:pPr>
            <w:r w:rsidRPr="004422E4">
              <w:t>1 (1.9)</w:t>
            </w:r>
          </w:p>
        </w:tc>
        <w:tc>
          <w:tcPr>
            <w:tcW w:w="897" w:type="pct"/>
            <w:shd w:val="clear" w:color="auto" w:fill="auto"/>
          </w:tcPr>
          <w:p w14:paraId="03A0361B" w14:textId="77777777" w:rsidR="000638E4" w:rsidRPr="004422E4" w:rsidRDefault="000638E4" w:rsidP="008D0FE4">
            <w:pPr>
              <w:pStyle w:val="Tabletext"/>
              <w:keepNext/>
            </w:pPr>
            <w:r w:rsidRPr="004422E4">
              <w:t>0 (0.0)</w:t>
            </w:r>
          </w:p>
        </w:tc>
      </w:tr>
      <w:tr w:rsidR="000638E4" w:rsidRPr="004422E4" w14:paraId="43DA5F93" w14:textId="77777777" w:rsidTr="008D0FE4">
        <w:trPr>
          <w:cantSplit/>
          <w:trHeight w:val="20"/>
        </w:trPr>
        <w:tc>
          <w:tcPr>
            <w:tcW w:w="1502" w:type="pct"/>
            <w:shd w:val="clear" w:color="auto" w:fill="auto"/>
          </w:tcPr>
          <w:p w14:paraId="55B13C64" w14:textId="77777777" w:rsidR="000638E4" w:rsidRPr="004422E4" w:rsidRDefault="000638E4" w:rsidP="008D0FE4">
            <w:pPr>
              <w:pStyle w:val="Tabletext"/>
              <w:keepNext/>
            </w:pPr>
            <w:r w:rsidRPr="004422E4">
              <w:t>AEs leading to discontinuation</w:t>
            </w:r>
          </w:p>
        </w:tc>
        <w:tc>
          <w:tcPr>
            <w:tcW w:w="835" w:type="pct"/>
            <w:shd w:val="clear" w:color="auto" w:fill="auto"/>
          </w:tcPr>
          <w:p w14:paraId="0B66ACBC" w14:textId="77777777" w:rsidR="000638E4" w:rsidRPr="004422E4" w:rsidRDefault="000638E4" w:rsidP="008D0FE4">
            <w:pPr>
              <w:pStyle w:val="Tabletext"/>
              <w:keepNext/>
            </w:pPr>
            <w:r w:rsidRPr="004422E4">
              <w:t>0 (0.0)</w:t>
            </w:r>
          </w:p>
        </w:tc>
        <w:tc>
          <w:tcPr>
            <w:tcW w:w="902" w:type="pct"/>
            <w:gridSpan w:val="2"/>
            <w:shd w:val="clear" w:color="auto" w:fill="auto"/>
          </w:tcPr>
          <w:p w14:paraId="7CFD6B0E" w14:textId="77777777" w:rsidR="000638E4" w:rsidRPr="004422E4" w:rsidRDefault="000638E4" w:rsidP="008D0FE4">
            <w:pPr>
              <w:pStyle w:val="Tabletext"/>
              <w:keepNext/>
            </w:pPr>
            <w:r w:rsidRPr="004422E4">
              <w:t>3 (0.8)</w:t>
            </w:r>
          </w:p>
        </w:tc>
        <w:tc>
          <w:tcPr>
            <w:tcW w:w="864" w:type="pct"/>
            <w:shd w:val="clear" w:color="auto" w:fill="auto"/>
          </w:tcPr>
          <w:p w14:paraId="2100F239" w14:textId="77777777" w:rsidR="000638E4" w:rsidRPr="004422E4" w:rsidRDefault="000638E4" w:rsidP="008D0FE4">
            <w:pPr>
              <w:pStyle w:val="Tabletext"/>
              <w:keepNext/>
            </w:pPr>
            <w:r w:rsidRPr="004422E4">
              <w:t>0 (0.0)</w:t>
            </w:r>
          </w:p>
        </w:tc>
        <w:tc>
          <w:tcPr>
            <w:tcW w:w="897" w:type="pct"/>
            <w:shd w:val="clear" w:color="auto" w:fill="auto"/>
          </w:tcPr>
          <w:p w14:paraId="3C592B2E" w14:textId="77777777" w:rsidR="000638E4" w:rsidRPr="004422E4" w:rsidRDefault="000638E4" w:rsidP="008D0FE4">
            <w:pPr>
              <w:pStyle w:val="Tabletext"/>
              <w:keepNext/>
            </w:pPr>
            <w:r w:rsidRPr="004422E4">
              <w:t>1 (2.0)</w:t>
            </w:r>
          </w:p>
        </w:tc>
      </w:tr>
      <w:tr w:rsidR="000638E4" w:rsidRPr="004422E4" w14:paraId="2D0C777C" w14:textId="77777777" w:rsidTr="008D0FE4">
        <w:trPr>
          <w:cantSplit/>
          <w:trHeight w:val="20"/>
        </w:trPr>
        <w:tc>
          <w:tcPr>
            <w:tcW w:w="1502" w:type="pct"/>
            <w:shd w:val="clear" w:color="auto" w:fill="auto"/>
          </w:tcPr>
          <w:p w14:paraId="2B915867" w14:textId="77777777" w:rsidR="000638E4" w:rsidRPr="004422E4" w:rsidRDefault="000638E4" w:rsidP="008D0FE4">
            <w:pPr>
              <w:pStyle w:val="Tabletext"/>
              <w:keepNext/>
            </w:pPr>
            <w:r w:rsidRPr="004422E4">
              <w:t>AEs leading to death</w:t>
            </w:r>
          </w:p>
        </w:tc>
        <w:tc>
          <w:tcPr>
            <w:tcW w:w="835" w:type="pct"/>
            <w:shd w:val="clear" w:color="auto" w:fill="auto"/>
          </w:tcPr>
          <w:p w14:paraId="01F944A2" w14:textId="77777777" w:rsidR="000638E4" w:rsidRPr="004422E4" w:rsidRDefault="000638E4" w:rsidP="008D0FE4">
            <w:pPr>
              <w:pStyle w:val="Tabletext"/>
              <w:keepNext/>
            </w:pPr>
            <w:r w:rsidRPr="004422E4">
              <w:t>0 (0.0)</w:t>
            </w:r>
          </w:p>
        </w:tc>
        <w:tc>
          <w:tcPr>
            <w:tcW w:w="902" w:type="pct"/>
            <w:gridSpan w:val="2"/>
            <w:shd w:val="clear" w:color="auto" w:fill="auto"/>
          </w:tcPr>
          <w:p w14:paraId="52CAACD4" w14:textId="77777777" w:rsidR="000638E4" w:rsidRPr="004422E4" w:rsidRDefault="000638E4" w:rsidP="008D0FE4">
            <w:pPr>
              <w:pStyle w:val="Tabletext"/>
              <w:keepNext/>
            </w:pPr>
            <w:r w:rsidRPr="004422E4">
              <w:t>0 (0.0)</w:t>
            </w:r>
          </w:p>
        </w:tc>
        <w:tc>
          <w:tcPr>
            <w:tcW w:w="864" w:type="pct"/>
            <w:shd w:val="clear" w:color="auto" w:fill="auto"/>
          </w:tcPr>
          <w:p w14:paraId="445520C7" w14:textId="77777777" w:rsidR="000638E4" w:rsidRPr="004422E4" w:rsidRDefault="000638E4" w:rsidP="008D0FE4">
            <w:pPr>
              <w:pStyle w:val="Tabletext"/>
              <w:keepNext/>
            </w:pPr>
            <w:r w:rsidRPr="004422E4">
              <w:t>0 (0.0)</w:t>
            </w:r>
          </w:p>
        </w:tc>
        <w:tc>
          <w:tcPr>
            <w:tcW w:w="897" w:type="pct"/>
            <w:shd w:val="clear" w:color="auto" w:fill="auto"/>
          </w:tcPr>
          <w:p w14:paraId="10D74205" w14:textId="77777777" w:rsidR="000638E4" w:rsidRPr="004422E4" w:rsidRDefault="000638E4" w:rsidP="008D0FE4">
            <w:pPr>
              <w:pStyle w:val="Tabletext"/>
              <w:keepNext/>
            </w:pPr>
            <w:r w:rsidRPr="004422E4">
              <w:t>0 (0.0)</w:t>
            </w:r>
          </w:p>
        </w:tc>
      </w:tr>
      <w:tr w:rsidR="000638E4" w:rsidRPr="004422E4" w14:paraId="19D3B994" w14:textId="77777777" w:rsidTr="008D0FE4">
        <w:trPr>
          <w:cantSplit/>
          <w:trHeight w:val="20"/>
        </w:trPr>
        <w:tc>
          <w:tcPr>
            <w:tcW w:w="1502" w:type="pct"/>
            <w:shd w:val="clear" w:color="auto" w:fill="auto"/>
          </w:tcPr>
          <w:p w14:paraId="52509654" w14:textId="77777777" w:rsidR="000638E4" w:rsidRPr="004422E4" w:rsidRDefault="000638E4" w:rsidP="008D0FE4">
            <w:pPr>
              <w:pStyle w:val="Tabletext"/>
              <w:keepNext/>
            </w:pPr>
            <w:r w:rsidRPr="004422E4">
              <w:t>TRAEs leading to discontinuation</w:t>
            </w:r>
          </w:p>
        </w:tc>
        <w:tc>
          <w:tcPr>
            <w:tcW w:w="835" w:type="pct"/>
            <w:shd w:val="clear" w:color="auto" w:fill="auto"/>
          </w:tcPr>
          <w:p w14:paraId="78A3FCE3" w14:textId="77777777" w:rsidR="000638E4" w:rsidRPr="004422E4" w:rsidRDefault="000638E4" w:rsidP="008D0FE4">
            <w:pPr>
              <w:pStyle w:val="Tabletext"/>
              <w:keepNext/>
            </w:pPr>
            <w:r w:rsidRPr="004422E4">
              <w:t>0 (0.0)</w:t>
            </w:r>
          </w:p>
        </w:tc>
        <w:tc>
          <w:tcPr>
            <w:tcW w:w="902" w:type="pct"/>
            <w:gridSpan w:val="2"/>
            <w:shd w:val="clear" w:color="auto" w:fill="auto"/>
          </w:tcPr>
          <w:p w14:paraId="462991A4" w14:textId="77777777" w:rsidR="000638E4" w:rsidRPr="004422E4" w:rsidRDefault="000638E4" w:rsidP="008D0FE4">
            <w:pPr>
              <w:pStyle w:val="Tabletext"/>
              <w:keepNext/>
            </w:pPr>
            <w:r w:rsidRPr="004422E4">
              <w:t>0 (0.0)</w:t>
            </w:r>
          </w:p>
        </w:tc>
        <w:tc>
          <w:tcPr>
            <w:tcW w:w="864" w:type="pct"/>
            <w:shd w:val="clear" w:color="auto" w:fill="auto"/>
          </w:tcPr>
          <w:p w14:paraId="43C5201D" w14:textId="77777777" w:rsidR="000638E4" w:rsidRPr="004422E4" w:rsidRDefault="000638E4" w:rsidP="008D0FE4">
            <w:pPr>
              <w:pStyle w:val="Tabletext"/>
              <w:keepNext/>
            </w:pPr>
            <w:r w:rsidRPr="004422E4">
              <w:t>0 (0.0)</w:t>
            </w:r>
          </w:p>
        </w:tc>
        <w:tc>
          <w:tcPr>
            <w:tcW w:w="897" w:type="pct"/>
            <w:shd w:val="clear" w:color="auto" w:fill="auto"/>
          </w:tcPr>
          <w:p w14:paraId="7C6DC2B6" w14:textId="77777777" w:rsidR="000638E4" w:rsidRPr="004422E4" w:rsidRDefault="000638E4" w:rsidP="008D0FE4">
            <w:pPr>
              <w:pStyle w:val="Tabletext"/>
              <w:keepNext/>
            </w:pPr>
            <w:r w:rsidRPr="004422E4">
              <w:t>1 (2.0)</w:t>
            </w:r>
          </w:p>
        </w:tc>
      </w:tr>
      <w:tr w:rsidR="000638E4" w:rsidRPr="004422E4" w14:paraId="03782556" w14:textId="77777777" w:rsidTr="008D0FE4">
        <w:trPr>
          <w:cantSplit/>
          <w:trHeight w:val="20"/>
        </w:trPr>
        <w:tc>
          <w:tcPr>
            <w:tcW w:w="1502" w:type="pct"/>
            <w:shd w:val="clear" w:color="auto" w:fill="auto"/>
          </w:tcPr>
          <w:p w14:paraId="6A83272C" w14:textId="77777777" w:rsidR="000638E4" w:rsidRPr="004422E4" w:rsidRDefault="000638E4" w:rsidP="008D0FE4">
            <w:pPr>
              <w:pStyle w:val="Tabletext"/>
              <w:keepNext/>
            </w:pPr>
            <w:r w:rsidRPr="004422E4">
              <w:t>TRAE leading to death</w:t>
            </w:r>
          </w:p>
        </w:tc>
        <w:tc>
          <w:tcPr>
            <w:tcW w:w="835" w:type="pct"/>
            <w:shd w:val="clear" w:color="auto" w:fill="auto"/>
          </w:tcPr>
          <w:p w14:paraId="4482BCF8" w14:textId="77777777" w:rsidR="000638E4" w:rsidRPr="004422E4" w:rsidRDefault="000638E4" w:rsidP="008D0FE4">
            <w:pPr>
              <w:pStyle w:val="Tabletext"/>
              <w:keepNext/>
            </w:pPr>
            <w:r w:rsidRPr="004422E4">
              <w:t>0 (0.0)</w:t>
            </w:r>
          </w:p>
        </w:tc>
        <w:tc>
          <w:tcPr>
            <w:tcW w:w="902" w:type="pct"/>
            <w:gridSpan w:val="2"/>
            <w:shd w:val="clear" w:color="auto" w:fill="auto"/>
          </w:tcPr>
          <w:p w14:paraId="669844D7" w14:textId="77777777" w:rsidR="000638E4" w:rsidRPr="004422E4" w:rsidRDefault="000638E4" w:rsidP="008D0FE4">
            <w:pPr>
              <w:pStyle w:val="Tabletext"/>
              <w:keepNext/>
            </w:pPr>
            <w:r w:rsidRPr="004422E4">
              <w:t>0 (0.0)</w:t>
            </w:r>
          </w:p>
        </w:tc>
        <w:tc>
          <w:tcPr>
            <w:tcW w:w="864" w:type="pct"/>
            <w:shd w:val="clear" w:color="auto" w:fill="auto"/>
          </w:tcPr>
          <w:p w14:paraId="7A95E8A2" w14:textId="77777777" w:rsidR="000638E4" w:rsidRPr="004422E4" w:rsidRDefault="000638E4" w:rsidP="008D0FE4">
            <w:pPr>
              <w:pStyle w:val="Tabletext"/>
              <w:keepNext/>
            </w:pPr>
            <w:r w:rsidRPr="004422E4">
              <w:t>0 (0.0)</w:t>
            </w:r>
          </w:p>
        </w:tc>
        <w:tc>
          <w:tcPr>
            <w:tcW w:w="897" w:type="pct"/>
            <w:shd w:val="clear" w:color="auto" w:fill="auto"/>
          </w:tcPr>
          <w:p w14:paraId="640A8AB5" w14:textId="77777777" w:rsidR="000638E4" w:rsidRPr="004422E4" w:rsidRDefault="000638E4" w:rsidP="008D0FE4">
            <w:pPr>
              <w:pStyle w:val="Tabletext"/>
              <w:keepNext/>
            </w:pPr>
            <w:r w:rsidRPr="004422E4">
              <w:t>0 (0.0)</w:t>
            </w:r>
          </w:p>
        </w:tc>
      </w:tr>
    </w:tbl>
    <w:p w14:paraId="333D1714" w14:textId="77777777" w:rsidR="000638E4" w:rsidRPr="004422E4" w:rsidRDefault="000638E4" w:rsidP="000638E4">
      <w:pPr>
        <w:pStyle w:val="TableFooter"/>
      </w:pPr>
      <w:r w:rsidRPr="004422E4">
        <w:t>Source: Modified from Table 2-16, pp72-73 of the submission</w:t>
      </w:r>
    </w:p>
    <w:p w14:paraId="49AB3501" w14:textId="77777777" w:rsidR="000638E4" w:rsidRDefault="000638E4" w:rsidP="000638E4">
      <w:pPr>
        <w:pStyle w:val="TableFooter"/>
      </w:pPr>
      <w:r w:rsidRPr="004422E4">
        <w:t xml:space="preserve">AE=adverse event; FosAPR=fosaprepitant; FosNTP=fosnetupitant; </w:t>
      </w:r>
      <w:r>
        <w:t>IV=intravenous; PALO=palonosetron;</w:t>
      </w:r>
      <w:r w:rsidRPr="004422E4">
        <w:t xml:space="preserve"> TRAE=treatment-related AE</w:t>
      </w:r>
      <w:r>
        <w:t>.</w:t>
      </w:r>
    </w:p>
    <w:p w14:paraId="7F41F635" w14:textId="756724D0" w:rsidR="000638E4" w:rsidRDefault="00530DEE" w:rsidP="000638E4">
      <w:pPr>
        <w:pStyle w:val="TableFooter"/>
      </w:pPr>
      <w:r>
        <w:rPr>
          <w:vertAlign w:val="superscript"/>
        </w:rPr>
        <w:t>a</w:t>
      </w:r>
      <w:r w:rsidR="009D322D">
        <w:rPr>
          <w:vertAlign w:val="superscript"/>
        </w:rPr>
        <w:t xml:space="preserve"> </w:t>
      </w:r>
      <w:r w:rsidR="000638E4" w:rsidRPr="004422E4">
        <w:t>For CONSOLE, n values were derived from percentages of reported AEs and TRAEs</w:t>
      </w:r>
    </w:p>
    <w:p w14:paraId="2A19E907" w14:textId="75A3A486" w:rsidR="005D26B4" w:rsidRDefault="005D26B4" w:rsidP="000638E4"/>
    <w:p w14:paraId="21EBB1E0" w14:textId="5FA1D449" w:rsidR="000638E4" w:rsidRPr="0002340D" w:rsidRDefault="000638E4" w:rsidP="000638E4">
      <w:pPr>
        <w:pStyle w:val="3-BodyText"/>
        <w:rPr>
          <w:iCs/>
        </w:rPr>
      </w:pPr>
      <w:r w:rsidRPr="0002340D">
        <w:rPr>
          <w:iCs/>
        </w:rPr>
        <w:t xml:space="preserve">The incidence of Grade ≥3 AEs was higher in the </w:t>
      </w:r>
      <w:r w:rsidR="00F160FA" w:rsidRPr="0002340D">
        <w:rPr>
          <w:iCs/>
        </w:rPr>
        <w:t>FosNTP</w:t>
      </w:r>
      <w:r w:rsidRPr="0002340D">
        <w:rPr>
          <w:iCs/>
        </w:rPr>
        <w:t xml:space="preserve">+PALO IV treatment arm compared to the </w:t>
      </w:r>
      <w:r w:rsidR="00966F38" w:rsidRPr="0002340D">
        <w:rPr>
          <w:iCs/>
        </w:rPr>
        <w:t>FosAPR</w:t>
      </w:r>
      <w:r w:rsidRPr="0002340D">
        <w:rPr>
          <w:iCs/>
        </w:rPr>
        <w:t>+PALO IV treatment arm in both the CONSOLE (</w:t>
      </w:r>
      <w:r w:rsidR="00C2026C" w:rsidRPr="0002340D">
        <w:rPr>
          <w:iCs/>
        </w:rPr>
        <w:t>64.8</w:t>
      </w:r>
      <w:r w:rsidRPr="0002340D">
        <w:rPr>
          <w:iCs/>
        </w:rPr>
        <w:t xml:space="preserve">% vs. </w:t>
      </w:r>
      <w:r w:rsidR="00C2026C" w:rsidRPr="0002340D">
        <w:rPr>
          <w:iCs/>
        </w:rPr>
        <w:t>58.8</w:t>
      </w:r>
      <w:r w:rsidRPr="0002340D">
        <w:rPr>
          <w:iCs/>
        </w:rPr>
        <w:t>%) and CONSOLE-BC (</w:t>
      </w:r>
      <w:r w:rsidR="00C2026C" w:rsidRPr="0002340D">
        <w:rPr>
          <w:iCs/>
        </w:rPr>
        <w:t>82.7</w:t>
      </w:r>
      <w:r w:rsidRPr="0002340D">
        <w:rPr>
          <w:iCs/>
        </w:rPr>
        <w:t>% vs. 72</w:t>
      </w:r>
      <w:r w:rsidR="00C2026C" w:rsidRPr="0002340D">
        <w:rPr>
          <w:iCs/>
        </w:rPr>
        <w:t>.0</w:t>
      </w:r>
      <w:r w:rsidRPr="0002340D">
        <w:rPr>
          <w:iCs/>
        </w:rPr>
        <w:t xml:space="preserve">%) trials. The incidence of Grade ≥3 TRAEs was also higher with </w:t>
      </w:r>
      <w:r w:rsidR="00F160FA" w:rsidRPr="0002340D">
        <w:rPr>
          <w:iCs/>
        </w:rPr>
        <w:t>FosNTP</w:t>
      </w:r>
      <w:r w:rsidRPr="0002340D">
        <w:rPr>
          <w:iCs/>
        </w:rPr>
        <w:t xml:space="preserve">+PALO IV compared to </w:t>
      </w:r>
      <w:r w:rsidR="00966F38" w:rsidRPr="0002340D">
        <w:rPr>
          <w:iCs/>
        </w:rPr>
        <w:t>FosAPR</w:t>
      </w:r>
      <w:r w:rsidRPr="0002340D">
        <w:rPr>
          <w:iCs/>
        </w:rPr>
        <w:t>+PALO IV in CONSOLE-BC (</w:t>
      </w:r>
      <w:r w:rsidR="00C2026C" w:rsidRPr="0002340D">
        <w:rPr>
          <w:iCs/>
        </w:rPr>
        <w:t>9.6</w:t>
      </w:r>
      <w:r w:rsidRPr="0002340D">
        <w:rPr>
          <w:iCs/>
        </w:rPr>
        <w:t>% vs. 0</w:t>
      </w:r>
      <w:r w:rsidR="00C2026C" w:rsidRPr="0002340D">
        <w:rPr>
          <w:iCs/>
        </w:rPr>
        <w:t>.0</w:t>
      </w:r>
      <w:r w:rsidRPr="0002340D">
        <w:rPr>
          <w:iCs/>
        </w:rPr>
        <w:t xml:space="preserve">%), although similar between </w:t>
      </w:r>
      <w:r w:rsidR="00F5402B" w:rsidRPr="0002340D">
        <w:rPr>
          <w:iCs/>
        </w:rPr>
        <w:t xml:space="preserve">the </w:t>
      </w:r>
      <w:r w:rsidRPr="0002340D">
        <w:rPr>
          <w:iCs/>
        </w:rPr>
        <w:t>treatment arms in CONSOLE</w:t>
      </w:r>
      <w:r w:rsidR="00F5402B" w:rsidRPr="0002340D">
        <w:rPr>
          <w:iCs/>
        </w:rPr>
        <w:t>.</w:t>
      </w:r>
      <w:r w:rsidR="00884D75">
        <w:rPr>
          <w:i/>
        </w:rPr>
        <w:t xml:space="preserve"> </w:t>
      </w:r>
      <w:r w:rsidR="00884D75" w:rsidRPr="00A548DE">
        <w:rPr>
          <w:iCs/>
        </w:rPr>
        <w:t>The PSCR</w:t>
      </w:r>
      <w:r w:rsidR="00537FEB" w:rsidRPr="00A548DE">
        <w:rPr>
          <w:iCs/>
        </w:rPr>
        <w:t xml:space="preserve"> </w:t>
      </w:r>
      <w:r w:rsidR="00884D75" w:rsidRPr="00A548DE">
        <w:rPr>
          <w:iCs/>
        </w:rPr>
        <w:t>argue</w:t>
      </w:r>
      <w:r w:rsidR="006F7C6C" w:rsidRPr="00A548DE">
        <w:rPr>
          <w:iCs/>
        </w:rPr>
        <w:t>d</w:t>
      </w:r>
      <w:r w:rsidR="00884D75" w:rsidRPr="00A548DE">
        <w:rPr>
          <w:iCs/>
        </w:rPr>
        <w:t xml:space="preserve"> that Grade </w:t>
      </w:r>
      <w:r w:rsidR="000828B6" w:rsidRPr="00A548DE">
        <w:rPr>
          <w:iCs/>
        </w:rPr>
        <w:t>≥</w:t>
      </w:r>
      <w:r w:rsidR="00884D75" w:rsidRPr="00A548DE">
        <w:rPr>
          <w:iCs/>
        </w:rPr>
        <w:t>3 AEs and Grade</w:t>
      </w:r>
      <w:r w:rsidR="000828B6" w:rsidRPr="00A548DE">
        <w:rPr>
          <w:iCs/>
        </w:rPr>
        <w:t xml:space="preserve"> ≥3 </w:t>
      </w:r>
      <w:r w:rsidR="00884D75" w:rsidRPr="00A548DE">
        <w:rPr>
          <w:iCs/>
        </w:rPr>
        <w:t>TRAEs should not be compared as the clinical trial</w:t>
      </w:r>
      <w:r w:rsidR="000828B6" w:rsidRPr="00A548DE">
        <w:rPr>
          <w:iCs/>
        </w:rPr>
        <w:t>s</w:t>
      </w:r>
      <w:r w:rsidR="00884D75" w:rsidRPr="00A548DE">
        <w:rPr>
          <w:iCs/>
        </w:rPr>
        <w:t xml:space="preserve"> involved a single dose, and </w:t>
      </w:r>
      <w:r w:rsidR="000828B6" w:rsidRPr="00A548DE">
        <w:rPr>
          <w:iCs/>
        </w:rPr>
        <w:t xml:space="preserve">this </w:t>
      </w:r>
      <w:r w:rsidR="00884D75" w:rsidRPr="00A548DE">
        <w:rPr>
          <w:iCs/>
        </w:rPr>
        <w:t>does not reflect clinical practice where patients would receive ongoing doses, and therefore may have fears of subsequent AEs.</w:t>
      </w:r>
      <w:r w:rsidR="00424C78" w:rsidRPr="00A548DE">
        <w:rPr>
          <w:iCs/>
        </w:rPr>
        <w:t xml:space="preserve"> However, ESC noted that any severe AEs could impact on the fear of subsequent treatments and not just ISRs.</w:t>
      </w:r>
    </w:p>
    <w:p w14:paraId="215019E3" w14:textId="25CA78F0" w:rsidR="00F5402B" w:rsidRDefault="00F5402B" w:rsidP="000638E4">
      <w:pPr>
        <w:pStyle w:val="3-BodyText"/>
      </w:pPr>
      <w:r>
        <w:fldChar w:fldCharType="begin"/>
      </w:r>
      <w:r>
        <w:instrText xml:space="preserve"> REF _Ref122684354 \h </w:instrText>
      </w:r>
      <w:r>
        <w:fldChar w:fldCharType="separate"/>
      </w:r>
      <w:r w:rsidR="00775281">
        <w:t xml:space="preserve">Table </w:t>
      </w:r>
      <w:r w:rsidR="00775281">
        <w:rPr>
          <w:noProof/>
        </w:rPr>
        <w:t>10</w:t>
      </w:r>
      <w:r>
        <w:fldChar w:fldCharType="end"/>
      </w:r>
      <w:r>
        <w:t xml:space="preserve"> summarises the incidence of ISRs in the included trials.</w:t>
      </w:r>
    </w:p>
    <w:p w14:paraId="2A70CA2C" w14:textId="01B78976" w:rsidR="00F5402B" w:rsidRPr="008F0726" w:rsidRDefault="00F5402B" w:rsidP="00F5402B">
      <w:pPr>
        <w:pStyle w:val="Caption"/>
      </w:pPr>
      <w:bookmarkStart w:id="35" w:name="_Ref122684354"/>
      <w:r>
        <w:t xml:space="preserve">Table </w:t>
      </w:r>
      <w:fldSimple w:instr=" SEQ Table \* ARABIC ">
        <w:r w:rsidR="00775281">
          <w:rPr>
            <w:noProof/>
          </w:rPr>
          <w:t>10</w:t>
        </w:r>
      </w:fldSimple>
      <w:bookmarkEnd w:id="35"/>
      <w:r>
        <w:t>: AEs and TRAEs relevant to ISRs in CONSOLE and CONSOLE-BC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6" w:type="dxa"/>
          <w:right w:w="53" w:type="dxa"/>
        </w:tblCellMar>
        <w:tblLook w:val="04A0" w:firstRow="1" w:lastRow="0" w:firstColumn="1" w:lastColumn="0" w:noHBand="0" w:noVBand="1"/>
      </w:tblPr>
      <w:tblGrid>
        <w:gridCol w:w="2113"/>
        <w:gridCol w:w="1330"/>
        <w:gridCol w:w="1349"/>
        <w:gridCol w:w="787"/>
        <w:gridCol w:w="1330"/>
        <w:gridCol w:w="1349"/>
        <w:gridCol w:w="759"/>
      </w:tblGrid>
      <w:tr w:rsidR="00F5402B" w:rsidRPr="00786864" w14:paraId="461CDA5F" w14:textId="77777777" w:rsidTr="008D0FE4">
        <w:trPr>
          <w:cantSplit/>
          <w:trHeight w:val="442"/>
          <w:tblHeader/>
        </w:trPr>
        <w:tc>
          <w:tcPr>
            <w:tcW w:w="1172" w:type="pct"/>
            <w:vMerge w:val="restart"/>
            <w:shd w:val="clear" w:color="auto" w:fill="auto"/>
          </w:tcPr>
          <w:p w14:paraId="4408D52C" w14:textId="77777777" w:rsidR="00F5402B" w:rsidRPr="00786864" w:rsidRDefault="00F5402B" w:rsidP="002E2180">
            <w:pPr>
              <w:pStyle w:val="Tabletext"/>
              <w:keepNext/>
            </w:pPr>
          </w:p>
        </w:tc>
        <w:tc>
          <w:tcPr>
            <w:tcW w:w="1922" w:type="pct"/>
            <w:gridSpan w:val="3"/>
            <w:shd w:val="clear" w:color="auto" w:fill="auto"/>
          </w:tcPr>
          <w:p w14:paraId="21E6D500" w14:textId="77777777" w:rsidR="00F5402B" w:rsidRPr="00CE3226" w:rsidRDefault="00F5402B" w:rsidP="002E2180">
            <w:pPr>
              <w:pStyle w:val="Tabletext"/>
              <w:keepNext/>
              <w:rPr>
                <w:b/>
              </w:rPr>
            </w:pPr>
            <w:r w:rsidRPr="00CE3226">
              <w:rPr>
                <w:b/>
              </w:rPr>
              <w:t>CONSOLE (S cycle)</w:t>
            </w:r>
          </w:p>
        </w:tc>
        <w:tc>
          <w:tcPr>
            <w:tcW w:w="1906" w:type="pct"/>
            <w:gridSpan w:val="3"/>
            <w:shd w:val="clear" w:color="auto" w:fill="auto"/>
          </w:tcPr>
          <w:p w14:paraId="2F861693" w14:textId="77777777" w:rsidR="00F5402B" w:rsidRPr="00CE3226" w:rsidRDefault="00F5402B" w:rsidP="002E2180">
            <w:pPr>
              <w:pStyle w:val="Tabletext"/>
              <w:keepNext/>
              <w:rPr>
                <w:b/>
              </w:rPr>
            </w:pPr>
            <w:r w:rsidRPr="00CE3226">
              <w:rPr>
                <w:b/>
              </w:rPr>
              <w:t>CONSOLE-BC</w:t>
            </w:r>
          </w:p>
        </w:tc>
      </w:tr>
      <w:tr w:rsidR="00F5402B" w:rsidRPr="00786864" w14:paraId="42A18EFC" w14:textId="77777777" w:rsidTr="008D0FE4">
        <w:trPr>
          <w:cantSplit/>
          <w:trHeight w:val="548"/>
          <w:tblHeader/>
        </w:trPr>
        <w:tc>
          <w:tcPr>
            <w:tcW w:w="1172" w:type="pct"/>
            <w:vMerge/>
            <w:shd w:val="clear" w:color="auto" w:fill="auto"/>
          </w:tcPr>
          <w:p w14:paraId="5BF2479A" w14:textId="77777777" w:rsidR="00F5402B" w:rsidRPr="00786864" w:rsidRDefault="00F5402B" w:rsidP="002E2180">
            <w:pPr>
              <w:pStyle w:val="Tabletext"/>
              <w:keepNext/>
            </w:pPr>
          </w:p>
        </w:tc>
        <w:tc>
          <w:tcPr>
            <w:tcW w:w="737" w:type="pct"/>
            <w:shd w:val="clear" w:color="auto" w:fill="auto"/>
          </w:tcPr>
          <w:p w14:paraId="78B1B7A8" w14:textId="6594DF49" w:rsidR="00F5402B" w:rsidRPr="00CE3226" w:rsidRDefault="00F160FA" w:rsidP="002E2180">
            <w:pPr>
              <w:pStyle w:val="Tabletext"/>
              <w:keepNext/>
              <w:rPr>
                <w:b/>
              </w:rPr>
            </w:pPr>
            <w:r>
              <w:rPr>
                <w:b/>
              </w:rPr>
              <w:t>FosNTP</w:t>
            </w:r>
            <w:r w:rsidR="00F5402B" w:rsidRPr="00CE3226">
              <w:rPr>
                <w:b/>
              </w:rPr>
              <w:t>+PALO IV</w:t>
            </w:r>
          </w:p>
          <w:p w14:paraId="5D6624B8" w14:textId="77777777" w:rsidR="00F5402B" w:rsidRDefault="00F5402B" w:rsidP="002E2180">
            <w:pPr>
              <w:pStyle w:val="Tabletext"/>
              <w:keepNext/>
              <w:rPr>
                <w:b/>
              </w:rPr>
            </w:pPr>
            <w:r w:rsidRPr="00CE3226">
              <w:rPr>
                <w:b/>
              </w:rPr>
              <w:t>N=392</w:t>
            </w:r>
          </w:p>
          <w:p w14:paraId="54DFAAA1" w14:textId="4F3CFE81" w:rsidR="00C2026C" w:rsidRPr="00CE3226" w:rsidRDefault="00C2026C" w:rsidP="002E2180">
            <w:pPr>
              <w:pStyle w:val="Tabletext"/>
              <w:keepNext/>
              <w:rPr>
                <w:b/>
              </w:rPr>
            </w:pPr>
            <w:r>
              <w:rPr>
                <w:b/>
              </w:rPr>
              <w:t>n, (%)</w:t>
            </w:r>
          </w:p>
        </w:tc>
        <w:tc>
          <w:tcPr>
            <w:tcW w:w="748" w:type="pct"/>
            <w:shd w:val="clear" w:color="auto" w:fill="auto"/>
          </w:tcPr>
          <w:p w14:paraId="23A1D368" w14:textId="1B1FFB43" w:rsidR="00F5402B" w:rsidRPr="00CE3226" w:rsidRDefault="00966F38" w:rsidP="002E2180">
            <w:pPr>
              <w:pStyle w:val="Tabletext"/>
              <w:keepNext/>
              <w:rPr>
                <w:b/>
              </w:rPr>
            </w:pPr>
            <w:r>
              <w:rPr>
                <w:b/>
              </w:rPr>
              <w:t>FosAPR</w:t>
            </w:r>
            <w:r w:rsidR="00F5402B" w:rsidRPr="00CE3226">
              <w:rPr>
                <w:b/>
              </w:rPr>
              <w:t>+PALO IV</w:t>
            </w:r>
          </w:p>
          <w:p w14:paraId="260F4D1C" w14:textId="77777777" w:rsidR="00F5402B" w:rsidRDefault="00F5402B" w:rsidP="002E2180">
            <w:pPr>
              <w:pStyle w:val="Tabletext"/>
              <w:keepNext/>
              <w:rPr>
                <w:b/>
              </w:rPr>
            </w:pPr>
            <w:r w:rsidRPr="00CE3226">
              <w:rPr>
                <w:b/>
              </w:rPr>
              <w:t>N=393</w:t>
            </w:r>
          </w:p>
          <w:p w14:paraId="12380C5C" w14:textId="036D1CEB" w:rsidR="00C2026C" w:rsidRPr="00CE3226" w:rsidRDefault="00C2026C" w:rsidP="002E2180">
            <w:pPr>
              <w:pStyle w:val="Tabletext"/>
              <w:keepNext/>
              <w:rPr>
                <w:rFonts w:eastAsia="Arial Unicode MS"/>
                <w:b/>
              </w:rPr>
            </w:pPr>
            <w:r>
              <w:rPr>
                <w:b/>
              </w:rPr>
              <w:t>n, (%)</w:t>
            </w:r>
          </w:p>
        </w:tc>
        <w:tc>
          <w:tcPr>
            <w:tcW w:w="436" w:type="pct"/>
            <w:shd w:val="clear" w:color="auto" w:fill="auto"/>
          </w:tcPr>
          <w:p w14:paraId="0B3ED528" w14:textId="77777777" w:rsidR="00F5402B" w:rsidRPr="00CE3226" w:rsidRDefault="00F5402B" w:rsidP="002E2180">
            <w:pPr>
              <w:pStyle w:val="Tabletext"/>
              <w:keepNext/>
              <w:rPr>
                <w:b/>
              </w:rPr>
            </w:pPr>
            <w:r>
              <w:rPr>
                <w:b/>
              </w:rPr>
              <w:t>p-value</w:t>
            </w:r>
            <w:r w:rsidRPr="00CE3226">
              <w:rPr>
                <w:b/>
                <w:color w:val="403152" w:themeColor="accent4" w:themeShade="80"/>
                <w:vertAlign w:val="superscript"/>
              </w:rPr>
              <w:t>a</w:t>
            </w:r>
          </w:p>
        </w:tc>
        <w:tc>
          <w:tcPr>
            <w:tcW w:w="737" w:type="pct"/>
            <w:shd w:val="clear" w:color="auto" w:fill="auto"/>
          </w:tcPr>
          <w:p w14:paraId="048407B2" w14:textId="080CFF68" w:rsidR="00F5402B" w:rsidRPr="00CE3226" w:rsidRDefault="00F160FA" w:rsidP="002E2180">
            <w:pPr>
              <w:pStyle w:val="Tabletext"/>
              <w:keepNext/>
              <w:rPr>
                <w:b/>
              </w:rPr>
            </w:pPr>
            <w:r>
              <w:rPr>
                <w:b/>
              </w:rPr>
              <w:t>FosNTP</w:t>
            </w:r>
            <w:r w:rsidR="00F5402B" w:rsidRPr="00CE3226">
              <w:rPr>
                <w:b/>
              </w:rPr>
              <w:t>+PALO IV</w:t>
            </w:r>
          </w:p>
          <w:p w14:paraId="362A96DE" w14:textId="77777777" w:rsidR="00F5402B" w:rsidRDefault="00F5402B" w:rsidP="002E2180">
            <w:pPr>
              <w:pStyle w:val="Tabletext"/>
              <w:keepNext/>
              <w:rPr>
                <w:b/>
              </w:rPr>
            </w:pPr>
            <w:r w:rsidRPr="00CE3226">
              <w:rPr>
                <w:b/>
              </w:rPr>
              <w:t>N=52</w:t>
            </w:r>
          </w:p>
          <w:p w14:paraId="5827F8ED" w14:textId="343DF328" w:rsidR="00C2026C" w:rsidRPr="00CE3226" w:rsidRDefault="00C2026C" w:rsidP="002E2180">
            <w:pPr>
              <w:pStyle w:val="Tabletext"/>
              <w:keepNext/>
              <w:rPr>
                <w:b/>
              </w:rPr>
            </w:pPr>
            <w:r>
              <w:rPr>
                <w:b/>
              </w:rPr>
              <w:t>n, (%)</w:t>
            </w:r>
          </w:p>
        </w:tc>
        <w:tc>
          <w:tcPr>
            <w:tcW w:w="748" w:type="pct"/>
            <w:shd w:val="clear" w:color="auto" w:fill="auto"/>
          </w:tcPr>
          <w:p w14:paraId="10857DF5" w14:textId="01383078" w:rsidR="00F5402B" w:rsidRPr="00CE3226" w:rsidRDefault="00966F38" w:rsidP="002E2180">
            <w:pPr>
              <w:pStyle w:val="Tabletext"/>
              <w:keepNext/>
              <w:rPr>
                <w:b/>
              </w:rPr>
            </w:pPr>
            <w:r>
              <w:rPr>
                <w:b/>
              </w:rPr>
              <w:t>FosAPR</w:t>
            </w:r>
            <w:r w:rsidR="00F5402B" w:rsidRPr="00CE3226">
              <w:rPr>
                <w:b/>
              </w:rPr>
              <w:t>+PALO IV</w:t>
            </w:r>
          </w:p>
          <w:p w14:paraId="5670FCC6" w14:textId="77777777" w:rsidR="00F5402B" w:rsidRDefault="00F5402B" w:rsidP="002E2180">
            <w:pPr>
              <w:pStyle w:val="Tabletext"/>
              <w:keepNext/>
              <w:rPr>
                <w:b/>
              </w:rPr>
            </w:pPr>
            <w:r w:rsidRPr="00CE3226">
              <w:rPr>
                <w:b/>
              </w:rPr>
              <w:t>N=50</w:t>
            </w:r>
          </w:p>
          <w:p w14:paraId="6C3DDC05" w14:textId="346C7062" w:rsidR="00C2026C" w:rsidRPr="00CE3226" w:rsidRDefault="00C2026C" w:rsidP="002E2180">
            <w:pPr>
              <w:pStyle w:val="Tabletext"/>
              <w:keepNext/>
              <w:rPr>
                <w:b/>
              </w:rPr>
            </w:pPr>
            <w:r>
              <w:rPr>
                <w:b/>
              </w:rPr>
              <w:t>n, (%)</w:t>
            </w:r>
          </w:p>
        </w:tc>
        <w:tc>
          <w:tcPr>
            <w:tcW w:w="421" w:type="pct"/>
            <w:shd w:val="clear" w:color="auto" w:fill="auto"/>
          </w:tcPr>
          <w:p w14:paraId="1C2E989D" w14:textId="77777777" w:rsidR="00F5402B" w:rsidRPr="00CE3226" w:rsidRDefault="00F5402B" w:rsidP="002E2180">
            <w:pPr>
              <w:pStyle w:val="Tabletext"/>
              <w:keepNext/>
              <w:rPr>
                <w:b/>
              </w:rPr>
            </w:pPr>
            <w:r>
              <w:rPr>
                <w:b/>
              </w:rPr>
              <w:t>p-value</w:t>
            </w:r>
            <w:r w:rsidRPr="00CE3226">
              <w:rPr>
                <w:b/>
                <w:color w:val="403152" w:themeColor="accent4" w:themeShade="80"/>
                <w:vertAlign w:val="superscript"/>
              </w:rPr>
              <w:t>b</w:t>
            </w:r>
          </w:p>
        </w:tc>
      </w:tr>
      <w:tr w:rsidR="00F5402B" w:rsidRPr="00A35456" w14:paraId="64A26BFC" w14:textId="77777777" w:rsidTr="008D0FE4">
        <w:trPr>
          <w:cantSplit/>
          <w:trHeight w:val="20"/>
        </w:trPr>
        <w:tc>
          <w:tcPr>
            <w:tcW w:w="1172" w:type="pct"/>
            <w:shd w:val="clear" w:color="auto" w:fill="auto"/>
            <w:vAlign w:val="center"/>
          </w:tcPr>
          <w:p w14:paraId="4AF72C1E" w14:textId="77777777" w:rsidR="00F5402B" w:rsidRPr="00A35456" w:rsidRDefault="00F5402B" w:rsidP="002E2180">
            <w:pPr>
              <w:pStyle w:val="Tabletext"/>
              <w:keepNext/>
              <w:rPr>
                <w:rFonts w:eastAsia="Arial Unicode MS" w:cs="Arial Unicode MS"/>
                <w:b/>
              </w:rPr>
            </w:pPr>
            <w:r w:rsidRPr="00A35456">
              <w:rPr>
                <w:rFonts w:eastAsia="Arial Unicode MS" w:cs="Arial Unicode MS"/>
                <w:b/>
              </w:rPr>
              <w:t>AEs relevant to ISRs</w:t>
            </w:r>
          </w:p>
        </w:tc>
        <w:tc>
          <w:tcPr>
            <w:tcW w:w="737" w:type="pct"/>
            <w:shd w:val="clear" w:color="auto" w:fill="auto"/>
          </w:tcPr>
          <w:p w14:paraId="07645B2F" w14:textId="77777777" w:rsidR="00F5402B" w:rsidRPr="00A35456" w:rsidRDefault="00F5402B" w:rsidP="002E2180">
            <w:pPr>
              <w:pStyle w:val="Tabletext"/>
              <w:keepNext/>
              <w:rPr>
                <w:rFonts w:eastAsia="Arial Unicode MS" w:cs="Arial Unicode MS"/>
                <w:b/>
              </w:rPr>
            </w:pPr>
          </w:p>
        </w:tc>
        <w:tc>
          <w:tcPr>
            <w:tcW w:w="748" w:type="pct"/>
            <w:shd w:val="clear" w:color="auto" w:fill="auto"/>
          </w:tcPr>
          <w:p w14:paraId="300ADD36" w14:textId="77777777" w:rsidR="00F5402B" w:rsidRPr="00A35456" w:rsidRDefault="00F5402B" w:rsidP="002E2180">
            <w:pPr>
              <w:pStyle w:val="Tabletext"/>
              <w:keepNext/>
              <w:rPr>
                <w:b/>
                <w:bCs/>
              </w:rPr>
            </w:pPr>
          </w:p>
        </w:tc>
        <w:tc>
          <w:tcPr>
            <w:tcW w:w="436" w:type="pct"/>
            <w:shd w:val="clear" w:color="auto" w:fill="auto"/>
          </w:tcPr>
          <w:p w14:paraId="2BD530DE" w14:textId="77777777" w:rsidR="00F5402B" w:rsidRPr="00A35456" w:rsidRDefault="00F5402B" w:rsidP="002E2180">
            <w:pPr>
              <w:pStyle w:val="Tabletext"/>
              <w:keepNext/>
              <w:rPr>
                <w:b/>
                <w:bCs/>
              </w:rPr>
            </w:pPr>
          </w:p>
        </w:tc>
        <w:tc>
          <w:tcPr>
            <w:tcW w:w="737" w:type="pct"/>
            <w:shd w:val="clear" w:color="auto" w:fill="auto"/>
          </w:tcPr>
          <w:p w14:paraId="2CC07CBB" w14:textId="77777777" w:rsidR="00F5402B" w:rsidRPr="00A35456" w:rsidRDefault="00F5402B" w:rsidP="002E2180">
            <w:pPr>
              <w:pStyle w:val="Tabletext"/>
              <w:keepNext/>
              <w:rPr>
                <w:b/>
                <w:bCs/>
              </w:rPr>
            </w:pPr>
          </w:p>
        </w:tc>
        <w:tc>
          <w:tcPr>
            <w:tcW w:w="748" w:type="pct"/>
            <w:shd w:val="clear" w:color="auto" w:fill="auto"/>
          </w:tcPr>
          <w:p w14:paraId="6F7DE1BB" w14:textId="77777777" w:rsidR="00F5402B" w:rsidRPr="00A35456" w:rsidRDefault="00F5402B" w:rsidP="002E2180">
            <w:pPr>
              <w:pStyle w:val="Tabletext"/>
              <w:keepNext/>
              <w:rPr>
                <w:b/>
                <w:bCs/>
              </w:rPr>
            </w:pPr>
          </w:p>
        </w:tc>
        <w:tc>
          <w:tcPr>
            <w:tcW w:w="421" w:type="pct"/>
            <w:shd w:val="clear" w:color="auto" w:fill="auto"/>
          </w:tcPr>
          <w:p w14:paraId="4B49ADEE" w14:textId="77777777" w:rsidR="00F5402B" w:rsidRPr="00A35456" w:rsidRDefault="00F5402B" w:rsidP="002E2180">
            <w:pPr>
              <w:pStyle w:val="Tabletext"/>
              <w:keepNext/>
              <w:rPr>
                <w:b/>
                <w:bCs/>
              </w:rPr>
            </w:pPr>
          </w:p>
        </w:tc>
      </w:tr>
      <w:tr w:rsidR="00F5402B" w14:paraId="20C55A3A" w14:textId="77777777" w:rsidTr="008D0FE4">
        <w:trPr>
          <w:cantSplit/>
          <w:trHeight w:val="20"/>
        </w:trPr>
        <w:tc>
          <w:tcPr>
            <w:tcW w:w="1172" w:type="pct"/>
            <w:shd w:val="clear" w:color="auto" w:fill="auto"/>
            <w:vAlign w:val="center"/>
          </w:tcPr>
          <w:p w14:paraId="46158B4C" w14:textId="35EEA403" w:rsidR="00F5402B" w:rsidRPr="00F5402B" w:rsidRDefault="00F5402B" w:rsidP="00C2026C">
            <w:pPr>
              <w:pStyle w:val="Tabletext"/>
              <w:keepNext/>
              <w:rPr>
                <w:bCs/>
              </w:rPr>
            </w:pPr>
            <w:r w:rsidRPr="00F5402B">
              <w:rPr>
                <w:rFonts w:eastAsia="Arial Unicode MS" w:cs="Arial Unicode MS"/>
                <w:bCs/>
              </w:rPr>
              <w:t>Total ISR</w:t>
            </w:r>
          </w:p>
        </w:tc>
        <w:tc>
          <w:tcPr>
            <w:tcW w:w="737" w:type="pct"/>
            <w:shd w:val="clear" w:color="auto" w:fill="auto"/>
          </w:tcPr>
          <w:p w14:paraId="438DB9E7" w14:textId="77777777" w:rsidR="00F5402B" w:rsidRPr="00F5402B" w:rsidRDefault="00F5402B" w:rsidP="002E2180">
            <w:pPr>
              <w:pStyle w:val="Tabletext"/>
              <w:keepNext/>
              <w:rPr>
                <w:rFonts w:eastAsia="Arial Unicode MS" w:cs="Arial Unicode MS"/>
                <w:bCs/>
              </w:rPr>
            </w:pPr>
            <w:r w:rsidRPr="00F5402B">
              <w:rPr>
                <w:rFonts w:eastAsia="Arial Unicode MS" w:cs="Arial Unicode MS"/>
                <w:bCs/>
              </w:rPr>
              <w:t>43 (11.0)</w:t>
            </w:r>
          </w:p>
        </w:tc>
        <w:tc>
          <w:tcPr>
            <w:tcW w:w="748" w:type="pct"/>
            <w:shd w:val="clear" w:color="auto" w:fill="auto"/>
          </w:tcPr>
          <w:p w14:paraId="2F219DD9" w14:textId="77777777" w:rsidR="00F5402B" w:rsidRPr="00F5402B" w:rsidRDefault="00F5402B" w:rsidP="002E2180">
            <w:pPr>
              <w:pStyle w:val="Tabletext"/>
              <w:keepNext/>
              <w:rPr>
                <w:bCs/>
              </w:rPr>
            </w:pPr>
            <w:r w:rsidRPr="00F5402B">
              <w:rPr>
                <w:bCs/>
              </w:rPr>
              <w:t>81 (20.6)</w:t>
            </w:r>
          </w:p>
        </w:tc>
        <w:tc>
          <w:tcPr>
            <w:tcW w:w="436" w:type="pct"/>
            <w:shd w:val="clear" w:color="auto" w:fill="auto"/>
          </w:tcPr>
          <w:p w14:paraId="37B159E3" w14:textId="77777777" w:rsidR="00F5402B" w:rsidRPr="00F5402B" w:rsidRDefault="00F5402B" w:rsidP="002E2180">
            <w:pPr>
              <w:pStyle w:val="Tabletext"/>
              <w:keepNext/>
              <w:rPr>
                <w:bCs/>
              </w:rPr>
            </w:pPr>
            <w:r w:rsidRPr="00F5402B">
              <w:rPr>
                <w:bCs/>
              </w:rPr>
              <w:t>&lt;0.001</w:t>
            </w:r>
          </w:p>
        </w:tc>
        <w:tc>
          <w:tcPr>
            <w:tcW w:w="737" w:type="pct"/>
            <w:shd w:val="clear" w:color="auto" w:fill="auto"/>
          </w:tcPr>
          <w:p w14:paraId="29D21AF4" w14:textId="77777777" w:rsidR="00F5402B" w:rsidRPr="00F5402B" w:rsidRDefault="00F5402B" w:rsidP="002E2180">
            <w:pPr>
              <w:pStyle w:val="Tabletext"/>
              <w:keepNext/>
              <w:rPr>
                <w:bCs/>
              </w:rPr>
            </w:pPr>
            <w:r w:rsidRPr="00F5402B">
              <w:rPr>
                <w:bCs/>
              </w:rPr>
              <w:t>3 (5.8)</w:t>
            </w:r>
          </w:p>
        </w:tc>
        <w:tc>
          <w:tcPr>
            <w:tcW w:w="748" w:type="pct"/>
            <w:shd w:val="clear" w:color="auto" w:fill="auto"/>
          </w:tcPr>
          <w:p w14:paraId="7C60D309" w14:textId="77777777" w:rsidR="00F5402B" w:rsidRPr="00F5402B" w:rsidRDefault="00F5402B" w:rsidP="002E2180">
            <w:pPr>
              <w:pStyle w:val="Tabletext"/>
              <w:keepNext/>
              <w:rPr>
                <w:bCs/>
              </w:rPr>
            </w:pPr>
            <w:r w:rsidRPr="00F5402B">
              <w:rPr>
                <w:bCs/>
              </w:rPr>
              <w:t>13 (26.0)</w:t>
            </w:r>
          </w:p>
        </w:tc>
        <w:tc>
          <w:tcPr>
            <w:tcW w:w="421" w:type="pct"/>
            <w:shd w:val="clear" w:color="auto" w:fill="auto"/>
          </w:tcPr>
          <w:p w14:paraId="298CFCA7" w14:textId="77777777" w:rsidR="00F5402B" w:rsidRPr="00F5402B" w:rsidRDefault="00F5402B" w:rsidP="002E2180">
            <w:pPr>
              <w:pStyle w:val="Tabletext"/>
              <w:keepNext/>
              <w:rPr>
                <w:bCs/>
              </w:rPr>
            </w:pPr>
            <w:r w:rsidRPr="00F5402B">
              <w:rPr>
                <w:bCs/>
              </w:rPr>
              <w:t>0.004</w:t>
            </w:r>
          </w:p>
        </w:tc>
      </w:tr>
      <w:tr w:rsidR="00F5402B" w14:paraId="5E9372A0" w14:textId="77777777" w:rsidTr="008D0FE4">
        <w:trPr>
          <w:cantSplit/>
          <w:trHeight w:val="20"/>
        </w:trPr>
        <w:tc>
          <w:tcPr>
            <w:tcW w:w="1172" w:type="pct"/>
            <w:shd w:val="clear" w:color="auto" w:fill="auto"/>
          </w:tcPr>
          <w:p w14:paraId="4E232874" w14:textId="77777777" w:rsidR="00F5402B" w:rsidRPr="00F5402B" w:rsidRDefault="00F5402B" w:rsidP="002E2180">
            <w:pPr>
              <w:pStyle w:val="Tabletext"/>
              <w:keepNext/>
              <w:rPr>
                <w:bCs/>
              </w:rPr>
            </w:pPr>
            <w:r w:rsidRPr="00F5402B">
              <w:rPr>
                <w:bCs/>
              </w:rPr>
              <w:t>Injection site pain</w:t>
            </w:r>
          </w:p>
        </w:tc>
        <w:tc>
          <w:tcPr>
            <w:tcW w:w="737" w:type="pct"/>
            <w:shd w:val="clear" w:color="auto" w:fill="auto"/>
          </w:tcPr>
          <w:p w14:paraId="35D3CBA0" w14:textId="77777777" w:rsidR="00F5402B" w:rsidRPr="00F5402B" w:rsidRDefault="00F5402B" w:rsidP="002E2180">
            <w:pPr>
              <w:pStyle w:val="Tabletext"/>
              <w:keepNext/>
              <w:rPr>
                <w:rFonts w:eastAsia="Arial Unicode MS" w:cs="Arial Unicode MS"/>
                <w:bCs/>
              </w:rPr>
            </w:pPr>
            <w:r w:rsidRPr="00F5402B">
              <w:rPr>
                <w:rFonts w:eastAsia="Arial Unicode MS" w:cs="Arial Unicode MS"/>
                <w:bCs/>
              </w:rPr>
              <w:t>22 (5.6)</w:t>
            </w:r>
          </w:p>
        </w:tc>
        <w:tc>
          <w:tcPr>
            <w:tcW w:w="748" w:type="pct"/>
            <w:shd w:val="clear" w:color="auto" w:fill="auto"/>
          </w:tcPr>
          <w:p w14:paraId="193778AB" w14:textId="77777777" w:rsidR="00F5402B" w:rsidRPr="00F5402B" w:rsidRDefault="00F5402B" w:rsidP="002E2180">
            <w:pPr>
              <w:pStyle w:val="Tabletext"/>
              <w:keepNext/>
              <w:rPr>
                <w:bCs/>
              </w:rPr>
            </w:pPr>
            <w:r w:rsidRPr="00F5402B">
              <w:rPr>
                <w:bCs/>
              </w:rPr>
              <w:t>52 (13.2)</w:t>
            </w:r>
          </w:p>
        </w:tc>
        <w:tc>
          <w:tcPr>
            <w:tcW w:w="436" w:type="pct"/>
            <w:shd w:val="clear" w:color="auto" w:fill="auto"/>
          </w:tcPr>
          <w:p w14:paraId="001CECCD" w14:textId="77777777" w:rsidR="00F5402B" w:rsidRPr="00F5402B" w:rsidRDefault="00F5402B" w:rsidP="002E2180">
            <w:pPr>
              <w:pStyle w:val="Tabletext"/>
              <w:keepNext/>
              <w:rPr>
                <w:bCs/>
              </w:rPr>
            </w:pPr>
            <w:r w:rsidRPr="00F5402B">
              <w:rPr>
                <w:bCs/>
              </w:rPr>
              <w:t>&lt;0.001</w:t>
            </w:r>
          </w:p>
        </w:tc>
        <w:tc>
          <w:tcPr>
            <w:tcW w:w="737" w:type="pct"/>
            <w:shd w:val="clear" w:color="auto" w:fill="auto"/>
          </w:tcPr>
          <w:p w14:paraId="70B51C2F" w14:textId="77777777" w:rsidR="00F5402B" w:rsidRPr="00F5402B" w:rsidRDefault="00F5402B" w:rsidP="002E2180">
            <w:pPr>
              <w:pStyle w:val="Tabletext"/>
              <w:keepNext/>
              <w:rPr>
                <w:bCs/>
              </w:rPr>
            </w:pPr>
            <w:r w:rsidRPr="00F5402B">
              <w:rPr>
                <w:bCs/>
              </w:rPr>
              <w:t>1 (1.9)</w:t>
            </w:r>
          </w:p>
        </w:tc>
        <w:tc>
          <w:tcPr>
            <w:tcW w:w="748" w:type="pct"/>
            <w:shd w:val="clear" w:color="auto" w:fill="auto"/>
          </w:tcPr>
          <w:p w14:paraId="6F071B41" w14:textId="77777777" w:rsidR="00F5402B" w:rsidRPr="00F5402B" w:rsidRDefault="00F5402B" w:rsidP="002E2180">
            <w:pPr>
              <w:pStyle w:val="Tabletext"/>
              <w:keepNext/>
              <w:rPr>
                <w:bCs/>
              </w:rPr>
            </w:pPr>
            <w:r w:rsidRPr="00F5402B">
              <w:rPr>
                <w:bCs/>
              </w:rPr>
              <w:t>8 (16.0)</w:t>
            </w:r>
          </w:p>
        </w:tc>
        <w:tc>
          <w:tcPr>
            <w:tcW w:w="421" w:type="pct"/>
            <w:shd w:val="clear" w:color="auto" w:fill="auto"/>
          </w:tcPr>
          <w:p w14:paraId="7EAD6F4A" w14:textId="77777777" w:rsidR="00F5402B" w:rsidRPr="00F5402B" w:rsidRDefault="00F5402B" w:rsidP="002E2180">
            <w:pPr>
              <w:pStyle w:val="Tabletext"/>
              <w:keepNext/>
              <w:rPr>
                <w:bCs/>
              </w:rPr>
            </w:pPr>
            <w:r w:rsidRPr="00F5402B">
              <w:rPr>
                <w:bCs/>
              </w:rPr>
              <w:t>0.011</w:t>
            </w:r>
          </w:p>
        </w:tc>
      </w:tr>
      <w:tr w:rsidR="00F5402B" w14:paraId="689D7806" w14:textId="77777777" w:rsidTr="008D0FE4">
        <w:trPr>
          <w:cantSplit/>
          <w:trHeight w:val="20"/>
        </w:trPr>
        <w:tc>
          <w:tcPr>
            <w:tcW w:w="1172" w:type="pct"/>
            <w:shd w:val="clear" w:color="auto" w:fill="auto"/>
          </w:tcPr>
          <w:p w14:paraId="59A150FF" w14:textId="77777777" w:rsidR="00F5402B" w:rsidRPr="007A339B" w:rsidRDefault="00F5402B" w:rsidP="002E2180">
            <w:pPr>
              <w:pStyle w:val="Tabletext"/>
              <w:keepNext/>
            </w:pPr>
            <w:r>
              <w:t>Injection site erythema</w:t>
            </w:r>
          </w:p>
        </w:tc>
        <w:tc>
          <w:tcPr>
            <w:tcW w:w="737" w:type="pct"/>
            <w:shd w:val="clear" w:color="auto" w:fill="auto"/>
          </w:tcPr>
          <w:p w14:paraId="1CAD1D8E" w14:textId="77777777" w:rsidR="00F5402B" w:rsidRPr="007A339B" w:rsidRDefault="00F5402B" w:rsidP="002E2180">
            <w:pPr>
              <w:pStyle w:val="Tabletext"/>
              <w:keepNext/>
            </w:pPr>
            <w:r>
              <w:t>10 (2.6)</w:t>
            </w:r>
          </w:p>
        </w:tc>
        <w:tc>
          <w:tcPr>
            <w:tcW w:w="748" w:type="pct"/>
            <w:shd w:val="clear" w:color="auto" w:fill="auto"/>
          </w:tcPr>
          <w:p w14:paraId="38539F09" w14:textId="77777777" w:rsidR="00F5402B" w:rsidRPr="007A339B" w:rsidRDefault="00F5402B" w:rsidP="002E2180">
            <w:pPr>
              <w:pStyle w:val="Tabletext"/>
              <w:keepNext/>
            </w:pPr>
            <w:r>
              <w:t>19 (4.8)</w:t>
            </w:r>
          </w:p>
        </w:tc>
        <w:tc>
          <w:tcPr>
            <w:tcW w:w="436" w:type="pct"/>
            <w:shd w:val="clear" w:color="auto" w:fill="auto"/>
          </w:tcPr>
          <w:p w14:paraId="7B08FCEC" w14:textId="77777777" w:rsidR="00F5402B" w:rsidRPr="007A339B" w:rsidRDefault="00F5402B" w:rsidP="002E2180">
            <w:pPr>
              <w:pStyle w:val="Tabletext"/>
              <w:keepNext/>
            </w:pPr>
            <w:r>
              <w:t>0.129</w:t>
            </w:r>
          </w:p>
        </w:tc>
        <w:tc>
          <w:tcPr>
            <w:tcW w:w="737" w:type="pct"/>
            <w:shd w:val="clear" w:color="auto" w:fill="auto"/>
          </w:tcPr>
          <w:p w14:paraId="22DBF614" w14:textId="77777777" w:rsidR="00F5402B" w:rsidRPr="007A339B" w:rsidRDefault="00F5402B" w:rsidP="002E2180">
            <w:pPr>
              <w:pStyle w:val="Tabletext"/>
              <w:keepNext/>
            </w:pPr>
            <w:r>
              <w:t>2 (3.8)</w:t>
            </w:r>
          </w:p>
        </w:tc>
        <w:tc>
          <w:tcPr>
            <w:tcW w:w="748" w:type="pct"/>
            <w:shd w:val="clear" w:color="auto" w:fill="auto"/>
          </w:tcPr>
          <w:p w14:paraId="6B7C18FB" w14:textId="77777777" w:rsidR="00F5402B" w:rsidRPr="007A339B" w:rsidRDefault="00F5402B" w:rsidP="002E2180">
            <w:pPr>
              <w:pStyle w:val="Tabletext"/>
              <w:keepNext/>
            </w:pPr>
            <w:r>
              <w:t>2 (4.0)</w:t>
            </w:r>
          </w:p>
        </w:tc>
        <w:tc>
          <w:tcPr>
            <w:tcW w:w="421" w:type="pct"/>
            <w:shd w:val="clear" w:color="auto" w:fill="auto"/>
          </w:tcPr>
          <w:p w14:paraId="12D74C79" w14:textId="77777777" w:rsidR="00F5402B" w:rsidRPr="007A339B" w:rsidRDefault="00F5402B" w:rsidP="002E2180">
            <w:pPr>
              <w:pStyle w:val="Tabletext"/>
              <w:keepNext/>
            </w:pPr>
            <w:r>
              <w:t>0.967</w:t>
            </w:r>
          </w:p>
        </w:tc>
      </w:tr>
      <w:tr w:rsidR="00F5402B" w14:paraId="2054BBAA" w14:textId="77777777" w:rsidTr="008D0FE4">
        <w:trPr>
          <w:cantSplit/>
          <w:trHeight w:val="20"/>
        </w:trPr>
        <w:tc>
          <w:tcPr>
            <w:tcW w:w="1172" w:type="pct"/>
            <w:shd w:val="clear" w:color="auto" w:fill="auto"/>
          </w:tcPr>
          <w:p w14:paraId="7C12759D" w14:textId="77777777" w:rsidR="00F5402B" w:rsidRDefault="00F5402B" w:rsidP="002E2180">
            <w:pPr>
              <w:pStyle w:val="Tabletext"/>
              <w:keepNext/>
            </w:pPr>
            <w:r>
              <w:t>Injection site induration</w:t>
            </w:r>
          </w:p>
        </w:tc>
        <w:tc>
          <w:tcPr>
            <w:tcW w:w="737" w:type="pct"/>
            <w:shd w:val="clear" w:color="auto" w:fill="auto"/>
          </w:tcPr>
          <w:p w14:paraId="6B36F667" w14:textId="77777777" w:rsidR="00F5402B" w:rsidRPr="007A339B" w:rsidRDefault="00F5402B" w:rsidP="002E2180">
            <w:pPr>
              <w:pStyle w:val="Tabletext"/>
              <w:keepNext/>
            </w:pPr>
            <w:r>
              <w:t>4 (1.0)</w:t>
            </w:r>
          </w:p>
        </w:tc>
        <w:tc>
          <w:tcPr>
            <w:tcW w:w="748" w:type="pct"/>
            <w:shd w:val="clear" w:color="auto" w:fill="auto"/>
          </w:tcPr>
          <w:p w14:paraId="3697BCB0" w14:textId="77777777" w:rsidR="00F5402B" w:rsidRPr="007A339B" w:rsidRDefault="00F5402B" w:rsidP="002E2180">
            <w:pPr>
              <w:pStyle w:val="Tabletext"/>
              <w:keepNext/>
            </w:pPr>
            <w:r>
              <w:t>11 (2.8)</w:t>
            </w:r>
          </w:p>
        </w:tc>
        <w:tc>
          <w:tcPr>
            <w:tcW w:w="436" w:type="pct"/>
            <w:shd w:val="clear" w:color="auto" w:fill="auto"/>
          </w:tcPr>
          <w:p w14:paraId="762E7BBC" w14:textId="77777777" w:rsidR="00F5402B" w:rsidRPr="007A339B" w:rsidRDefault="00F5402B" w:rsidP="002E2180">
            <w:pPr>
              <w:pStyle w:val="Tabletext"/>
              <w:keepNext/>
            </w:pPr>
            <w:r>
              <w:t>0.115</w:t>
            </w:r>
          </w:p>
        </w:tc>
        <w:tc>
          <w:tcPr>
            <w:tcW w:w="737" w:type="pct"/>
            <w:shd w:val="clear" w:color="auto" w:fill="auto"/>
          </w:tcPr>
          <w:p w14:paraId="704DC64B" w14:textId="77777777" w:rsidR="00F5402B" w:rsidRPr="007A339B" w:rsidRDefault="00F5402B" w:rsidP="002E2180">
            <w:pPr>
              <w:pStyle w:val="Tabletext"/>
              <w:keepNext/>
            </w:pPr>
            <w:r>
              <w:t>0 (0.0)</w:t>
            </w:r>
          </w:p>
        </w:tc>
        <w:tc>
          <w:tcPr>
            <w:tcW w:w="748" w:type="pct"/>
            <w:shd w:val="clear" w:color="auto" w:fill="auto"/>
          </w:tcPr>
          <w:p w14:paraId="72BD13C5" w14:textId="77777777" w:rsidR="00F5402B" w:rsidRPr="007A339B" w:rsidRDefault="00F5402B" w:rsidP="002E2180">
            <w:pPr>
              <w:pStyle w:val="Tabletext"/>
              <w:keepNext/>
            </w:pPr>
            <w:r>
              <w:t>2 (4.0)</w:t>
            </w:r>
          </w:p>
        </w:tc>
        <w:tc>
          <w:tcPr>
            <w:tcW w:w="421" w:type="pct"/>
            <w:shd w:val="clear" w:color="auto" w:fill="auto"/>
          </w:tcPr>
          <w:p w14:paraId="5AAC5564" w14:textId="77777777" w:rsidR="00F5402B" w:rsidRPr="007A339B" w:rsidRDefault="00F5402B" w:rsidP="002E2180">
            <w:pPr>
              <w:pStyle w:val="Tabletext"/>
              <w:keepNext/>
            </w:pPr>
            <w:r>
              <w:t>0.225</w:t>
            </w:r>
          </w:p>
        </w:tc>
      </w:tr>
      <w:tr w:rsidR="00F5402B" w14:paraId="1EFD5D52" w14:textId="77777777" w:rsidTr="008D0FE4">
        <w:trPr>
          <w:cantSplit/>
          <w:trHeight w:val="20"/>
        </w:trPr>
        <w:tc>
          <w:tcPr>
            <w:tcW w:w="1172" w:type="pct"/>
            <w:shd w:val="clear" w:color="auto" w:fill="auto"/>
          </w:tcPr>
          <w:p w14:paraId="6DB03688" w14:textId="77777777" w:rsidR="00F5402B" w:rsidRDefault="00F5402B" w:rsidP="002E2180">
            <w:pPr>
              <w:pStyle w:val="Tabletext"/>
              <w:keepNext/>
            </w:pPr>
            <w:r>
              <w:t>Injection site swelling</w:t>
            </w:r>
          </w:p>
        </w:tc>
        <w:tc>
          <w:tcPr>
            <w:tcW w:w="737" w:type="pct"/>
            <w:shd w:val="clear" w:color="auto" w:fill="auto"/>
          </w:tcPr>
          <w:p w14:paraId="1C28EE14" w14:textId="77777777" w:rsidR="00F5402B" w:rsidRPr="007A339B" w:rsidRDefault="00F5402B" w:rsidP="002E2180">
            <w:pPr>
              <w:pStyle w:val="Tabletext"/>
              <w:keepNext/>
            </w:pPr>
            <w:r>
              <w:t>6 (1.5)</w:t>
            </w:r>
          </w:p>
        </w:tc>
        <w:tc>
          <w:tcPr>
            <w:tcW w:w="748" w:type="pct"/>
            <w:shd w:val="clear" w:color="auto" w:fill="auto"/>
          </w:tcPr>
          <w:p w14:paraId="694233AE" w14:textId="77777777" w:rsidR="00F5402B" w:rsidRPr="007A339B" w:rsidRDefault="00F5402B" w:rsidP="002E2180">
            <w:pPr>
              <w:pStyle w:val="Tabletext"/>
              <w:keepNext/>
            </w:pPr>
            <w:r>
              <w:t>5 (1.3)</w:t>
            </w:r>
          </w:p>
        </w:tc>
        <w:tc>
          <w:tcPr>
            <w:tcW w:w="436" w:type="pct"/>
            <w:shd w:val="clear" w:color="auto" w:fill="auto"/>
          </w:tcPr>
          <w:p w14:paraId="2BC57FD1" w14:textId="77777777" w:rsidR="00F5402B" w:rsidRPr="007A339B" w:rsidRDefault="00F5402B" w:rsidP="002E2180">
            <w:pPr>
              <w:pStyle w:val="Tabletext"/>
              <w:keepNext/>
            </w:pPr>
            <w:r>
              <w:t>0.773</w:t>
            </w:r>
          </w:p>
        </w:tc>
        <w:tc>
          <w:tcPr>
            <w:tcW w:w="737" w:type="pct"/>
            <w:shd w:val="clear" w:color="auto" w:fill="auto"/>
          </w:tcPr>
          <w:p w14:paraId="52C53417" w14:textId="77777777" w:rsidR="00F5402B" w:rsidRPr="007A339B" w:rsidRDefault="00F5402B" w:rsidP="002E2180">
            <w:pPr>
              <w:pStyle w:val="Tabletext"/>
              <w:keepNext/>
            </w:pPr>
            <w:r>
              <w:t>0 (0.0)</w:t>
            </w:r>
          </w:p>
        </w:tc>
        <w:tc>
          <w:tcPr>
            <w:tcW w:w="748" w:type="pct"/>
            <w:shd w:val="clear" w:color="auto" w:fill="auto"/>
          </w:tcPr>
          <w:p w14:paraId="726C34EA" w14:textId="77777777" w:rsidR="00F5402B" w:rsidRPr="007A339B" w:rsidRDefault="00F5402B" w:rsidP="002E2180">
            <w:pPr>
              <w:pStyle w:val="Tabletext"/>
              <w:keepNext/>
            </w:pPr>
            <w:r>
              <w:t>1 (2.0)</w:t>
            </w:r>
          </w:p>
        </w:tc>
        <w:tc>
          <w:tcPr>
            <w:tcW w:w="421" w:type="pct"/>
            <w:shd w:val="clear" w:color="auto" w:fill="auto"/>
          </w:tcPr>
          <w:p w14:paraId="3C36D7B0" w14:textId="77777777" w:rsidR="00F5402B" w:rsidRPr="007A339B" w:rsidRDefault="00F5402B" w:rsidP="002E2180">
            <w:pPr>
              <w:pStyle w:val="Tabletext"/>
              <w:keepNext/>
            </w:pPr>
            <w:r>
              <w:t>0.461</w:t>
            </w:r>
          </w:p>
        </w:tc>
      </w:tr>
      <w:tr w:rsidR="00F5402B" w14:paraId="42064096" w14:textId="77777777" w:rsidTr="008D0FE4">
        <w:trPr>
          <w:cantSplit/>
          <w:trHeight w:val="20"/>
        </w:trPr>
        <w:tc>
          <w:tcPr>
            <w:tcW w:w="1172" w:type="pct"/>
            <w:shd w:val="clear" w:color="auto" w:fill="auto"/>
          </w:tcPr>
          <w:p w14:paraId="78F1D938" w14:textId="77777777" w:rsidR="00F5402B" w:rsidRDefault="00F5402B" w:rsidP="002E2180">
            <w:pPr>
              <w:pStyle w:val="Tabletext"/>
              <w:keepNext/>
            </w:pPr>
            <w:r>
              <w:t>Injection site vasculitis</w:t>
            </w:r>
          </w:p>
        </w:tc>
        <w:tc>
          <w:tcPr>
            <w:tcW w:w="737" w:type="pct"/>
            <w:shd w:val="clear" w:color="auto" w:fill="auto"/>
          </w:tcPr>
          <w:p w14:paraId="71272FA7" w14:textId="77777777" w:rsidR="00F5402B" w:rsidRPr="007A339B" w:rsidRDefault="00F5402B" w:rsidP="002E2180">
            <w:pPr>
              <w:pStyle w:val="Tabletext"/>
              <w:keepNext/>
            </w:pPr>
            <w:r>
              <w:t>5 (1.3)</w:t>
            </w:r>
          </w:p>
        </w:tc>
        <w:tc>
          <w:tcPr>
            <w:tcW w:w="748" w:type="pct"/>
            <w:shd w:val="clear" w:color="auto" w:fill="auto"/>
          </w:tcPr>
          <w:p w14:paraId="075C12AE" w14:textId="77777777" w:rsidR="00F5402B" w:rsidRPr="007A339B" w:rsidRDefault="00F5402B" w:rsidP="002E2180">
            <w:pPr>
              <w:pStyle w:val="Tabletext"/>
              <w:keepNext/>
            </w:pPr>
            <w:r>
              <w:t>5 (1.3)</w:t>
            </w:r>
          </w:p>
        </w:tc>
        <w:tc>
          <w:tcPr>
            <w:tcW w:w="436" w:type="pct"/>
            <w:shd w:val="clear" w:color="auto" w:fill="auto"/>
          </w:tcPr>
          <w:p w14:paraId="72455E2C" w14:textId="77777777" w:rsidR="00F5402B" w:rsidRPr="007A339B" w:rsidRDefault="00F5402B" w:rsidP="002E2180">
            <w:pPr>
              <w:pStyle w:val="Tabletext"/>
              <w:keepNext/>
            </w:pPr>
            <w:r>
              <w:t>1</w:t>
            </w:r>
          </w:p>
        </w:tc>
        <w:tc>
          <w:tcPr>
            <w:tcW w:w="737" w:type="pct"/>
            <w:shd w:val="clear" w:color="auto" w:fill="auto"/>
          </w:tcPr>
          <w:p w14:paraId="6A3AAA54" w14:textId="77777777" w:rsidR="00F5402B" w:rsidRPr="007A339B" w:rsidRDefault="00F5402B" w:rsidP="002E2180">
            <w:pPr>
              <w:pStyle w:val="Tabletext"/>
              <w:keepNext/>
            </w:pPr>
            <w:r>
              <w:t>0 (0.0)</w:t>
            </w:r>
          </w:p>
        </w:tc>
        <w:tc>
          <w:tcPr>
            <w:tcW w:w="748" w:type="pct"/>
            <w:shd w:val="clear" w:color="auto" w:fill="auto"/>
          </w:tcPr>
          <w:p w14:paraId="67A54B87" w14:textId="77777777" w:rsidR="00F5402B" w:rsidRPr="007A339B" w:rsidRDefault="00F5402B" w:rsidP="002E2180">
            <w:pPr>
              <w:pStyle w:val="Tabletext"/>
              <w:keepNext/>
            </w:pPr>
            <w:r>
              <w:t>3 (6.0)</w:t>
            </w:r>
          </w:p>
        </w:tc>
        <w:tc>
          <w:tcPr>
            <w:tcW w:w="421" w:type="pct"/>
            <w:shd w:val="clear" w:color="auto" w:fill="auto"/>
          </w:tcPr>
          <w:p w14:paraId="4B4F7347" w14:textId="77777777" w:rsidR="00F5402B" w:rsidRPr="007A339B" w:rsidRDefault="00F5402B" w:rsidP="002E2180">
            <w:pPr>
              <w:pStyle w:val="Tabletext"/>
              <w:keepNext/>
            </w:pPr>
            <w:r>
              <w:t>0.112</w:t>
            </w:r>
          </w:p>
        </w:tc>
      </w:tr>
      <w:tr w:rsidR="00F5402B" w14:paraId="17EA7581" w14:textId="77777777" w:rsidTr="008D0FE4">
        <w:trPr>
          <w:cantSplit/>
          <w:trHeight w:val="20"/>
        </w:trPr>
        <w:tc>
          <w:tcPr>
            <w:tcW w:w="1172" w:type="pct"/>
            <w:shd w:val="clear" w:color="auto" w:fill="auto"/>
          </w:tcPr>
          <w:p w14:paraId="04E89383" w14:textId="77777777" w:rsidR="00F5402B" w:rsidRDefault="00F5402B" w:rsidP="002E2180">
            <w:pPr>
              <w:pStyle w:val="Tabletext"/>
              <w:keepNext/>
            </w:pPr>
            <w:r>
              <w:t>Infusion site pain</w:t>
            </w:r>
          </w:p>
        </w:tc>
        <w:tc>
          <w:tcPr>
            <w:tcW w:w="737" w:type="pct"/>
            <w:shd w:val="clear" w:color="auto" w:fill="auto"/>
          </w:tcPr>
          <w:p w14:paraId="696FB3F9" w14:textId="77777777" w:rsidR="00F5402B" w:rsidRPr="007A339B" w:rsidRDefault="00F5402B" w:rsidP="002E2180">
            <w:pPr>
              <w:pStyle w:val="Tabletext"/>
              <w:keepNext/>
            </w:pPr>
            <w:r>
              <w:t>0 (0.0)</w:t>
            </w:r>
          </w:p>
        </w:tc>
        <w:tc>
          <w:tcPr>
            <w:tcW w:w="748" w:type="pct"/>
            <w:shd w:val="clear" w:color="auto" w:fill="auto"/>
          </w:tcPr>
          <w:p w14:paraId="7D5837D0" w14:textId="77777777" w:rsidR="00F5402B" w:rsidRPr="007A339B" w:rsidRDefault="00F5402B" w:rsidP="002E2180">
            <w:pPr>
              <w:pStyle w:val="Tabletext"/>
              <w:keepNext/>
            </w:pPr>
            <w:r>
              <w:t>2 (0.5)</w:t>
            </w:r>
          </w:p>
        </w:tc>
        <w:tc>
          <w:tcPr>
            <w:tcW w:w="436" w:type="pct"/>
            <w:shd w:val="clear" w:color="auto" w:fill="auto"/>
          </w:tcPr>
          <w:p w14:paraId="3C621708" w14:textId="77777777" w:rsidR="00F5402B" w:rsidRPr="007A339B" w:rsidRDefault="00F5402B" w:rsidP="002E2180">
            <w:pPr>
              <w:pStyle w:val="Tabletext"/>
              <w:keepNext/>
            </w:pPr>
            <w:r>
              <w:t>0.499</w:t>
            </w:r>
          </w:p>
        </w:tc>
        <w:tc>
          <w:tcPr>
            <w:tcW w:w="737" w:type="pct"/>
            <w:shd w:val="clear" w:color="auto" w:fill="auto"/>
          </w:tcPr>
          <w:p w14:paraId="1A1A5A1C" w14:textId="77777777" w:rsidR="00F5402B" w:rsidRPr="007A339B" w:rsidRDefault="00F5402B" w:rsidP="002E2180">
            <w:pPr>
              <w:pStyle w:val="Tabletext"/>
              <w:keepNext/>
            </w:pPr>
            <w:r>
              <w:t>NR</w:t>
            </w:r>
          </w:p>
        </w:tc>
        <w:tc>
          <w:tcPr>
            <w:tcW w:w="748" w:type="pct"/>
            <w:shd w:val="clear" w:color="auto" w:fill="auto"/>
          </w:tcPr>
          <w:p w14:paraId="7FFFB398" w14:textId="77777777" w:rsidR="00F5402B" w:rsidRPr="007A339B" w:rsidRDefault="00F5402B" w:rsidP="002E2180">
            <w:pPr>
              <w:pStyle w:val="Tabletext"/>
              <w:keepNext/>
            </w:pPr>
            <w:r>
              <w:t>NR</w:t>
            </w:r>
          </w:p>
        </w:tc>
        <w:tc>
          <w:tcPr>
            <w:tcW w:w="421" w:type="pct"/>
            <w:shd w:val="clear" w:color="auto" w:fill="auto"/>
          </w:tcPr>
          <w:p w14:paraId="0F99BCBE" w14:textId="77777777" w:rsidR="00F5402B" w:rsidRPr="007A339B" w:rsidRDefault="00F5402B" w:rsidP="002E2180">
            <w:pPr>
              <w:pStyle w:val="Tabletext"/>
              <w:keepNext/>
            </w:pPr>
            <w:r>
              <w:t>-</w:t>
            </w:r>
          </w:p>
        </w:tc>
      </w:tr>
      <w:tr w:rsidR="00F5402B" w14:paraId="6428A502" w14:textId="77777777" w:rsidTr="008D0FE4">
        <w:trPr>
          <w:cantSplit/>
          <w:trHeight w:val="20"/>
        </w:trPr>
        <w:tc>
          <w:tcPr>
            <w:tcW w:w="1172" w:type="pct"/>
            <w:shd w:val="clear" w:color="auto" w:fill="auto"/>
          </w:tcPr>
          <w:p w14:paraId="18AA9D59" w14:textId="77777777" w:rsidR="00F5402B" w:rsidRDefault="00F5402B" w:rsidP="002E2180">
            <w:pPr>
              <w:pStyle w:val="Tabletext"/>
              <w:keepNext/>
            </w:pPr>
            <w:r w:rsidRPr="00F74E6C">
              <w:t xml:space="preserve">Injection site </w:t>
            </w:r>
            <w:r>
              <w:t>phlebitis</w:t>
            </w:r>
          </w:p>
        </w:tc>
        <w:tc>
          <w:tcPr>
            <w:tcW w:w="737" w:type="pct"/>
            <w:shd w:val="clear" w:color="auto" w:fill="auto"/>
          </w:tcPr>
          <w:p w14:paraId="64631DBF" w14:textId="77777777" w:rsidR="00F5402B" w:rsidRPr="007A339B" w:rsidRDefault="00F5402B" w:rsidP="002E2180">
            <w:pPr>
              <w:pStyle w:val="Tabletext"/>
              <w:keepNext/>
            </w:pPr>
            <w:r>
              <w:t>2 (0.5)</w:t>
            </w:r>
          </w:p>
        </w:tc>
        <w:tc>
          <w:tcPr>
            <w:tcW w:w="748" w:type="pct"/>
            <w:shd w:val="clear" w:color="auto" w:fill="auto"/>
          </w:tcPr>
          <w:p w14:paraId="49790DFD" w14:textId="77777777" w:rsidR="00F5402B" w:rsidRPr="007A339B" w:rsidRDefault="00F5402B" w:rsidP="002E2180">
            <w:pPr>
              <w:pStyle w:val="Tabletext"/>
              <w:keepNext/>
            </w:pPr>
            <w:r>
              <w:t>1 (0.3)</w:t>
            </w:r>
          </w:p>
        </w:tc>
        <w:tc>
          <w:tcPr>
            <w:tcW w:w="436" w:type="pct"/>
            <w:shd w:val="clear" w:color="auto" w:fill="auto"/>
          </w:tcPr>
          <w:p w14:paraId="441A8870" w14:textId="77777777" w:rsidR="00F5402B" w:rsidRPr="007A339B" w:rsidRDefault="00F5402B" w:rsidP="002E2180">
            <w:pPr>
              <w:pStyle w:val="Tabletext"/>
              <w:keepNext/>
            </w:pPr>
            <w:r>
              <w:t>0.624</w:t>
            </w:r>
          </w:p>
        </w:tc>
        <w:tc>
          <w:tcPr>
            <w:tcW w:w="737" w:type="pct"/>
            <w:shd w:val="clear" w:color="auto" w:fill="auto"/>
          </w:tcPr>
          <w:p w14:paraId="48F10F3F" w14:textId="77777777" w:rsidR="00F5402B" w:rsidRPr="007A339B" w:rsidRDefault="00F5402B" w:rsidP="002E2180">
            <w:pPr>
              <w:pStyle w:val="Tabletext"/>
              <w:keepNext/>
            </w:pPr>
            <w:r>
              <w:t>0 (0.0)</w:t>
            </w:r>
          </w:p>
        </w:tc>
        <w:tc>
          <w:tcPr>
            <w:tcW w:w="748" w:type="pct"/>
            <w:shd w:val="clear" w:color="auto" w:fill="auto"/>
          </w:tcPr>
          <w:p w14:paraId="62E2C691" w14:textId="77777777" w:rsidR="00F5402B" w:rsidRPr="007A339B" w:rsidRDefault="00F5402B" w:rsidP="002E2180">
            <w:pPr>
              <w:pStyle w:val="Tabletext"/>
              <w:keepNext/>
            </w:pPr>
            <w:r>
              <w:t>2 (4.0)</w:t>
            </w:r>
          </w:p>
        </w:tc>
        <w:tc>
          <w:tcPr>
            <w:tcW w:w="421" w:type="pct"/>
            <w:shd w:val="clear" w:color="auto" w:fill="auto"/>
          </w:tcPr>
          <w:p w14:paraId="30E88AFC" w14:textId="77777777" w:rsidR="00F5402B" w:rsidRPr="007A339B" w:rsidRDefault="00F5402B" w:rsidP="002E2180">
            <w:pPr>
              <w:pStyle w:val="Tabletext"/>
              <w:keepNext/>
            </w:pPr>
            <w:r>
              <w:t>0.225</w:t>
            </w:r>
          </w:p>
        </w:tc>
      </w:tr>
      <w:tr w:rsidR="00F5402B" w14:paraId="5722010D" w14:textId="77777777" w:rsidTr="008D0FE4">
        <w:trPr>
          <w:cantSplit/>
          <w:trHeight w:val="20"/>
        </w:trPr>
        <w:tc>
          <w:tcPr>
            <w:tcW w:w="1172" w:type="pct"/>
            <w:shd w:val="clear" w:color="auto" w:fill="auto"/>
          </w:tcPr>
          <w:p w14:paraId="064F382A" w14:textId="77777777" w:rsidR="00F5402B" w:rsidRDefault="00F5402B" w:rsidP="002E2180">
            <w:pPr>
              <w:pStyle w:val="Tabletext"/>
              <w:keepNext/>
            </w:pPr>
            <w:r w:rsidRPr="00F74E6C">
              <w:t xml:space="preserve">Injection site </w:t>
            </w:r>
            <w:r>
              <w:t>thrombosis</w:t>
            </w:r>
          </w:p>
        </w:tc>
        <w:tc>
          <w:tcPr>
            <w:tcW w:w="737" w:type="pct"/>
            <w:shd w:val="clear" w:color="auto" w:fill="auto"/>
          </w:tcPr>
          <w:p w14:paraId="282A4F18" w14:textId="77777777" w:rsidR="00F5402B" w:rsidRPr="007A339B" w:rsidRDefault="00F5402B" w:rsidP="002E2180">
            <w:pPr>
              <w:pStyle w:val="Tabletext"/>
              <w:keepNext/>
            </w:pPr>
            <w:r>
              <w:t>1 (0.3)</w:t>
            </w:r>
          </w:p>
        </w:tc>
        <w:tc>
          <w:tcPr>
            <w:tcW w:w="748" w:type="pct"/>
            <w:shd w:val="clear" w:color="auto" w:fill="auto"/>
          </w:tcPr>
          <w:p w14:paraId="7A290928" w14:textId="77777777" w:rsidR="00F5402B" w:rsidRPr="007A339B" w:rsidRDefault="00F5402B" w:rsidP="002E2180">
            <w:pPr>
              <w:pStyle w:val="Tabletext"/>
              <w:keepNext/>
            </w:pPr>
            <w:r>
              <w:t>1 (0.3)</w:t>
            </w:r>
          </w:p>
        </w:tc>
        <w:tc>
          <w:tcPr>
            <w:tcW w:w="436" w:type="pct"/>
            <w:shd w:val="clear" w:color="auto" w:fill="auto"/>
          </w:tcPr>
          <w:p w14:paraId="135141A3" w14:textId="77777777" w:rsidR="00F5402B" w:rsidRPr="007A339B" w:rsidRDefault="00F5402B" w:rsidP="002E2180">
            <w:pPr>
              <w:pStyle w:val="Tabletext"/>
              <w:keepNext/>
            </w:pPr>
            <w:r>
              <w:t>1</w:t>
            </w:r>
          </w:p>
        </w:tc>
        <w:tc>
          <w:tcPr>
            <w:tcW w:w="737" w:type="pct"/>
            <w:shd w:val="clear" w:color="auto" w:fill="auto"/>
          </w:tcPr>
          <w:p w14:paraId="2F4FD8AB" w14:textId="77777777" w:rsidR="00F5402B" w:rsidRPr="007A339B" w:rsidRDefault="00F5402B" w:rsidP="002E2180">
            <w:pPr>
              <w:pStyle w:val="Tabletext"/>
              <w:keepNext/>
            </w:pPr>
            <w:r>
              <w:t>NR</w:t>
            </w:r>
          </w:p>
        </w:tc>
        <w:tc>
          <w:tcPr>
            <w:tcW w:w="748" w:type="pct"/>
            <w:shd w:val="clear" w:color="auto" w:fill="auto"/>
          </w:tcPr>
          <w:p w14:paraId="2537D26B" w14:textId="77777777" w:rsidR="00F5402B" w:rsidRPr="007A339B" w:rsidRDefault="00F5402B" w:rsidP="002E2180">
            <w:pPr>
              <w:pStyle w:val="Tabletext"/>
              <w:keepNext/>
            </w:pPr>
            <w:r>
              <w:t>NR</w:t>
            </w:r>
          </w:p>
        </w:tc>
        <w:tc>
          <w:tcPr>
            <w:tcW w:w="421" w:type="pct"/>
            <w:shd w:val="clear" w:color="auto" w:fill="auto"/>
          </w:tcPr>
          <w:p w14:paraId="6990127C" w14:textId="77777777" w:rsidR="00F5402B" w:rsidRPr="007A339B" w:rsidRDefault="00F5402B" w:rsidP="002E2180">
            <w:pPr>
              <w:pStyle w:val="Tabletext"/>
              <w:keepNext/>
            </w:pPr>
            <w:r>
              <w:t>-</w:t>
            </w:r>
          </w:p>
        </w:tc>
      </w:tr>
      <w:tr w:rsidR="00F5402B" w14:paraId="47E0AB26" w14:textId="77777777" w:rsidTr="008D0FE4">
        <w:trPr>
          <w:cantSplit/>
          <w:trHeight w:val="20"/>
        </w:trPr>
        <w:tc>
          <w:tcPr>
            <w:tcW w:w="1172" w:type="pct"/>
            <w:shd w:val="clear" w:color="auto" w:fill="auto"/>
          </w:tcPr>
          <w:p w14:paraId="4E8F400A" w14:textId="77777777" w:rsidR="00F5402B" w:rsidRDefault="00F5402B" w:rsidP="002E2180">
            <w:pPr>
              <w:pStyle w:val="Tabletext"/>
              <w:keepNext/>
            </w:pPr>
            <w:r>
              <w:t>Infusion</w:t>
            </w:r>
            <w:r w:rsidRPr="00F74E6C">
              <w:t xml:space="preserve"> site </w:t>
            </w:r>
            <w:r>
              <w:t>phlebitis</w:t>
            </w:r>
          </w:p>
        </w:tc>
        <w:tc>
          <w:tcPr>
            <w:tcW w:w="737" w:type="pct"/>
            <w:shd w:val="clear" w:color="auto" w:fill="auto"/>
          </w:tcPr>
          <w:p w14:paraId="6898A42F" w14:textId="77777777" w:rsidR="00F5402B" w:rsidRPr="007A339B" w:rsidRDefault="00F5402B" w:rsidP="002E2180">
            <w:pPr>
              <w:pStyle w:val="Tabletext"/>
              <w:keepNext/>
            </w:pPr>
            <w:r>
              <w:t>0 (0.0)</w:t>
            </w:r>
          </w:p>
        </w:tc>
        <w:tc>
          <w:tcPr>
            <w:tcW w:w="748" w:type="pct"/>
            <w:shd w:val="clear" w:color="auto" w:fill="auto"/>
          </w:tcPr>
          <w:p w14:paraId="42DF9623" w14:textId="77777777" w:rsidR="00F5402B" w:rsidRPr="007A339B" w:rsidRDefault="00F5402B" w:rsidP="002E2180">
            <w:pPr>
              <w:pStyle w:val="Tabletext"/>
              <w:keepNext/>
            </w:pPr>
            <w:r>
              <w:t>1 (0.3)</w:t>
            </w:r>
          </w:p>
        </w:tc>
        <w:tc>
          <w:tcPr>
            <w:tcW w:w="436" w:type="pct"/>
            <w:shd w:val="clear" w:color="auto" w:fill="auto"/>
          </w:tcPr>
          <w:p w14:paraId="168F883F" w14:textId="77777777" w:rsidR="00F5402B" w:rsidRPr="007A339B" w:rsidRDefault="00F5402B" w:rsidP="002E2180">
            <w:pPr>
              <w:pStyle w:val="Tabletext"/>
              <w:keepNext/>
            </w:pPr>
            <w:r>
              <w:t>1</w:t>
            </w:r>
          </w:p>
        </w:tc>
        <w:tc>
          <w:tcPr>
            <w:tcW w:w="737" w:type="pct"/>
            <w:shd w:val="clear" w:color="auto" w:fill="auto"/>
          </w:tcPr>
          <w:p w14:paraId="1B6A8FF6" w14:textId="77777777" w:rsidR="00F5402B" w:rsidRPr="007A339B" w:rsidRDefault="00F5402B" w:rsidP="002E2180">
            <w:pPr>
              <w:pStyle w:val="Tabletext"/>
              <w:keepNext/>
            </w:pPr>
            <w:r>
              <w:t>NR</w:t>
            </w:r>
          </w:p>
        </w:tc>
        <w:tc>
          <w:tcPr>
            <w:tcW w:w="748" w:type="pct"/>
            <w:shd w:val="clear" w:color="auto" w:fill="auto"/>
          </w:tcPr>
          <w:p w14:paraId="6221973F" w14:textId="77777777" w:rsidR="00F5402B" w:rsidRPr="007A339B" w:rsidRDefault="00F5402B" w:rsidP="002E2180">
            <w:pPr>
              <w:pStyle w:val="Tabletext"/>
              <w:keepNext/>
            </w:pPr>
            <w:r>
              <w:t>NR</w:t>
            </w:r>
          </w:p>
        </w:tc>
        <w:tc>
          <w:tcPr>
            <w:tcW w:w="421" w:type="pct"/>
            <w:shd w:val="clear" w:color="auto" w:fill="auto"/>
          </w:tcPr>
          <w:p w14:paraId="3DB445A5" w14:textId="77777777" w:rsidR="00F5402B" w:rsidRPr="007A339B" w:rsidRDefault="00F5402B" w:rsidP="002E2180">
            <w:pPr>
              <w:pStyle w:val="Tabletext"/>
              <w:keepNext/>
            </w:pPr>
            <w:r>
              <w:t>-</w:t>
            </w:r>
          </w:p>
        </w:tc>
      </w:tr>
      <w:tr w:rsidR="00F5402B" w:rsidRPr="00A35456" w14:paraId="45BB7305" w14:textId="77777777" w:rsidTr="008D0FE4">
        <w:trPr>
          <w:cantSplit/>
          <w:trHeight w:val="20"/>
        </w:trPr>
        <w:tc>
          <w:tcPr>
            <w:tcW w:w="1172" w:type="pct"/>
            <w:shd w:val="clear" w:color="auto" w:fill="auto"/>
          </w:tcPr>
          <w:p w14:paraId="1112B357" w14:textId="03C9AEF1" w:rsidR="00F5402B" w:rsidRPr="00F5402B" w:rsidRDefault="00F5402B" w:rsidP="002E2180">
            <w:pPr>
              <w:pStyle w:val="Tabletext"/>
              <w:keepNext/>
              <w:rPr>
                <w:b/>
                <w:bCs/>
                <w:vertAlign w:val="superscript"/>
              </w:rPr>
            </w:pPr>
            <w:r w:rsidRPr="00A35456">
              <w:rPr>
                <w:b/>
                <w:bCs/>
              </w:rPr>
              <w:t>TRAEs relevant to ISRs</w:t>
            </w:r>
            <w:r>
              <w:rPr>
                <w:b/>
                <w:bCs/>
                <w:vertAlign w:val="superscript"/>
              </w:rPr>
              <w:t>c</w:t>
            </w:r>
          </w:p>
        </w:tc>
        <w:tc>
          <w:tcPr>
            <w:tcW w:w="737" w:type="pct"/>
            <w:shd w:val="clear" w:color="auto" w:fill="auto"/>
          </w:tcPr>
          <w:p w14:paraId="1576BE9D" w14:textId="77777777" w:rsidR="00F5402B" w:rsidRPr="00A35456" w:rsidRDefault="00F5402B" w:rsidP="002E2180">
            <w:pPr>
              <w:pStyle w:val="Tabletext"/>
              <w:keepNext/>
              <w:rPr>
                <w:b/>
                <w:bCs/>
              </w:rPr>
            </w:pPr>
          </w:p>
        </w:tc>
        <w:tc>
          <w:tcPr>
            <w:tcW w:w="748" w:type="pct"/>
            <w:shd w:val="clear" w:color="auto" w:fill="auto"/>
          </w:tcPr>
          <w:p w14:paraId="077B54BF" w14:textId="77777777" w:rsidR="00F5402B" w:rsidRPr="00A35456" w:rsidRDefault="00F5402B" w:rsidP="002E2180">
            <w:pPr>
              <w:pStyle w:val="Tabletext"/>
              <w:keepNext/>
              <w:rPr>
                <w:b/>
                <w:bCs/>
              </w:rPr>
            </w:pPr>
          </w:p>
        </w:tc>
        <w:tc>
          <w:tcPr>
            <w:tcW w:w="436" w:type="pct"/>
            <w:shd w:val="clear" w:color="auto" w:fill="auto"/>
          </w:tcPr>
          <w:p w14:paraId="216ED059" w14:textId="77777777" w:rsidR="00F5402B" w:rsidRPr="00A35456" w:rsidRDefault="00F5402B" w:rsidP="002E2180">
            <w:pPr>
              <w:pStyle w:val="Tabletext"/>
              <w:keepNext/>
              <w:rPr>
                <w:b/>
                <w:bCs/>
              </w:rPr>
            </w:pPr>
          </w:p>
        </w:tc>
        <w:tc>
          <w:tcPr>
            <w:tcW w:w="737" w:type="pct"/>
            <w:shd w:val="clear" w:color="auto" w:fill="auto"/>
          </w:tcPr>
          <w:p w14:paraId="333B9936" w14:textId="77777777" w:rsidR="00F5402B" w:rsidRPr="00A35456" w:rsidRDefault="00F5402B" w:rsidP="002E2180">
            <w:pPr>
              <w:pStyle w:val="Tabletext"/>
              <w:keepNext/>
              <w:rPr>
                <w:b/>
                <w:bCs/>
              </w:rPr>
            </w:pPr>
          </w:p>
        </w:tc>
        <w:tc>
          <w:tcPr>
            <w:tcW w:w="748" w:type="pct"/>
            <w:shd w:val="clear" w:color="auto" w:fill="auto"/>
          </w:tcPr>
          <w:p w14:paraId="10716CE9" w14:textId="77777777" w:rsidR="00F5402B" w:rsidRPr="00A35456" w:rsidRDefault="00F5402B" w:rsidP="002E2180">
            <w:pPr>
              <w:pStyle w:val="Tabletext"/>
              <w:keepNext/>
              <w:rPr>
                <w:b/>
                <w:bCs/>
              </w:rPr>
            </w:pPr>
          </w:p>
        </w:tc>
        <w:tc>
          <w:tcPr>
            <w:tcW w:w="421" w:type="pct"/>
            <w:shd w:val="clear" w:color="auto" w:fill="auto"/>
          </w:tcPr>
          <w:p w14:paraId="6A6BD446" w14:textId="77777777" w:rsidR="00F5402B" w:rsidRPr="00A35456" w:rsidRDefault="00F5402B" w:rsidP="002E2180">
            <w:pPr>
              <w:pStyle w:val="Tabletext"/>
              <w:keepNext/>
              <w:rPr>
                <w:b/>
                <w:bCs/>
              </w:rPr>
            </w:pPr>
          </w:p>
        </w:tc>
      </w:tr>
      <w:tr w:rsidR="00F5402B" w14:paraId="1EE6F0BC" w14:textId="77777777" w:rsidTr="008D0FE4">
        <w:trPr>
          <w:cantSplit/>
          <w:trHeight w:val="20"/>
        </w:trPr>
        <w:tc>
          <w:tcPr>
            <w:tcW w:w="1172" w:type="pct"/>
            <w:shd w:val="clear" w:color="auto" w:fill="auto"/>
            <w:vAlign w:val="center"/>
          </w:tcPr>
          <w:p w14:paraId="43386EBE" w14:textId="1F16C98E" w:rsidR="00F5402B" w:rsidRPr="00F5402B" w:rsidRDefault="00F5402B" w:rsidP="00C2026C">
            <w:pPr>
              <w:pStyle w:val="Tabletext"/>
              <w:keepNext/>
              <w:rPr>
                <w:bCs/>
              </w:rPr>
            </w:pPr>
            <w:r w:rsidRPr="00F5402B">
              <w:rPr>
                <w:rFonts w:eastAsia="Arial Unicode MS" w:cs="Arial Unicode MS"/>
                <w:bCs/>
              </w:rPr>
              <w:t>Total ISR</w:t>
            </w:r>
          </w:p>
        </w:tc>
        <w:tc>
          <w:tcPr>
            <w:tcW w:w="737" w:type="pct"/>
            <w:shd w:val="clear" w:color="auto" w:fill="auto"/>
          </w:tcPr>
          <w:p w14:paraId="66FD4663" w14:textId="77777777" w:rsidR="00F5402B" w:rsidRPr="00F5402B" w:rsidRDefault="00F5402B" w:rsidP="002E2180">
            <w:pPr>
              <w:pStyle w:val="Tabletext"/>
              <w:keepNext/>
              <w:rPr>
                <w:bCs/>
              </w:rPr>
            </w:pPr>
            <w:r w:rsidRPr="00F5402B">
              <w:rPr>
                <w:bCs/>
              </w:rPr>
              <w:t>1 (0.3)</w:t>
            </w:r>
          </w:p>
        </w:tc>
        <w:tc>
          <w:tcPr>
            <w:tcW w:w="748" w:type="pct"/>
            <w:shd w:val="clear" w:color="auto" w:fill="auto"/>
          </w:tcPr>
          <w:p w14:paraId="1D823C3A" w14:textId="77777777" w:rsidR="00F5402B" w:rsidRPr="00F5402B" w:rsidRDefault="00F5402B" w:rsidP="002E2180">
            <w:pPr>
              <w:pStyle w:val="Tabletext"/>
              <w:keepNext/>
              <w:rPr>
                <w:bCs/>
              </w:rPr>
            </w:pPr>
            <w:r w:rsidRPr="00F5402B">
              <w:rPr>
                <w:bCs/>
              </w:rPr>
              <w:t>14 (3.6)</w:t>
            </w:r>
          </w:p>
        </w:tc>
        <w:tc>
          <w:tcPr>
            <w:tcW w:w="436" w:type="pct"/>
            <w:shd w:val="clear" w:color="auto" w:fill="auto"/>
          </w:tcPr>
          <w:p w14:paraId="284D4501" w14:textId="77777777" w:rsidR="00F5402B" w:rsidRPr="00F5402B" w:rsidRDefault="00F5402B" w:rsidP="002E2180">
            <w:pPr>
              <w:pStyle w:val="Tabletext"/>
              <w:keepNext/>
              <w:rPr>
                <w:bCs/>
              </w:rPr>
            </w:pPr>
            <w:r w:rsidRPr="00F5402B">
              <w:rPr>
                <w:bCs/>
              </w:rPr>
              <w:t>&lt;0.001</w:t>
            </w:r>
          </w:p>
        </w:tc>
        <w:tc>
          <w:tcPr>
            <w:tcW w:w="737" w:type="pct"/>
            <w:shd w:val="clear" w:color="auto" w:fill="auto"/>
          </w:tcPr>
          <w:p w14:paraId="375CF93A" w14:textId="77777777" w:rsidR="00F5402B" w:rsidRPr="00F5402B" w:rsidRDefault="00F5402B" w:rsidP="002E2180">
            <w:pPr>
              <w:pStyle w:val="Tabletext"/>
              <w:keepNext/>
              <w:rPr>
                <w:bCs/>
              </w:rPr>
            </w:pPr>
            <w:r w:rsidRPr="00F5402B">
              <w:rPr>
                <w:bCs/>
              </w:rPr>
              <w:t>0 (0)</w:t>
            </w:r>
          </w:p>
        </w:tc>
        <w:tc>
          <w:tcPr>
            <w:tcW w:w="748" w:type="pct"/>
            <w:shd w:val="clear" w:color="auto" w:fill="auto"/>
          </w:tcPr>
          <w:p w14:paraId="04D1F2F3" w14:textId="77777777" w:rsidR="00F5402B" w:rsidRPr="00F5402B" w:rsidRDefault="00F5402B" w:rsidP="002E2180">
            <w:pPr>
              <w:pStyle w:val="Tabletext"/>
              <w:keepNext/>
              <w:rPr>
                <w:bCs/>
              </w:rPr>
            </w:pPr>
            <w:r w:rsidRPr="00F5402B">
              <w:rPr>
                <w:bCs/>
              </w:rPr>
              <w:t>5 (10.0)</w:t>
            </w:r>
          </w:p>
        </w:tc>
        <w:tc>
          <w:tcPr>
            <w:tcW w:w="421" w:type="pct"/>
            <w:shd w:val="clear" w:color="auto" w:fill="auto"/>
          </w:tcPr>
          <w:p w14:paraId="056215B2" w14:textId="77777777" w:rsidR="00F5402B" w:rsidRPr="00F5402B" w:rsidRDefault="00F5402B" w:rsidP="002E2180">
            <w:pPr>
              <w:pStyle w:val="Tabletext"/>
              <w:keepNext/>
              <w:rPr>
                <w:bCs/>
              </w:rPr>
            </w:pPr>
            <w:r w:rsidRPr="00F5402B">
              <w:rPr>
                <w:bCs/>
              </w:rPr>
              <w:t>0.027</w:t>
            </w:r>
          </w:p>
        </w:tc>
      </w:tr>
      <w:tr w:rsidR="00F5402B" w14:paraId="30544657" w14:textId="77777777" w:rsidTr="008D0FE4">
        <w:trPr>
          <w:cantSplit/>
          <w:trHeight w:val="20"/>
        </w:trPr>
        <w:tc>
          <w:tcPr>
            <w:tcW w:w="1172" w:type="pct"/>
            <w:shd w:val="clear" w:color="auto" w:fill="auto"/>
          </w:tcPr>
          <w:p w14:paraId="1CAE1013" w14:textId="77777777" w:rsidR="00F5402B" w:rsidRPr="00F5402B" w:rsidRDefault="00F5402B" w:rsidP="002E2180">
            <w:pPr>
              <w:pStyle w:val="Tabletext"/>
              <w:keepNext/>
              <w:rPr>
                <w:bCs/>
              </w:rPr>
            </w:pPr>
            <w:r w:rsidRPr="00F5402B">
              <w:rPr>
                <w:bCs/>
              </w:rPr>
              <w:t>Injection site pain</w:t>
            </w:r>
          </w:p>
        </w:tc>
        <w:tc>
          <w:tcPr>
            <w:tcW w:w="737" w:type="pct"/>
            <w:shd w:val="clear" w:color="auto" w:fill="auto"/>
          </w:tcPr>
          <w:p w14:paraId="5CAB7015" w14:textId="77777777" w:rsidR="00F5402B" w:rsidRPr="00F5402B" w:rsidRDefault="00F5402B" w:rsidP="002E2180">
            <w:pPr>
              <w:pStyle w:val="Tabletext"/>
              <w:keepNext/>
              <w:rPr>
                <w:bCs/>
              </w:rPr>
            </w:pPr>
            <w:r w:rsidRPr="00F5402B">
              <w:rPr>
                <w:bCs/>
              </w:rPr>
              <w:t>1 (0.3)</w:t>
            </w:r>
          </w:p>
        </w:tc>
        <w:tc>
          <w:tcPr>
            <w:tcW w:w="748" w:type="pct"/>
            <w:shd w:val="clear" w:color="auto" w:fill="auto"/>
          </w:tcPr>
          <w:p w14:paraId="37F7C4E6" w14:textId="77777777" w:rsidR="00F5402B" w:rsidRPr="00F5402B" w:rsidRDefault="00F5402B" w:rsidP="002E2180">
            <w:pPr>
              <w:pStyle w:val="Tabletext"/>
              <w:keepNext/>
              <w:rPr>
                <w:bCs/>
              </w:rPr>
            </w:pPr>
            <w:r w:rsidRPr="00F5402B">
              <w:rPr>
                <w:bCs/>
              </w:rPr>
              <w:t>11 (2.8)</w:t>
            </w:r>
          </w:p>
        </w:tc>
        <w:tc>
          <w:tcPr>
            <w:tcW w:w="436" w:type="pct"/>
            <w:shd w:val="clear" w:color="auto" w:fill="auto"/>
          </w:tcPr>
          <w:p w14:paraId="37497B47" w14:textId="77777777" w:rsidR="00F5402B" w:rsidRPr="00F5402B" w:rsidRDefault="00F5402B" w:rsidP="002E2180">
            <w:pPr>
              <w:pStyle w:val="Tabletext"/>
              <w:keepNext/>
              <w:rPr>
                <w:bCs/>
              </w:rPr>
            </w:pPr>
            <w:r w:rsidRPr="00F5402B">
              <w:rPr>
                <w:bCs/>
              </w:rPr>
              <w:t>0.006</w:t>
            </w:r>
          </w:p>
        </w:tc>
        <w:tc>
          <w:tcPr>
            <w:tcW w:w="737" w:type="pct"/>
            <w:shd w:val="clear" w:color="auto" w:fill="auto"/>
          </w:tcPr>
          <w:p w14:paraId="190B36D3" w14:textId="77777777" w:rsidR="00F5402B" w:rsidRPr="00F5402B" w:rsidRDefault="00F5402B" w:rsidP="002E2180">
            <w:pPr>
              <w:pStyle w:val="Tabletext"/>
              <w:keepNext/>
            </w:pPr>
            <w:r w:rsidRPr="00F5402B">
              <w:t>0 (0)</w:t>
            </w:r>
          </w:p>
        </w:tc>
        <w:tc>
          <w:tcPr>
            <w:tcW w:w="748" w:type="pct"/>
            <w:shd w:val="clear" w:color="auto" w:fill="auto"/>
          </w:tcPr>
          <w:p w14:paraId="5E4302EF" w14:textId="77777777" w:rsidR="00F5402B" w:rsidRPr="00F5402B" w:rsidRDefault="00F5402B" w:rsidP="002E2180">
            <w:pPr>
              <w:pStyle w:val="Tabletext"/>
              <w:keepNext/>
            </w:pPr>
            <w:r w:rsidRPr="00F5402B">
              <w:t>4 (8.0)</w:t>
            </w:r>
          </w:p>
        </w:tc>
        <w:tc>
          <w:tcPr>
            <w:tcW w:w="421" w:type="pct"/>
            <w:shd w:val="clear" w:color="auto" w:fill="auto"/>
          </w:tcPr>
          <w:p w14:paraId="4BD47333" w14:textId="77777777" w:rsidR="00F5402B" w:rsidRPr="00F5402B" w:rsidRDefault="00F5402B" w:rsidP="002E2180">
            <w:pPr>
              <w:pStyle w:val="Tabletext"/>
              <w:keepNext/>
            </w:pPr>
            <w:r w:rsidRPr="00F5402B">
              <w:t>0.056</w:t>
            </w:r>
          </w:p>
        </w:tc>
      </w:tr>
      <w:tr w:rsidR="00F5402B" w14:paraId="183DC9CF" w14:textId="77777777" w:rsidTr="008D0FE4">
        <w:trPr>
          <w:cantSplit/>
          <w:trHeight w:val="20"/>
        </w:trPr>
        <w:tc>
          <w:tcPr>
            <w:tcW w:w="1172" w:type="pct"/>
            <w:shd w:val="clear" w:color="auto" w:fill="auto"/>
          </w:tcPr>
          <w:p w14:paraId="2C1B5724" w14:textId="77777777" w:rsidR="00F5402B" w:rsidRDefault="00F5402B" w:rsidP="002E2180">
            <w:pPr>
              <w:pStyle w:val="Tabletext"/>
              <w:keepNext/>
            </w:pPr>
            <w:r>
              <w:t>Injection site erythema</w:t>
            </w:r>
          </w:p>
        </w:tc>
        <w:tc>
          <w:tcPr>
            <w:tcW w:w="737" w:type="pct"/>
            <w:shd w:val="clear" w:color="auto" w:fill="auto"/>
          </w:tcPr>
          <w:p w14:paraId="2FEACA42" w14:textId="77777777" w:rsidR="00F5402B" w:rsidRPr="00F5402B" w:rsidRDefault="00F5402B" w:rsidP="002E2180">
            <w:pPr>
              <w:pStyle w:val="Tabletext"/>
              <w:keepNext/>
            </w:pPr>
            <w:r w:rsidRPr="00F5402B">
              <w:t>0 (0.0)</w:t>
            </w:r>
          </w:p>
        </w:tc>
        <w:tc>
          <w:tcPr>
            <w:tcW w:w="748" w:type="pct"/>
            <w:shd w:val="clear" w:color="auto" w:fill="auto"/>
          </w:tcPr>
          <w:p w14:paraId="5D5E1912" w14:textId="77777777" w:rsidR="00F5402B" w:rsidRPr="00F5402B" w:rsidRDefault="00F5402B" w:rsidP="002E2180">
            <w:pPr>
              <w:pStyle w:val="Tabletext"/>
              <w:keepNext/>
            </w:pPr>
            <w:r w:rsidRPr="00F5402B">
              <w:t>3 (0.8)</w:t>
            </w:r>
          </w:p>
        </w:tc>
        <w:tc>
          <w:tcPr>
            <w:tcW w:w="436" w:type="pct"/>
            <w:shd w:val="clear" w:color="auto" w:fill="auto"/>
          </w:tcPr>
          <w:p w14:paraId="7DF4B23C" w14:textId="77777777" w:rsidR="00F5402B" w:rsidRPr="00F5402B" w:rsidRDefault="00F5402B" w:rsidP="002E2180">
            <w:pPr>
              <w:pStyle w:val="Tabletext"/>
              <w:keepNext/>
            </w:pPr>
            <w:r w:rsidRPr="00F5402B">
              <w:t>0.249</w:t>
            </w:r>
          </w:p>
        </w:tc>
        <w:tc>
          <w:tcPr>
            <w:tcW w:w="737" w:type="pct"/>
            <w:shd w:val="clear" w:color="auto" w:fill="auto"/>
          </w:tcPr>
          <w:p w14:paraId="2F669AD0" w14:textId="77777777" w:rsidR="00F5402B" w:rsidRPr="00F5402B" w:rsidRDefault="00F5402B" w:rsidP="002E2180">
            <w:pPr>
              <w:pStyle w:val="Tabletext"/>
              <w:keepNext/>
            </w:pPr>
            <w:r w:rsidRPr="00F5402B">
              <w:t>0 (0.0)</w:t>
            </w:r>
          </w:p>
        </w:tc>
        <w:tc>
          <w:tcPr>
            <w:tcW w:w="748" w:type="pct"/>
            <w:shd w:val="clear" w:color="auto" w:fill="auto"/>
          </w:tcPr>
          <w:p w14:paraId="0E4DF083" w14:textId="77777777" w:rsidR="00F5402B" w:rsidRPr="00F5402B" w:rsidRDefault="00F5402B" w:rsidP="002E2180">
            <w:pPr>
              <w:pStyle w:val="Tabletext"/>
              <w:keepNext/>
            </w:pPr>
            <w:r w:rsidRPr="00F5402B">
              <w:t>0 (0)</w:t>
            </w:r>
          </w:p>
        </w:tc>
        <w:tc>
          <w:tcPr>
            <w:tcW w:w="421" w:type="pct"/>
            <w:shd w:val="clear" w:color="auto" w:fill="auto"/>
          </w:tcPr>
          <w:p w14:paraId="5F1087FC" w14:textId="77777777" w:rsidR="00F5402B" w:rsidRPr="00F5402B" w:rsidRDefault="00F5402B" w:rsidP="002E2180">
            <w:pPr>
              <w:pStyle w:val="Tabletext"/>
              <w:keepNext/>
            </w:pPr>
            <w:r w:rsidRPr="00F5402B">
              <w:t>-</w:t>
            </w:r>
          </w:p>
        </w:tc>
      </w:tr>
      <w:tr w:rsidR="00F5402B" w14:paraId="2C288CAB" w14:textId="77777777" w:rsidTr="008D0FE4">
        <w:trPr>
          <w:cantSplit/>
          <w:trHeight w:val="20"/>
        </w:trPr>
        <w:tc>
          <w:tcPr>
            <w:tcW w:w="1172" w:type="pct"/>
            <w:shd w:val="clear" w:color="auto" w:fill="auto"/>
          </w:tcPr>
          <w:p w14:paraId="1573B5F6" w14:textId="77777777" w:rsidR="00F5402B" w:rsidRDefault="00F5402B" w:rsidP="002E2180">
            <w:pPr>
              <w:pStyle w:val="Tabletext"/>
              <w:keepNext/>
            </w:pPr>
            <w:r>
              <w:t>Injection site induration</w:t>
            </w:r>
          </w:p>
        </w:tc>
        <w:tc>
          <w:tcPr>
            <w:tcW w:w="737" w:type="pct"/>
            <w:shd w:val="clear" w:color="auto" w:fill="auto"/>
          </w:tcPr>
          <w:p w14:paraId="131854D8" w14:textId="77777777" w:rsidR="00F5402B" w:rsidRPr="00F5402B" w:rsidRDefault="00F5402B" w:rsidP="002E2180">
            <w:pPr>
              <w:pStyle w:val="Tabletext"/>
              <w:keepNext/>
            </w:pPr>
            <w:r w:rsidRPr="00F5402B">
              <w:t>0 (0.0)</w:t>
            </w:r>
          </w:p>
        </w:tc>
        <w:tc>
          <w:tcPr>
            <w:tcW w:w="748" w:type="pct"/>
            <w:shd w:val="clear" w:color="auto" w:fill="auto"/>
          </w:tcPr>
          <w:p w14:paraId="277B97F8" w14:textId="77777777" w:rsidR="00F5402B" w:rsidRPr="00F5402B" w:rsidRDefault="00F5402B" w:rsidP="002E2180">
            <w:pPr>
              <w:pStyle w:val="Tabletext"/>
              <w:keepNext/>
            </w:pPr>
            <w:r w:rsidRPr="00F5402B">
              <w:t>2 (0.5)</w:t>
            </w:r>
          </w:p>
        </w:tc>
        <w:tc>
          <w:tcPr>
            <w:tcW w:w="436" w:type="pct"/>
            <w:shd w:val="clear" w:color="auto" w:fill="auto"/>
          </w:tcPr>
          <w:p w14:paraId="4B81D318" w14:textId="77777777" w:rsidR="00F5402B" w:rsidRPr="00F5402B" w:rsidRDefault="00F5402B" w:rsidP="002E2180">
            <w:pPr>
              <w:pStyle w:val="Tabletext"/>
              <w:keepNext/>
            </w:pPr>
            <w:r w:rsidRPr="00F5402B">
              <w:t>0.499</w:t>
            </w:r>
          </w:p>
        </w:tc>
        <w:tc>
          <w:tcPr>
            <w:tcW w:w="737" w:type="pct"/>
            <w:shd w:val="clear" w:color="auto" w:fill="auto"/>
          </w:tcPr>
          <w:p w14:paraId="4E8C1CEE" w14:textId="77777777" w:rsidR="00F5402B" w:rsidRPr="00F5402B" w:rsidRDefault="00F5402B" w:rsidP="002E2180">
            <w:pPr>
              <w:pStyle w:val="Tabletext"/>
              <w:keepNext/>
            </w:pPr>
            <w:r w:rsidRPr="00F5402B">
              <w:t>0 (0.0)</w:t>
            </w:r>
          </w:p>
        </w:tc>
        <w:tc>
          <w:tcPr>
            <w:tcW w:w="748" w:type="pct"/>
            <w:shd w:val="clear" w:color="auto" w:fill="auto"/>
          </w:tcPr>
          <w:p w14:paraId="703EAECC" w14:textId="77777777" w:rsidR="00F5402B" w:rsidRPr="00F5402B" w:rsidRDefault="00F5402B" w:rsidP="002E2180">
            <w:pPr>
              <w:pStyle w:val="Tabletext"/>
              <w:keepNext/>
            </w:pPr>
            <w:r w:rsidRPr="00F5402B">
              <w:t>0 (0)</w:t>
            </w:r>
          </w:p>
        </w:tc>
        <w:tc>
          <w:tcPr>
            <w:tcW w:w="421" w:type="pct"/>
            <w:shd w:val="clear" w:color="auto" w:fill="auto"/>
          </w:tcPr>
          <w:p w14:paraId="2FC4CE3B" w14:textId="77777777" w:rsidR="00F5402B" w:rsidRPr="00F5402B" w:rsidRDefault="00F5402B" w:rsidP="002E2180">
            <w:pPr>
              <w:pStyle w:val="Tabletext"/>
              <w:keepNext/>
            </w:pPr>
            <w:r w:rsidRPr="00F5402B">
              <w:t>-</w:t>
            </w:r>
          </w:p>
        </w:tc>
      </w:tr>
      <w:tr w:rsidR="00F5402B" w14:paraId="1DAE5CAD" w14:textId="77777777" w:rsidTr="008D0FE4">
        <w:trPr>
          <w:cantSplit/>
          <w:trHeight w:val="20"/>
        </w:trPr>
        <w:tc>
          <w:tcPr>
            <w:tcW w:w="1172" w:type="pct"/>
            <w:shd w:val="clear" w:color="auto" w:fill="auto"/>
          </w:tcPr>
          <w:p w14:paraId="2AA950CB" w14:textId="77777777" w:rsidR="00F5402B" w:rsidRDefault="00F5402B" w:rsidP="002E2180">
            <w:pPr>
              <w:pStyle w:val="Tabletext"/>
              <w:keepNext/>
            </w:pPr>
            <w:r>
              <w:t>Injection site swelling</w:t>
            </w:r>
          </w:p>
        </w:tc>
        <w:tc>
          <w:tcPr>
            <w:tcW w:w="737" w:type="pct"/>
            <w:shd w:val="clear" w:color="auto" w:fill="auto"/>
          </w:tcPr>
          <w:p w14:paraId="3C8D38F7" w14:textId="77777777" w:rsidR="00F5402B" w:rsidRPr="00F5402B" w:rsidRDefault="00F5402B" w:rsidP="002E2180">
            <w:pPr>
              <w:pStyle w:val="Tabletext"/>
              <w:keepNext/>
            </w:pPr>
            <w:r w:rsidRPr="00F5402B">
              <w:t>0 (0.0)</w:t>
            </w:r>
          </w:p>
        </w:tc>
        <w:tc>
          <w:tcPr>
            <w:tcW w:w="748" w:type="pct"/>
            <w:shd w:val="clear" w:color="auto" w:fill="auto"/>
          </w:tcPr>
          <w:p w14:paraId="10CF1E92" w14:textId="77777777" w:rsidR="00F5402B" w:rsidRPr="00F5402B" w:rsidRDefault="00F5402B" w:rsidP="002E2180">
            <w:pPr>
              <w:pStyle w:val="Tabletext"/>
              <w:keepNext/>
            </w:pPr>
            <w:r w:rsidRPr="00F5402B">
              <w:t>0 (0.0)</w:t>
            </w:r>
          </w:p>
        </w:tc>
        <w:tc>
          <w:tcPr>
            <w:tcW w:w="436" w:type="pct"/>
            <w:shd w:val="clear" w:color="auto" w:fill="auto"/>
          </w:tcPr>
          <w:p w14:paraId="74D47B69" w14:textId="77777777" w:rsidR="00F5402B" w:rsidRPr="00F5402B" w:rsidRDefault="00F5402B" w:rsidP="002E2180">
            <w:pPr>
              <w:pStyle w:val="Tabletext"/>
              <w:keepNext/>
            </w:pPr>
            <w:r w:rsidRPr="00F5402B">
              <w:t>-</w:t>
            </w:r>
          </w:p>
        </w:tc>
        <w:tc>
          <w:tcPr>
            <w:tcW w:w="737" w:type="pct"/>
            <w:shd w:val="clear" w:color="auto" w:fill="auto"/>
          </w:tcPr>
          <w:p w14:paraId="168F6A13" w14:textId="77777777" w:rsidR="00F5402B" w:rsidRPr="00F5402B" w:rsidRDefault="00F5402B" w:rsidP="002E2180">
            <w:pPr>
              <w:pStyle w:val="Tabletext"/>
              <w:keepNext/>
            </w:pPr>
            <w:r w:rsidRPr="00F5402B">
              <w:t>0 (0.0)</w:t>
            </w:r>
          </w:p>
        </w:tc>
        <w:tc>
          <w:tcPr>
            <w:tcW w:w="748" w:type="pct"/>
            <w:shd w:val="clear" w:color="auto" w:fill="auto"/>
          </w:tcPr>
          <w:p w14:paraId="16E5295B" w14:textId="77777777" w:rsidR="00F5402B" w:rsidRPr="00F5402B" w:rsidRDefault="00F5402B" w:rsidP="002E2180">
            <w:pPr>
              <w:pStyle w:val="Tabletext"/>
              <w:keepNext/>
            </w:pPr>
            <w:r w:rsidRPr="00F5402B">
              <w:t>0 (0.0)</w:t>
            </w:r>
          </w:p>
        </w:tc>
        <w:tc>
          <w:tcPr>
            <w:tcW w:w="421" w:type="pct"/>
            <w:shd w:val="clear" w:color="auto" w:fill="auto"/>
          </w:tcPr>
          <w:p w14:paraId="7070425A" w14:textId="77777777" w:rsidR="00F5402B" w:rsidRPr="00F5402B" w:rsidRDefault="00F5402B" w:rsidP="002E2180">
            <w:pPr>
              <w:pStyle w:val="Tabletext"/>
              <w:keepNext/>
            </w:pPr>
            <w:r w:rsidRPr="00F5402B">
              <w:t>-</w:t>
            </w:r>
          </w:p>
        </w:tc>
      </w:tr>
      <w:tr w:rsidR="00F5402B" w14:paraId="7FB1BB28" w14:textId="77777777" w:rsidTr="008D0FE4">
        <w:trPr>
          <w:cantSplit/>
          <w:trHeight w:val="20"/>
        </w:trPr>
        <w:tc>
          <w:tcPr>
            <w:tcW w:w="1172" w:type="pct"/>
            <w:shd w:val="clear" w:color="auto" w:fill="auto"/>
          </w:tcPr>
          <w:p w14:paraId="45261491" w14:textId="77777777" w:rsidR="00F5402B" w:rsidRDefault="00F5402B" w:rsidP="002E2180">
            <w:pPr>
              <w:pStyle w:val="Tabletext"/>
              <w:keepNext/>
            </w:pPr>
            <w:r>
              <w:t>Injection site vasculitis</w:t>
            </w:r>
          </w:p>
        </w:tc>
        <w:tc>
          <w:tcPr>
            <w:tcW w:w="737" w:type="pct"/>
            <w:shd w:val="clear" w:color="auto" w:fill="auto"/>
          </w:tcPr>
          <w:p w14:paraId="60EFCF99" w14:textId="77777777" w:rsidR="00F5402B" w:rsidRPr="00F5402B" w:rsidRDefault="00F5402B" w:rsidP="002E2180">
            <w:pPr>
              <w:pStyle w:val="Tabletext"/>
              <w:keepNext/>
            </w:pPr>
            <w:r w:rsidRPr="00F5402B">
              <w:t>0 (0.0)</w:t>
            </w:r>
          </w:p>
        </w:tc>
        <w:tc>
          <w:tcPr>
            <w:tcW w:w="748" w:type="pct"/>
            <w:shd w:val="clear" w:color="auto" w:fill="auto"/>
          </w:tcPr>
          <w:p w14:paraId="6AFC0103" w14:textId="77777777" w:rsidR="00F5402B" w:rsidRPr="00F5402B" w:rsidRDefault="00F5402B" w:rsidP="002E2180">
            <w:pPr>
              <w:pStyle w:val="Tabletext"/>
              <w:keepNext/>
            </w:pPr>
            <w:r w:rsidRPr="00F5402B">
              <w:t>1 (0.3)</w:t>
            </w:r>
          </w:p>
        </w:tc>
        <w:tc>
          <w:tcPr>
            <w:tcW w:w="436" w:type="pct"/>
            <w:shd w:val="clear" w:color="auto" w:fill="auto"/>
          </w:tcPr>
          <w:p w14:paraId="60BFC786" w14:textId="77777777" w:rsidR="00F5402B" w:rsidRPr="00F5402B" w:rsidRDefault="00F5402B" w:rsidP="002E2180">
            <w:pPr>
              <w:pStyle w:val="Tabletext"/>
              <w:keepNext/>
            </w:pPr>
            <w:r w:rsidRPr="00F5402B">
              <w:t>1</w:t>
            </w:r>
          </w:p>
        </w:tc>
        <w:tc>
          <w:tcPr>
            <w:tcW w:w="737" w:type="pct"/>
            <w:shd w:val="clear" w:color="auto" w:fill="auto"/>
          </w:tcPr>
          <w:p w14:paraId="38564E33" w14:textId="77777777" w:rsidR="00F5402B" w:rsidRPr="00F5402B" w:rsidRDefault="00F5402B" w:rsidP="002E2180">
            <w:pPr>
              <w:pStyle w:val="Tabletext"/>
              <w:keepNext/>
            </w:pPr>
            <w:r w:rsidRPr="00F5402B">
              <w:t>0 (0.0)</w:t>
            </w:r>
          </w:p>
        </w:tc>
        <w:tc>
          <w:tcPr>
            <w:tcW w:w="748" w:type="pct"/>
            <w:shd w:val="clear" w:color="auto" w:fill="auto"/>
          </w:tcPr>
          <w:p w14:paraId="6202D14B" w14:textId="77777777" w:rsidR="00F5402B" w:rsidRPr="00F5402B" w:rsidRDefault="00F5402B" w:rsidP="002E2180">
            <w:pPr>
              <w:pStyle w:val="Tabletext"/>
              <w:keepNext/>
            </w:pPr>
            <w:r w:rsidRPr="00F5402B">
              <w:t>1 (2.0)</w:t>
            </w:r>
          </w:p>
        </w:tc>
        <w:tc>
          <w:tcPr>
            <w:tcW w:w="421" w:type="pct"/>
            <w:shd w:val="clear" w:color="auto" w:fill="auto"/>
          </w:tcPr>
          <w:p w14:paraId="21241120" w14:textId="77777777" w:rsidR="00F5402B" w:rsidRPr="00F5402B" w:rsidRDefault="00F5402B" w:rsidP="002E2180">
            <w:pPr>
              <w:pStyle w:val="Tabletext"/>
              <w:keepNext/>
            </w:pPr>
            <w:r w:rsidRPr="00F5402B">
              <w:t>0.461</w:t>
            </w:r>
          </w:p>
        </w:tc>
      </w:tr>
    </w:tbl>
    <w:p w14:paraId="37222A6E" w14:textId="77777777" w:rsidR="00F5402B" w:rsidRDefault="00F5402B" w:rsidP="00F5402B">
      <w:pPr>
        <w:pStyle w:val="TableFooter"/>
      </w:pPr>
      <w:r>
        <w:t>Source: Table 2-18, pp75-76 of the submission and the published reports for CONSOLE and CONSOLE-BC.</w:t>
      </w:r>
    </w:p>
    <w:p w14:paraId="34C290D5" w14:textId="77777777" w:rsidR="00F5402B" w:rsidRDefault="00F5402B" w:rsidP="00F5402B">
      <w:pPr>
        <w:pStyle w:val="TableFooter"/>
      </w:pPr>
      <w:r w:rsidRPr="004422E4">
        <w:t>AE=adverse event; FosAPR=fosaprepitant; FosNTP=fosnetupitant;</w:t>
      </w:r>
      <w:r>
        <w:t xml:space="preserve"> ISR= injection site reaction; IV=intravenous; NR=not reported;</w:t>
      </w:r>
      <w:r w:rsidRPr="004422E4">
        <w:t xml:space="preserve"> </w:t>
      </w:r>
      <w:r>
        <w:t>PALO=palonosetron;</w:t>
      </w:r>
      <w:r w:rsidRPr="004422E4">
        <w:t xml:space="preserve"> TRAE=treatment-related AE</w:t>
      </w:r>
    </w:p>
    <w:p w14:paraId="273B112C" w14:textId="10FC2518" w:rsidR="00F5402B" w:rsidRDefault="00F5402B" w:rsidP="00F5402B">
      <w:pPr>
        <w:pStyle w:val="TableFooter"/>
      </w:pPr>
      <w:r>
        <w:rPr>
          <w:vertAlign w:val="superscript"/>
        </w:rPr>
        <w:t>a</w:t>
      </w:r>
      <w:r w:rsidR="009D322D">
        <w:rPr>
          <w:vertAlign w:val="superscript"/>
        </w:rPr>
        <w:t xml:space="preserve"> </w:t>
      </w:r>
      <w:r>
        <w:t>Fisher’s exact test</w:t>
      </w:r>
    </w:p>
    <w:p w14:paraId="6879A5E3" w14:textId="26E9F833" w:rsidR="00F5402B" w:rsidRDefault="00F5402B" w:rsidP="00F5402B">
      <w:pPr>
        <w:pStyle w:val="TableFooter"/>
      </w:pPr>
      <w:r>
        <w:rPr>
          <w:vertAlign w:val="superscript"/>
        </w:rPr>
        <w:t>b</w:t>
      </w:r>
      <w:r w:rsidR="009D322D">
        <w:rPr>
          <w:vertAlign w:val="superscript"/>
        </w:rPr>
        <w:t xml:space="preserve"> </w:t>
      </w:r>
      <w:r w:rsidRPr="00CE3226">
        <w:t>Not reported in CONSOLE-BC</w:t>
      </w:r>
      <w:r>
        <w:t>.</w:t>
      </w:r>
      <w:r w:rsidRPr="00CE3226">
        <w:t xml:space="preserve"> </w:t>
      </w:r>
      <w:r>
        <w:t>p</w:t>
      </w:r>
      <w:r w:rsidRPr="00CE3226">
        <w:t xml:space="preserve"> values for risk difference calculated </w:t>
      </w:r>
      <w:r>
        <w:t xml:space="preserve">for the submission </w:t>
      </w:r>
      <w:r w:rsidRPr="00CE3226">
        <w:t>using Rev</w:t>
      </w:r>
      <w:r w:rsidR="009D322D">
        <w:t>M</w:t>
      </w:r>
      <w:r w:rsidRPr="00CE3226">
        <w:t>an 5.3</w:t>
      </w:r>
    </w:p>
    <w:p w14:paraId="3B135162" w14:textId="7449F08E" w:rsidR="00F5402B" w:rsidRDefault="00F5402B" w:rsidP="00F5402B">
      <w:pPr>
        <w:pStyle w:val="TableFooter"/>
      </w:pPr>
      <w:r>
        <w:rPr>
          <w:vertAlign w:val="superscript"/>
        </w:rPr>
        <w:t>c</w:t>
      </w:r>
      <w:r w:rsidR="009D322D">
        <w:rPr>
          <w:vertAlign w:val="superscript"/>
        </w:rPr>
        <w:t xml:space="preserve"> </w:t>
      </w:r>
      <w:r>
        <w:t xml:space="preserve">There were no events recorded for pain, </w:t>
      </w:r>
      <w:r w:rsidRPr="00F5402B">
        <w:t>phlebitis</w:t>
      </w:r>
      <w:r>
        <w:t xml:space="preserve">, and </w:t>
      </w:r>
      <w:r w:rsidRPr="00F5402B">
        <w:t>thrombosi</w:t>
      </w:r>
      <w:r>
        <w:t>s</w:t>
      </w:r>
      <w:r w:rsidR="002E2180">
        <w:t>.</w:t>
      </w:r>
    </w:p>
    <w:p w14:paraId="4E51B5F4" w14:textId="42D4214B" w:rsidR="002E2180" w:rsidRDefault="002E2180" w:rsidP="002E2180"/>
    <w:p w14:paraId="4F5865B7" w14:textId="0D8C1095" w:rsidR="002E2180" w:rsidRDefault="002E2180" w:rsidP="002E2180">
      <w:pPr>
        <w:pStyle w:val="3-BodyText"/>
      </w:pPr>
      <w:r w:rsidRPr="003C61D4">
        <w:t>In CONSOLE</w:t>
      </w:r>
      <w:r>
        <w:t>,</w:t>
      </w:r>
      <w:r w:rsidRPr="003C61D4">
        <w:t xml:space="preserve"> the</w:t>
      </w:r>
      <w:r>
        <w:t xml:space="preserve"> incidence of </w:t>
      </w:r>
      <w:r w:rsidRPr="003C61D4">
        <w:t xml:space="preserve">total ISRs </w:t>
      </w:r>
      <w:r>
        <w:t xml:space="preserve">was lower in the </w:t>
      </w:r>
      <w:r w:rsidR="00F160FA">
        <w:t>FosNTP</w:t>
      </w:r>
      <w:r w:rsidRPr="003C61D4">
        <w:t xml:space="preserve">+PALO IV </w:t>
      </w:r>
      <w:r>
        <w:t xml:space="preserve">treatment arm </w:t>
      </w:r>
      <w:r w:rsidRPr="003C61D4">
        <w:t xml:space="preserve">compared with </w:t>
      </w:r>
      <w:r>
        <w:t xml:space="preserve">the </w:t>
      </w:r>
      <w:r w:rsidR="00966F38">
        <w:t>FosAPR</w:t>
      </w:r>
      <w:r w:rsidRPr="003C61D4">
        <w:t>+PALO IV</w:t>
      </w:r>
      <w:r>
        <w:t xml:space="preserve"> treatment arm</w:t>
      </w:r>
      <w:r w:rsidRPr="003C61D4">
        <w:t xml:space="preserve"> (11.0% vs. 20.6%). Injection site pain also occurred at a </w:t>
      </w:r>
      <w:r>
        <w:t>lower frequency</w:t>
      </w:r>
      <w:r w:rsidRPr="003C61D4">
        <w:t xml:space="preserve"> with </w:t>
      </w:r>
      <w:r w:rsidR="00F160FA">
        <w:t>FosNTP</w:t>
      </w:r>
      <w:r w:rsidRPr="003C61D4">
        <w:t xml:space="preserve">+PALO IV (5.6%) </w:t>
      </w:r>
      <w:r>
        <w:t>versus</w:t>
      </w:r>
      <w:r w:rsidRPr="003C61D4">
        <w:t xml:space="preserve"> </w:t>
      </w:r>
      <w:r w:rsidR="00966F38">
        <w:t>FosAPR</w:t>
      </w:r>
      <w:r w:rsidRPr="003C61D4">
        <w:t>+PALO IV (13.2%)</w:t>
      </w:r>
      <w:r>
        <w:t>.</w:t>
      </w:r>
      <w:r w:rsidRPr="003C61D4">
        <w:t xml:space="preserve"> </w:t>
      </w:r>
      <w:r>
        <w:t>The incidence of t</w:t>
      </w:r>
      <w:r w:rsidRPr="003C61D4">
        <w:t>reatment-related total ISRs and injection site pain w</w:t>
      </w:r>
      <w:r>
        <w:t>as</w:t>
      </w:r>
      <w:r w:rsidRPr="003C61D4">
        <w:t xml:space="preserve"> also </w:t>
      </w:r>
      <w:r>
        <w:t>lower</w:t>
      </w:r>
      <w:r w:rsidRPr="003C61D4">
        <w:t xml:space="preserve"> </w:t>
      </w:r>
      <w:r>
        <w:t>with</w:t>
      </w:r>
      <w:r w:rsidRPr="003C61D4">
        <w:t xml:space="preserve"> </w:t>
      </w:r>
      <w:r w:rsidR="00F160FA">
        <w:t>FosNTP</w:t>
      </w:r>
      <w:r w:rsidRPr="003C61D4">
        <w:t xml:space="preserve">+PALO IV </w:t>
      </w:r>
      <w:r>
        <w:t>versus</w:t>
      </w:r>
      <w:r w:rsidRPr="003C61D4">
        <w:t xml:space="preserve"> </w:t>
      </w:r>
      <w:r w:rsidR="00966F38">
        <w:t>FosAPR</w:t>
      </w:r>
      <w:r w:rsidRPr="003C61D4">
        <w:t>+PALO IV</w:t>
      </w:r>
      <w:r>
        <w:t xml:space="preserve"> (</w:t>
      </w:r>
      <w:r w:rsidRPr="003C61D4">
        <w:t>TRAE total ISRs</w:t>
      </w:r>
      <w:r>
        <w:t xml:space="preserve">: </w:t>
      </w:r>
      <w:r w:rsidRPr="003C61D4">
        <w:t>0.3% vs. 3.6%</w:t>
      </w:r>
      <w:r>
        <w:t xml:space="preserve">; </w:t>
      </w:r>
      <w:r w:rsidRPr="003C61D4">
        <w:t>TRAE injection site pain</w:t>
      </w:r>
      <w:r>
        <w:t>:</w:t>
      </w:r>
      <w:r w:rsidRPr="003C61D4">
        <w:t xml:space="preserve"> 0.3% vs. 2.8%</w:t>
      </w:r>
      <w:r>
        <w:t>).</w:t>
      </w:r>
    </w:p>
    <w:p w14:paraId="67CA7CE2" w14:textId="094F000C" w:rsidR="002E2180" w:rsidRPr="0002340D" w:rsidRDefault="002E2180" w:rsidP="002E2180">
      <w:pPr>
        <w:pStyle w:val="3-BodyText"/>
      </w:pPr>
      <w:r w:rsidRPr="0002340D">
        <w:t xml:space="preserve">The submission presented p-values for differences in the frequency of AEs between the treatment arms in the CONSOLE and CONSOLE-BC trials. There was no indication from the trial reports or submission that i) formal statistical analyses were pre-specified for safety in the CONSOLE and CONSOLE-BC trial protocols, and ii) adjustment for multiplicity was carried out in order to control the false positive rate. The presented p-values </w:t>
      </w:r>
      <w:r w:rsidR="00F042AB" w:rsidRPr="0002340D">
        <w:t>may</w:t>
      </w:r>
      <w:r w:rsidRPr="0002340D">
        <w:t xml:space="preserve"> lead to misinterpretation and inadequate conclusions about comparative safety. In the case of AEs, p-values </w:t>
      </w:r>
      <w:r w:rsidR="00060A5A">
        <w:t>can be</w:t>
      </w:r>
      <w:r w:rsidR="00060A5A" w:rsidRPr="0002340D">
        <w:t xml:space="preserve"> </w:t>
      </w:r>
      <w:r w:rsidRPr="0002340D">
        <w:t>of limited value; the clinical importance of differences in AEs between treatment arms depends on the seriousness or severity of the safety outcomes, irrespective of the derived p-values.</w:t>
      </w:r>
    </w:p>
    <w:p w14:paraId="5E25D8EB" w14:textId="22997F0A" w:rsidR="002E2180" w:rsidRDefault="003C3ADC" w:rsidP="002E2180">
      <w:pPr>
        <w:pStyle w:val="3-BodyText"/>
      </w:pPr>
      <w:r w:rsidRPr="003C3ADC">
        <w:t xml:space="preserve">In CONSOLE, for </w:t>
      </w:r>
      <w:r w:rsidR="00F160FA">
        <w:t>FosNTP</w:t>
      </w:r>
      <w:r w:rsidRPr="003C3ADC">
        <w:t xml:space="preserve">+PALO IV versus </w:t>
      </w:r>
      <w:r w:rsidR="00966F38">
        <w:t>FosAPR</w:t>
      </w:r>
      <w:r w:rsidRPr="003C3ADC">
        <w:t xml:space="preserve">+PALO IV, TRAEs </w:t>
      </w:r>
      <w:r>
        <w:t xml:space="preserve">(excluding ISRs) </w:t>
      </w:r>
      <w:r w:rsidRPr="003C3ADC">
        <w:t>that were observed in ≥5% of patients in either treatment arm were constipation (11.2% vs. 13.7%) and hiccups (4.8% vs. 7.1%).</w:t>
      </w:r>
    </w:p>
    <w:p w14:paraId="4E984147" w14:textId="1DFC042F" w:rsidR="00BB2F85" w:rsidRDefault="00BB2F85" w:rsidP="002E2180">
      <w:pPr>
        <w:pStyle w:val="3-BodyText"/>
      </w:pPr>
      <w:r>
        <w:t xml:space="preserve">Extended safety in single arm M-cycles phase of CONSOLE: </w:t>
      </w:r>
      <w:r w:rsidRPr="00BB2F85">
        <w:t xml:space="preserve">126 patients out of a total of 785 patients </w:t>
      </w:r>
      <w:r w:rsidR="00F042AB">
        <w:t xml:space="preserve">(16.1%) </w:t>
      </w:r>
      <w:r w:rsidRPr="00BB2F85">
        <w:t xml:space="preserve">received open label </w:t>
      </w:r>
      <w:r w:rsidR="00F160FA">
        <w:t>FosNTP</w:t>
      </w:r>
      <w:r w:rsidRPr="00BB2F85">
        <w:t xml:space="preserve">+PALO IV during cycles 2-4 (n=65 from the randomised </w:t>
      </w:r>
      <w:r w:rsidR="00F160FA">
        <w:t>FosNTP</w:t>
      </w:r>
      <w:r w:rsidRPr="00BB2F85">
        <w:t xml:space="preserve">+PALO IV arm and n=61 from the randomised </w:t>
      </w:r>
      <w:r w:rsidR="00966F38">
        <w:t>FosAPR</w:t>
      </w:r>
      <w:r w:rsidRPr="00BB2F85">
        <w:t xml:space="preserve">+PALO IV arm). One patient </w:t>
      </w:r>
      <w:r w:rsidR="00530DEE">
        <w:t xml:space="preserve">(0.8%) </w:t>
      </w:r>
      <w:r w:rsidRPr="00BB2F85">
        <w:t>reported a Grade ≥3 TRAE during chemotherapy Cycle 3. The only TRAE seen in ≥5% of patients was hiccups (5.9% in Cycle 3)</w:t>
      </w:r>
      <w:r>
        <w:t xml:space="preserve">. </w:t>
      </w:r>
      <w:r w:rsidRPr="0002340D">
        <w:rPr>
          <w:iCs/>
        </w:rPr>
        <w:t>Overall, the incidence of AEs appeared lower in the extended phase compared to the randomised S-Cycle phase.</w:t>
      </w:r>
    </w:p>
    <w:p w14:paraId="635E1809" w14:textId="36C1914B" w:rsidR="00F042AB" w:rsidRDefault="003C3ADC" w:rsidP="002E2180">
      <w:pPr>
        <w:pStyle w:val="3-BodyText"/>
      </w:pPr>
      <w:r w:rsidRPr="003C3ADC">
        <w:t xml:space="preserve">In CONSOLE-BC, in the </w:t>
      </w:r>
      <w:r w:rsidR="00F160FA">
        <w:t>FosNTP</w:t>
      </w:r>
      <w:r w:rsidRPr="003C3ADC">
        <w:t xml:space="preserve">+PALO IV treatment arm, TRAEs (excluding ISRs) reported in ≥5% of patients were headache, diarrhoea, urticaria, malaise, and decreased appetite (5.8% </w:t>
      </w:r>
      <w:r w:rsidR="00F042AB">
        <w:t xml:space="preserve">(3 out of 52 patients </w:t>
      </w:r>
      <w:r w:rsidR="00F042AB" w:rsidRPr="003C3ADC">
        <w:t>each</w:t>
      </w:r>
      <w:r w:rsidRPr="003C3ADC">
        <w:t>)</w:t>
      </w:r>
      <w:r w:rsidR="00F042AB">
        <w:t>)</w:t>
      </w:r>
      <w:r w:rsidRPr="003C3ADC">
        <w:t xml:space="preserve">. One serious TRAE (urticaria) was reported in the </w:t>
      </w:r>
      <w:r w:rsidR="00F160FA">
        <w:t>FosNTP</w:t>
      </w:r>
      <w:r w:rsidRPr="003C3ADC">
        <w:t xml:space="preserve">+PALO IV treatment arm </w:t>
      </w:r>
      <w:r w:rsidR="00060A5A">
        <w:t>which</w:t>
      </w:r>
      <w:r w:rsidRPr="003C3ADC">
        <w:t xml:space="preserve"> was resolved 6 days after its onset with treatment. In the </w:t>
      </w:r>
      <w:r w:rsidR="00966F38">
        <w:t>FosAPR</w:t>
      </w:r>
      <w:r w:rsidRPr="003C3ADC">
        <w:t>+PALO IV treatment arm, the TRAE reported in ≥5% of patients was constipation (6.0%</w:t>
      </w:r>
      <w:r w:rsidR="00F042AB">
        <w:t xml:space="preserve"> (</w:t>
      </w:r>
      <w:r w:rsidRPr="003C3ADC">
        <w:t>3 of 50 patients)</w:t>
      </w:r>
      <w:r w:rsidR="00F042AB">
        <w:t>).</w:t>
      </w:r>
    </w:p>
    <w:p w14:paraId="5F0E1283" w14:textId="23252736" w:rsidR="002E2180" w:rsidRDefault="003C3ADC" w:rsidP="002E2180">
      <w:pPr>
        <w:pStyle w:val="3-BodyText"/>
      </w:pPr>
      <w:r w:rsidRPr="003C3ADC">
        <w:t xml:space="preserve">No AEs leading to death or discontinuation </w:t>
      </w:r>
      <w:r>
        <w:t>were reported in the trials.</w:t>
      </w:r>
    </w:p>
    <w:p w14:paraId="764AD5F7" w14:textId="5A3D222F" w:rsidR="003C3ADC" w:rsidRDefault="00023519" w:rsidP="002E2180">
      <w:pPr>
        <w:pStyle w:val="3-BodyText"/>
      </w:pPr>
      <w:r w:rsidRPr="00023519">
        <w:t>The submission conducted a meta-analysis of ISR-related outcomes in CONSOLE and CONSOLE-BC using a random effects model. The forest plots for the outcomes of “TRAEs Total ISRs”, “TRAEs Injection site pain”, “AEs Total ISRs”, and “AEs Injection site pain” are presented in</w:t>
      </w:r>
      <w:r>
        <w:t xml:space="preserve"> </w:t>
      </w:r>
      <w:r>
        <w:fldChar w:fldCharType="begin"/>
      </w:r>
      <w:r>
        <w:instrText xml:space="preserve"> REF _Ref122686556 \h </w:instrText>
      </w:r>
      <w:r>
        <w:fldChar w:fldCharType="separate"/>
      </w:r>
      <w:r w:rsidR="00775281">
        <w:t xml:space="preserve">Figure </w:t>
      </w:r>
      <w:r w:rsidR="00775281">
        <w:rPr>
          <w:noProof/>
        </w:rPr>
        <w:t>2</w:t>
      </w:r>
      <w:r>
        <w:fldChar w:fldCharType="end"/>
      </w:r>
      <w:r>
        <w:t xml:space="preserve">, </w:t>
      </w:r>
      <w:r>
        <w:fldChar w:fldCharType="begin"/>
      </w:r>
      <w:r>
        <w:instrText xml:space="preserve"> REF _Ref122686558 \h </w:instrText>
      </w:r>
      <w:r>
        <w:fldChar w:fldCharType="separate"/>
      </w:r>
      <w:r w:rsidR="00775281">
        <w:t xml:space="preserve">Figure </w:t>
      </w:r>
      <w:r w:rsidR="00775281">
        <w:rPr>
          <w:noProof/>
        </w:rPr>
        <w:t>3</w:t>
      </w:r>
      <w:r>
        <w:fldChar w:fldCharType="end"/>
      </w:r>
      <w:r>
        <w:t xml:space="preserve">, </w:t>
      </w:r>
      <w:r>
        <w:fldChar w:fldCharType="begin"/>
      </w:r>
      <w:r>
        <w:instrText xml:space="preserve"> REF _Ref122686560 \h </w:instrText>
      </w:r>
      <w:r>
        <w:fldChar w:fldCharType="separate"/>
      </w:r>
      <w:r w:rsidR="00775281">
        <w:t xml:space="preserve">Figure </w:t>
      </w:r>
      <w:r w:rsidR="00775281">
        <w:rPr>
          <w:noProof/>
        </w:rPr>
        <w:t>4</w:t>
      </w:r>
      <w:r>
        <w:fldChar w:fldCharType="end"/>
      </w:r>
      <w:r>
        <w:t xml:space="preserve">, and </w:t>
      </w:r>
      <w:r>
        <w:fldChar w:fldCharType="begin"/>
      </w:r>
      <w:r>
        <w:instrText xml:space="preserve"> REF _Ref122686562 \h </w:instrText>
      </w:r>
      <w:r>
        <w:fldChar w:fldCharType="separate"/>
      </w:r>
      <w:r w:rsidR="00775281">
        <w:t xml:space="preserve">Figure </w:t>
      </w:r>
      <w:r w:rsidR="00775281">
        <w:rPr>
          <w:noProof/>
        </w:rPr>
        <w:t>5</w:t>
      </w:r>
      <w:r>
        <w:fldChar w:fldCharType="end"/>
      </w:r>
      <w:r>
        <w:t>, respectively.</w:t>
      </w:r>
    </w:p>
    <w:p w14:paraId="646E9386" w14:textId="28F0DACF" w:rsidR="00023519" w:rsidRPr="00023519" w:rsidRDefault="00023519" w:rsidP="00023519">
      <w:pPr>
        <w:pStyle w:val="Caption"/>
      </w:pPr>
      <w:bookmarkStart w:id="36" w:name="_Ref122686556"/>
      <w:r>
        <w:t xml:space="preserve">Figure </w:t>
      </w:r>
      <w:fldSimple w:instr=" SEQ Figure \* ARABIC ">
        <w:r w:rsidR="00775281">
          <w:rPr>
            <w:noProof/>
          </w:rPr>
          <w:t>2</w:t>
        </w:r>
      </w:fldSimple>
      <w:bookmarkEnd w:id="36"/>
      <w:r>
        <w:t xml:space="preserve">: </w:t>
      </w:r>
      <w:r w:rsidRPr="00023519">
        <w:t>Meta-analysis of the included trials: Outcome of “TRAEs - Total ISRs”</w:t>
      </w:r>
    </w:p>
    <w:p w14:paraId="011E713F" w14:textId="77777777" w:rsidR="00023519" w:rsidRDefault="00023519" w:rsidP="00023519">
      <w:pPr>
        <w:pStyle w:val="TableFooter"/>
      </w:pPr>
      <w:r w:rsidRPr="002F031E">
        <w:rPr>
          <w:noProof/>
        </w:rPr>
        <w:drawing>
          <wp:inline distT="0" distB="0" distL="0" distR="0" wp14:anchorId="5F64F0A6" wp14:editId="77C3E92F">
            <wp:extent cx="5732145" cy="2057400"/>
            <wp:effectExtent l="0" t="0" r="1905" b="0"/>
            <wp:docPr id="14" name="Picture 14" descr="Figure 2: Meta-analysis of the included trials: Outcome of “TRAEs - Total IS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Figure 2: Meta-analysis of the included trials: Outcome of “TRAEs - Total ISRs”"/>
                    <pic:cNvPicPr/>
                  </pic:nvPicPr>
                  <pic:blipFill>
                    <a:blip r:embed="rId9"/>
                    <a:stretch>
                      <a:fillRect/>
                    </a:stretch>
                  </pic:blipFill>
                  <pic:spPr>
                    <a:xfrm>
                      <a:off x="0" y="0"/>
                      <a:ext cx="5732145" cy="2057400"/>
                    </a:xfrm>
                    <a:prstGeom prst="rect">
                      <a:avLst/>
                    </a:prstGeom>
                  </pic:spPr>
                </pic:pic>
              </a:graphicData>
            </a:graphic>
          </wp:inline>
        </w:drawing>
      </w:r>
    </w:p>
    <w:p w14:paraId="07EB3124" w14:textId="4467D390" w:rsidR="00023519" w:rsidRDefault="00023519" w:rsidP="00023519">
      <w:pPr>
        <w:pStyle w:val="TableFooter"/>
      </w:pPr>
      <w:r>
        <w:t xml:space="preserve">Source: Table 2-21, p80, and </w:t>
      </w:r>
      <w:r w:rsidR="00680091">
        <w:t xml:space="preserve">Figure ES-2 of </w:t>
      </w:r>
      <w:r>
        <w:t>the Executive Summary of the submission.</w:t>
      </w:r>
    </w:p>
    <w:p w14:paraId="64C8EED8" w14:textId="2E3170E3" w:rsidR="00023519" w:rsidRDefault="00023519" w:rsidP="00023519">
      <w:pPr>
        <w:pStyle w:val="TableFooter"/>
      </w:pPr>
      <w:r w:rsidRPr="005812C9">
        <w:t>CI=confidence interval; FosAPR=fosaprepitant; FosNTP=fosnetupitant; ISRs=injection site reactions; PALO=palonosetron; TRAEs=treatment-related adverse events</w:t>
      </w:r>
      <w:r>
        <w:t>.</w:t>
      </w:r>
    </w:p>
    <w:p w14:paraId="39C47834" w14:textId="77777777" w:rsidR="00023519" w:rsidRPr="00E40481" w:rsidRDefault="00023519" w:rsidP="00023519"/>
    <w:p w14:paraId="0B7FC5BA" w14:textId="32AF33A1" w:rsidR="00023519" w:rsidRDefault="00023519" w:rsidP="00023519">
      <w:pPr>
        <w:pStyle w:val="Caption"/>
        <w:rPr>
          <w:i/>
        </w:rPr>
      </w:pPr>
      <w:bookmarkStart w:id="37" w:name="_Ref122686558"/>
      <w:r>
        <w:t xml:space="preserve">Figure </w:t>
      </w:r>
      <w:fldSimple w:instr=" SEQ Figure \* ARABIC ">
        <w:r w:rsidR="00775281">
          <w:rPr>
            <w:noProof/>
          </w:rPr>
          <w:t>3</w:t>
        </w:r>
      </w:fldSimple>
      <w:bookmarkEnd w:id="37"/>
      <w:r>
        <w:t>: Meta-analysis of the included trials: O</w:t>
      </w:r>
      <w:r w:rsidRPr="00BA1F3A">
        <w:t>utcome</w:t>
      </w:r>
      <w:r>
        <w:t xml:space="preserve"> of </w:t>
      </w:r>
      <w:r w:rsidRPr="00BA1F3A">
        <w:t xml:space="preserve">“TRAEs </w:t>
      </w:r>
      <w:r>
        <w:t>–</w:t>
      </w:r>
      <w:r w:rsidRPr="00BA1F3A">
        <w:t xml:space="preserve"> </w:t>
      </w:r>
      <w:r>
        <w:t>Injection site pain</w:t>
      </w:r>
      <w:r w:rsidRPr="00BA1F3A">
        <w:t>”</w:t>
      </w:r>
    </w:p>
    <w:p w14:paraId="3FD125EB" w14:textId="77777777" w:rsidR="00023519" w:rsidRDefault="00023519" w:rsidP="00023519">
      <w:r w:rsidRPr="00BA1F3A">
        <w:rPr>
          <w:noProof/>
        </w:rPr>
        <w:drawing>
          <wp:inline distT="0" distB="0" distL="0" distR="0" wp14:anchorId="0CB98048" wp14:editId="764D4BD2">
            <wp:extent cx="5732145" cy="2067005"/>
            <wp:effectExtent l="0" t="0" r="1905" b="9525"/>
            <wp:docPr id="15" name="Picture 15" descr="Figure 3: Meta-analysis of the included trials: Outcome of “TRAEs – Injection site p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Figure 3: Meta-analysis of the included trials: Outcome of “TRAEs – Injection site pain”"/>
                    <pic:cNvPicPr/>
                  </pic:nvPicPr>
                  <pic:blipFill>
                    <a:blip r:embed="rId10"/>
                    <a:stretch>
                      <a:fillRect/>
                    </a:stretch>
                  </pic:blipFill>
                  <pic:spPr>
                    <a:xfrm>
                      <a:off x="0" y="0"/>
                      <a:ext cx="5736025" cy="2068404"/>
                    </a:xfrm>
                    <a:prstGeom prst="rect">
                      <a:avLst/>
                    </a:prstGeom>
                  </pic:spPr>
                </pic:pic>
              </a:graphicData>
            </a:graphic>
          </wp:inline>
        </w:drawing>
      </w:r>
    </w:p>
    <w:p w14:paraId="3E7B0D90" w14:textId="4B96E546" w:rsidR="00023519" w:rsidRPr="00E40481" w:rsidRDefault="00680091" w:rsidP="00023519">
      <w:pPr>
        <w:pStyle w:val="TableFooter"/>
      </w:pPr>
      <w:r>
        <w:t xml:space="preserve">Source: Table 2-21, p80, and Figure ES-3 of the Executive Summary of the submission </w:t>
      </w:r>
      <w:r w:rsidR="00023519">
        <w:t xml:space="preserve">CI=confidence interval; </w:t>
      </w:r>
      <w:r w:rsidR="00023519" w:rsidRPr="00E40481">
        <w:t>FosAPR=fosaprepitant; FosNTP=fosnetupitant; PALO=palonosetron</w:t>
      </w:r>
      <w:r w:rsidR="00023519">
        <w:t>; TRAEs=treatment-related adverse events</w:t>
      </w:r>
    </w:p>
    <w:p w14:paraId="11C424E8" w14:textId="77777777" w:rsidR="00023519" w:rsidRPr="00BA1F3A" w:rsidRDefault="00023519" w:rsidP="00023519"/>
    <w:p w14:paraId="2CC898B9" w14:textId="736D9498" w:rsidR="00023519" w:rsidRDefault="00023519" w:rsidP="00023519">
      <w:pPr>
        <w:pStyle w:val="Caption"/>
        <w:rPr>
          <w:i/>
        </w:rPr>
      </w:pPr>
      <w:bookmarkStart w:id="38" w:name="_Ref122686560"/>
      <w:r>
        <w:t xml:space="preserve">Figure </w:t>
      </w:r>
      <w:fldSimple w:instr=" SEQ Figure \* ARABIC ">
        <w:r w:rsidR="00775281">
          <w:rPr>
            <w:noProof/>
          </w:rPr>
          <w:t>4</w:t>
        </w:r>
      </w:fldSimple>
      <w:bookmarkEnd w:id="38"/>
      <w:r>
        <w:t>: Meta-analysis of the included trials: O</w:t>
      </w:r>
      <w:r w:rsidRPr="00BA1F3A">
        <w:t>utcome</w:t>
      </w:r>
      <w:r>
        <w:t xml:space="preserve"> of “</w:t>
      </w:r>
      <w:r w:rsidRPr="004C33CE">
        <w:t>AEs - Total ISRs”</w:t>
      </w:r>
    </w:p>
    <w:p w14:paraId="2697ACC7" w14:textId="77777777" w:rsidR="00023519" w:rsidRDefault="00023519" w:rsidP="00023519">
      <w:pPr>
        <w:pStyle w:val="TableFooter"/>
      </w:pPr>
      <w:r w:rsidRPr="00BA1F3A">
        <w:rPr>
          <w:noProof/>
        </w:rPr>
        <w:drawing>
          <wp:inline distT="0" distB="0" distL="0" distR="0" wp14:anchorId="601EE47F" wp14:editId="1EA1D86E">
            <wp:extent cx="5732145" cy="2066925"/>
            <wp:effectExtent l="0" t="0" r="1905" b="9525"/>
            <wp:docPr id="16" name="Picture 16" descr="Figure 4: Meta-analysis of the included trials: Outcome of “AEs - Total IS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Figure 4: Meta-analysis of the included trials: Outcome of “AEs - Total ISRs”"/>
                    <pic:cNvPicPr/>
                  </pic:nvPicPr>
                  <pic:blipFill>
                    <a:blip r:embed="rId11"/>
                    <a:stretch>
                      <a:fillRect/>
                    </a:stretch>
                  </pic:blipFill>
                  <pic:spPr>
                    <a:xfrm>
                      <a:off x="0" y="0"/>
                      <a:ext cx="5732145" cy="2066925"/>
                    </a:xfrm>
                    <a:prstGeom prst="rect">
                      <a:avLst/>
                    </a:prstGeom>
                  </pic:spPr>
                </pic:pic>
              </a:graphicData>
            </a:graphic>
          </wp:inline>
        </w:drawing>
      </w:r>
    </w:p>
    <w:p w14:paraId="23CC1148" w14:textId="09577016" w:rsidR="00023519" w:rsidRDefault="00680091" w:rsidP="00023519">
      <w:pPr>
        <w:pStyle w:val="TableFooter"/>
      </w:pPr>
      <w:r>
        <w:t>Source: Table 2-21, p80, and Figure ES-4 of the Executive Summary of the submission</w:t>
      </w:r>
      <w:r w:rsidR="00023519">
        <w:t>.</w:t>
      </w:r>
    </w:p>
    <w:p w14:paraId="66BFB977" w14:textId="77777777" w:rsidR="00023519" w:rsidRPr="00E40481" w:rsidRDefault="00023519" w:rsidP="00023519">
      <w:pPr>
        <w:pStyle w:val="TableFooter"/>
      </w:pPr>
      <w:r>
        <w:t xml:space="preserve">AEs=adverse events; CI=confidence interval; </w:t>
      </w:r>
      <w:r w:rsidRPr="00E40481">
        <w:t xml:space="preserve">FosAPR=fosaprepitant; FosNTP=fosnetupitant; </w:t>
      </w:r>
      <w:r>
        <w:t xml:space="preserve">ISRs=injection site reactions; </w:t>
      </w:r>
      <w:r w:rsidRPr="00E40481">
        <w:t>PALO=palonosetron</w:t>
      </w:r>
    </w:p>
    <w:p w14:paraId="643B00EA" w14:textId="77777777" w:rsidR="00023519" w:rsidRDefault="00023519" w:rsidP="00023519"/>
    <w:p w14:paraId="469F066C" w14:textId="7FD6E3C9" w:rsidR="00023519" w:rsidRDefault="00023519" w:rsidP="00023519">
      <w:pPr>
        <w:pStyle w:val="Caption"/>
        <w:rPr>
          <w:i/>
        </w:rPr>
      </w:pPr>
      <w:bookmarkStart w:id="39" w:name="_Ref122686562"/>
      <w:r>
        <w:t xml:space="preserve">Figure </w:t>
      </w:r>
      <w:fldSimple w:instr=" SEQ Figure \* ARABIC ">
        <w:r w:rsidR="00775281">
          <w:rPr>
            <w:noProof/>
          </w:rPr>
          <w:t>5</w:t>
        </w:r>
      </w:fldSimple>
      <w:bookmarkEnd w:id="39"/>
      <w:r>
        <w:t>: Meta-analysis of the included trials: O</w:t>
      </w:r>
      <w:r w:rsidRPr="00BA1F3A">
        <w:t>utcome</w:t>
      </w:r>
      <w:r>
        <w:t xml:space="preserve"> of “AEs - I</w:t>
      </w:r>
      <w:r w:rsidRPr="004C33CE">
        <w:t>njection site pain”</w:t>
      </w:r>
    </w:p>
    <w:p w14:paraId="5DC628E9" w14:textId="77777777" w:rsidR="00023519" w:rsidRDefault="00023519" w:rsidP="00023519">
      <w:pPr>
        <w:pStyle w:val="TableFooter"/>
      </w:pPr>
      <w:r w:rsidRPr="00BA1F3A">
        <w:rPr>
          <w:noProof/>
        </w:rPr>
        <w:drawing>
          <wp:inline distT="0" distB="0" distL="0" distR="0" wp14:anchorId="16658B1A" wp14:editId="730F4D52">
            <wp:extent cx="5731560" cy="1743075"/>
            <wp:effectExtent l="0" t="0" r="2540" b="0"/>
            <wp:docPr id="17" name="Picture 17" descr="Figure 5: Meta-analysis of the included trials: Outcome of “AEs - Injection site p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Figure 5: Meta-analysis of the included trials: Outcome of “AEs - Injection site pain”"/>
                    <pic:cNvPicPr/>
                  </pic:nvPicPr>
                  <pic:blipFill>
                    <a:blip r:embed="rId12"/>
                    <a:stretch>
                      <a:fillRect/>
                    </a:stretch>
                  </pic:blipFill>
                  <pic:spPr>
                    <a:xfrm>
                      <a:off x="0" y="0"/>
                      <a:ext cx="5738680" cy="1745240"/>
                    </a:xfrm>
                    <a:prstGeom prst="rect">
                      <a:avLst/>
                    </a:prstGeom>
                  </pic:spPr>
                </pic:pic>
              </a:graphicData>
            </a:graphic>
          </wp:inline>
        </w:drawing>
      </w:r>
    </w:p>
    <w:p w14:paraId="161C5E05" w14:textId="6BCFFF9F" w:rsidR="00023519" w:rsidRDefault="007D76CF" w:rsidP="00023519">
      <w:pPr>
        <w:pStyle w:val="TableFooter"/>
      </w:pPr>
      <w:r>
        <w:t>Source: Table 2-21, p80, and Figure ES-5 of the Executive Summary of the submission</w:t>
      </w:r>
      <w:r w:rsidR="00023519">
        <w:t>.</w:t>
      </w:r>
    </w:p>
    <w:p w14:paraId="462C3F68" w14:textId="304204A0" w:rsidR="00023519" w:rsidRDefault="00023519" w:rsidP="00023519">
      <w:pPr>
        <w:pStyle w:val="TableFooter"/>
      </w:pPr>
      <w:r>
        <w:t>AEs=adverse events;</w:t>
      </w:r>
      <w:r w:rsidRPr="00E40481">
        <w:t xml:space="preserve"> </w:t>
      </w:r>
      <w:r>
        <w:t xml:space="preserve">CI=confidence interval; </w:t>
      </w:r>
      <w:r w:rsidRPr="00E40481">
        <w:t>FosAPR=fosaprepitant; FosNTP=fosnetupitant; PALO=palonosetron</w:t>
      </w:r>
    </w:p>
    <w:p w14:paraId="6FB83AED" w14:textId="154BD476" w:rsidR="00023519" w:rsidRDefault="00023519" w:rsidP="00023519"/>
    <w:p w14:paraId="19227136" w14:textId="1706F954" w:rsidR="00023519" w:rsidRPr="0002340D" w:rsidRDefault="00BB2F85" w:rsidP="00023519">
      <w:pPr>
        <w:pStyle w:val="3-BodyText"/>
        <w:rPr>
          <w:iCs/>
        </w:rPr>
      </w:pPr>
      <w:r w:rsidRPr="0002340D">
        <w:rPr>
          <w:iCs/>
        </w:rPr>
        <w:t xml:space="preserve">The overall pooled treatment effects are not </w:t>
      </w:r>
      <w:r w:rsidR="004415AB" w:rsidRPr="0002340D">
        <w:rPr>
          <w:iCs/>
        </w:rPr>
        <w:t xml:space="preserve">reliable </w:t>
      </w:r>
      <w:r w:rsidRPr="0002340D">
        <w:rPr>
          <w:iCs/>
        </w:rPr>
        <w:t xml:space="preserve">given the clinical heterogeneity between the CONSOLE and CONSOLE-BC trials in terms of malignant </w:t>
      </w:r>
      <w:r w:rsidR="00F042AB" w:rsidRPr="0002340D">
        <w:rPr>
          <w:iCs/>
        </w:rPr>
        <w:t>tumour type (lung vs. breast), gender (female: 23% vs. 100%), age (≥55 years: 87% vs. 56%), regular drinking history (yes: 45% vs. 11%), smoking status (non-smoking: 17% vs. 71%), history of motion sickness (yes: 9% vs. 44-54%), and concurrent chemotherapy regimens (cisplatin-based chemotherapy vs. AC chemotherapy)</w:t>
      </w:r>
      <w:r w:rsidRPr="0002340D">
        <w:rPr>
          <w:iCs/>
        </w:rPr>
        <w:t>.</w:t>
      </w:r>
    </w:p>
    <w:p w14:paraId="7924FF85" w14:textId="77777777" w:rsidR="00BB2F85" w:rsidRDefault="00BB2F85" w:rsidP="00BB2F85">
      <w:pPr>
        <w:pStyle w:val="3-BodyText"/>
      </w:pPr>
      <w:r>
        <w:t>The submission concluded that:</w:t>
      </w:r>
    </w:p>
    <w:p w14:paraId="6FBE153F" w14:textId="60CDC912" w:rsidR="00BB2F85" w:rsidRDefault="00BB2F85" w:rsidP="009D322D">
      <w:pPr>
        <w:pStyle w:val="3-BodyText"/>
        <w:numPr>
          <w:ilvl w:val="0"/>
          <w:numId w:val="14"/>
        </w:numPr>
        <w:ind w:left="1080"/>
      </w:pPr>
      <w:r w:rsidRPr="00E14FCB">
        <w:t xml:space="preserve">there was an approximate 90% </w:t>
      </w:r>
      <w:r w:rsidR="00F042AB">
        <w:t xml:space="preserve">statistically significant </w:t>
      </w:r>
      <w:r w:rsidRPr="00E14FCB">
        <w:t>reduction in risk of TRAEs-total ISRs (RR</w:t>
      </w:r>
      <w:r>
        <w:t>:</w:t>
      </w:r>
      <w:r w:rsidRPr="00E14FCB">
        <w:t xml:space="preserve"> 0.08; 95% CI: 0.01, 0.40) and TRAEs-injection site pain (RR</w:t>
      </w:r>
      <w:r>
        <w:t>:</w:t>
      </w:r>
      <w:r w:rsidRPr="00E14FCB">
        <w:t xml:space="preserve"> 0.10; 95% CI: 0.02, 0.51) favouring </w:t>
      </w:r>
      <w:r w:rsidR="00F160FA">
        <w:t>FosNTP</w:t>
      </w:r>
      <w:r>
        <w:t xml:space="preserve">+PALO IV over </w:t>
      </w:r>
      <w:r w:rsidR="00966F38">
        <w:t>FosAPR</w:t>
      </w:r>
      <w:r>
        <w:t>+PALO IV</w:t>
      </w:r>
      <w:r w:rsidR="007D76CF">
        <w:t>;</w:t>
      </w:r>
    </w:p>
    <w:p w14:paraId="3565EE09" w14:textId="416CD5BB" w:rsidR="00BB2F85" w:rsidRDefault="00BB2F85" w:rsidP="009D322D">
      <w:pPr>
        <w:pStyle w:val="3-BodyText"/>
        <w:numPr>
          <w:ilvl w:val="0"/>
          <w:numId w:val="14"/>
        </w:numPr>
        <w:ind w:left="1080"/>
      </w:pPr>
      <w:r w:rsidRPr="00E14FCB">
        <w:t>there was an approximate 60% reduction in risk of AEs-total ISRs (RR</w:t>
      </w:r>
      <w:r>
        <w:t>:</w:t>
      </w:r>
      <w:r w:rsidRPr="00E14FCB">
        <w:t xml:space="preserve"> 0.42; 95% CI: 0.19, 0.90) and an approximate 65% reduction in risk of AEs-injection site pain (RR</w:t>
      </w:r>
      <w:r>
        <w:t>:</w:t>
      </w:r>
      <w:r w:rsidRPr="00E14FCB">
        <w:t xml:space="preserve"> 0.34; 95% CI: 0.13, 0.88) favouring </w:t>
      </w:r>
      <w:r w:rsidR="00F160FA">
        <w:t>FosNTP</w:t>
      </w:r>
      <w:r w:rsidRPr="00E14FCB">
        <w:t xml:space="preserve">+PALO IV over </w:t>
      </w:r>
      <w:r w:rsidR="00966F38">
        <w:t>FosAPR</w:t>
      </w:r>
      <w:r w:rsidRPr="00E14FCB">
        <w:t>+PALO IV which were statistica</w:t>
      </w:r>
      <w:r>
        <w:t>lly significant</w:t>
      </w:r>
      <w:r w:rsidR="007D76CF">
        <w:t>; and</w:t>
      </w:r>
    </w:p>
    <w:p w14:paraId="2D8787DE" w14:textId="34617436" w:rsidR="00370B60" w:rsidRDefault="00BB2F85" w:rsidP="009D322D">
      <w:pPr>
        <w:pStyle w:val="3-BodyText"/>
        <w:numPr>
          <w:ilvl w:val="0"/>
          <w:numId w:val="14"/>
        </w:numPr>
        <w:ind w:left="1080"/>
      </w:pPr>
      <w:r w:rsidRPr="00E14FCB">
        <w:t>The observed level</w:t>
      </w:r>
      <w:r>
        <w:t>s</w:t>
      </w:r>
      <w:r w:rsidRPr="00E14FCB">
        <w:t xml:space="preserve"> of risk reduction (and corresponding 95% CIs) </w:t>
      </w:r>
      <w:r>
        <w:t>were</w:t>
      </w:r>
      <w:r w:rsidRPr="00E14FCB">
        <w:t xml:space="preserve"> much greater than the 25% risk reduction proposed as the MCID based on GRADE recommendations.</w:t>
      </w:r>
    </w:p>
    <w:p w14:paraId="0328F6C9" w14:textId="3745A5F9" w:rsidR="00370B60" w:rsidRPr="0002340D" w:rsidRDefault="00370B60" w:rsidP="00370B60">
      <w:pPr>
        <w:pStyle w:val="3-BodyText"/>
        <w:rPr>
          <w:iCs/>
        </w:rPr>
      </w:pPr>
      <w:r>
        <w:rPr>
          <w:iCs/>
        </w:rPr>
        <w:t>The Pre-PBAC Response reiterated the meta-analysis results showed a clinically and statistically significant reduction in ISRs, particularly ISRs compared to other TEAEs and argued these results demonstrated that in terms of ISR adverse events, NEPA IV is superior to Emend IV.</w:t>
      </w:r>
      <w:r w:rsidR="00E842E1">
        <w:rPr>
          <w:iCs/>
        </w:rPr>
        <w:t xml:space="preserve"> The Response also noted no MCID was found in published literature and argued the nominated MCID of a risk reduction of &gt;25% was based on the GRADE (Grading of Recommendations, Assessment, Development and Evaluations) criteria.</w:t>
      </w:r>
    </w:p>
    <w:p w14:paraId="3F0D846A" w14:textId="77777777" w:rsidR="007F1017" w:rsidRPr="00C9624D" w:rsidRDefault="007F1017" w:rsidP="00D86231">
      <w:pPr>
        <w:pStyle w:val="4-SubsectionHeading"/>
      </w:pPr>
      <w:bookmarkStart w:id="40" w:name="_Toc22897643"/>
      <w:bookmarkStart w:id="41" w:name="_Toc124841999"/>
      <w:r w:rsidRPr="00C9624D">
        <w:t>Benefits/harms</w:t>
      </w:r>
      <w:bookmarkEnd w:id="40"/>
      <w:bookmarkEnd w:id="41"/>
    </w:p>
    <w:p w14:paraId="4013FE85" w14:textId="3FC2A470" w:rsidR="00BB2F85" w:rsidRPr="00BB2F85" w:rsidRDefault="00AC07DA" w:rsidP="00D83EDE">
      <w:pPr>
        <w:pStyle w:val="3-BodyText"/>
      </w:pPr>
      <w:r w:rsidRPr="00AC07DA">
        <w:t>A benefits and harms table is not presented as the submission made a claim of non-inferior</w:t>
      </w:r>
      <w:r>
        <w:t xml:space="preserve"> comparative effectiveness (however did make a claim of superior comparative safety based on ISRs)</w:t>
      </w:r>
      <w:r w:rsidRPr="00AC07DA">
        <w:t xml:space="preserve">. </w:t>
      </w:r>
      <w:r w:rsidR="00FF097C">
        <w:t>Based on the meta-analysis, the submission concluded that i</w:t>
      </w:r>
      <w:r w:rsidR="00FF097C" w:rsidRPr="00FF097C">
        <w:t xml:space="preserve">n terms of number needed to treat (NNT) with </w:t>
      </w:r>
      <w:r w:rsidR="00F160FA">
        <w:t>FosNTP</w:t>
      </w:r>
      <w:r w:rsidR="00FF097C" w:rsidRPr="00FF097C">
        <w:t>+PALO IV, treating 20-25 patients (based on the RD</w:t>
      </w:r>
      <w:r w:rsidR="00FF097C" w:rsidRPr="00817E84">
        <w:rPr>
          <w:vertAlign w:val="superscript"/>
        </w:rPr>
        <w:footnoteReference w:id="10"/>
      </w:r>
      <w:r w:rsidR="00FF097C" w:rsidRPr="00FF097C">
        <w:t xml:space="preserve"> and RR</w:t>
      </w:r>
      <w:r w:rsidR="00FF097C" w:rsidRPr="00817E84">
        <w:rPr>
          <w:vertAlign w:val="superscript"/>
        </w:rPr>
        <w:footnoteReference w:id="11"/>
      </w:r>
      <w:r w:rsidR="00FF097C" w:rsidRPr="00FF097C">
        <w:t>, respectively) is required to avoid one TRAE ISR. The NNT to avoid one AE total ISR is 8 patients and to avoid one AE injection site pain is 11 patients</w:t>
      </w:r>
      <w:r w:rsidR="00FF097C">
        <w:t>.</w:t>
      </w:r>
    </w:p>
    <w:p w14:paraId="1D608DA0" w14:textId="77777777" w:rsidR="00B60939" w:rsidRPr="00C9624D" w:rsidRDefault="00B60939" w:rsidP="00E9094A">
      <w:pPr>
        <w:pStyle w:val="4-SubsectionHeading"/>
      </w:pPr>
      <w:bookmarkStart w:id="42" w:name="_Toc22897644"/>
      <w:bookmarkStart w:id="43" w:name="_Toc124842000"/>
      <w:r w:rsidRPr="00C9624D">
        <w:t>Clinical claim</w:t>
      </w:r>
      <w:bookmarkEnd w:id="42"/>
      <w:bookmarkEnd w:id="43"/>
    </w:p>
    <w:p w14:paraId="05E11579" w14:textId="4FDDD734" w:rsidR="00FF097C" w:rsidRPr="00FF097C" w:rsidRDefault="00FF097C" w:rsidP="00E9094A">
      <w:pPr>
        <w:pStyle w:val="3-BodyText"/>
        <w:rPr>
          <w:rFonts w:eastAsia="Calibri"/>
        </w:rPr>
      </w:pPr>
      <w:r w:rsidRPr="00D13A3E">
        <w:t>The submission describe</w:t>
      </w:r>
      <w:r>
        <w:t>d</w:t>
      </w:r>
      <w:r w:rsidRPr="00D13A3E">
        <w:t xml:space="preserve"> </w:t>
      </w:r>
      <w:r>
        <w:t xml:space="preserve">NEPA IV </w:t>
      </w:r>
      <w:r w:rsidRPr="00D13A3E">
        <w:t xml:space="preserve">as </w:t>
      </w:r>
      <w:r>
        <w:t>non-inferior</w:t>
      </w:r>
      <w:r w:rsidRPr="00D13A3E">
        <w:t xml:space="preserve"> in terms of effectiveness </w:t>
      </w:r>
      <w:r>
        <w:t>and superior</w:t>
      </w:r>
      <w:r w:rsidRPr="00D13A3E">
        <w:t xml:space="preserve"> in terms of safety </w:t>
      </w:r>
      <w:r>
        <w:t xml:space="preserve">compared to </w:t>
      </w:r>
      <w:r w:rsidR="00372438">
        <w:t>Emend</w:t>
      </w:r>
      <w:r>
        <w:t xml:space="preserve"> IV plus a 5-HT3 RA </w:t>
      </w:r>
      <w:r w:rsidRPr="006E2E14">
        <w:t xml:space="preserve">for the prevention of nausea and vomiting in patients undergoing treatment with </w:t>
      </w:r>
      <w:r>
        <w:t>MEC and HEC</w:t>
      </w:r>
      <w:r w:rsidRPr="00D13A3E">
        <w:t>.</w:t>
      </w:r>
      <w:r>
        <w:t xml:space="preserve"> </w:t>
      </w:r>
      <w:r w:rsidRPr="006E2E14">
        <w:t>Both therapies are administered as a single dose per cycle prior to the administration of</w:t>
      </w:r>
      <w:r>
        <w:t xml:space="preserve"> chemotherapy.</w:t>
      </w:r>
    </w:p>
    <w:p w14:paraId="7BD4C59B" w14:textId="0DFECB9F" w:rsidR="000A384E" w:rsidRPr="0002340D" w:rsidRDefault="000A384E" w:rsidP="00E9094A">
      <w:pPr>
        <w:pStyle w:val="3-BodyText"/>
        <w:rPr>
          <w:rFonts w:eastAsia="Calibri"/>
          <w:iCs/>
        </w:rPr>
      </w:pPr>
      <w:r w:rsidRPr="0002340D">
        <w:rPr>
          <w:rFonts w:eastAsia="Calibri"/>
          <w:iCs/>
        </w:rPr>
        <w:t>Th</w:t>
      </w:r>
      <w:r w:rsidR="00FF097C" w:rsidRPr="0002340D">
        <w:rPr>
          <w:rFonts w:eastAsia="Calibri"/>
          <w:iCs/>
        </w:rPr>
        <w:t>e therapeutic conclusion presented in the submission regarding effectiveness</w:t>
      </w:r>
      <w:r w:rsidRPr="0002340D">
        <w:rPr>
          <w:rFonts w:eastAsia="Calibri"/>
          <w:iCs/>
        </w:rPr>
        <w:t xml:space="preserve"> </w:t>
      </w:r>
      <w:r w:rsidR="00FF097C" w:rsidRPr="0002340D">
        <w:rPr>
          <w:rFonts w:eastAsia="Calibri"/>
          <w:iCs/>
        </w:rPr>
        <w:t>appear</w:t>
      </w:r>
      <w:r w:rsidR="002710E3">
        <w:rPr>
          <w:rFonts w:eastAsia="Calibri"/>
          <w:iCs/>
        </w:rPr>
        <w:t>ed</w:t>
      </w:r>
      <w:r w:rsidR="00FF097C" w:rsidRPr="0002340D">
        <w:rPr>
          <w:rFonts w:eastAsia="Calibri"/>
          <w:iCs/>
        </w:rPr>
        <w:t xml:space="preserve"> to have been adequately supported by the direct evidence </w:t>
      </w:r>
      <w:r w:rsidRPr="0002340D">
        <w:rPr>
          <w:rFonts w:eastAsia="Calibri"/>
          <w:iCs/>
        </w:rPr>
        <w:t xml:space="preserve">from the CONSOLE and CONSOLE-BC </w:t>
      </w:r>
      <w:r w:rsidR="00F042AB" w:rsidRPr="0002340D">
        <w:rPr>
          <w:rFonts w:eastAsia="Calibri"/>
          <w:iCs/>
        </w:rPr>
        <w:t>trial</w:t>
      </w:r>
      <w:r w:rsidRPr="0002340D">
        <w:rPr>
          <w:rFonts w:eastAsia="Calibri"/>
          <w:iCs/>
        </w:rPr>
        <w:t xml:space="preserve">s, noting that </w:t>
      </w:r>
      <w:r w:rsidR="00F042AB" w:rsidRPr="0002340D">
        <w:rPr>
          <w:rFonts w:eastAsia="Calibri"/>
          <w:iCs/>
        </w:rPr>
        <w:t xml:space="preserve">the assessment of </w:t>
      </w:r>
      <w:r w:rsidRPr="0002340D">
        <w:rPr>
          <w:rFonts w:eastAsia="Calibri"/>
          <w:iCs/>
        </w:rPr>
        <w:t>efficacy was a secondary objective in CONSOLE-BC</w:t>
      </w:r>
      <w:r w:rsidR="00FF097C" w:rsidRPr="0002340D">
        <w:rPr>
          <w:rFonts w:eastAsia="Calibri"/>
          <w:iCs/>
        </w:rPr>
        <w:t>.</w:t>
      </w:r>
    </w:p>
    <w:p w14:paraId="418FCDB3" w14:textId="7F7A1AE9" w:rsidR="000A384E" w:rsidRPr="0002340D" w:rsidRDefault="00AC07DA" w:rsidP="000A384E">
      <w:pPr>
        <w:pStyle w:val="3-BodyText"/>
        <w:rPr>
          <w:rFonts w:eastAsia="Calibri"/>
          <w:iCs/>
        </w:rPr>
      </w:pPr>
      <w:bookmarkStart w:id="44" w:name="_Ref130888404"/>
      <w:r w:rsidRPr="0002340D">
        <w:rPr>
          <w:rFonts w:eastAsia="Calibri"/>
          <w:iCs/>
        </w:rPr>
        <w:t>The</w:t>
      </w:r>
      <w:r w:rsidR="004D507B">
        <w:rPr>
          <w:rFonts w:eastAsia="Calibri"/>
          <w:iCs/>
        </w:rPr>
        <w:t xml:space="preserve"> evaluation considered the</w:t>
      </w:r>
      <w:r w:rsidRPr="0002340D">
        <w:rPr>
          <w:rFonts w:eastAsia="Calibri"/>
          <w:iCs/>
        </w:rPr>
        <w:t xml:space="preserve"> claim of superior comparative safety </w:t>
      </w:r>
      <w:r w:rsidR="002710E3">
        <w:rPr>
          <w:rFonts w:eastAsia="Calibri"/>
          <w:iCs/>
        </w:rPr>
        <w:t>to be</w:t>
      </w:r>
      <w:r w:rsidR="002710E3" w:rsidRPr="0002340D">
        <w:rPr>
          <w:rFonts w:eastAsia="Calibri"/>
          <w:iCs/>
        </w:rPr>
        <w:t xml:space="preserve"> </w:t>
      </w:r>
      <w:r w:rsidRPr="0002340D">
        <w:rPr>
          <w:rFonts w:eastAsia="Calibri"/>
          <w:iCs/>
        </w:rPr>
        <w:t>uncertain</w:t>
      </w:r>
      <w:r w:rsidR="000A384E" w:rsidRPr="0002340D">
        <w:rPr>
          <w:rFonts w:eastAsia="Calibri"/>
          <w:iCs/>
        </w:rPr>
        <w:t>. The incidence of Grade ≥3 AEs was</w:t>
      </w:r>
      <w:r w:rsidRPr="0002340D">
        <w:rPr>
          <w:rFonts w:eastAsia="Calibri"/>
          <w:iCs/>
        </w:rPr>
        <w:t xml:space="preserve"> numerically</w:t>
      </w:r>
      <w:r w:rsidR="000A384E" w:rsidRPr="0002340D">
        <w:rPr>
          <w:rFonts w:eastAsia="Calibri"/>
          <w:iCs/>
        </w:rPr>
        <w:t xml:space="preserve"> higher in the </w:t>
      </w:r>
      <w:r w:rsidR="00F160FA" w:rsidRPr="0002340D">
        <w:rPr>
          <w:rFonts w:eastAsia="Calibri"/>
          <w:iCs/>
        </w:rPr>
        <w:t>FosNTP</w:t>
      </w:r>
      <w:r w:rsidR="000A384E" w:rsidRPr="0002340D">
        <w:rPr>
          <w:rFonts w:eastAsia="Calibri"/>
          <w:iCs/>
        </w:rPr>
        <w:t xml:space="preserve">+PALO IV treatment arm compared to the </w:t>
      </w:r>
      <w:r w:rsidR="00966F38" w:rsidRPr="0002340D">
        <w:rPr>
          <w:rFonts w:eastAsia="Calibri"/>
          <w:iCs/>
        </w:rPr>
        <w:t>FosAPR</w:t>
      </w:r>
      <w:r w:rsidR="000A384E" w:rsidRPr="0002340D">
        <w:rPr>
          <w:rFonts w:eastAsia="Calibri"/>
          <w:iCs/>
        </w:rPr>
        <w:t xml:space="preserve">+PALO IV treatment arm in both the CONSOLE </w:t>
      </w:r>
      <w:r w:rsidR="0006372D" w:rsidRPr="0002340D">
        <w:rPr>
          <w:iCs/>
        </w:rPr>
        <w:t xml:space="preserve">(64.8% vs. 58.8%) </w:t>
      </w:r>
      <w:r w:rsidR="000A384E" w:rsidRPr="0002340D">
        <w:rPr>
          <w:rFonts w:eastAsia="Calibri"/>
          <w:iCs/>
        </w:rPr>
        <w:t xml:space="preserve">and CONSOLE-BC </w:t>
      </w:r>
      <w:r w:rsidR="0006372D" w:rsidRPr="0002340D">
        <w:rPr>
          <w:iCs/>
        </w:rPr>
        <w:t>(82.7% vs. 72.0%)</w:t>
      </w:r>
      <w:r w:rsidR="000A384E" w:rsidRPr="0002340D">
        <w:rPr>
          <w:rFonts w:eastAsia="Calibri"/>
          <w:iCs/>
        </w:rPr>
        <w:t xml:space="preserve"> trials. The incidence of Grade ≥3 TRAEs was also</w:t>
      </w:r>
      <w:r w:rsidRPr="0002340D">
        <w:rPr>
          <w:rFonts w:eastAsia="Calibri"/>
          <w:iCs/>
        </w:rPr>
        <w:t xml:space="preserve"> numerically</w:t>
      </w:r>
      <w:r w:rsidR="000A384E" w:rsidRPr="0002340D">
        <w:rPr>
          <w:rFonts w:eastAsia="Calibri"/>
          <w:iCs/>
        </w:rPr>
        <w:t xml:space="preserve"> higher with </w:t>
      </w:r>
      <w:r w:rsidR="00F160FA" w:rsidRPr="0002340D">
        <w:rPr>
          <w:rFonts w:eastAsia="Calibri"/>
          <w:iCs/>
        </w:rPr>
        <w:t>FosNTP</w:t>
      </w:r>
      <w:r w:rsidR="000A384E" w:rsidRPr="0002340D">
        <w:rPr>
          <w:rFonts w:eastAsia="Calibri"/>
          <w:iCs/>
        </w:rPr>
        <w:t xml:space="preserve">+PALO IV compared to </w:t>
      </w:r>
      <w:r w:rsidR="00966F38" w:rsidRPr="0002340D">
        <w:rPr>
          <w:rFonts w:eastAsia="Calibri"/>
          <w:iCs/>
        </w:rPr>
        <w:t>FosAPR</w:t>
      </w:r>
      <w:r w:rsidR="000A384E" w:rsidRPr="0002340D">
        <w:rPr>
          <w:rFonts w:eastAsia="Calibri"/>
          <w:iCs/>
        </w:rPr>
        <w:t xml:space="preserve">+PALO IV in CONSOLE-BC </w:t>
      </w:r>
      <w:r w:rsidR="0006372D" w:rsidRPr="0002340D">
        <w:rPr>
          <w:iCs/>
        </w:rPr>
        <w:t>(9.6% vs. 0.0%)</w:t>
      </w:r>
      <w:r w:rsidR="000A384E" w:rsidRPr="0002340D">
        <w:rPr>
          <w:rFonts w:eastAsia="Calibri"/>
          <w:iCs/>
        </w:rPr>
        <w:t xml:space="preserve">, although similar between treatment arms in CONSOLE. </w:t>
      </w:r>
      <w:r w:rsidR="0006372D" w:rsidRPr="0002340D">
        <w:rPr>
          <w:rFonts w:eastAsia="Calibri"/>
          <w:iCs/>
        </w:rPr>
        <w:t>I</w:t>
      </w:r>
      <w:r w:rsidR="000A384E" w:rsidRPr="0002340D">
        <w:rPr>
          <w:rFonts w:eastAsia="Calibri"/>
          <w:iCs/>
        </w:rPr>
        <w:t xml:space="preserve">mportantly, there were no differences between the treatment arms in terms of TRAEs leading to discontinuation of treatment (no events in CONSOLE and only one event with </w:t>
      </w:r>
      <w:r w:rsidR="00966F38" w:rsidRPr="0002340D">
        <w:rPr>
          <w:rFonts w:eastAsia="Calibri"/>
          <w:iCs/>
        </w:rPr>
        <w:t>FosAPR</w:t>
      </w:r>
      <w:r w:rsidR="000A384E" w:rsidRPr="0002340D">
        <w:rPr>
          <w:rFonts w:eastAsia="Calibri"/>
          <w:iCs/>
        </w:rPr>
        <w:t>+PALO IV in CONSOLE-BC) indicating that the observed TRAEs in the trials were well tolerated, and unlikely to have been severe enough to warrant changes in treatment/management.</w:t>
      </w:r>
      <w:bookmarkEnd w:id="44"/>
    </w:p>
    <w:p w14:paraId="416EBF2D" w14:textId="05FD11B6" w:rsidR="006562AD" w:rsidRDefault="008B303C" w:rsidP="007501A4">
      <w:pPr>
        <w:pStyle w:val="3-BodyText"/>
        <w:rPr>
          <w:rFonts w:eastAsia="Calibri"/>
          <w:iCs/>
        </w:rPr>
      </w:pPr>
      <w:bookmarkStart w:id="45" w:name="_Ref130888415"/>
      <w:r w:rsidRPr="0002340D">
        <w:rPr>
          <w:rFonts w:eastAsia="Calibri"/>
          <w:iCs/>
        </w:rPr>
        <w:t>ISR data from the individual trials, and from the meta-analysis of safety (r</w:t>
      </w:r>
      <w:r w:rsidR="000A384E" w:rsidRPr="0002340D">
        <w:rPr>
          <w:rFonts w:eastAsia="Calibri"/>
          <w:iCs/>
        </w:rPr>
        <w:t>ecognising the clinical heterogeneity between the CONSOLE and CONSOLE-BC trials</w:t>
      </w:r>
      <w:r w:rsidRPr="0002340D">
        <w:rPr>
          <w:rFonts w:eastAsia="Calibri"/>
          <w:iCs/>
        </w:rPr>
        <w:t xml:space="preserve">), </w:t>
      </w:r>
      <w:r w:rsidR="000A384E" w:rsidRPr="0002340D">
        <w:rPr>
          <w:rFonts w:eastAsia="Calibri"/>
          <w:iCs/>
        </w:rPr>
        <w:t xml:space="preserve">showed a reduction in risk of ISRs associated with </w:t>
      </w:r>
      <w:r w:rsidR="00F160FA" w:rsidRPr="0002340D">
        <w:rPr>
          <w:rFonts w:eastAsia="Calibri"/>
          <w:iCs/>
        </w:rPr>
        <w:t>FosNTP</w:t>
      </w:r>
      <w:r w:rsidR="000A384E" w:rsidRPr="0002340D">
        <w:rPr>
          <w:rFonts w:eastAsia="Calibri"/>
          <w:iCs/>
        </w:rPr>
        <w:t xml:space="preserve">+PALO IV over </w:t>
      </w:r>
      <w:r w:rsidR="00966F38" w:rsidRPr="0002340D">
        <w:rPr>
          <w:rFonts w:eastAsia="Calibri"/>
          <w:iCs/>
        </w:rPr>
        <w:t>FosAPR</w:t>
      </w:r>
      <w:r w:rsidR="000A384E" w:rsidRPr="0002340D">
        <w:rPr>
          <w:rFonts w:eastAsia="Calibri"/>
          <w:iCs/>
        </w:rPr>
        <w:t>+PALO IV.</w:t>
      </w:r>
      <w:r w:rsidRPr="0002340D">
        <w:rPr>
          <w:rFonts w:eastAsia="Calibri"/>
          <w:iCs/>
        </w:rPr>
        <w:t xml:space="preserve"> Notwithstanding the low response rate in a survey of clinical experts conducted by the sponsor, responding medical oncologists </w:t>
      </w:r>
      <w:r w:rsidR="000A384E" w:rsidRPr="0002340D">
        <w:rPr>
          <w:rFonts w:eastAsia="Calibri"/>
          <w:iCs/>
        </w:rPr>
        <w:t>estimated that</w:t>
      </w:r>
      <w:r w:rsidR="006562AD" w:rsidRPr="0002340D">
        <w:rPr>
          <w:rFonts w:eastAsia="Calibri"/>
          <w:iCs/>
        </w:rPr>
        <w:t>,</w:t>
      </w:r>
      <w:r w:rsidR="000A384E" w:rsidRPr="0002340D">
        <w:rPr>
          <w:rFonts w:eastAsia="Calibri"/>
          <w:iCs/>
        </w:rPr>
        <w:t xml:space="preserve"> for </w:t>
      </w:r>
      <w:r w:rsidR="00787A48">
        <w:rPr>
          <w:rFonts w:eastAsia="Calibri"/>
          <w:iCs/>
        </w:rPr>
        <w:t>nearly all</w:t>
      </w:r>
      <w:r w:rsidR="000A384E" w:rsidRPr="0002340D">
        <w:rPr>
          <w:rFonts w:eastAsia="Calibri"/>
          <w:iCs/>
        </w:rPr>
        <w:t xml:space="preserve"> of</w:t>
      </w:r>
      <w:r w:rsidR="00787A48">
        <w:rPr>
          <w:rFonts w:eastAsia="Calibri"/>
          <w:iCs/>
        </w:rPr>
        <w:t xml:space="preserve"> the</w:t>
      </w:r>
      <w:r w:rsidR="000A384E" w:rsidRPr="0002340D">
        <w:rPr>
          <w:rFonts w:eastAsia="Calibri"/>
          <w:iCs/>
        </w:rPr>
        <w:t xml:space="preserve"> patients</w:t>
      </w:r>
      <w:r w:rsidRPr="0002340D">
        <w:rPr>
          <w:rFonts w:eastAsia="Calibri"/>
          <w:iCs/>
        </w:rPr>
        <w:t xml:space="preserve"> </w:t>
      </w:r>
      <w:r w:rsidR="000A384E" w:rsidRPr="0002340D">
        <w:rPr>
          <w:rFonts w:eastAsia="Calibri"/>
          <w:iCs/>
        </w:rPr>
        <w:t xml:space="preserve">(98.7%), the ISR associated with the use of </w:t>
      </w:r>
      <w:r w:rsidR="00372438" w:rsidRPr="0002340D">
        <w:rPr>
          <w:rFonts w:eastAsia="Calibri"/>
          <w:iCs/>
        </w:rPr>
        <w:t>Emend</w:t>
      </w:r>
      <w:r w:rsidR="000A384E" w:rsidRPr="0002340D">
        <w:rPr>
          <w:rFonts w:eastAsia="Calibri"/>
          <w:iCs/>
        </w:rPr>
        <w:t xml:space="preserve"> IV was not severe enough to require some form of medical treatment.</w:t>
      </w:r>
      <w:r w:rsidR="00FB5E38">
        <w:rPr>
          <w:rFonts w:eastAsia="Calibri"/>
          <w:iCs/>
        </w:rPr>
        <w:t xml:space="preserve"> </w:t>
      </w:r>
      <w:r w:rsidR="005740C5">
        <w:rPr>
          <w:rFonts w:eastAsia="Calibri"/>
          <w:iCs/>
        </w:rPr>
        <w:t xml:space="preserve">The Pre-PBAC Response noted </w:t>
      </w:r>
      <w:r w:rsidR="00B6740C">
        <w:rPr>
          <w:rFonts w:eastAsia="Calibri"/>
          <w:iCs/>
        </w:rPr>
        <w:t>that based on re</w:t>
      </w:r>
      <w:r w:rsidR="00312E22">
        <w:rPr>
          <w:rFonts w:eastAsia="Calibri"/>
          <w:iCs/>
        </w:rPr>
        <w:t>s</w:t>
      </w:r>
      <w:r w:rsidR="00B6740C">
        <w:rPr>
          <w:rFonts w:eastAsia="Calibri"/>
          <w:iCs/>
        </w:rPr>
        <w:t>po</w:t>
      </w:r>
      <w:r w:rsidR="00312E22">
        <w:rPr>
          <w:rFonts w:eastAsia="Calibri"/>
          <w:iCs/>
        </w:rPr>
        <w:t>n</w:t>
      </w:r>
      <w:r w:rsidR="00B6740C">
        <w:rPr>
          <w:rFonts w:eastAsia="Calibri"/>
          <w:iCs/>
        </w:rPr>
        <w:t xml:space="preserve">ses from both oncology nurses and oncologists, </w:t>
      </w:r>
      <w:r w:rsidR="005740C5">
        <w:rPr>
          <w:rFonts w:eastAsia="Calibri"/>
          <w:iCs/>
        </w:rPr>
        <w:t>2</w:t>
      </w:r>
      <w:r w:rsidR="00312E22">
        <w:rPr>
          <w:rFonts w:eastAsia="Calibri"/>
          <w:iCs/>
        </w:rPr>
        <w:t>0</w:t>
      </w:r>
      <w:r w:rsidR="005740C5">
        <w:rPr>
          <w:rFonts w:eastAsia="Calibri"/>
          <w:iCs/>
        </w:rPr>
        <w:t xml:space="preserve">% of ISRs </w:t>
      </w:r>
      <w:r w:rsidR="00312E22">
        <w:rPr>
          <w:rFonts w:eastAsia="Calibri"/>
          <w:iCs/>
        </w:rPr>
        <w:t>were severe enough to require treatment</w:t>
      </w:r>
      <w:r w:rsidR="005740C5">
        <w:rPr>
          <w:rFonts w:eastAsia="Calibri"/>
          <w:iCs/>
        </w:rPr>
        <w:t xml:space="preserve"> and argued that in practice, the source of the AE report (oncology nurse or oncologist) should have no bearing on how reports are interpreted.</w:t>
      </w:r>
      <w:bookmarkEnd w:id="45"/>
    </w:p>
    <w:p w14:paraId="4125EC44" w14:textId="1D35258B" w:rsidR="00FB5E38" w:rsidRPr="00A548DE" w:rsidRDefault="00FB5E38" w:rsidP="007501A4">
      <w:pPr>
        <w:pStyle w:val="3-BodyText"/>
        <w:rPr>
          <w:rFonts w:eastAsia="Calibri"/>
          <w:iCs/>
        </w:rPr>
      </w:pPr>
      <w:r w:rsidRPr="00A548DE">
        <w:rPr>
          <w:rFonts w:eastAsia="Calibri"/>
          <w:iCs/>
        </w:rPr>
        <w:t xml:space="preserve">The PSCR reiterated </w:t>
      </w:r>
      <w:r w:rsidR="006F7C6C" w:rsidRPr="00A548DE">
        <w:rPr>
          <w:rFonts w:eastAsia="Calibri"/>
          <w:iCs/>
        </w:rPr>
        <w:t>that the ISRs are</w:t>
      </w:r>
      <w:r w:rsidRPr="00A548DE">
        <w:rPr>
          <w:rFonts w:eastAsia="Calibri"/>
          <w:iCs/>
        </w:rPr>
        <w:t xml:space="preserve"> clinical</w:t>
      </w:r>
      <w:r w:rsidR="006F7C6C" w:rsidRPr="00A548DE">
        <w:rPr>
          <w:rFonts w:eastAsia="Calibri"/>
          <w:iCs/>
        </w:rPr>
        <w:t>ly</w:t>
      </w:r>
      <w:r w:rsidRPr="00A548DE">
        <w:rPr>
          <w:rFonts w:eastAsia="Calibri"/>
          <w:iCs/>
        </w:rPr>
        <w:t xml:space="preserve"> relevan</w:t>
      </w:r>
      <w:r w:rsidR="006F7C6C" w:rsidRPr="00A548DE">
        <w:rPr>
          <w:rFonts w:eastAsia="Calibri"/>
          <w:iCs/>
        </w:rPr>
        <w:t>t</w:t>
      </w:r>
      <w:r w:rsidRPr="00A548DE">
        <w:rPr>
          <w:rFonts w:eastAsia="Calibri"/>
          <w:iCs/>
        </w:rPr>
        <w:t>, and further argued there is additional evidence supporting Emend IV having a high rate of ISRs that may lead to changes in the administration of treatment, particularly for AC chemotherapy (doxorubicin/cyclophosphamide) administered for breast cancer</w:t>
      </w:r>
      <w:r w:rsidR="006F7C6C" w:rsidRPr="00A548DE">
        <w:rPr>
          <w:rFonts w:eastAsia="Calibri"/>
          <w:iCs/>
        </w:rPr>
        <w:t>. The PSCR stated that</w:t>
      </w:r>
      <w:r w:rsidRPr="00A548DE">
        <w:rPr>
          <w:rFonts w:eastAsia="Calibri"/>
          <w:iCs/>
        </w:rPr>
        <w:t xml:space="preserve"> a 2014 study (Sato, Kondo et al 2014</w:t>
      </w:r>
      <w:r w:rsidRPr="00A548DE">
        <w:rPr>
          <w:rStyle w:val="FootnoteReference"/>
          <w:rFonts w:eastAsia="Calibri"/>
          <w:iCs/>
        </w:rPr>
        <w:footnoteReference w:id="12"/>
      </w:r>
      <w:r w:rsidRPr="00A548DE">
        <w:rPr>
          <w:rFonts w:eastAsia="Calibri"/>
          <w:iCs/>
        </w:rPr>
        <w:t>) f</w:t>
      </w:r>
      <w:r w:rsidR="006F7C6C" w:rsidRPr="00A548DE">
        <w:rPr>
          <w:rFonts w:eastAsia="Calibri"/>
          <w:iCs/>
        </w:rPr>
        <w:t>ound</w:t>
      </w:r>
      <w:r w:rsidRPr="00A548DE">
        <w:rPr>
          <w:rFonts w:eastAsia="Calibri"/>
          <w:iCs/>
        </w:rPr>
        <w:t xml:space="preserve"> the ISR rate per patient and per injection w</w:t>
      </w:r>
      <w:r w:rsidR="006F7C6C" w:rsidRPr="00A548DE">
        <w:rPr>
          <w:rFonts w:eastAsia="Calibri"/>
          <w:iCs/>
        </w:rPr>
        <w:t>as</w:t>
      </w:r>
      <w:r w:rsidRPr="00A548DE">
        <w:rPr>
          <w:rFonts w:eastAsia="Calibri"/>
          <w:iCs/>
        </w:rPr>
        <w:t xml:space="preserve"> higher in the Emend IV group than the control group. The ESC considered the focus on ISRs was overall poorly justified and further considered that while the statistical analyses may indicate NEPA IV is associated with fewer ISRs, the clinical significance of this difference remained uncertain</w:t>
      </w:r>
      <w:r w:rsidR="006F7C6C" w:rsidRPr="00A548DE">
        <w:rPr>
          <w:rFonts w:eastAsia="Calibri"/>
          <w:iCs/>
        </w:rPr>
        <w:t>. I</w:t>
      </w:r>
      <w:r w:rsidRPr="00A548DE">
        <w:rPr>
          <w:rFonts w:eastAsia="Calibri"/>
          <w:iCs/>
        </w:rPr>
        <w:t xml:space="preserve">n the broader context of a claim of superior comparative safety, </w:t>
      </w:r>
      <w:r w:rsidR="006F7C6C" w:rsidRPr="00A548DE">
        <w:rPr>
          <w:rFonts w:eastAsia="Calibri"/>
          <w:iCs/>
        </w:rPr>
        <w:t xml:space="preserve">the ESC </w:t>
      </w:r>
      <w:r w:rsidRPr="00A548DE">
        <w:rPr>
          <w:rFonts w:eastAsia="Calibri"/>
          <w:iCs/>
        </w:rPr>
        <w:t xml:space="preserve">was of the view </w:t>
      </w:r>
      <w:r w:rsidR="005D20AC" w:rsidRPr="00A548DE">
        <w:rPr>
          <w:rFonts w:eastAsia="Calibri"/>
          <w:iCs/>
        </w:rPr>
        <w:t xml:space="preserve">that </w:t>
      </w:r>
      <w:r w:rsidRPr="00A548DE">
        <w:rPr>
          <w:rFonts w:eastAsia="Calibri"/>
          <w:iCs/>
        </w:rPr>
        <w:t xml:space="preserve">this one statistical </w:t>
      </w:r>
      <w:r w:rsidR="005D20AC" w:rsidRPr="00A548DE">
        <w:rPr>
          <w:rFonts w:eastAsia="Calibri"/>
          <w:iCs/>
        </w:rPr>
        <w:t xml:space="preserve">difference </w:t>
      </w:r>
      <w:r w:rsidRPr="00A548DE">
        <w:rPr>
          <w:rFonts w:eastAsia="Calibri"/>
          <w:iCs/>
        </w:rPr>
        <w:t xml:space="preserve">did not adequately support a claim of superior comparative safety. </w:t>
      </w:r>
    </w:p>
    <w:p w14:paraId="33CDECB9" w14:textId="4B4B6F4B" w:rsidR="00FE3582" w:rsidRPr="00C12510" w:rsidRDefault="00FE3582" w:rsidP="00FE3582">
      <w:pPr>
        <w:widowControl w:val="0"/>
        <w:numPr>
          <w:ilvl w:val="1"/>
          <w:numId w:val="1"/>
        </w:numPr>
        <w:spacing w:after="120"/>
        <w:rPr>
          <w:rFonts w:asciiTheme="minorHAnsi" w:hAnsiTheme="minorHAnsi"/>
          <w:snapToGrid w:val="0"/>
          <w:szCs w:val="20"/>
        </w:rPr>
      </w:pPr>
      <w:bookmarkStart w:id="46" w:name="_Hlk76376200"/>
      <w:r w:rsidRPr="00C12510">
        <w:rPr>
          <w:rFonts w:asciiTheme="minorHAnsi" w:hAnsiTheme="minorHAnsi"/>
          <w:iCs/>
          <w:snapToGrid w:val="0"/>
        </w:rPr>
        <w:t>The</w:t>
      </w:r>
      <w:r w:rsidRPr="00C12510">
        <w:rPr>
          <w:rFonts w:asciiTheme="minorHAnsi" w:hAnsiTheme="minorHAnsi"/>
          <w:snapToGrid w:val="0"/>
          <w:szCs w:val="20"/>
        </w:rPr>
        <w:t xml:space="preserve"> PBAC considered that the claim of non-inferior comparative effectiveness was reasonable</w:t>
      </w:r>
      <w:r w:rsidR="00C12510" w:rsidRPr="00C12510">
        <w:rPr>
          <w:rFonts w:asciiTheme="minorHAnsi" w:hAnsiTheme="minorHAnsi"/>
          <w:snapToGrid w:val="0"/>
          <w:szCs w:val="20"/>
        </w:rPr>
        <w:t>.</w:t>
      </w:r>
    </w:p>
    <w:p w14:paraId="5CAE6890" w14:textId="1087170C" w:rsidR="00FE3582" w:rsidRPr="00C12510" w:rsidRDefault="00FE3582" w:rsidP="00FE3582">
      <w:pPr>
        <w:widowControl w:val="0"/>
        <w:numPr>
          <w:ilvl w:val="1"/>
          <w:numId w:val="1"/>
        </w:numPr>
        <w:spacing w:after="120"/>
        <w:rPr>
          <w:rFonts w:asciiTheme="minorHAnsi" w:hAnsiTheme="minorHAnsi"/>
          <w:snapToGrid w:val="0"/>
          <w:szCs w:val="20"/>
        </w:rPr>
      </w:pPr>
      <w:r w:rsidRPr="00C12510">
        <w:rPr>
          <w:rFonts w:asciiTheme="minorHAnsi" w:hAnsiTheme="minorHAnsi"/>
          <w:snapToGrid w:val="0"/>
          <w:szCs w:val="20"/>
        </w:rPr>
        <w:t>The PBAC considered that the claim of superior comparative safety</w:t>
      </w:r>
      <w:r w:rsidR="00C12510" w:rsidRPr="00C12510">
        <w:rPr>
          <w:rFonts w:asciiTheme="minorHAnsi" w:hAnsiTheme="minorHAnsi"/>
          <w:snapToGrid w:val="0"/>
          <w:szCs w:val="20"/>
        </w:rPr>
        <w:t>, based on a reduction in the number and severity of ISRs</w:t>
      </w:r>
      <w:r w:rsidRPr="00C12510">
        <w:rPr>
          <w:rFonts w:asciiTheme="minorHAnsi" w:hAnsiTheme="minorHAnsi"/>
          <w:snapToGrid w:val="0"/>
          <w:szCs w:val="20"/>
        </w:rPr>
        <w:t xml:space="preserve"> was not adequately </w:t>
      </w:r>
      <w:bookmarkEnd w:id="46"/>
      <w:r w:rsidR="00C12510" w:rsidRPr="00C12510">
        <w:rPr>
          <w:rFonts w:asciiTheme="minorHAnsi" w:hAnsiTheme="minorHAnsi"/>
          <w:snapToGrid w:val="0"/>
          <w:szCs w:val="20"/>
        </w:rPr>
        <w:t xml:space="preserve">justified, as the </w:t>
      </w:r>
      <w:r w:rsidR="002A0242">
        <w:rPr>
          <w:rFonts w:asciiTheme="minorHAnsi" w:hAnsiTheme="minorHAnsi"/>
          <w:snapToGrid w:val="0"/>
          <w:szCs w:val="20"/>
        </w:rPr>
        <w:t xml:space="preserve">focus on ISRs and its </w:t>
      </w:r>
      <w:r w:rsidR="00C12510" w:rsidRPr="00C12510">
        <w:rPr>
          <w:rFonts w:asciiTheme="minorHAnsi" w:hAnsiTheme="minorHAnsi"/>
          <w:snapToGrid w:val="0"/>
          <w:szCs w:val="20"/>
        </w:rPr>
        <w:t>clinical significance was highly uncertain.</w:t>
      </w:r>
      <w:r w:rsidR="00B20491">
        <w:rPr>
          <w:rFonts w:asciiTheme="minorHAnsi" w:hAnsiTheme="minorHAnsi"/>
          <w:snapToGrid w:val="0"/>
          <w:szCs w:val="20"/>
        </w:rPr>
        <w:t xml:space="preserve"> Based on the available evidence, the PBAC considered a claim of non-inferior comparative safety to be reasonable.</w:t>
      </w:r>
    </w:p>
    <w:p w14:paraId="620D1CFA" w14:textId="77777777" w:rsidR="00B60939" w:rsidRPr="00C9624D" w:rsidRDefault="00B60939" w:rsidP="00E9094A">
      <w:pPr>
        <w:pStyle w:val="4-SubsectionHeading"/>
      </w:pPr>
      <w:bookmarkStart w:id="47" w:name="_Toc22897645"/>
      <w:bookmarkStart w:id="48" w:name="_Toc124842001"/>
      <w:r w:rsidRPr="00C9624D">
        <w:t>Economic analysis</w:t>
      </w:r>
      <w:bookmarkEnd w:id="47"/>
      <w:bookmarkEnd w:id="48"/>
      <w:r w:rsidR="00491B3A" w:rsidRPr="00C9624D">
        <w:t xml:space="preserve"> </w:t>
      </w:r>
    </w:p>
    <w:p w14:paraId="39B29421" w14:textId="298BE0E8" w:rsidR="00C010DB" w:rsidRPr="0002340D" w:rsidRDefault="00C010DB" w:rsidP="00C010DB">
      <w:pPr>
        <w:pStyle w:val="3-BodyText"/>
        <w:rPr>
          <w:b/>
          <w:bCs/>
          <w:lang w:val="en-US"/>
        </w:rPr>
      </w:pPr>
      <w:r w:rsidRPr="0002340D">
        <w:t xml:space="preserve">The submission presented a cost-minimisation </w:t>
      </w:r>
      <w:r w:rsidR="00612FD8">
        <w:t>approach</w:t>
      </w:r>
      <w:r w:rsidR="00612FD8" w:rsidRPr="0002340D">
        <w:t xml:space="preserve"> </w:t>
      </w:r>
      <w:r w:rsidR="0030193D" w:rsidRPr="0002340D">
        <w:t xml:space="preserve">(CMA) </w:t>
      </w:r>
      <w:r w:rsidRPr="0002340D">
        <w:t xml:space="preserve">comparing NEPA IV with Emend IV + </w:t>
      </w:r>
      <w:r w:rsidR="009423C2" w:rsidRPr="0002340D">
        <w:t xml:space="preserve">a </w:t>
      </w:r>
      <w:r w:rsidRPr="0002340D">
        <w:t>5-HT3 RA (</w:t>
      </w:r>
      <w:r w:rsidR="00CA256D" w:rsidRPr="0002340D">
        <w:t>PALO</w:t>
      </w:r>
      <w:r w:rsidRPr="0002340D">
        <w:t xml:space="preserve"> IV was nominated as the 5-HT3 RA). While the claim of superior safety may be uncertain, the presentation of a </w:t>
      </w:r>
      <w:r w:rsidR="00612FD8">
        <w:t>CMA</w:t>
      </w:r>
      <w:r w:rsidRPr="0002340D">
        <w:t xml:space="preserve"> is reasonable. However, the comparator applied in the cost-minimisation may not be </w:t>
      </w:r>
      <w:r w:rsidR="00F24C51" w:rsidRPr="0002340D">
        <w:t>the least costly amongst the relevant alternative therapies</w:t>
      </w:r>
      <w:r w:rsidRPr="0002340D">
        <w:t xml:space="preserve">, as NEPA IV may also substitute </w:t>
      </w:r>
      <w:r w:rsidR="00AA5D06" w:rsidRPr="0002340D">
        <w:t xml:space="preserve">for </w:t>
      </w:r>
      <w:r w:rsidRPr="0002340D">
        <w:t xml:space="preserve">other combinations of a NK1 </w:t>
      </w:r>
      <w:r w:rsidR="00200506" w:rsidRPr="0002340D">
        <w:t xml:space="preserve">RA </w:t>
      </w:r>
      <w:r w:rsidRPr="0002340D">
        <w:t xml:space="preserve">+ </w:t>
      </w:r>
      <w:r w:rsidR="00200506" w:rsidRPr="0002340D">
        <w:t xml:space="preserve">a </w:t>
      </w:r>
      <w:r w:rsidRPr="0002340D">
        <w:t>5-HT3 RA, including NEPA. The PBAC previously considered that NEPA IV be cost-minimised to the lowest cost combination of a NK1 RA and a 5-HT3 RA. Emend IV + PALO IV is not the lowest cost combination of a NK1</w:t>
      </w:r>
      <w:r w:rsidR="00200506" w:rsidRPr="0002340D">
        <w:t xml:space="preserve"> RA</w:t>
      </w:r>
      <w:r w:rsidRPr="0002340D">
        <w:t xml:space="preserve"> and </w:t>
      </w:r>
      <w:r w:rsidR="00200506" w:rsidRPr="0002340D">
        <w:t xml:space="preserve">a </w:t>
      </w:r>
      <w:r w:rsidRPr="0002340D">
        <w:t>5-HT3 RA, as NEPA and combinations of aprepitant with other 5-HT3 RAs are associated with lower costs</w:t>
      </w:r>
      <w:r w:rsidRPr="0002340D">
        <w:rPr>
          <w:color w:val="000000" w:themeColor="text1"/>
        </w:rPr>
        <w:t xml:space="preserve">. The table below summarises the costs of all possible NK1 and 5-HT3 RAs. </w:t>
      </w:r>
    </w:p>
    <w:p w14:paraId="12E995E6" w14:textId="1489D4E3" w:rsidR="00C010DB" w:rsidRPr="0002340D" w:rsidRDefault="00C010DB" w:rsidP="00C010DB">
      <w:pPr>
        <w:pStyle w:val="Caption"/>
      </w:pPr>
      <w:bookmarkStart w:id="49" w:name="_Ref124166035"/>
      <w:r w:rsidRPr="0002340D">
        <w:t xml:space="preserve">Table </w:t>
      </w:r>
      <w:fldSimple w:instr=" SEQ Table \* ARABIC ">
        <w:r w:rsidR="00775281">
          <w:rPr>
            <w:noProof/>
          </w:rPr>
          <w:t>11</w:t>
        </w:r>
      </w:fldSimple>
      <w:bookmarkEnd w:id="49"/>
      <w:r w:rsidRPr="0002340D">
        <w:t xml:space="preserve">: Costs per course of </w:t>
      </w:r>
      <w:r w:rsidR="00F24C51" w:rsidRPr="0002340D">
        <w:t>relevant alternative therapies</w:t>
      </w:r>
      <w:r w:rsidRPr="0002340D">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3747"/>
        <w:gridCol w:w="1944"/>
      </w:tblGrid>
      <w:tr w:rsidR="00A81AEC" w:rsidRPr="0002340D" w14:paraId="73EB2122" w14:textId="77777777" w:rsidTr="00D523C2">
        <w:trPr>
          <w:cantSplit/>
        </w:trPr>
        <w:tc>
          <w:tcPr>
            <w:tcW w:w="1844" w:type="pct"/>
            <w:vAlign w:val="center"/>
          </w:tcPr>
          <w:p w14:paraId="6F0F6E0C" w14:textId="77777777" w:rsidR="00A81AEC" w:rsidRPr="0002340D" w:rsidRDefault="00A81AEC" w:rsidP="00E72705">
            <w:pPr>
              <w:pStyle w:val="In-tableHeading"/>
            </w:pPr>
            <w:bookmarkStart w:id="50" w:name="_Hlk124767228"/>
            <w:r w:rsidRPr="0002340D">
              <w:t>Component</w:t>
            </w:r>
          </w:p>
        </w:tc>
        <w:tc>
          <w:tcPr>
            <w:tcW w:w="2078" w:type="pct"/>
          </w:tcPr>
          <w:p w14:paraId="3DFDB826" w14:textId="11D4A546" w:rsidR="00A81AEC" w:rsidRPr="0002340D" w:rsidRDefault="00A81AEC" w:rsidP="00E72705">
            <w:pPr>
              <w:pStyle w:val="In-tableHeading"/>
              <w:rPr>
                <w:vertAlign w:val="superscript"/>
              </w:rPr>
            </w:pPr>
            <w:r w:rsidRPr="0002340D">
              <w:t>Dose per patient per course of acute therapy</w:t>
            </w:r>
            <w:r w:rsidRPr="0002340D">
              <w:rPr>
                <w:vertAlign w:val="superscript"/>
              </w:rPr>
              <w:t>a</w:t>
            </w:r>
          </w:p>
        </w:tc>
        <w:tc>
          <w:tcPr>
            <w:tcW w:w="1077" w:type="pct"/>
          </w:tcPr>
          <w:p w14:paraId="498E51F6" w14:textId="552CE7C0" w:rsidR="00A81AEC" w:rsidRPr="0002340D" w:rsidRDefault="00A81AEC" w:rsidP="00E72705">
            <w:pPr>
              <w:pStyle w:val="In-tableHeading"/>
              <w:rPr>
                <w:vertAlign w:val="superscript"/>
              </w:rPr>
            </w:pPr>
            <w:r w:rsidRPr="0002340D">
              <w:t>AEMP cost per course</w:t>
            </w:r>
            <w:r w:rsidR="0017062D" w:rsidRPr="0002340D">
              <w:rPr>
                <w:vertAlign w:val="superscript"/>
              </w:rPr>
              <w:t>b</w:t>
            </w:r>
          </w:p>
        </w:tc>
      </w:tr>
      <w:tr w:rsidR="00A81AEC" w:rsidRPr="0002340D" w14:paraId="5673260B" w14:textId="77777777" w:rsidTr="00D523C2">
        <w:trPr>
          <w:cantSplit/>
        </w:trPr>
        <w:tc>
          <w:tcPr>
            <w:tcW w:w="5000" w:type="pct"/>
            <w:gridSpan w:val="3"/>
            <w:vAlign w:val="center"/>
          </w:tcPr>
          <w:p w14:paraId="1E62FC3B" w14:textId="03CC1948" w:rsidR="00A81AEC" w:rsidRPr="0002340D" w:rsidRDefault="00A81AEC" w:rsidP="00E72705">
            <w:pPr>
              <w:pStyle w:val="In-tableHeading"/>
            </w:pPr>
            <w:r w:rsidRPr="0002340D">
              <w:t xml:space="preserve">FDC NK1 </w:t>
            </w:r>
            <w:r w:rsidR="00200506" w:rsidRPr="0002340D">
              <w:t xml:space="preserve">RA </w:t>
            </w:r>
            <w:r w:rsidRPr="0002340D">
              <w:t>and 5-HT3 RA</w:t>
            </w:r>
          </w:p>
        </w:tc>
      </w:tr>
      <w:tr w:rsidR="00253E5A" w:rsidRPr="0002340D" w14:paraId="7459274D" w14:textId="77777777" w:rsidTr="00D523C2">
        <w:trPr>
          <w:cantSplit/>
        </w:trPr>
        <w:tc>
          <w:tcPr>
            <w:tcW w:w="1844" w:type="pct"/>
            <w:vAlign w:val="center"/>
          </w:tcPr>
          <w:p w14:paraId="706B6666" w14:textId="4CF6973A" w:rsidR="00253E5A" w:rsidRPr="0002340D" w:rsidRDefault="00253E5A" w:rsidP="00E72705">
            <w:pPr>
              <w:pStyle w:val="In-tableHeading"/>
              <w:rPr>
                <w:b w:val="0"/>
              </w:rPr>
            </w:pPr>
            <w:r w:rsidRPr="0002340D">
              <w:rPr>
                <w:b w:val="0"/>
              </w:rPr>
              <w:t>NEPA IV (netupitant + palonosetron)</w:t>
            </w:r>
          </w:p>
        </w:tc>
        <w:tc>
          <w:tcPr>
            <w:tcW w:w="2078" w:type="pct"/>
          </w:tcPr>
          <w:p w14:paraId="634442E0" w14:textId="205364D1" w:rsidR="00253E5A" w:rsidRPr="0002340D" w:rsidRDefault="00253E5A" w:rsidP="00E72705">
            <w:pPr>
              <w:pStyle w:val="In-tableHeading"/>
              <w:rPr>
                <w:b w:val="0"/>
              </w:rPr>
            </w:pPr>
            <w:r w:rsidRPr="0002340D">
              <w:rPr>
                <w:b w:val="0"/>
              </w:rPr>
              <w:t>2</w:t>
            </w:r>
            <w:r w:rsidR="00B56B7C" w:rsidRPr="0002340D">
              <w:rPr>
                <w:b w:val="0"/>
              </w:rPr>
              <w:t>35</w:t>
            </w:r>
            <w:r w:rsidRPr="0002340D">
              <w:rPr>
                <w:b w:val="0"/>
              </w:rPr>
              <w:t xml:space="preserve"> </w:t>
            </w:r>
            <w:r w:rsidR="009E2338">
              <w:rPr>
                <w:b w:val="0"/>
              </w:rPr>
              <w:t> mg</w:t>
            </w:r>
            <w:r w:rsidRPr="0002340D">
              <w:rPr>
                <w:b w:val="0"/>
              </w:rPr>
              <w:t xml:space="preserve"> + 0.</w:t>
            </w:r>
            <w:r w:rsidR="00934138">
              <w:rPr>
                <w:b w:val="0"/>
              </w:rPr>
              <w:t>25</w:t>
            </w:r>
            <w:r w:rsidRPr="0002340D">
              <w:rPr>
                <w:b w:val="0"/>
              </w:rPr>
              <w:t xml:space="preserve"> </w:t>
            </w:r>
            <w:r w:rsidR="009E2338">
              <w:rPr>
                <w:b w:val="0"/>
              </w:rPr>
              <w:t> mg</w:t>
            </w:r>
            <w:r w:rsidR="00CD5BA6" w:rsidRPr="0002340D">
              <w:rPr>
                <w:b w:val="0"/>
              </w:rPr>
              <w:t xml:space="preserve"> on Day 1</w:t>
            </w:r>
          </w:p>
        </w:tc>
        <w:tc>
          <w:tcPr>
            <w:tcW w:w="1077" w:type="pct"/>
          </w:tcPr>
          <w:p w14:paraId="4CC673E6" w14:textId="6FA0B057" w:rsidR="00253E5A" w:rsidRPr="0002340D" w:rsidRDefault="00253E5A" w:rsidP="00E72705">
            <w:pPr>
              <w:pStyle w:val="In-tableHeading"/>
              <w:rPr>
                <w:b w:val="0"/>
              </w:rPr>
            </w:pPr>
            <w:r w:rsidRPr="00355C55">
              <w:rPr>
                <w:b w:val="0"/>
              </w:rPr>
              <w:t>$</w:t>
            </w:r>
            <w:r w:rsidR="00D25BE4" w:rsidRPr="00D25BE4">
              <w:rPr>
                <w:b w:val="0"/>
                <w:color w:val="000000"/>
                <w:spacing w:val="53"/>
                <w:shd w:val="solid" w:color="000000" w:fill="000000"/>
                <w:fitText w:val="330" w:id="-1233420286"/>
                <w14:textFill>
                  <w14:solidFill>
                    <w14:srgbClr w14:val="000000">
                      <w14:alpha w14:val="100000"/>
                    </w14:srgbClr>
                  </w14:solidFill>
                </w14:textFill>
              </w:rPr>
              <w:t>|||</w:t>
            </w:r>
            <w:r w:rsidR="00D25BE4" w:rsidRPr="00D25BE4">
              <w:rPr>
                <w:b w:val="0"/>
                <w:color w:val="000000"/>
                <w:spacing w:val="1"/>
                <w:shd w:val="solid" w:color="000000" w:fill="000000"/>
                <w:fitText w:val="330" w:id="-1233420286"/>
                <w14:textFill>
                  <w14:solidFill>
                    <w14:srgbClr w14:val="000000">
                      <w14:alpha w14:val="100000"/>
                    </w14:srgbClr>
                  </w14:solidFill>
                </w14:textFill>
              </w:rPr>
              <w:t>|</w:t>
            </w:r>
            <w:r w:rsidR="00D25BE4" w:rsidRPr="00D25BE4">
              <w:rPr>
                <w:b w:val="0"/>
              </w:rPr>
              <w:t xml:space="preserve"> </w:t>
            </w:r>
          </w:p>
        </w:tc>
      </w:tr>
      <w:tr w:rsidR="00A81AEC" w:rsidRPr="0002340D" w14:paraId="670BB275" w14:textId="77777777" w:rsidTr="00D523C2">
        <w:trPr>
          <w:cantSplit/>
        </w:trPr>
        <w:tc>
          <w:tcPr>
            <w:tcW w:w="1844" w:type="pct"/>
            <w:vAlign w:val="center"/>
          </w:tcPr>
          <w:p w14:paraId="1A876032" w14:textId="77777777" w:rsidR="00A81AEC" w:rsidRPr="0002340D" w:rsidRDefault="00A81AEC" w:rsidP="00E72705">
            <w:pPr>
              <w:pStyle w:val="In-tableHeading"/>
              <w:rPr>
                <w:b w:val="0"/>
              </w:rPr>
            </w:pPr>
            <w:r w:rsidRPr="0002340D">
              <w:rPr>
                <w:b w:val="0"/>
              </w:rPr>
              <w:t xml:space="preserve">NEPA oral (netupitant + palonosetron) </w:t>
            </w:r>
          </w:p>
        </w:tc>
        <w:tc>
          <w:tcPr>
            <w:tcW w:w="2078" w:type="pct"/>
          </w:tcPr>
          <w:p w14:paraId="56821CBA" w14:textId="7940598F" w:rsidR="00A81AEC" w:rsidRPr="0002340D" w:rsidRDefault="00A81AEC" w:rsidP="00E72705">
            <w:pPr>
              <w:pStyle w:val="In-tableHeading"/>
              <w:rPr>
                <w:b w:val="0"/>
              </w:rPr>
            </w:pPr>
            <w:r w:rsidRPr="0002340D">
              <w:rPr>
                <w:b w:val="0"/>
              </w:rPr>
              <w:t xml:space="preserve">300 </w:t>
            </w:r>
            <w:r w:rsidR="009E2338">
              <w:rPr>
                <w:b w:val="0"/>
              </w:rPr>
              <w:t> mg</w:t>
            </w:r>
            <w:r w:rsidRPr="0002340D">
              <w:rPr>
                <w:b w:val="0"/>
              </w:rPr>
              <w:t xml:space="preserve"> + 0.</w:t>
            </w:r>
            <w:r w:rsidR="00934138">
              <w:rPr>
                <w:b w:val="0"/>
              </w:rPr>
              <w:t>2</w:t>
            </w:r>
            <w:r w:rsidRPr="0002340D">
              <w:rPr>
                <w:b w:val="0"/>
              </w:rPr>
              <w:t xml:space="preserve">5 </w:t>
            </w:r>
            <w:r w:rsidR="009E2338">
              <w:rPr>
                <w:b w:val="0"/>
              </w:rPr>
              <w:t> mg</w:t>
            </w:r>
            <w:r w:rsidRPr="0002340D">
              <w:rPr>
                <w:b w:val="0"/>
              </w:rPr>
              <w:t xml:space="preserve"> </w:t>
            </w:r>
            <w:r w:rsidR="00CD5BA6" w:rsidRPr="0002340D">
              <w:rPr>
                <w:b w:val="0"/>
              </w:rPr>
              <w:t>on Day 1</w:t>
            </w:r>
          </w:p>
        </w:tc>
        <w:tc>
          <w:tcPr>
            <w:tcW w:w="1077" w:type="pct"/>
          </w:tcPr>
          <w:p w14:paraId="5894FF1C" w14:textId="77777777" w:rsidR="00A81AEC" w:rsidRPr="0002340D" w:rsidRDefault="00A81AEC" w:rsidP="00E72705">
            <w:pPr>
              <w:pStyle w:val="In-tableHeading"/>
              <w:rPr>
                <w:b w:val="0"/>
              </w:rPr>
            </w:pPr>
            <w:r w:rsidRPr="0002340D">
              <w:rPr>
                <w:b w:val="0"/>
              </w:rPr>
              <w:t>$97.16</w:t>
            </w:r>
          </w:p>
        </w:tc>
      </w:tr>
      <w:tr w:rsidR="00A81AEC" w:rsidRPr="0002340D" w14:paraId="511A3433" w14:textId="77777777" w:rsidTr="00D523C2">
        <w:trPr>
          <w:cantSplit/>
        </w:trPr>
        <w:tc>
          <w:tcPr>
            <w:tcW w:w="5000" w:type="pct"/>
            <w:gridSpan w:val="3"/>
            <w:tcBorders>
              <w:bottom w:val="single" w:sz="4" w:space="0" w:color="auto"/>
            </w:tcBorders>
            <w:vAlign w:val="center"/>
          </w:tcPr>
          <w:p w14:paraId="46CA11D0" w14:textId="4130D544" w:rsidR="00A81AEC" w:rsidRPr="0002340D" w:rsidRDefault="00A81AEC" w:rsidP="00E72705">
            <w:pPr>
              <w:pStyle w:val="In-tableHeading"/>
            </w:pPr>
            <w:r w:rsidRPr="0002340D">
              <w:t>NK1 inhibitors and 5-HT3 R</w:t>
            </w:r>
            <w:r w:rsidR="0090165C" w:rsidRPr="0002340D">
              <w:t>A</w:t>
            </w:r>
            <w:r w:rsidRPr="0002340D">
              <w:t>s</w:t>
            </w:r>
            <w:r w:rsidR="000D2790" w:rsidRPr="0002340D">
              <w:t xml:space="preserve"> (</w:t>
            </w:r>
            <w:r w:rsidR="006064D8" w:rsidRPr="0002340D">
              <w:t xml:space="preserve">used </w:t>
            </w:r>
            <w:r w:rsidR="000D2790" w:rsidRPr="0002340D">
              <w:t xml:space="preserve">in combination) </w:t>
            </w:r>
          </w:p>
        </w:tc>
      </w:tr>
      <w:tr w:rsidR="00A81AEC" w:rsidRPr="0002340D" w14:paraId="2875F684" w14:textId="77777777" w:rsidTr="00D523C2">
        <w:trPr>
          <w:cantSplit/>
        </w:trPr>
        <w:tc>
          <w:tcPr>
            <w:tcW w:w="1844" w:type="pct"/>
            <w:tcBorders>
              <w:right w:val="nil"/>
            </w:tcBorders>
            <w:vAlign w:val="center"/>
          </w:tcPr>
          <w:p w14:paraId="755167FC" w14:textId="44853427" w:rsidR="00A81AEC" w:rsidRPr="0002340D" w:rsidRDefault="00A81AEC" w:rsidP="00E72705">
            <w:pPr>
              <w:pStyle w:val="In-tableHeading"/>
              <w:rPr>
                <w:b w:val="0"/>
                <w:vertAlign w:val="superscript"/>
              </w:rPr>
            </w:pPr>
            <w:r w:rsidRPr="0002340D">
              <w:rPr>
                <w:b w:val="0"/>
              </w:rPr>
              <w:t xml:space="preserve">5-HT3 </w:t>
            </w:r>
            <w:r w:rsidR="000D2790" w:rsidRPr="0002340D">
              <w:rPr>
                <w:b w:val="0"/>
              </w:rPr>
              <w:t>RAs</w:t>
            </w:r>
            <w:r w:rsidR="000D2790" w:rsidRPr="0002340D">
              <w:rPr>
                <w:b w:val="0"/>
                <w:vertAlign w:val="superscript"/>
              </w:rPr>
              <w:t>c</w:t>
            </w:r>
          </w:p>
        </w:tc>
        <w:tc>
          <w:tcPr>
            <w:tcW w:w="2078" w:type="pct"/>
            <w:tcBorders>
              <w:left w:val="nil"/>
              <w:right w:val="nil"/>
            </w:tcBorders>
          </w:tcPr>
          <w:p w14:paraId="4F0F181F" w14:textId="77777777" w:rsidR="00A81AEC" w:rsidRPr="0002340D" w:rsidRDefault="00A81AEC" w:rsidP="00E72705">
            <w:pPr>
              <w:pStyle w:val="In-tableHeading"/>
              <w:rPr>
                <w:b w:val="0"/>
              </w:rPr>
            </w:pPr>
          </w:p>
        </w:tc>
        <w:tc>
          <w:tcPr>
            <w:tcW w:w="1077" w:type="pct"/>
            <w:tcBorders>
              <w:left w:val="nil"/>
            </w:tcBorders>
          </w:tcPr>
          <w:p w14:paraId="111D348E" w14:textId="77777777" w:rsidR="00A81AEC" w:rsidRPr="0002340D" w:rsidRDefault="00A81AEC" w:rsidP="00E72705">
            <w:pPr>
              <w:pStyle w:val="In-tableHeading"/>
              <w:rPr>
                <w:b w:val="0"/>
              </w:rPr>
            </w:pPr>
          </w:p>
        </w:tc>
      </w:tr>
      <w:tr w:rsidR="00A81AEC" w:rsidRPr="0002340D" w14:paraId="19F62D42" w14:textId="77777777" w:rsidTr="00D523C2">
        <w:trPr>
          <w:cantSplit/>
        </w:trPr>
        <w:tc>
          <w:tcPr>
            <w:tcW w:w="1844" w:type="pct"/>
            <w:vAlign w:val="center"/>
          </w:tcPr>
          <w:p w14:paraId="507EF201" w14:textId="77777777" w:rsidR="00A81AEC" w:rsidRPr="0002340D" w:rsidRDefault="00A81AEC" w:rsidP="00A723BE">
            <w:pPr>
              <w:pStyle w:val="In-tableHeading"/>
              <w:numPr>
                <w:ilvl w:val="0"/>
                <w:numId w:val="16"/>
              </w:numPr>
              <w:rPr>
                <w:b w:val="0"/>
              </w:rPr>
            </w:pPr>
            <w:r w:rsidRPr="0002340D">
              <w:rPr>
                <w:b w:val="0"/>
              </w:rPr>
              <w:t>Palonosetron IV</w:t>
            </w:r>
          </w:p>
        </w:tc>
        <w:tc>
          <w:tcPr>
            <w:tcW w:w="2078" w:type="pct"/>
          </w:tcPr>
          <w:p w14:paraId="3116F837" w14:textId="2DBC3128" w:rsidR="00A81AEC" w:rsidRPr="0002340D" w:rsidRDefault="00A81AEC" w:rsidP="00E72705">
            <w:pPr>
              <w:pStyle w:val="In-tableHeading"/>
              <w:rPr>
                <w:b w:val="0"/>
              </w:rPr>
            </w:pPr>
            <w:r w:rsidRPr="0002340D">
              <w:rPr>
                <w:b w:val="0"/>
              </w:rPr>
              <w:t xml:space="preserve">0.25 </w:t>
            </w:r>
            <w:r w:rsidR="009E2338">
              <w:rPr>
                <w:b w:val="0"/>
              </w:rPr>
              <w:t> mg</w:t>
            </w:r>
            <w:r w:rsidRPr="0002340D">
              <w:rPr>
                <w:b w:val="0"/>
              </w:rPr>
              <w:t xml:space="preserve"> </w:t>
            </w:r>
            <w:r w:rsidR="00CD5BA6" w:rsidRPr="0002340D">
              <w:rPr>
                <w:b w:val="0"/>
              </w:rPr>
              <w:t>on Day 1</w:t>
            </w:r>
          </w:p>
        </w:tc>
        <w:tc>
          <w:tcPr>
            <w:tcW w:w="1077" w:type="pct"/>
          </w:tcPr>
          <w:p w14:paraId="593D2661" w14:textId="77777777" w:rsidR="00A81AEC" w:rsidRPr="0002340D" w:rsidRDefault="00A81AEC" w:rsidP="00E72705">
            <w:pPr>
              <w:pStyle w:val="In-tableHeading"/>
              <w:rPr>
                <w:b w:val="0"/>
              </w:rPr>
            </w:pPr>
            <w:r w:rsidRPr="0002340D">
              <w:rPr>
                <w:b w:val="0"/>
              </w:rPr>
              <w:t>$22.04</w:t>
            </w:r>
          </w:p>
        </w:tc>
      </w:tr>
      <w:tr w:rsidR="00A81AEC" w:rsidRPr="0002340D" w14:paraId="1A868436" w14:textId="77777777" w:rsidTr="00D523C2">
        <w:trPr>
          <w:cantSplit/>
        </w:trPr>
        <w:tc>
          <w:tcPr>
            <w:tcW w:w="1844" w:type="pct"/>
            <w:vAlign w:val="center"/>
          </w:tcPr>
          <w:p w14:paraId="14330489" w14:textId="4D93AB40" w:rsidR="00A81AEC" w:rsidRPr="0002340D" w:rsidRDefault="009D322D" w:rsidP="00A723BE">
            <w:pPr>
              <w:pStyle w:val="In-tableHeading"/>
              <w:numPr>
                <w:ilvl w:val="0"/>
                <w:numId w:val="16"/>
              </w:numPr>
              <w:rPr>
                <w:b w:val="0"/>
              </w:rPr>
            </w:pPr>
            <w:r w:rsidRPr="0002340D">
              <w:rPr>
                <w:b w:val="0"/>
              </w:rPr>
              <w:t>Ondansetron</w:t>
            </w:r>
            <w:r w:rsidR="00A81AEC" w:rsidRPr="0002340D">
              <w:rPr>
                <w:b w:val="0"/>
              </w:rPr>
              <w:t xml:space="preserve"> oral</w:t>
            </w:r>
          </w:p>
        </w:tc>
        <w:tc>
          <w:tcPr>
            <w:tcW w:w="2078" w:type="pct"/>
          </w:tcPr>
          <w:p w14:paraId="0441C128" w14:textId="23AE2DCD" w:rsidR="00A81AEC" w:rsidRPr="0002340D" w:rsidRDefault="00A81AEC" w:rsidP="00E72705">
            <w:pPr>
              <w:pStyle w:val="In-tableHeading"/>
              <w:rPr>
                <w:b w:val="0"/>
              </w:rPr>
            </w:pPr>
            <w:r w:rsidRPr="0002340D">
              <w:rPr>
                <w:b w:val="0"/>
              </w:rPr>
              <w:t xml:space="preserve">16-24 </w:t>
            </w:r>
            <w:r w:rsidR="009E2338">
              <w:rPr>
                <w:b w:val="0"/>
              </w:rPr>
              <w:t> mg</w:t>
            </w:r>
            <w:r w:rsidRPr="0002340D">
              <w:rPr>
                <w:b w:val="0"/>
              </w:rPr>
              <w:t xml:space="preserve"> </w:t>
            </w:r>
            <w:r w:rsidR="00CD5BA6" w:rsidRPr="0002340D">
              <w:rPr>
                <w:b w:val="0"/>
              </w:rPr>
              <w:t>on Day 1</w:t>
            </w:r>
          </w:p>
        </w:tc>
        <w:tc>
          <w:tcPr>
            <w:tcW w:w="1077" w:type="pct"/>
          </w:tcPr>
          <w:p w14:paraId="699BD6A6" w14:textId="77777777" w:rsidR="00A81AEC" w:rsidRPr="0002340D" w:rsidRDefault="00A81AEC" w:rsidP="00E72705">
            <w:pPr>
              <w:pStyle w:val="In-tableHeading"/>
              <w:rPr>
                <w:b w:val="0"/>
              </w:rPr>
            </w:pPr>
            <w:r w:rsidRPr="0002340D">
              <w:rPr>
                <w:b w:val="0"/>
              </w:rPr>
              <w:t>$4.33</w:t>
            </w:r>
          </w:p>
        </w:tc>
      </w:tr>
      <w:tr w:rsidR="00A81AEC" w:rsidRPr="0002340D" w14:paraId="1CBABA51" w14:textId="77777777" w:rsidTr="00D523C2">
        <w:trPr>
          <w:cantSplit/>
        </w:trPr>
        <w:tc>
          <w:tcPr>
            <w:tcW w:w="1844" w:type="pct"/>
            <w:vAlign w:val="center"/>
          </w:tcPr>
          <w:p w14:paraId="358AC04B" w14:textId="7375E275" w:rsidR="00A81AEC" w:rsidRPr="0002340D" w:rsidRDefault="00A81AEC" w:rsidP="00A723BE">
            <w:pPr>
              <w:pStyle w:val="In-tableHeading"/>
              <w:numPr>
                <w:ilvl w:val="0"/>
                <w:numId w:val="16"/>
              </w:numPr>
              <w:rPr>
                <w:b w:val="0"/>
              </w:rPr>
            </w:pPr>
            <w:r w:rsidRPr="0002340D">
              <w:rPr>
                <w:b w:val="0"/>
              </w:rPr>
              <w:t>Granisetron IV</w:t>
            </w:r>
          </w:p>
        </w:tc>
        <w:tc>
          <w:tcPr>
            <w:tcW w:w="2078" w:type="pct"/>
          </w:tcPr>
          <w:p w14:paraId="26FFCB53" w14:textId="1A8E478C" w:rsidR="00A81AEC" w:rsidRPr="0002340D" w:rsidRDefault="00A81AEC" w:rsidP="00E72705">
            <w:pPr>
              <w:pStyle w:val="In-tableHeading"/>
              <w:rPr>
                <w:b w:val="0"/>
                <w:vertAlign w:val="superscript"/>
              </w:rPr>
            </w:pPr>
            <w:r w:rsidRPr="0002340D">
              <w:rPr>
                <w:b w:val="0"/>
              </w:rPr>
              <w:t xml:space="preserve">3 </w:t>
            </w:r>
            <w:r w:rsidR="009E2338">
              <w:rPr>
                <w:b w:val="0"/>
              </w:rPr>
              <w:t> mg</w:t>
            </w:r>
            <w:r w:rsidRPr="0002340D">
              <w:rPr>
                <w:b w:val="0"/>
              </w:rPr>
              <w:t xml:space="preserve"> </w:t>
            </w:r>
            <w:r w:rsidR="00CD5BA6" w:rsidRPr="0002340D">
              <w:rPr>
                <w:b w:val="0"/>
              </w:rPr>
              <w:t xml:space="preserve">on Day 1 </w:t>
            </w:r>
          </w:p>
        </w:tc>
        <w:tc>
          <w:tcPr>
            <w:tcW w:w="1077" w:type="pct"/>
          </w:tcPr>
          <w:p w14:paraId="3E27ECF8" w14:textId="1AE98C35" w:rsidR="00A233FF" w:rsidRPr="00D569B9" w:rsidRDefault="00A81AEC" w:rsidP="00E72705">
            <w:pPr>
              <w:pStyle w:val="In-tableHeading"/>
              <w:rPr>
                <w:b w:val="0"/>
                <w:bCs/>
              </w:rPr>
            </w:pPr>
            <w:r w:rsidRPr="00D569B9">
              <w:rPr>
                <w:b w:val="0"/>
                <w:bCs/>
              </w:rPr>
              <w:t>$2.50</w:t>
            </w:r>
          </w:p>
        </w:tc>
      </w:tr>
      <w:tr w:rsidR="00A81AEC" w:rsidRPr="0002340D" w14:paraId="24451125" w14:textId="77777777" w:rsidTr="00D523C2">
        <w:trPr>
          <w:cantSplit/>
        </w:trPr>
        <w:tc>
          <w:tcPr>
            <w:tcW w:w="1844" w:type="pct"/>
            <w:vAlign w:val="center"/>
          </w:tcPr>
          <w:p w14:paraId="428A6F32" w14:textId="77777777" w:rsidR="00A81AEC" w:rsidRPr="0002340D" w:rsidRDefault="00A81AEC" w:rsidP="00A723BE">
            <w:pPr>
              <w:pStyle w:val="In-tableHeading"/>
              <w:numPr>
                <w:ilvl w:val="0"/>
                <w:numId w:val="16"/>
              </w:numPr>
              <w:rPr>
                <w:b w:val="0"/>
              </w:rPr>
            </w:pPr>
            <w:r w:rsidRPr="0002340D">
              <w:rPr>
                <w:b w:val="0"/>
              </w:rPr>
              <w:t>Tropisetron IV</w:t>
            </w:r>
          </w:p>
        </w:tc>
        <w:tc>
          <w:tcPr>
            <w:tcW w:w="2078" w:type="pct"/>
          </w:tcPr>
          <w:p w14:paraId="53D8ACBA" w14:textId="53562965" w:rsidR="00A81AEC" w:rsidRPr="0002340D" w:rsidRDefault="00A81AEC" w:rsidP="00E72705">
            <w:pPr>
              <w:pStyle w:val="In-tableHeading"/>
              <w:rPr>
                <w:b w:val="0"/>
              </w:rPr>
            </w:pPr>
            <w:r w:rsidRPr="0002340D">
              <w:rPr>
                <w:b w:val="0"/>
              </w:rPr>
              <w:t xml:space="preserve">5 </w:t>
            </w:r>
            <w:r w:rsidR="009E2338">
              <w:rPr>
                <w:b w:val="0"/>
              </w:rPr>
              <w:t> mg</w:t>
            </w:r>
            <w:r w:rsidRPr="0002340D">
              <w:rPr>
                <w:b w:val="0"/>
              </w:rPr>
              <w:t xml:space="preserve"> </w:t>
            </w:r>
            <w:r w:rsidR="00CD5BA6" w:rsidRPr="0002340D">
              <w:rPr>
                <w:b w:val="0"/>
              </w:rPr>
              <w:t>on Day 1</w:t>
            </w:r>
          </w:p>
        </w:tc>
        <w:tc>
          <w:tcPr>
            <w:tcW w:w="1077" w:type="pct"/>
          </w:tcPr>
          <w:p w14:paraId="3A673410" w14:textId="77777777" w:rsidR="00A81AEC" w:rsidRPr="0002340D" w:rsidRDefault="00A81AEC" w:rsidP="00E72705">
            <w:pPr>
              <w:pStyle w:val="In-tableHeading"/>
              <w:rPr>
                <w:b w:val="0"/>
              </w:rPr>
            </w:pPr>
            <w:r w:rsidRPr="0002340D">
              <w:rPr>
                <w:b w:val="0"/>
              </w:rPr>
              <w:t>$4.57</w:t>
            </w:r>
          </w:p>
        </w:tc>
      </w:tr>
      <w:tr w:rsidR="00A81AEC" w:rsidRPr="0002340D" w14:paraId="5218AB00" w14:textId="77777777" w:rsidTr="00D523C2">
        <w:trPr>
          <w:cantSplit/>
        </w:trPr>
        <w:tc>
          <w:tcPr>
            <w:tcW w:w="5000" w:type="pct"/>
            <w:gridSpan w:val="3"/>
            <w:vAlign w:val="center"/>
          </w:tcPr>
          <w:p w14:paraId="08AF8F49" w14:textId="039AC4C4" w:rsidR="00A81AEC" w:rsidRPr="0002340D" w:rsidRDefault="00A81AEC" w:rsidP="00E72705">
            <w:pPr>
              <w:pStyle w:val="In-tableHeading"/>
              <w:rPr>
                <w:b w:val="0"/>
                <w:highlight w:val="yellow"/>
                <w:vertAlign w:val="superscript"/>
              </w:rPr>
            </w:pPr>
            <w:r w:rsidRPr="0002340D">
              <w:rPr>
                <w:b w:val="0"/>
              </w:rPr>
              <w:t xml:space="preserve">NK1 </w:t>
            </w:r>
            <w:r w:rsidR="005B47F6" w:rsidRPr="0002340D">
              <w:rPr>
                <w:b w:val="0"/>
              </w:rPr>
              <w:t>inhibitors</w:t>
            </w:r>
            <w:r w:rsidR="005B47F6" w:rsidRPr="0002340D">
              <w:rPr>
                <w:b w:val="0"/>
                <w:vertAlign w:val="superscript"/>
              </w:rPr>
              <w:t>d</w:t>
            </w:r>
          </w:p>
        </w:tc>
      </w:tr>
      <w:tr w:rsidR="00A81AEC" w:rsidRPr="0002340D" w14:paraId="3C48CD67" w14:textId="77777777" w:rsidTr="00D523C2">
        <w:trPr>
          <w:cantSplit/>
        </w:trPr>
        <w:tc>
          <w:tcPr>
            <w:tcW w:w="1844" w:type="pct"/>
            <w:vAlign w:val="center"/>
          </w:tcPr>
          <w:p w14:paraId="176503C8" w14:textId="2F06EE7A" w:rsidR="00A81AEC" w:rsidRPr="0002340D" w:rsidRDefault="00C6376F" w:rsidP="00A723BE">
            <w:pPr>
              <w:pStyle w:val="In-tableHeading"/>
              <w:numPr>
                <w:ilvl w:val="0"/>
                <w:numId w:val="16"/>
              </w:numPr>
              <w:rPr>
                <w:b w:val="0"/>
              </w:rPr>
            </w:pPr>
            <w:r w:rsidRPr="0002340D">
              <w:rPr>
                <w:b w:val="0"/>
              </w:rPr>
              <w:t>Emend IV</w:t>
            </w:r>
          </w:p>
        </w:tc>
        <w:tc>
          <w:tcPr>
            <w:tcW w:w="2078" w:type="pct"/>
          </w:tcPr>
          <w:p w14:paraId="194ECEE6" w14:textId="40D50B17" w:rsidR="00A81AEC" w:rsidRPr="0002340D" w:rsidRDefault="00A81AEC" w:rsidP="00E72705">
            <w:pPr>
              <w:pStyle w:val="In-tableHeading"/>
              <w:rPr>
                <w:b w:val="0"/>
              </w:rPr>
            </w:pPr>
            <w:r w:rsidRPr="0002340D">
              <w:rPr>
                <w:b w:val="0"/>
              </w:rPr>
              <w:t xml:space="preserve">150 </w:t>
            </w:r>
            <w:r w:rsidR="009E2338">
              <w:rPr>
                <w:b w:val="0"/>
              </w:rPr>
              <w:t> mg</w:t>
            </w:r>
            <w:r w:rsidRPr="0002340D">
              <w:rPr>
                <w:b w:val="0"/>
              </w:rPr>
              <w:t xml:space="preserve"> </w:t>
            </w:r>
          </w:p>
        </w:tc>
        <w:tc>
          <w:tcPr>
            <w:tcW w:w="1077" w:type="pct"/>
          </w:tcPr>
          <w:p w14:paraId="7F640CB7" w14:textId="77777777" w:rsidR="00A81AEC" w:rsidRPr="0002340D" w:rsidRDefault="00A81AEC" w:rsidP="00E72705">
            <w:pPr>
              <w:pStyle w:val="In-tableHeading"/>
              <w:rPr>
                <w:b w:val="0"/>
              </w:rPr>
            </w:pPr>
            <w:r w:rsidRPr="0002340D">
              <w:rPr>
                <w:b w:val="0"/>
              </w:rPr>
              <w:t>$97.16</w:t>
            </w:r>
          </w:p>
        </w:tc>
      </w:tr>
      <w:tr w:rsidR="00A81AEC" w:rsidRPr="0002340D" w14:paraId="1E0C2F39" w14:textId="77777777" w:rsidTr="006064D8">
        <w:trPr>
          <w:cantSplit/>
        </w:trPr>
        <w:tc>
          <w:tcPr>
            <w:tcW w:w="1844" w:type="pct"/>
            <w:tcBorders>
              <w:bottom w:val="single" w:sz="4" w:space="0" w:color="auto"/>
            </w:tcBorders>
            <w:vAlign w:val="center"/>
          </w:tcPr>
          <w:p w14:paraId="4FFCCB3F" w14:textId="4D4D2B9A" w:rsidR="00A81AEC" w:rsidRPr="0002340D" w:rsidRDefault="00A81AEC" w:rsidP="00A723BE">
            <w:pPr>
              <w:pStyle w:val="In-tableHeading"/>
              <w:numPr>
                <w:ilvl w:val="0"/>
                <w:numId w:val="16"/>
              </w:numPr>
              <w:rPr>
                <w:b w:val="0"/>
              </w:rPr>
            </w:pPr>
            <w:r w:rsidRPr="0002340D">
              <w:rPr>
                <w:b w:val="0"/>
              </w:rPr>
              <w:t>Aprepitant oral</w:t>
            </w:r>
            <w:r w:rsidR="0094115F" w:rsidRPr="0002340D">
              <w:rPr>
                <w:b w:val="0"/>
              </w:rPr>
              <w:t xml:space="preserve">  </w:t>
            </w:r>
          </w:p>
        </w:tc>
        <w:tc>
          <w:tcPr>
            <w:tcW w:w="2078" w:type="pct"/>
            <w:tcBorders>
              <w:bottom w:val="single" w:sz="4" w:space="0" w:color="auto"/>
            </w:tcBorders>
          </w:tcPr>
          <w:p w14:paraId="300E2021" w14:textId="42337D3F" w:rsidR="00A81AEC" w:rsidRPr="0002340D" w:rsidRDefault="0090165C" w:rsidP="00E72705">
            <w:pPr>
              <w:pStyle w:val="In-tableHeading"/>
              <w:rPr>
                <w:b w:val="0"/>
              </w:rPr>
            </w:pPr>
            <w:r w:rsidRPr="0002340D">
              <w:rPr>
                <w:b w:val="0"/>
              </w:rPr>
              <w:t xml:space="preserve">165 </w:t>
            </w:r>
            <w:r w:rsidR="009E2338">
              <w:rPr>
                <w:b w:val="0"/>
              </w:rPr>
              <w:t> mg</w:t>
            </w:r>
            <w:r w:rsidRPr="0002340D">
              <w:rPr>
                <w:b w:val="0"/>
              </w:rPr>
              <w:t xml:space="preserve"> on Day 1</w:t>
            </w:r>
          </w:p>
        </w:tc>
        <w:tc>
          <w:tcPr>
            <w:tcW w:w="1077" w:type="pct"/>
            <w:tcBorders>
              <w:bottom w:val="single" w:sz="4" w:space="0" w:color="auto"/>
            </w:tcBorders>
          </w:tcPr>
          <w:p w14:paraId="28F36F93" w14:textId="77777777" w:rsidR="00A81AEC" w:rsidRPr="00D569B9" w:rsidRDefault="00A81AEC" w:rsidP="00E72705">
            <w:pPr>
              <w:pStyle w:val="In-tableHeading"/>
              <w:rPr>
                <w:b w:val="0"/>
                <w:bCs/>
              </w:rPr>
            </w:pPr>
            <w:r w:rsidRPr="00D569B9">
              <w:rPr>
                <w:b w:val="0"/>
                <w:bCs/>
              </w:rPr>
              <w:t>$62.30</w:t>
            </w:r>
          </w:p>
        </w:tc>
      </w:tr>
      <w:tr w:rsidR="000D2790" w:rsidRPr="0002340D" w14:paraId="704BFD5E" w14:textId="77777777" w:rsidTr="006064D8">
        <w:trPr>
          <w:cantSplit/>
        </w:trPr>
        <w:tc>
          <w:tcPr>
            <w:tcW w:w="1844" w:type="pct"/>
            <w:tcBorders>
              <w:right w:val="nil"/>
            </w:tcBorders>
            <w:vAlign w:val="center"/>
          </w:tcPr>
          <w:p w14:paraId="62D6F321" w14:textId="466A42C7" w:rsidR="000D2790" w:rsidRPr="0002340D" w:rsidRDefault="000D2790" w:rsidP="000D2790">
            <w:pPr>
              <w:pStyle w:val="In-tableHeading"/>
            </w:pPr>
            <w:r w:rsidRPr="0002340D">
              <w:t xml:space="preserve">5-HT3 RAs (used alone for MEC) </w:t>
            </w:r>
          </w:p>
        </w:tc>
        <w:tc>
          <w:tcPr>
            <w:tcW w:w="2078" w:type="pct"/>
            <w:tcBorders>
              <w:left w:val="nil"/>
              <w:right w:val="nil"/>
            </w:tcBorders>
          </w:tcPr>
          <w:p w14:paraId="6B3A325F" w14:textId="77777777" w:rsidR="000D2790" w:rsidRPr="0002340D" w:rsidRDefault="000D2790" w:rsidP="00E72705">
            <w:pPr>
              <w:pStyle w:val="In-tableHeading"/>
              <w:rPr>
                <w:b w:val="0"/>
              </w:rPr>
            </w:pPr>
          </w:p>
        </w:tc>
        <w:tc>
          <w:tcPr>
            <w:tcW w:w="1077" w:type="pct"/>
            <w:tcBorders>
              <w:left w:val="nil"/>
            </w:tcBorders>
          </w:tcPr>
          <w:p w14:paraId="32AB4A3E" w14:textId="77777777" w:rsidR="000D2790" w:rsidRPr="0002340D" w:rsidRDefault="000D2790" w:rsidP="00E72705">
            <w:pPr>
              <w:pStyle w:val="In-tableHeading"/>
            </w:pPr>
          </w:p>
        </w:tc>
      </w:tr>
      <w:tr w:rsidR="000D2790" w:rsidRPr="0002340D" w14:paraId="2243C976" w14:textId="77777777" w:rsidTr="00D523C2">
        <w:trPr>
          <w:cantSplit/>
        </w:trPr>
        <w:tc>
          <w:tcPr>
            <w:tcW w:w="1844" w:type="pct"/>
            <w:vAlign w:val="center"/>
          </w:tcPr>
          <w:p w14:paraId="5EA0A89C" w14:textId="7C79D1D9" w:rsidR="000D2790" w:rsidRPr="0002340D" w:rsidRDefault="000D2790" w:rsidP="00A723BE">
            <w:pPr>
              <w:pStyle w:val="In-tableHeading"/>
              <w:numPr>
                <w:ilvl w:val="0"/>
                <w:numId w:val="16"/>
              </w:numPr>
              <w:rPr>
                <w:b w:val="0"/>
              </w:rPr>
            </w:pPr>
            <w:r w:rsidRPr="0002340D">
              <w:rPr>
                <w:b w:val="0"/>
              </w:rPr>
              <w:t xml:space="preserve">Palonosetron IV </w:t>
            </w:r>
          </w:p>
        </w:tc>
        <w:tc>
          <w:tcPr>
            <w:tcW w:w="2078" w:type="pct"/>
          </w:tcPr>
          <w:p w14:paraId="547157F1" w14:textId="04215F28" w:rsidR="000D2790" w:rsidRPr="0002340D" w:rsidRDefault="000D2790" w:rsidP="00E72705">
            <w:pPr>
              <w:pStyle w:val="In-tableHeading"/>
              <w:rPr>
                <w:b w:val="0"/>
              </w:rPr>
            </w:pPr>
            <w:r w:rsidRPr="0002340D">
              <w:rPr>
                <w:b w:val="0"/>
              </w:rPr>
              <w:t xml:space="preserve">0.25 </w:t>
            </w:r>
            <w:r w:rsidR="009E2338">
              <w:rPr>
                <w:b w:val="0"/>
              </w:rPr>
              <w:t> mg</w:t>
            </w:r>
            <w:r w:rsidRPr="0002340D">
              <w:rPr>
                <w:b w:val="0"/>
              </w:rPr>
              <w:t xml:space="preserve"> on Day 1</w:t>
            </w:r>
          </w:p>
        </w:tc>
        <w:tc>
          <w:tcPr>
            <w:tcW w:w="1077" w:type="pct"/>
          </w:tcPr>
          <w:p w14:paraId="1B478847" w14:textId="7A549C7A" w:rsidR="000D2790" w:rsidRPr="0002340D" w:rsidRDefault="0090165C" w:rsidP="00E72705">
            <w:pPr>
              <w:pStyle w:val="In-tableHeading"/>
              <w:rPr>
                <w:b w:val="0"/>
              </w:rPr>
            </w:pPr>
            <w:r w:rsidRPr="0002340D">
              <w:rPr>
                <w:b w:val="0"/>
              </w:rPr>
              <w:t>$22.04</w:t>
            </w:r>
          </w:p>
        </w:tc>
      </w:tr>
      <w:tr w:rsidR="000D2790" w:rsidRPr="0002340D" w14:paraId="3FB8FA21" w14:textId="77777777" w:rsidTr="00D523C2">
        <w:trPr>
          <w:cantSplit/>
        </w:trPr>
        <w:tc>
          <w:tcPr>
            <w:tcW w:w="1844" w:type="pct"/>
            <w:vAlign w:val="center"/>
          </w:tcPr>
          <w:p w14:paraId="583CCB20" w14:textId="4D0D72EB" w:rsidR="000D2790" w:rsidRPr="0002340D" w:rsidRDefault="009D322D" w:rsidP="00A723BE">
            <w:pPr>
              <w:pStyle w:val="In-tableHeading"/>
              <w:numPr>
                <w:ilvl w:val="0"/>
                <w:numId w:val="16"/>
              </w:numPr>
              <w:rPr>
                <w:b w:val="0"/>
              </w:rPr>
            </w:pPr>
            <w:r w:rsidRPr="0002340D">
              <w:rPr>
                <w:b w:val="0"/>
              </w:rPr>
              <w:t>Ondansetron</w:t>
            </w:r>
            <w:r w:rsidR="0090165C" w:rsidRPr="0002340D">
              <w:rPr>
                <w:b w:val="0"/>
              </w:rPr>
              <w:t xml:space="preserve"> oral</w:t>
            </w:r>
            <w:r w:rsidR="007E0212">
              <w:rPr>
                <w:b w:val="0"/>
                <w:vertAlign w:val="superscript"/>
              </w:rPr>
              <w:t>e</w:t>
            </w:r>
            <w:r w:rsidR="0090165C" w:rsidRPr="0002340D">
              <w:rPr>
                <w:b w:val="0"/>
              </w:rPr>
              <w:t xml:space="preserve"> </w:t>
            </w:r>
          </w:p>
        </w:tc>
        <w:tc>
          <w:tcPr>
            <w:tcW w:w="2078" w:type="pct"/>
          </w:tcPr>
          <w:p w14:paraId="2F49745A" w14:textId="5DE95C3E" w:rsidR="000D2790" w:rsidRPr="00186756" w:rsidRDefault="0090165C" w:rsidP="00E72705">
            <w:pPr>
              <w:pStyle w:val="In-tableHeading"/>
              <w:rPr>
                <w:b w:val="0"/>
              </w:rPr>
            </w:pPr>
            <w:r w:rsidRPr="00186756">
              <w:rPr>
                <w:b w:val="0"/>
              </w:rPr>
              <w:t>16-</w:t>
            </w:r>
            <w:r w:rsidR="007E0212" w:rsidRPr="00186756">
              <w:rPr>
                <w:b w:val="0"/>
              </w:rPr>
              <w:t>32</w:t>
            </w:r>
            <w:r w:rsidR="009E2338">
              <w:rPr>
                <w:b w:val="0"/>
              </w:rPr>
              <w:t> mg</w:t>
            </w:r>
            <w:r w:rsidRPr="00186756">
              <w:rPr>
                <w:b w:val="0"/>
              </w:rPr>
              <w:t xml:space="preserve"> on Day</w:t>
            </w:r>
            <w:r w:rsidR="007E0212" w:rsidRPr="00186756">
              <w:rPr>
                <w:b w:val="0"/>
              </w:rPr>
              <w:t>s</w:t>
            </w:r>
            <w:r w:rsidRPr="00186756">
              <w:rPr>
                <w:b w:val="0"/>
              </w:rPr>
              <w:t xml:space="preserve"> 1</w:t>
            </w:r>
            <w:r w:rsidR="007E0212" w:rsidRPr="00186756">
              <w:rPr>
                <w:b w:val="0"/>
              </w:rPr>
              <w:t>-5</w:t>
            </w:r>
            <w:r w:rsidRPr="00186756">
              <w:rPr>
                <w:b w:val="0"/>
              </w:rPr>
              <w:t xml:space="preserve">, </w:t>
            </w:r>
            <w:r w:rsidR="007E0212" w:rsidRPr="00186756">
              <w:rPr>
                <w:b w:val="0"/>
              </w:rPr>
              <w:t>(flexible dosing)</w:t>
            </w:r>
          </w:p>
        </w:tc>
        <w:tc>
          <w:tcPr>
            <w:tcW w:w="1077" w:type="pct"/>
          </w:tcPr>
          <w:p w14:paraId="30015F7D" w14:textId="6A7A7BEA" w:rsidR="000D2790" w:rsidRPr="00186756" w:rsidRDefault="007E0212" w:rsidP="00E72705">
            <w:pPr>
              <w:pStyle w:val="In-tableHeading"/>
              <w:rPr>
                <w:b w:val="0"/>
              </w:rPr>
            </w:pPr>
            <w:r w:rsidRPr="00186756">
              <w:rPr>
                <w:b w:val="0"/>
              </w:rPr>
              <w:t>$12.99 - $21.65</w:t>
            </w:r>
          </w:p>
        </w:tc>
      </w:tr>
      <w:tr w:rsidR="000D2790" w:rsidRPr="0002340D" w14:paraId="2159069C" w14:textId="77777777" w:rsidTr="00D523C2">
        <w:trPr>
          <w:cantSplit/>
        </w:trPr>
        <w:tc>
          <w:tcPr>
            <w:tcW w:w="1844" w:type="pct"/>
            <w:vAlign w:val="center"/>
          </w:tcPr>
          <w:p w14:paraId="642AA336" w14:textId="35F56E76" w:rsidR="000D2790" w:rsidRPr="0002340D" w:rsidRDefault="0090165C" w:rsidP="00A723BE">
            <w:pPr>
              <w:pStyle w:val="In-tableHeading"/>
              <w:numPr>
                <w:ilvl w:val="0"/>
                <w:numId w:val="16"/>
              </w:numPr>
              <w:rPr>
                <w:b w:val="0"/>
              </w:rPr>
            </w:pPr>
            <w:r w:rsidRPr="0002340D">
              <w:rPr>
                <w:b w:val="0"/>
              </w:rPr>
              <w:t>Granisetron IV</w:t>
            </w:r>
          </w:p>
        </w:tc>
        <w:tc>
          <w:tcPr>
            <w:tcW w:w="2078" w:type="pct"/>
          </w:tcPr>
          <w:p w14:paraId="52C43F29" w14:textId="73D7A694" w:rsidR="000D2790" w:rsidRPr="0002340D" w:rsidRDefault="0090165C" w:rsidP="00E72705">
            <w:pPr>
              <w:pStyle w:val="In-tableHeading"/>
              <w:rPr>
                <w:b w:val="0"/>
              </w:rPr>
            </w:pPr>
            <w:r w:rsidRPr="0002340D">
              <w:rPr>
                <w:b w:val="0"/>
              </w:rPr>
              <w:t xml:space="preserve">3 </w:t>
            </w:r>
            <w:r w:rsidR="009E2338">
              <w:rPr>
                <w:b w:val="0"/>
              </w:rPr>
              <w:t> mg</w:t>
            </w:r>
            <w:r w:rsidRPr="0002340D">
              <w:rPr>
                <w:b w:val="0"/>
              </w:rPr>
              <w:t xml:space="preserve"> on Day 1</w:t>
            </w:r>
            <w:r w:rsidR="00771152" w:rsidRPr="0002340D">
              <w:rPr>
                <w:b w:val="0"/>
              </w:rPr>
              <w:t xml:space="preserve">, 2 </w:t>
            </w:r>
            <w:r w:rsidR="009E2338">
              <w:rPr>
                <w:b w:val="0"/>
              </w:rPr>
              <w:t> mg</w:t>
            </w:r>
            <w:r w:rsidR="00771152" w:rsidRPr="0002340D">
              <w:rPr>
                <w:b w:val="0"/>
              </w:rPr>
              <w:t xml:space="preserve"> oral tablet on Days 2-3</w:t>
            </w:r>
          </w:p>
        </w:tc>
        <w:tc>
          <w:tcPr>
            <w:tcW w:w="1077" w:type="pct"/>
          </w:tcPr>
          <w:p w14:paraId="4DB7DAFD" w14:textId="29FE8A6A" w:rsidR="000D2790" w:rsidRPr="0002340D" w:rsidRDefault="0090165C" w:rsidP="00E72705">
            <w:pPr>
              <w:pStyle w:val="In-tableHeading"/>
              <w:rPr>
                <w:b w:val="0"/>
              </w:rPr>
            </w:pPr>
            <w:r w:rsidRPr="0002340D">
              <w:rPr>
                <w:b w:val="0"/>
              </w:rPr>
              <w:t>$</w:t>
            </w:r>
            <w:r w:rsidR="00771152" w:rsidRPr="0002340D">
              <w:rPr>
                <w:b w:val="0"/>
              </w:rPr>
              <w:t>19.08</w:t>
            </w:r>
          </w:p>
        </w:tc>
      </w:tr>
    </w:tbl>
    <w:p w14:paraId="547C68DC" w14:textId="77777777" w:rsidR="00A81AEC" w:rsidRPr="0002340D" w:rsidRDefault="00A81AEC" w:rsidP="00A81AEC">
      <w:pPr>
        <w:pStyle w:val="FooterTableFigure"/>
      </w:pPr>
      <w:r w:rsidRPr="0002340D">
        <w:t>Source: Constructed during the evaluation.</w:t>
      </w:r>
    </w:p>
    <w:p w14:paraId="43CFA0E1" w14:textId="41592C9B" w:rsidR="00A81AEC" w:rsidRPr="0002340D" w:rsidRDefault="00A81AEC" w:rsidP="00A81AEC">
      <w:pPr>
        <w:pStyle w:val="FooterTableFigure"/>
      </w:pPr>
      <w:r w:rsidRPr="0002340D">
        <w:rPr>
          <w:vertAlign w:val="superscript"/>
        </w:rPr>
        <w:t xml:space="preserve">a </w:t>
      </w:r>
      <w:r w:rsidRPr="0002340D">
        <w:t>As per NCCN Guidelines (</w:t>
      </w:r>
      <w:r w:rsidR="00FF2382" w:rsidRPr="0002340D">
        <w:t xml:space="preserve"> </w:t>
      </w:r>
      <w:r w:rsidR="00FF2382" w:rsidRPr="0002340D">
        <w:fldChar w:fldCharType="begin"/>
      </w:r>
      <w:r w:rsidR="00FF2382" w:rsidRPr="0002340D">
        <w:instrText xml:space="preserve"> REF _Ref123908578 \h  \* MERGEFORMAT </w:instrText>
      </w:r>
      <w:r w:rsidR="00FF2382" w:rsidRPr="0002340D">
        <w:fldChar w:fldCharType="separate"/>
      </w:r>
      <w:r w:rsidR="00775281">
        <w:rPr>
          <w:b/>
          <w:bCs/>
          <w:lang w:val="en-US"/>
        </w:rPr>
        <w:t>Error! Reference source not found.</w:t>
      </w:r>
      <w:r w:rsidR="00FF2382" w:rsidRPr="0002340D">
        <w:fldChar w:fldCharType="end"/>
      </w:r>
      <w:r w:rsidR="00FF2382" w:rsidRPr="0002340D">
        <w:t>,</w:t>
      </w:r>
      <w:r w:rsidRPr="0002340D">
        <w:t xml:space="preserve"> Attachment 1)</w:t>
      </w:r>
    </w:p>
    <w:p w14:paraId="640CADB7" w14:textId="20550C0D" w:rsidR="00207887" w:rsidRPr="0002340D" w:rsidRDefault="00A81AEC" w:rsidP="00A81AEC">
      <w:pPr>
        <w:pStyle w:val="FooterTableFigure"/>
      </w:pPr>
      <w:r w:rsidRPr="0002340D">
        <w:rPr>
          <w:vertAlign w:val="superscript"/>
        </w:rPr>
        <w:t xml:space="preserve">b </w:t>
      </w:r>
      <w:r w:rsidR="005B47F6" w:rsidRPr="0002340D">
        <w:t>per chemotherapy cycle</w:t>
      </w:r>
    </w:p>
    <w:p w14:paraId="0F5BB33B" w14:textId="298C6D3D" w:rsidR="00A81AEC" w:rsidRPr="0002340D" w:rsidRDefault="00207887" w:rsidP="00A81AEC">
      <w:pPr>
        <w:pStyle w:val="FooterTableFigure"/>
      </w:pPr>
      <w:r w:rsidRPr="0002340D">
        <w:rPr>
          <w:vertAlign w:val="superscript"/>
        </w:rPr>
        <w:t>c</w:t>
      </w:r>
      <w:r w:rsidRPr="0002340D">
        <w:t xml:space="preserve"> </w:t>
      </w:r>
      <w:r w:rsidR="00A81AEC" w:rsidRPr="0002340D">
        <w:t xml:space="preserve">5-HT3 RAs </w:t>
      </w:r>
      <w:r w:rsidR="00CD5BA6" w:rsidRPr="0002340D">
        <w:t>are</w:t>
      </w:r>
      <w:r w:rsidR="00A81AEC" w:rsidRPr="0002340D">
        <w:t xml:space="preserve"> given alone for MEC </w:t>
      </w:r>
      <w:r w:rsidR="005B47F6" w:rsidRPr="0002340D">
        <w:t>and in</w:t>
      </w:r>
      <w:r w:rsidR="00A81AEC" w:rsidRPr="0002340D">
        <w:t xml:space="preserve"> combination with NK1 inhibitors for HEC</w:t>
      </w:r>
    </w:p>
    <w:p w14:paraId="7B016A95" w14:textId="13EB5D87" w:rsidR="00011452" w:rsidRDefault="00207887" w:rsidP="00A81AEC">
      <w:pPr>
        <w:pStyle w:val="FooterTableFigure"/>
      </w:pPr>
      <w:r w:rsidRPr="0002340D">
        <w:rPr>
          <w:vertAlign w:val="superscript"/>
        </w:rPr>
        <w:t xml:space="preserve">d </w:t>
      </w:r>
      <w:r w:rsidR="00A81AEC" w:rsidRPr="0002340D">
        <w:t xml:space="preserve">NK1 </w:t>
      </w:r>
      <w:r w:rsidR="00120FE3" w:rsidRPr="0002340D">
        <w:t>RAs</w:t>
      </w:r>
      <w:r w:rsidR="00A81AEC" w:rsidRPr="0002340D">
        <w:t xml:space="preserve"> are only given in combination with a 5-HT3 RA for HECFDC=Fixed dose combination; NK1=neurokinin 1; 5-HT3 RA=5-hydroxytryptamine receptor antagonist; AEMP=approved ex-manufacturer price; IV=intravenous; MEC=moderately emetogenic chemotherapy; HEC=highly emetogenic chemotherapy</w:t>
      </w:r>
    </w:p>
    <w:p w14:paraId="476FC648" w14:textId="51478F0D" w:rsidR="007E0212" w:rsidRPr="00F173FE" w:rsidRDefault="007E0212" w:rsidP="009E2338">
      <w:pPr>
        <w:pStyle w:val="FooterTableFigure"/>
      </w:pPr>
      <w:r>
        <w:rPr>
          <w:i/>
          <w:iCs/>
          <w:vertAlign w:val="superscript"/>
        </w:rPr>
        <w:t>e</w:t>
      </w:r>
      <w:r>
        <w:rPr>
          <w:i/>
          <w:iCs/>
        </w:rPr>
        <w:t xml:space="preserve"> </w:t>
      </w:r>
      <w:r w:rsidRPr="00F173FE">
        <w:t>Ondansetron regimen updated based on advice of the ESC that a full 5 day course was likely to be used in practice.</w:t>
      </w:r>
    </w:p>
    <w:bookmarkEnd w:id="50"/>
    <w:p w14:paraId="30629312" w14:textId="35A1BFCF" w:rsidR="00C010DB" w:rsidRPr="00F24872" w:rsidRDefault="00C010DB" w:rsidP="00C010DB">
      <w:pPr>
        <w:pStyle w:val="3-BodyText"/>
        <w:rPr>
          <w:b/>
          <w:bCs/>
          <w:lang w:val="en-US"/>
        </w:rPr>
      </w:pPr>
      <w:r w:rsidRPr="00843D3C">
        <w:t xml:space="preserve">The key assumptions </w:t>
      </w:r>
      <w:r>
        <w:t xml:space="preserve">and components </w:t>
      </w:r>
      <w:r w:rsidRPr="00843D3C">
        <w:t xml:space="preserve">of the </w:t>
      </w:r>
      <w:r>
        <w:t xml:space="preserve">cost-minimisation approach are summarised below. </w:t>
      </w:r>
    </w:p>
    <w:p w14:paraId="50B0D3AF" w14:textId="5E5B7BF1" w:rsidR="00C010DB" w:rsidRDefault="00C010DB" w:rsidP="00C010DB">
      <w:pPr>
        <w:pStyle w:val="Caption"/>
      </w:pPr>
      <w:r>
        <w:t xml:space="preserve">Table </w:t>
      </w:r>
      <w:fldSimple w:instr=" SEQ Table \* ARABIC ">
        <w:r w:rsidR="00775281">
          <w:rPr>
            <w:noProof/>
          </w:rPr>
          <w:t>12</w:t>
        </w:r>
      </w:fldSimple>
      <w:r>
        <w:t xml:space="preserve">: </w:t>
      </w:r>
      <w:r w:rsidRPr="00C05BF3">
        <w:t>Key components and assumptions of the cost-minimisation approach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3"/>
        <w:gridCol w:w="6404"/>
      </w:tblGrid>
      <w:tr w:rsidR="00011452" w:rsidRPr="0002340D" w14:paraId="54E95E9A" w14:textId="77777777" w:rsidTr="00D523C2">
        <w:trPr>
          <w:cantSplit/>
        </w:trPr>
        <w:tc>
          <w:tcPr>
            <w:tcW w:w="1449" w:type="pct"/>
            <w:vAlign w:val="center"/>
          </w:tcPr>
          <w:p w14:paraId="07A06EF5" w14:textId="77777777" w:rsidR="00011452" w:rsidRPr="0002340D" w:rsidRDefault="00011452" w:rsidP="005927E8">
            <w:pPr>
              <w:pStyle w:val="In-tableHeading"/>
            </w:pPr>
            <w:r w:rsidRPr="0002340D">
              <w:t>Component</w:t>
            </w:r>
          </w:p>
        </w:tc>
        <w:tc>
          <w:tcPr>
            <w:tcW w:w="3551" w:type="pct"/>
            <w:vAlign w:val="center"/>
          </w:tcPr>
          <w:p w14:paraId="30CD740A" w14:textId="77777777" w:rsidR="00011452" w:rsidRPr="0002340D" w:rsidRDefault="00011452" w:rsidP="005927E8">
            <w:pPr>
              <w:pStyle w:val="In-tableHeading"/>
            </w:pPr>
            <w:r w:rsidRPr="0002340D">
              <w:t>Claim or assumption</w:t>
            </w:r>
          </w:p>
        </w:tc>
      </w:tr>
      <w:tr w:rsidR="00011452" w:rsidRPr="0002340D" w14:paraId="30AD236D" w14:textId="77777777" w:rsidTr="00D523C2">
        <w:trPr>
          <w:cantSplit/>
        </w:trPr>
        <w:tc>
          <w:tcPr>
            <w:tcW w:w="1449" w:type="pct"/>
            <w:vAlign w:val="center"/>
          </w:tcPr>
          <w:p w14:paraId="17DF11EA" w14:textId="77777777" w:rsidR="00011452" w:rsidRPr="0002340D" w:rsidRDefault="00011452" w:rsidP="005927E8">
            <w:pPr>
              <w:pStyle w:val="In-tableHeading"/>
              <w:rPr>
                <w:b w:val="0"/>
              </w:rPr>
            </w:pPr>
            <w:r w:rsidRPr="0002340D">
              <w:rPr>
                <w:b w:val="0"/>
              </w:rPr>
              <w:t>Treatments</w:t>
            </w:r>
          </w:p>
        </w:tc>
        <w:tc>
          <w:tcPr>
            <w:tcW w:w="3551" w:type="pct"/>
            <w:vAlign w:val="center"/>
          </w:tcPr>
          <w:p w14:paraId="63BEFAEC" w14:textId="20609A43" w:rsidR="00011452" w:rsidRPr="0002340D" w:rsidRDefault="00011452" w:rsidP="005927E8">
            <w:pPr>
              <w:pStyle w:val="In-tableHeading"/>
              <w:rPr>
                <w:b w:val="0"/>
              </w:rPr>
            </w:pPr>
            <w:r w:rsidRPr="0002340D">
              <w:rPr>
                <w:b w:val="0"/>
              </w:rPr>
              <w:t>NEPA IV vs Emend IV + 5-HT3 RA (nominated to be palonosetron). NEPA IV may also replace NEPA oral or other combinations of a NK1 </w:t>
            </w:r>
            <w:r w:rsidR="00C81CFA" w:rsidRPr="0002340D">
              <w:rPr>
                <w:b w:val="0"/>
              </w:rPr>
              <w:t xml:space="preserve">RA </w:t>
            </w:r>
            <w:r w:rsidRPr="0002340D">
              <w:rPr>
                <w:b w:val="0"/>
              </w:rPr>
              <w:t>+</w:t>
            </w:r>
            <w:r w:rsidR="00C363FB" w:rsidRPr="0002340D">
              <w:rPr>
                <w:b w:val="0"/>
              </w:rPr>
              <w:t xml:space="preserve"> a</w:t>
            </w:r>
            <w:r w:rsidRPr="0002340D">
              <w:rPr>
                <w:b w:val="0"/>
              </w:rPr>
              <w:t> 5</w:t>
            </w:r>
            <w:r w:rsidRPr="0002340D">
              <w:rPr>
                <w:b w:val="0"/>
              </w:rPr>
              <w:noBreakHyphen/>
              <w:t>HT3 RA.</w:t>
            </w:r>
          </w:p>
        </w:tc>
      </w:tr>
      <w:tr w:rsidR="00011452" w:rsidRPr="0002340D" w14:paraId="330A5994" w14:textId="77777777" w:rsidTr="00D523C2">
        <w:trPr>
          <w:cantSplit/>
        </w:trPr>
        <w:tc>
          <w:tcPr>
            <w:tcW w:w="1449" w:type="pct"/>
            <w:vAlign w:val="center"/>
          </w:tcPr>
          <w:p w14:paraId="7D34D174" w14:textId="77777777" w:rsidR="00011452" w:rsidRPr="0002340D" w:rsidRDefault="00011452" w:rsidP="005927E8">
            <w:pPr>
              <w:pStyle w:val="TableText0"/>
            </w:pPr>
            <w:r w:rsidRPr="0002340D">
              <w:t>Therapeutic claim: effectiveness</w:t>
            </w:r>
          </w:p>
        </w:tc>
        <w:tc>
          <w:tcPr>
            <w:tcW w:w="3551" w:type="pct"/>
            <w:vAlign w:val="center"/>
          </w:tcPr>
          <w:p w14:paraId="6E544C91" w14:textId="70696989" w:rsidR="00011452" w:rsidRPr="0002340D" w:rsidRDefault="00011452" w:rsidP="005927E8">
            <w:pPr>
              <w:pStyle w:val="TableText0"/>
            </w:pPr>
            <w:r w:rsidRPr="0002340D">
              <w:t>Based on evidence presented effectiveness is assumed to be non-inferior. This is reasonable</w:t>
            </w:r>
          </w:p>
        </w:tc>
      </w:tr>
      <w:tr w:rsidR="00011452" w:rsidRPr="0002340D" w14:paraId="75B5672F" w14:textId="77777777" w:rsidTr="00D523C2">
        <w:trPr>
          <w:cantSplit/>
        </w:trPr>
        <w:tc>
          <w:tcPr>
            <w:tcW w:w="1449" w:type="pct"/>
            <w:vAlign w:val="center"/>
          </w:tcPr>
          <w:p w14:paraId="2F1B42D5" w14:textId="77777777" w:rsidR="00011452" w:rsidRPr="0002340D" w:rsidRDefault="00011452" w:rsidP="005927E8">
            <w:pPr>
              <w:pStyle w:val="TableText0"/>
            </w:pPr>
            <w:r w:rsidRPr="0002340D">
              <w:t>Therapeutic claim: safety</w:t>
            </w:r>
          </w:p>
        </w:tc>
        <w:tc>
          <w:tcPr>
            <w:tcW w:w="3551" w:type="pct"/>
            <w:vAlign w:val="center"/>
          </w:tcPr>
          <w:p w14:paraId="43DFA478" w14:textId="5D3C97FF" w:rsidR="00011452" w:rsidRPr="0002340D" w:rsidRDefault="00011452" w:rsidP="005927E8">
            <w:pPr>
              <w:pStyle w:val="TableText0"/>
            </w:pPr>
            <w:r w:rsidRPr="0002340D">
              <w:t>Based on evidence presen</w:t>
            </w:r>
            <w:r w:rsidRPr="006B7CB0">
              <w:t>ted, safety</w:t>
            </w:r>
            <w:r w:rsidRPr="0002340D">
              <w:t xml:space="preserve"> is assumed to be superior. This is not reasonable as the reduction in risk of ISRs associated with NEPA IV may not be clinically meaningful</w:t>
            </w:r>
            <w:r w:rsidR="00F24C51" w:rsidRPr="0002340D">
              <w:t xml:space="preserve"> (also discussed in ‘other costs’ below)</w:t>
            </w:r>
            <w:r w:rsidRPr="0002340D">
              <w:t>.</w:t>
            </w:r>
          </w:p>
        </w:tc>
      </w:tr>
      <w:tr w:rsidR="00011452" w:rsidRPr="0002340D" w14:paraId="14A29CB0" w14:textId="77777777" w:rsidTr="00D523C2">
        <w:trPr>
          <w:cantSplit/>
        </w:trPr>
        <w:tc>
          <w:tcPr>
            <w:tcW w:w="1449" w:type="pct"/>
            <w:vAlign w:val="center"/>
          </w:tcPr>
          <w:p w14:paraId="4B445CE0" w14:textId="77777777" w:rsidR="00011452" w:rsidRPr="0002340D" w:rsidRDefault="00011452" w:rsidP="005927E8">
            <w:pPr>
              <w:pStyle w:val="TableText0"/>
            </w:pPr>
            <w:r w:rsidRPr="0002340D">
              <w:t>Evidence base</w:t>
            </w:r>
          </w:p>
        </w:tc>
        <w:tc>
          <w:tcPr>
            <w:tcW w:w="3551" w:type="pct"/>
            <w:vAlign w:val="center"/>
          </w:tcPr>
          <w:p w14:paraId="18ABDF4F" w14:textId="77777777" w:rsidR="00011452" w:rsidRPr="0002340D" w:rsidRDefault="00011452" w:rsidP="005927E8">
            <w:pPr>
              <w:pStyle w:val="TableText0"/>
            </w:pPr>
            <w:r w:rsidRPr="0002340D">
              <w:t xml:space="preserve">Meta-analysis of direct randomised controlled trials (CONSOLE and CONSOLE-BC). </w:t>
            </w:r>
          </w:p>
        </w:tc>
      </w:tr>
      <w:tr w:rsidR="00011452" w:rsidRPr="0002340D" w14:paraId="5E70FF73" w14:textId="77777777" w:rsidTr="00D523C2">
        <w:trPr>
          <w:cantSplit/>
        </w:trPr>
        <w:tc>
          <w:tcPr>
            <w:tcW w:w="1449" w:type="pct"/>
            <w:vAlign w:val="center"/>
          </w:tcPr>
          <w:p w14:paraId="3D61CE40" w14:textId="77777777" w:rsidR="00011452" w:rsidRPr="0002340D" w:rsidRDefault="00011452" w:rsidP="005927E8">
            <w:pPr>
              <w:pStyle w:val="TableText0"/>
            </w:pPr>
            <w:r w:rsidRPr="0002340D">
              <w:t>Equi-effective doses</w:t>
            </w:r>
          </w:p>
        </w:tc>
        <w:tc>
          <w:tcPr>
            <w:tcW w:w="3551" w:type="pct"/>
            <w:vAlign w:val="center"/>
          </w:tcPr>
          <w:p w14:paraId="6C323D92" w14:textId="534B1103" w:rsidR="00011452" w:rsidRPr="0002340D" w:rsidRDefault="00F24C51" w:rsidP="00B24BA5">
            <w:pPr>
              <w:pStyle w:val="TableText0"/>
            </w:pPr>
            <w:r w:rsidRPr="0002340D">
              <w:t xml:space="preserve">1 dose of </w:t>
            </w:r>
            <w:r w:rsidR="00011452" w:rsidRPr="0002340D">
              <w:t>NEPA IV (containing a FDC of 235</w:t>
            </w:r>
            <w:r w:rsidR="009E2338">
              <w:t> mg</w:t>
            </w:r>
            <w:r w:rsidR="00011452" w:rsidRPr="0002340D">
              <w:t xml:space="preserve"> </w:t>
            </w:r>
            <w:r w:rsidR="00B12ACF" w:rsidRPr="0002340D">
              <w:t>F</w:t>
            </w:r>
            <w:r w:rsidR="00011452" w:rsidRPr="0002340D">
              <w:t>osNTP and 0.25</w:t>
            </w:r>
            <w:r w:rsidR="009E2338">
              <w:t> mg</w:t>
            </w:r>
            <w:r w:rsidR="00011452" w:rsidRPr="0002340D">
              <w:t xml:space="preserve"> PALO IV)</w:t>
            </w:r>
            <w:r w:rsidR="00EF3100" w:rsidRPr="0002340D">
              <w:t xml:space="preserve"> administered on Day 1 of each </w:t>
            </w:r>
            <w:r w:rsidR="004C0BC1" w:rsidRPr="0002340D">
              <w:t>chemotherapy cycle</w:t>
            </w:r>
            <w:r w:rsidR="00011452" w:rsidRPr="0002340D">
              <w:t xml:space="preserve"> </w:t>
            </w:r>
            <w:r w:rsidRPr="0002340D">
              <w:t>is equivalent to 1 dose of</w:t>
            </w:r>
            <w:r w:rsidR="00011452" w:rsidRPr="0002340D">
              <w:t xml:space="preserve"> Emend IV (150</w:t>
            </w:r>
            <w:r w:rsidR="009E2338">
              <w:t> mg</w:t>
            </w:r>
            <w:r w:rsidR="00011452" w:rsidRPr="0002340D">
              <w:t xml:space="preserve"> </w:t>
            </w:r>
            <w:r w:rsidR="00B24BA5" w:rsidRPr="0002340D">
              <w:t>F</w:t>
            </w:r>
            <w:r w:rsidR="00011452" w:rsidRPr="0002340D">
              <w:t>osAPR) given concurrently with a 5</w:t>
            </w:r>
            <w:r w:rsidR="003D560B" w:rsidRPr="0002340D">
              <w:t>-</w:t>
            </w:r>
            <w:r w:rsidR="00011452" w:rsidRPr="0002340D">
              <w:t>HT3 RA such as palonosetron (0.25</w:t>
            </w:r>
            <w:r w:rsidR="009E2338">
              <w:t> mg</w:t>
            </w:r>
            <w:r w:rsidR="00011452" w:rsidRPr="0002340D">
              <w:t>)</w:t>
            </w:r>
            <w:r w:rsidR="00E830D1" w:rsidRPr="0002340D">
              <w:t xml:space="preserve"> administered on </w:t>
            </w:r>
            <w:r w:rsidR="00A233FF" w:rsidRPr="0002340D">
              <w:t>D</w:t>
            </w:r>
            <w:r w:rsidR="00E830D1" w:rsidRPr="0002340D">
              <w:t>ay 1 of each chemotherapy cycle</w:t>
            </w:r>
            <w:r w:rsidR="00C757E4" w:rsidRPr="0002340D">
              <w:t xml:space="preserve">. </w:t>
            </w:r>
          </w:p>
        </w:tc>
      </w:tr>
      <w:tr w:rsidR="00011452" w:rsidRPr="0002340D" w14:paraId="6AD62B80" w14:textId="77777777" w:rsidTr="00D523C2">
        <w:trPr>
          <w:cantSplit/>
        </w:trPr>
        <w:tc>
          <w:tcPr>
            <w:tcW w:w="1449" w:type="pct"/>
            <w:vAlign w:val="center"/>
          </w:tcPr>
          <w:p w14:paraId="3004D0E5" w14:textId="77777777" w:rsidR="00011452" w:rsidRPr="0002340D" w:rsidRDefault="00011452" w:rsidP="005927E8">
            <w:pPr>
              <w:pStyle w:val="TableText0"/>
            </w:pPr>
            <w:r w:rsidRPr="0002340D">
              <w:t>Direct medicine costs</w:t>
            </w:r>
          </w:p>
        </w:tc>
        <w:tc>
          <w:tcPr>
            <w:tcW w:w="3551" w:type="pct"/>
            <w:vAlign w:val="center"/>
          </w:tcPr>
          <w:p w14:paraId="43CEAD2B" w14:textId="77777777" w:rsidR="00011452" w:rsidRPr="0002340D" w:rsidRDefault="00011452" w:rsidP="005927E8">
            <w:pPr>
              <w:pStyle w:val="TableText0"/>
            </w:pPr>
            <w:r w:rsidRPr="0002340D">
              <w:t xml:space="preserve">Costs per patient per course of acute therapy, one vial NEPA IV compared to one vial of Emend IV and one vial of PALO IV. </w:t>
            </w:r>
          </w:p>
        </w:tc>
      </w:tr>
      <w:tr w:rsidR="00011452" w:rsidRPr="0002340D" w14:paraId="041F94F8" w14:textId="77777777" w:rsidTr="00D523C2">
        <w:trPr>
          <w:cantSplit/>
        </w:trPr>
        <w:tc>
          <w:tcPr>
            <w:tcW w:w="1449" w:type="pct"/>
            <w:vAlign w:val="center"/>
          </w:tcPr>
          <w:p w14:paraId="354FC862" w14:textId="77777777" w:rsidR="00011452" w:rsidRPr="0002340D" w:rsidRDefault="00011452" w:rsidP="005927E8">
            <w:pPr>
              <w:pStyle w:val="TableText0"/>
            </w:pPr>
            <w:r w:rsidRPr="0002340D">
              <w:t>Other costs or cost offsets</w:t>
            </w:r>
          </w:p>
        </w:tc>
        <w:tc>
          <w:tcPr>
            <w:tcW w:w="3551" w:type="pct"/>
            <w:vAlign w:val="center"/>
          </w:tcPr>
          <w:p w14:paraId="50C72D3E" w14:textId="087D7517" w:rsidR="00011452" w:rsidRPr="0002340D" w:rsidRDefault="00011452" w:rsidP="005927E8">
            <w:pPr>
              <w:pStyle w:val="TableText0"/>
            </w:pPr>
            <w:r w:rsidRPr="0002340D">
              <w:t xml:space="preserve">No difference in monitoring costs and administration costs were assumed. Consistent with the claim of superior safety, the cost of treating </w:t>
            </w:r>
            <w:r w:rsidR="00DC2110" w:rsidRPr="0002340D">
              <w:t>injection site</w:t>
            </w:r>
            <w:r w:rsidR="00844198" w:rsidRPr="0002340D">
              <w:t xml:space="preserve"> pain</w:t>
            </w:r>
            <w:r w:rsidRPr="0002340D">
              <w:t xml:space="preserve"> was included. This is not reasonable as it is unclear which adverse events, if any, would require additional medical attendance.  </w:t>
            </w:r>
          </w:p>
        </w:tc>
      </w:tr>
    </w:tbl>
    <w:p w14:paraId="4AA2A1B8" w14:textId="77777777" w:rsidR="00011452" w:rsidRPr="00840019" w:rsidRDefault="00011452" w:rsidP="00011452">
      <w:pPr>
        <w:rPr>
          <w:rFonts w:ascii="Arial Narrow" w:hAnsi="Arial Narrow"/>
          <w:sz w:val="18"/>
        </w:rPr>
      </w:pPr>
      <w:r w:rsidRPr="00840019">
        <w:rPr>
          <w:rFonts w:ascii="Arial Narrow" w:hAnsi="Arial Narrow"/>
          <w:sz w:val="18"/>
        </w:rPr>
        <w:t>Source: Adapted from Table 3-1, p88 of the submission</w:t>
      </w:r>
    </w:p>
    <w:p w14:paraId="5C22EF73" w14:textId="77777777" w:rsidR="00011452" w:rsidRDefault="00011452" w:rsidP="00011452">
      <w:pPr>
        <w:rPr>
          <w:rFonts w:ascii="Arial Narrow" w:hAnsi="Arial Narrow"/>
          <w:sz w:val="18"/>
        </w:rPr>
      </w:pPr>
      <w:r w:rsidRPr="00BD7150">
        <w:rPr>
          <w:rFonts w:ascii="Arial Narrow" w:hAnsi="Arial Narrow"/>
          <w:sz w:val="18"/>
        </w:rPr>
        <w:t>FDC=Fixed dose combination; NK1=neurokinin 1; 5-HT3 RA=5-hydroxytryptamine receptor antagonist; IV=intravenous</w:t>
      </w:r>
      <w:r>
        <w:rPr>
          <w:rFonts w:ascii="Arial Narrow" w:hAnsi="Arial Narrow"/>
          <w:sz w:val="18"/>
        </w:rPr>
        <w:t>; NEPA=fixed dose combination netupitant/palonosetron; IV=intravenous</w:t>
      </w:r>
    </w:p>
    <w:p w14:paraId="1550CD1D" w14:textId="77777777" w:rsidR="00C010DB" w:rsidRPr="006C7C76" w:rsidRDefault="00C010DB" w:rsidP="00C010DB">
      <w:pPr>
        <w:pStyle w:val="FooterTableFigure"/>
      </w:pPr>
    </w:p>
    <w:p w14:paraId="57D9835D" w14:textId="01D87609" w:rsidR="00C010DB" w:rsidRPr="0002340D" w:rsidRDefault="00C010DB" w:rsidP="00C010DB">
      <w:pPr>
        <w:pStyle w:val="3-BodyText"/>
      </w:pPr>
      <w:r w:rsidRPr="0002340D">
        <w:t>The submission, based on the meta-analysis of the CONSOLE and CONSOLE-BC trials, established the equi-effective doses as follows: FDC fosnetupitant (235</w:t>
      </w:r>
      <w:r w:rsidR="009E2338">
        <w:t> mg</w:t>
      </w:r>
      <w:r w:rsidRPr="0002340D">
        <w:t xml:space="preserve">)/palonosetron (0.25 </w:t>
      </w:r>
      <w:r w:rsidR="009E2338">
        <w:t> mg</w:t>
      </w:r>
      <w:r w:rsidRPr="0002340D">
        <w:t xml:space="preserve">) IV </w:t>
      </w:r>
      <w:r w:rsidR="004C0BC1" w:rsidRPr="0002340D">
        <w:t xml:space="preserve">administered on Day 1 of each chemotherapy cycle </w:t>
      </w:r>
      <w:r w:rsidRPr="0002340D">
        <w:t xml:space="preserve">is equi-effective to the combination of </w:t>
      </w:r>
      <w:r w:rsidR="00991C63" w:rsidRPr="0002340D">
        <w:t>Emend</w:t>
      </w:r>
      <w:r w:rsidRPr="0002340D">
        <w:t xml:space="preserve"> IV (150 </w:t>
      </w:r>
      <w:r w:rsidR="009E2338">
        <w:t> mg</w:t>
      </w:r>
      <w:r w:rsidRPr="0002340D">
        <w:t xml:space="preserve">) + palonosetron IV (0.25 </w:t>
      </w:r>
      <w:r w:rsidR="009E2338">
        <w:t> mg</w:t>
      </w:r>
      <w:r w:rsidRPr="0002340D">
        <w:t>)</w:t>
      </w:r>
      <w:r w:rsidR="001F0432" w:rsidRPr="0002340D">
        <w:t xml:space="preserve"> administered on </w:t>
      </w:r>
      <w:r w:rsidR="00A233FF" w:rsidRPr="0002340D">
        <w:t>D</w:t>
      </w:r>
      <w:r w:rsidR="001F0432" w:rsidRPr="0002340D">
        <w:t>ay 1 of each chemotherapy cycle</w:t>
      </w:r>
      <w:r w:rsidRPr="0002340D">
        <w:t xml:space="preserve">. </w:t>
      </w:r>
      <w:r w:rsidR="005C4F6E" w:rsidRPr="0002340D">
        <w:t xml:space="preserve">The PALO dose administered in the trials (0.75 </w:t>
      </w:r>
      <w:r w:rsidR="009E2338">
        <w:t> mg</w:t>
      </w:r>
      <w:r w:rsidR="005C4F6E" w:rsidRPr="0002340D">
        <w:t xml:space="preserve">) was different from that </w:t>
      </w:r>
      <w:r w:rsidRPr="0002340D">
        <w:t>available as part of the FDC</w:t>
      </w:r>
      <w:r w:rsidR="005C4F6E" w:rsidRPr="0002340D">
        <w:t xml:space="preserve"> of NEPA IV (0.25 </w:t>
      </w:r>
      <w:r w:rsidR="009E2338">
        <w:t> mg</w:t>
      </w:r>
      <w:r w:rsidR="005C4F6E" w:rsidRPr="0002340D">
        <w:t xml:space="preserve">). Results from a meta-analysis presented in the submission indicated these two PALO doses had similar efficacy and safety profiles. Overall, </w:t>
      </w:r>
      <w:r w:rsidR="00222C88">
        <w:t xml:space="preserve">the evaluation considered that </w:t>
      </w:r>
      <w:r w:rsidRPr="0002340D">
        <w:t>the equi-effective doses established in th</w:t>
      </w:r>
      <w:r w:rsidR="005C4F6E" w:rsidRPr="0002340D">
        <w:t>e</w:t>
      </w:r>
      <w:r w:rsidRPr="0002340D">
        <w:t xml:space="preserve"> submission </w:t>
      </w:r>
      <w:r w:rsidR="005C4F6E" w:rsidRPr="0002340D">
        <w:t>appear</w:t>
      </w:r>
      <w:r w:rsidRPr="0002340D">
        <w:t xml:space="preserve"> reasonable</w:t>
      </w:r>
      <w:r w:rsidR="005C4F6E" w:rsidRPr="0002340D">
        <w:t>.</w:t>
      </w:r>
    </w:p>
    <w:p w14:paraId="4E91589B" w14:textId="46F955B3" w:rsidR="00C010DB" w:rsidRPr="0002340D" w:rsidRDefault="00C010DB" w:rsidP="00C010DB">
      <w:pPr>
        <w:pStyle w:val="3-BodyText"/>
      </w:pPr>
      <w:r w:rsidRPr="0002340D">
        <w:t xml:space="preserve">In addition to direct medicine costs, the submission included, consistent with the claim of superior safety, an incremental cost saving of </w:t>
      </w:r>
      <w:r w:rsidRPr="004E786E">
        <w:t>$</w:t>
      </w:r>
      <w:r w:rsidRPr="00237E0F">
        <w:t>0.79</w:t>
      </w:r>
      <w:r w:rsidRPr="0002340D">
        <w:t xml:space="preserve"> per patient associated with managing/monitoring of </w:t>
      </w:r>
      <w:r w:rsidR="00222C88">
        <w:t>ISRs</w:t>
      </w:r>
      <w:r w:rsidR="00222C88" w:rsidRPr="0002340D">
        <w:t xml:space="preserve"> </w:t>
      </w:r>
      <w:r w:rsidR="005C4F6E" w:rsidRPr="0002340D">
        <w:t>associated with</w:t>
      </w:r>
      <w:r w:rsidRPr="0002340D">
        <w:t xml:space="preserve"> the comparator. These cost savings were based on the risk difference in injection site pain observed from the CONSOLE study. </w:t>
      </w:r>
      <w:r w:rsidR="007E657E" w:rsidRPr="0002340D">
        <w:t>T</w:t>
      </w:r>
      <w:r w:rsidR="00003E75" w:rsidRPr="0002340D">
        <w:t>he purpose of the meta-analysis of safety remains unclear</w:t>
      </w:r>
      <w:r w:rsidR="007E657E" w:rsidRPr="0002340D">
        <w:t xml:space="preserve"> as the submission did not utilise the meta-analysed results for risk differences in ISRs</w:t>
      </w:r>
      <w:r w:rsidR="00003E75" w:rsidRPr="0002340D">
        <w:t xml:space="preserve">. </w:t>
      </w:r>
      <w:r w:rsidRPr="0002340D">
        <w:t xml:space="preserve">Further, it is difficult to discern which </w:t>
      </w:r>
      <w:r w:rsidR="005C4F6E" w:rsidRPr="0002340D">
        <w:t>AEs</w:t>
      </w:r>
      <w:r w:rsidRPr="0002340D">
        <w:t xml:space="preserve">, if any, would require an additional attendance. As such, the cost savings claimed per patient are uncertain and may not be realised. </w:t>
      </w:r>
    </w:p>
    <w:p w14:paraId="390119A3" w14:textId="40BBEB23" w:rsidR="00C010DB" w:rsidRPr="003106E3" w:rsidRDefault="00C010DB" w:rsidP="00C010DB">
      <w:pPr>
        <w:pStyle w:val="3-BodyText"/>
      </w:pPr>
      <w:r w:rsidRPr="003106E3">
        <w:t>The results of the CMA are presented below</w:t>
      </w:r>
      <w:r w:rsidR="00222C88">
        <w:t>.</w:t>
      </w:r>
      <w:r w:rsidRPr="003106E3">
        <w:t xml:space="preserve"> </w:t>
      </w:r>
    </w:p>
    <w:p w14:paraId="7A414832" w14:textId="7BA9BB7A" w:rsidR="00C010DB" w:rsidRDefault="00C010DB" w:rsidP="00C010DB">
      <w:pPr>
        <w:pStyle w:val="Caption"/>
      </w:pPr>
      <w:bookmarkStart w:id="51" w:name="_Ref123908933"/>
      <w:r>
        <w:t xml:space="preserve">Table </w:t>
      </w:r>
      <w:fldSimple w:instr=" SEQ Table \* ARABIC ">
        <w:r w:rsidR="00775281">
          <w:rPr>
            <w:noProof/>
          </w:rPr>
          <w:t>13</w:t>
        </w:r>
      </w:fldSimple>
      <w:bookmarkEnd w:id="51"/>
      <w:r>
        <w:t xml:space="preserve">: </w:t>
      </w:r>
      <w:r w:rsidRPr="00D65035">
        <w:t>Cost</w:t>
      </w:r>
      <w:r w:rsidR="00770DB2">
        <w:t>-</w:t>
      </w:r>
      <w:r w:rsidRPr="00D65035">
        <w:t>minimisation of NEPA IV against Emend IV + PALO IV</w:t>
      </w:r>
    </w:p>
    <w:tbl>
      <w:tblPr>
        <w:tblStyle w:val="TableGrid14"/>
        <w:tblW w:w="5000" w:type="pct"/>
        <w:tblLook w:val="04A0" w:firstRow="1" w:lastRow="0" w:firstColumn="1" w:lastColumn="0" w:noHBand="0" w:noVBand="1"/>
      </w:tblPr>
      <w:tblGrid>
        <w:gridCol w:w="4975"/>
        <w:gridCol w:w="2022"/>
        <w:gridCol w:w="2020"/>
      </w:tblGrid>
      <w:tr w:rsidR="00C010DB" w:rsidRPr="00EB4FC1" w14:paraId="2641913C" w14:textId="77777777" w:rsidTr="00D523C2">
        <w:tc>
          <w:tcPr>
            <w:tcW w:w="2759" w:type="pct"/>
            <w:tcBorders>
              <w:bottom w:val="single" w:sz="4" w:space="0" w:color="auto"/>
            </w:tcBorders>
            <w:noWrap/>
            <w:hideMark/>
          </w:tcPr>
          <w:p w14:paraId="357B9908" w14:textId="77777777" w:rsidR="00C010DB" w:rsidRPr="00EB4FC1" w:rsidRDefault="00C010DB" w:rsidP="002A4CD8">
            <w:pPr>
              <w:pStyle w:val="In-tableHeading"/>
            </w:pPr>
          </w:p>
        </w:tc>
        <w:tc>
          <w:tcPr>
            <w:tcW w:w="1121" w:type="pct"/>
            <w:tcBorders>
              <w:bottom w:val="single" w:sz="4" w:space="0" w:color="auto"/>
            </w:tcBorders>
            <w:noWrap/>
            <w:hideMark/>
          </w:tcPr>
          <w:p w14:paraId="61AA8CEA" w14:textId="0085EF0B" w:rsidR="00C010DB" w:rsidRPr="009D589A" w:rsidRDefault="009D589A" w:rsidP="002A4CD8">
            <w:pPr>
              <w:pStyle w:val="In-tableHeading"/>
              <w:jc w:val="center"/>
            </w:pPr>
            <w:r w:rsidRPr="009D589A">
              <w:t>NEPA IV</w:t>
            </w:r>
          </w:p>
        </w:tc>
        <w:tc>
          <w:tcPr>
            <w:tcW w:w="1120" w:type="pct"/>
            <w:tcBorders>
              <w:bottom w:val="single" w:sz="4" w:space="0" w:color="auto"/>
            </w:tcBorders>
            <w:noWrap/>
            <w:hideMark/>
          </w:tcPr>
          <w:p w14:paraId="66ECD202" w14:textId="09E6C6E0" w:rsidR="00C010DB" w:rsidRPr="009D589A" w:rsidRDefault="009D589A" w:rsidP="002A4CD8">
            <w:pPr>
              <w:pStyle w:val="In-tableHeading"/>
              <w:jc w:val="center"/>
            </w:pPr>
            <w:r w:rsidRPr="009D589A">
              <w:t>Emend IV + PALO IV</w:t>
            </w:r>
          </w:p>
        </w:tc>
      </w:tr>
      <w:tr w:rsidR="00C010DB" w:rsidRPr="00851EEF" w14:paraId="6C9A58F5" w14:textId="77777777" w:rsidTr="00D523C2">
        <w:tc>
          <w:tcPr>
            <w:tcW w:w="2759" w:type="pct"/>
            <w:tcBorders>
              <w:right w:val="nil"/>
            </w:tcBorders>
            <w:noWrap/>
          </w:tcPr>
          <w:p w14:paraId="3C6D83F6" w14:textId="77777777" w:rsidR="00C010DB" w:rsidRPr="00851EEF" w:rsidRDefault="00C010DB" w:rsidP="002A4CD8">
            <w:pPr>
              <w:pStyle w:val="In-tableHeading"/>
              <w:rPr>
                <w:b w:val="0"/>
              </w:rPr>
            </w:pPr>
            <w:r>
              <w:rPr>
                <w:b w:val="0"/>
              </w:rPr>
              <w:t>Direct medicines costs</w:t>
            </w:r>
          </w:p>
        </w:tc>
        <w:tc>
          <w:tcPr>
            <w:tcW w:w="1121" w:type="pct"/>
            <w:tcBorders>
              <w:left w:val="nil"/>
              <w:right w:val="nil"/>
            </w:tcBorders>
            <w:noWrap/>
          </w:tcPr>
          <w:p w14:paraId="506C540D" w14:textId="77777777" w:rsidR="00C010DB" w:rsidRPr="00851EEF" w:rsidRDefault="00C010DB" w:rsidP="002A4CD8">
            <w:pPr>
              <w:pStyle w:val="In-tableHeading"/>
              <w:jc w:val="center"/>
              <w:rPr>
                <w:b w:val="0"/>
              </w:rPr>
            </w:pPr>
          </w:p>
        </w:tc>
        <w:tc>
          <w:tcPr>
            <w:tcW w:w="1120" w:type="pct"/>
            <w:tcBorders>
              <w:left w:val="nil"/>
            </w:tcBorders>
            <w:noWrap/>
          </w:tcPr>
          <w:p w14:paraId="66E14ED6" w14:textId="77777777" w:rsidR="00C010DB" w:rsidRPr="00851EEF" w:rsidRDefault="00C010DB" w:rsidP="002A4CD8">
            <w:pPr>
              <w:pStyle w:val="In-tableHeading"/>
              <w:jc w:val="center"/>
              <w:rPr>
                <w:b w:val="0"/>
              </w:rPr>
            </w:pPr>
          </w:p>
        </w:tc>
      </w:tr>
      <w:tr w:rsidR="00C010DB" w:rsidRPr="00EB4FC1" w14:paraId="405CFB1F" w14:textId="77777777" w:rsidTr="00D523C2">
        <w:tc>
          <w:tcPr>
            <w:tcW w:w="2759" w:type="pct"/>
            <w:noWrap/>
            <w:hideMark/>
          </w:tcPr>
          <w:p w14:paraId="78539A73" w14:textId="7273ECCA" w:rsidR="00C010DB" w:rsidRPr="00EB4FC1" w:rsidRDefault="00C010DB" w:rsidP="002A4CD8">
            <w:pPr>
              <w:pStyle w:val="TableText0"/>
            </w:pPr>
            <w:r>
              <w:t>P</w:t>
            </w:r>
            <w:r w:rsidRPr="00EB4FC1">
              <w:t xml:space="preserve">roposed </w:t>
            </w:r>
            <w:r w:rsidR="009D589A" w:rsidRPr="009D589A">
              <w:t>NEPA IV</w:t>
            </w:r>
            <w:r>
              <w:t xml:space="preserve"> </w:t>
            </w:r>
            <w:r w:rsidRPr="00EB4FC1">
              <w:t>AEMP</w:t>
            </w:r>
          </w:p>
        </w:tc>
        <w:tc>
          <w:tcPr>
            <w:tcW w:w="1121" w:type="pct"/>
            <w:noWrap/>
            <w:hideMark/>
          </w:tcPr>
          <w:p w14:paraId="3A5919E6" w14:textId="6B8F2BD5" w:rsidR="00C010DB" w:rsidRPr="00653133" w:rsidRDefault="00C010DB" w:rsidP="002A4CD8">
            <w:pPr>
              <w:pStyle w:val="TableText0"/>
              <w:jc w:val="center"/>
              <w:rPr>
                <w:highlight w:val="yellow"/>
              </w:rPr>
            </w:pPr>
            <w:r w:rsidRPr="00355C55">
              <w:t>$</w:t>
            </w:r>
            <w:r w:rsidR="00D25BE4" w:rsidRPr="00D25BE4">
              <w:rPr>
                <w:color w:val="000000"/>
                <w:shd w:val="solid" w:color="000000" w:fill="000000"/>
                <w14:textFill>
                  <w14:solidFill>
                    <w14:srgbClr w14:val="000000">
                      <w14:alpha w14:val="100000"/>
                    </w14:srgbClr>
                  </w14:solidFill>
                </w14:textFill>
              </w:rPr>
              <w:t>|</w:t>
            </w:r>
          </w:p>
        </w:tc>
        <w:tc>
          <w:tcPr>
            <w:tcW w:w="1120" w:type="pct"/>
            <w:noWrap/>
            <w:hideMark/>
          </w:tcPr>
          <w:p w14:paraId="07436A98" w14:textId="77777777" w:rsidR="00C010DB" w:rsidRPr="00EB4FC1" w:rsidRDefault="00C010DB" w:rsidP="002A4CD8">
            <w:pPr>
              <w:pStyle w:val="TableText0"/>
              <w:jc w:val="center"/>
            </w:pPr>
            <w:r>
              <w:t>−</w:t>
            </w:r>
          </w:p>
        </w:tc>
      </w:tr>
      <w:tr w:rsidR="00C010DB" w:rsidRPr="00EB4FC1" w14:paraId="29F88F59" w14:textId="77777777" w:rsidTr="00D523C2">
        <w:tc>
          <w:tcPr>
            <w:tcW w:w="2759" w:type="pct"/>
            <w:noWrap/>
            <w:hideMark/>
          </w:tcPr>
          <w:p w14:paraId="4A1AAD0D" w14:textId="6D164BD3" w:rsidR="00C010DB" w:rsidRPr="00EB4FC1" w:rsidRDefault="00587BE5" w:rsidP="002A4CD8">
            <w:pPr>
              <w:pStyle w:val="TableText0"/>
            </w:pPr>
            <w:r>
              <w:t>Emend IV</w:t>
            </w:r>
            <w:r w:rsidR="00C010DB" w:rsidRPr="00EB4FC1">
              <w:t xml:space="preserve"> AEMP</w:t>
            </w:r>
          </w:p>
        </w:tc>
        <w:tc>
          <w:tcPr>
            <w:tcW w:w="1121" w:type="pct"/>
            <w:noWrap/>
            <w:vAlign w:val="top"/>
            <w:hideMark/>
          </w:tcPr>
          <w:p w14:paraId="7C6DAEED" w14:textId="77777777" w:rsidR="00C010DB" w:rsidRPr="00EB4FC1" w:rsidRDefault="00C010DB" w:rsidP="002A4CD8">
            <w:pPr>
              <w:pStyle w:val="TableText0"/>
              <w:jc w:val="center"/>
            </w:pPr>
            <w:r w:rsidRPr="006E5F71">
              <w:t>−</w:t>
            </w:r>
          </w:p>
        </w:tc>
        <w:tc>
          <w:tcPr>
            <w:tcW w:w="1120" w:type="pct"/>
            <w:noWrap/>
            <w:hideMark/>
          </w:tcPr>
          <w:p w14:paraId="16DCA6D2" w14:textId="77777777" w:rsidR="00C010DB" w:rsidRPr="00EB4FC1" w:rsidRDefault="00C010DB" w:rsidP="002A4CD8">
            <w:pPr>
              <w:pStyle w:val="TableText0"/>
              <w:jc w:val="center"/>
            </w:pPr>
            <w:r w:rsidRPr="00EB4FC1">
              <w:t>$97.16</w:t>
            </w:r>
          </w:p>
        </w:tc>
      </w:tr>
      <w:tr w:rsidR="00C010DB" w:rsidRPr="00EB4FC1" w14:paraId="4C9FDDFC" w14:textId="77777777" w:rsidTr="00D523C2">
        <w:tc>
          <w:tcPr>
            <w:tcW w:w="2759" w:type="pct"/>
            <w:tcBorders>
              <w:bottom w:val="single" w:sz="4" w:space="0" w:color="auto"/>
            </w:tcBorders>
            <w:noWrap/>
            <w:hideMark/>
          </w:tcPr>
          <w:p w14:paraId="3FA000A1" w14:textId="18632D10" w:rsidR="00C010DB" w:rsidRPr="00EB4FC1" w:rsidRDefault="00AA5D06" w:rsidP="002A4CD8">
            <w:pPr>
              <w:pStyle w:val="TableText0"/>
            </w:pPr>
            <w:r>
              <w:t>P</w:t>
            </w:r>
            <w:r w:rsidRPr="00EB4FC1">
              <w:t xml:space="preserve">alonosetron </w:t>
            </w:r>
            <w:r w:rsidR="00C010DB" w:rsidRPr="00EB4FC1">
              <w:t>AEMP</w:t>
            </w:r>
          </w:p>
        </w:tc>
        <w:tc>
          <w:tcPr>
            <w:tcW w:w="1121" w:type="pct"/>
            <w:tcBorders>
              <w:bottom w:val="single" w:sz="4" w:space="0" w:color="auto"/>
            </w:tcBorders>
            <w:noWrap/>
            <w:vAlign w:val="top"/>
            <w:hideMark/>
          </w:tcPr>
          <w:p w14:paraId="7844FC46" w14:textId="77777777" w:rsidR="00C010DB" w:rsidRPr="00EB4FC1" w:rsidRDefault="00C010DB" w:rsidP="002A4CD8">
            <w:pPr>
              <w:pStyle w:val="TableText0"/>
              <w:jc w:val="center"/>
            </w:pPr>
            <w:r w:rsidRPr="006E5F71">
              <w:t>−</w:t>
            </w:r>
          </w:p>
        </w:tc>
        <w:tc>
          <w:tcPr>
            <w:tcW w:w="1120" w:type="pct"/>
            <w:tcBorders>
              <w:bottom w:val="single" w:sz="4" w:space="0" w:color="auto"/>
            </w:tcBorders>
            <w:noWrap/>
            <w:hideMark/>
          </w:tcPr>
          <w:p w14:paraId="098EF6D4" w14:textId="77777777" w:rsidR="00C010DB" w:rsidRPr="00EB4FC1" w:rsidRDefault="00C010DB" w:rsidP="002A4CD8">
            <w:pPr>
              <w:pStyle w:val="TableText0"/>
              <w:jc w:val="center"/>
            </w:pPr>
            <w:r w:rsidRPr="00EB4FC1">
              <w:t>$22.04</w:t>
            </w:r>
          </w:p>
        </w:tc>
      </w:tr>
      <w:tr w:rsidR="00C010DB" w:rsidRPr="00EB4FC1" w14:paraId="73B33E76" w14:textId="77777777" w:rsidTr="00D523C2">
        <w:tc>
          <w:tcPr>
            <w:tcW w:w="2759" w:type="pct"/>
            <w:tcBorders>
              <w:right w:val="nil"/>
            </w:tcBorders>
            <w:noWrap/>
          </w:tcPr>
          <w:p w14:paraId="2C13E484" w14:textId="77777777" w:rsidR="00C010DB" w:rsidRPr="00EB4FC1" w:rsidRDefault="00C010DB" w:rsidP="002A4CD8">
            <w:pPr>
              <w:pStyle w:val="TableText0"/>
            </w:pPr>
            <w:r>
              <w:t>Costs associated with managing AEs</w:t>
            </w:r>
          </w:p>
        </w:tc>
        <w:tc>
          <w:tcPr>
            <w:tcW w:w="1121" w:type="pct"/>
            <w:tcBorders>
              <w:left w:val="nil"/>
              <w:right w:val="nil"/>
            </w:tcBorders>
            <w:noWrap/>
            <w:vAlign w:val="top"/>
          </w:tcPr>
          <w:p w14:paraId="123258DF" w14:textId="77777777" w:rsidR="00C010DB" w:rsidRPr="006E5F71" w:rsidRDefault="00C010DB" w:rsidP="002A4CD8">
            <w:pPr>
              <w:pStyle w:val="TableText0"/>
              <w:jc w:val="center"/>
            </w:pPr>
          </w:p>
        </w:tc>
        <w:tc>
          <w:tcPr>
            <w:tcW w:w="1120" w:type="pct"/>
            <w:tcBorders>
              <w:left w:val="nil"/>
            </w:tcBorders>
            <w:noWrap/>
          </w:tcPr>
          <w:p w14:paraId="30883057" w14:textId="77777777" w:rsidR="00C010DB" w:rsidRPr="00EB4FC1" w:rsidRDefault="00C010DB" w:rsidP="002A4CD8">
            <w:pPr>
              <w:pStyle w:val="TableText0"/>
              <w:jc w:val="center"/>
            </w:pPr>
          </w:p>
        </w:tc>
      </w:tr>
      <w:tr w:rsidR="00C010DB" w:rsidRPr="00EB4FC1" w14:paraId="302F9162" w14:textId="77777777" w:rsidTr="00D523C2">
        <w:tc>
          <w:tcPr>
            <w:tcW w:w="2759" w:type="pct"/>
            <w:noWrap/>
          </w:tcPr>
          <w:p w14:paraId="3E70324C" w14:textId="77777777" w:rsidR="00C010DB" w:rsidRPr="00EB4FC1" w:rsidRDefault="00C010DB" w:rsidP="002A4CD8">
            <w:pPr>
              <w:pStyle w:val="TableText0"/>
            </w:pPr>
            <w:r>
              <w:t>Incidence of injection site pain [A]</w:t>
            </w:r>
          </w:p>
        </w:tc>
        <w:tc>
          <w:tcPr>
            <w:tcW w:w="1121" w:type="pct"/>
            <w:noWrap/>
            <w:vAlign w:val="top"/>
          </w:tcPr>
          <w:p w14:paraId="71466A25" w14:textId="77777777" w:rsidR="00C010DB" w:rsidRPr="00653133" w:rsidRDefault="00C010DB" w:rsidP="002A4CD8">
            <w:pPr>
              <w:pStyle w:val="TableText0"/>
              <w:jc w:val="center"/>
              <w:rPr>
                <w:highlight w:val="yellow"/>
              </w:rPr>
            </w:pPr>
            <w:r w:rsidRPr="00BA1FF4">
              <w:t>5.6%</w:t>
            </w:r>
          </w:p>
        </w:tc>
        <w:tc>
          <w:tcPr>
            <w:tcW w:w="1120" w:type="pct"/>
            <w:noWrap/>
          </w:tcPr>
          <w:p w14:paraId="3562F3CB" w14:textId="77777777" w:rsidR="00C010DB" w:rsidRPr="00EB4FC1" w:rsidRDefault="00C010DB" w:rsidP="002A4CD8">
            <w:pPr>
              <w:pStyle w:val="TableText0"/>
              <w:jc w:val="center"/>
            </w:pPr>
            <w:r>
              <w:t>13.2%</w:t>
            </w:r>
          </w:p>
        </w:tc>
      </w:tr>
      <w:tr w:rsidR="00C010DB" w:rsidRPr="00EB4FC1" w14:paraId="2EAC46C7" w14:textId="77777777" w:rsidTr="00D523C2">
        <w:tc>
          <w:tcPr>
            <w:tcW w:w="2759" w:type="pct"/>
            <w:noWrap/>
            <w:vAlign w:val="top"/>
          </w:tcPr>
          <w:p w14:paraId="2BE91FE4" w14:textId="77777777" w:rsidR="00C010DB" w:rsidRPr="00EB4FC1" w:rsidRDefault="00C010DB" w:rsidP="002A4CD8">
            <w:pPr>
              <w:pStyle w:val="TableText0"/>
            </w:pPr>
            <w:r w:rsidRPr="00CE2D94">
              <w:t>Paracetamol, two tablets</w:t>
            </w:r>
            <w:r>
              <w:t xml:space="preserve"> [B]</w:t>
            </w:r>
          </w:p>
        </w:tc>
        <w:tc>
          <w:tcPr>
            <w:tcW w:w="1121" w:type="pct"/>
            <w:noWrap/>
            <w:vAlign w:val="top"/>
          </w:tcPr>
          <w:p w14:paraId="297925A7" w14:textId="77777777" w:rsidR="00C010DB" w:rsidRPr="006E5F71" w:rsidRDefault="00C010DB" w:rsidP="002A4CD8">
            <w:pPr>
              <w:pStyle w:val="TableText0"/>
              <w:jc w:val="center"/>
            </w:pPr>
            <w:r>
              <w:t>$0.195</w:t>
            </w:r>
          </w:p>
        </w:tc>
        <w:tc>
          <w:tcPr>
            <w:tcW w:w="1120" w:type="pct"/>
            <w:noWrap/>
          </w:tcPr>
          <w:p w14:paraId="27A63782" w14:textId="77777777" w:rsidR="00C010DB" w:rsidRPr="00EB4FC1" w:rsidRDefault="00C010DB" w:rsidP="002A4CD8">
            <w:pPr>
              <w:pStyle w:val="TableText0"/>
              <w:jc w:val="center"/>
            </w:pPr>
            <w:r>
              <w:t>$0.195</w:t>
            </w:r>
          </w:p>
        </w:tc>
      </w:tr>
      <w:tr w:rsidR="00C010DB" w:rsidRPr="00EB4FC1" w14:paraId="7BF031D1" w14:textId="77777777" w:rsidTr="00413070">
        <w:trPr>
          <w:trHeight w:val="113"/>
        </w:trPr>
        <w:tc>
          <w:tcPr>
            <w:tcW w:w="2759" w:type="pct"/>
            <w:noWrap/>
            <w:vAlign w:val="top"/>
          </w:tcPr>
          <w:p w14:paraId="2223FDE3" w14:textId="77777777" w:rsidR="00C010DB" w:rsidRPr="00EB4FC1" w:rsidRDefault="00C010DB" w:rsidP="002A4CD8">
            <w:pPr>
              <w:pStyle w:val="TableText0"/>
            </w:pPr>
            <w:r w:rsidRPr="00CE2D94">
              <w:t>Nurse attendance</w:t>
            </w:r>
            <w:r>
              <w:t xml:space="preserve"> [C]</w:t>
            </w:r>
          </w:p>
        </w:tc>
        <w:tc>
          <w:tcPr>
            <w:tcW w:w="1121" w:type="pct"/>
            <w:noWrap/>
            <w:vAlign w:val="top"/>
          </w:tcPr>
          <w:p w14:paraId="59CFACC7" w14:textId="6363CF5C" w:rsidR="00C010DB" w:rsidRPr="00413070" w:rsidRDefault="00C010DB" w:rsidP="002A4CD8">
            <w:pPr>
              <w:pStyle w:val="TableText0"/>
              <w:jc w:val="center"/>
              <w:rPr>
                <w:highlight w:val="yellow"/>
              </w:rPr>
            </w:pPr>
            <w:r w:rsidRPr="00355C55">
              <w:t>$</w:t>
            </w:r>
            <w:r w:rsidR="00D25BE4" w:rsidRPr="00D25BE4">
              <w:rPr>
                <w:color w:val="000000"/>
                <w:shd w:val="solid" w:color="000000" w:fill="000000"/>
                <w14:textFill>
                  <w14:solidFill>
                    <w14:srgbClr w14:val="000000">
                      <w14:alpha w14:val="100000"/>
                    </w14:srgbClr>
                  </w14:solidFill>
                </w14:textFill>
              </w:rPr>
              <w:t>|</w:t>
            </w:r>
          </w:p>
        </w:tc>
        <w:tc>
          <w:tcPr>
            <w:tcW w:w="1120" w:type="pct"/>
            <w:noWrap/>
          </w:tcPr>
          <w:p w14:paraId="0F243ACB" w14:textId="77777777" w:rsidR="00C010DB" w:rsidRPr="00BA1FF4" w:rsidRDefault="00C010DB" w:rsidP="002A4CD8">
            <w:pPr>
              <w:pStyle w:val="TableText0"/>
              <w:jc w:val="center"/>
              <w:rPr>
                <w:highlight w:val="yellow"/>
              </w:rPr>
            </w:pPr>
            <w:r w:rsidRPr="0001227A">
              <w:t>$10.15</w:t>
            </w:r>
          </w:p>
        </w:tc>
      </w:tr>
      <w:tr w:rsidR="00C010DB" w:rsidRPr="00EB4FC1" w14:paraId="206DFBF8" w14:textId="77777777" w:rsidTr="00D523C2">
        <w:tc>
          <w:tcPr>
            <w:tcW w:w="2759" w:type="pct"/>
            <w:noWrap/>
            <w:hideMark/>
          </w:tcPr>
          <w:p w14:paraId="48B42858" w14:textId="77777777" w:rsidR="00C010DB" w:rsidRPr="00EB4FC1" w:rsidRDefault="00C010DB" w:rsidP="002A4CD8">
            <w:pPr>
              <w:pStyle w:val="TableText0"/>
            </w:pPr>
            <w:r w:rsidRPr="00EB4FC1">
              <w:t>Management of ISR pain</w:t>
            </w:r>
            <w:r>
              <w:t xml:space="preserve"> A × (B + C)</w:t>
            </w:r>
          </w:p>
        </w:tc>
        <w:tc>
          <w:tcPr>
            <w:tcW w:w="1121" w:type="pct"/>
            <w:noWrap/>
            <w:hideMark/>
          </w:tcPr>
          <w:p w14:paraId="427C96E7" w14:textId="26BD7B3D" w:rsidR="00C010DB" w:rsidRPr="00413070" w:rsidRDefault="00C010DB" w:rsidP="002A4CD8">
            <w:pPr>
              <w:pStyle w:val="TableText0"/>
              <w:jc w:val="center"/>
              <w:rPr>
                <w:highlight w:val="yellow"/>
              </w:rPr>
            </w:pPr>
            <w:r w:rsidRPr="00355C55">
              <w:t>$</w:t>
            </w:r>
            <w:r w:rsidR="00D25BE4" w:rsidRPr="00D25BE4">
              <w:rPr>
                <w:color w:val="000000"/>
                <w:shd w:val="solid" w:color="000000" w:fill="000000"/>
                <w14:textFill>
                  <w14:solidFill>
                    <w14:srgbClr w14:val="000000">
                      <w14:alpha w14:val="100000"/>
                    </w14:srgbClr>
                  </w14:solidFill>
                </w14:textFill>
              </w:rPr>
              <w:t>|</w:t>
            </w:r>
          </w:p>
        </w:tc>
        <w:tc>
          <w:tcPr>
            <w:tcW w:w="1120" w:type="pct"/>
            <w:noWrap/>
            <w:hideMark/>
          </w:tcPr>
          <w:p w14:paraId="40B5FB14" w14:textId="77777777" w:rsidR="00C010DB" w:rsidRPr="00BA1FF4" w:rsidRDefault="00C010DB" w:rsidP="002A4CD8">
            <w:pPr>
              <w:pStyle w:val="TableText0"/>
              <w:jc w:val="center"/>
              <w:rPr>
                <w:highlight w:val="yellow"/>
              </w:rPr>
            </w:pPr>
            <w:r w:rsidRPr="0001227A">
              <w:t>$1.37</w:t>
            </w:r>
          </w:p>
        </w:tc>
      </w:tr>
      <w:tr w:rsidR="00C010DB" w:rsidRPr="00BD57E6" w14:paraId="46837FF7" w14:textId="77777777" w:rsidTr="00D523C2">
        <w:tc>
          <w:tcPr>
            <w:tcW w:w="2759" w:type="pct"/>
            <w:noWrap/>
            <w:hideMark/>
          </w:tcPr>
          <w:p w14:paraId="36681A6F" w14:textId="77777777" w:rsidR="00C010DB" w:rsidRPr="00BD57E6" w:rsidRDefault="00C010DB" w:rsidP="002A4CD8">
            <w:pPr>
              <w:pStyle w:val="TableText0"/>
              <w:rPr>
                <w:b/>
              </w:rPr>
            </w:pPr>
            <w:r w:rsidRPr="00BD57E6">
              <w:rPr>
                <w:b/>
              </w:rPr>
              <w:t>Total cost</w:t>
            </w:r>
            <w:r>
              <w:rPr>
                <w:b/>
              </w:rPr>
              <w:t xml:space="preserve"> </w:t>
            </w:r>
            <w:r w:rsidRPr="00851EEF">
              <w:t>(Direct medicines cost + Management of ISR pain)</w:t>
            </w:r>
          </w:p>
        </w:tc>
        <w:tc>
          <w:tcPr>
            <w:tcW w:w="1121" w:type="pct"/>
            <w:noWrap/>
            <w:hideMark/>
          </w:tcPr>
          <w:p w14:paraId="52CAD6C9" w14:textId="6E5080D6" w:rsidR="00C010DB" w:rsidRPr="00413070" w:rsidRDefault="00C010DB" w:rsidP="002A4CD8">
            <w:pPr>
              <w:pStyle w:val="TableText0"/>
              <w:jc w:val="center"/>
              <w:rPr>
                <w:b/>
                <w:highlight w:val="yellow"/>
              </w:rPr>
            </w:pPr>
            <w:r w:rsidRPr="00355C55">
              <w:rPr>
                <w:b/>
              </w:rPr>
              <w:t>$</w:t>
            </w:r>
            <w:r w:rsidR="00D25BE4" w:rsidRPr="00D25BE4">
              <w:rPr>
                <w:b/>
                <w:color w:val="000000"/>
                <w:shd w:val="solid" w:color="000000" w:fill="000000"/>
                <w14:textFill>
                  <w14:solidFill>
                    <w14:srgbClr w14:val="000000">
                      <w14:alpha w14:val="100000"/>
                    </w14:srgbClr>
                  </w14:solidFill>
                </w14:textFill>
              </w:rPr>
              <w:t>|</w:t>
            </w:r>
          </w:p>
        </w:tc>
        <w:tc>
          <w:tcPr>
            <w:tcW w:w="1120" w:type="pct"/>
            <w:noWrap/>
            <w:hideMark/>
          </w:tcPr>
          <w:p w14:paraId="4A9EBB47" w14:textId="77777777" w:rsidR="00C010DB" w:rsidRPr="00BD57E6" w:rsidRDefault="00C010DB" w:rsidP="002A4CD8">
            <w:pPr>
              <w:pStyle w:val="TableText0"/>
              <w:jc w:val="center"/>
              <w:rPr>
                <w:b/>
              </w:rPr>
            </w:pPr>
            <w:r w:rsidRPr="00BD57E6">
              <w:rPr>
                <w:b/>
              </w:rPr>
              <w:t>$120.57</w:t>
            </w:r>
          </w:p>
        </w:tc>
      </w:tr>
      <w:tr w:rsidR="00C010DB" w:rsidRPr="00EB4FC1" w14:paraId="580BBF14" w14:textId="77777777" w:rsidTr="00D523C2">
        <w:tc>
          <w:tcPr>
            <w:tcW w:w="2759" w:type="pct"/>
            <w:noWrap/>
            <w:hideMark/>
          </w:tcPr>
          <w:p w14:paraId="3DD0F328" w14:textId="77777777" w:rsidR="00C010DB" w:rsidRPr="00EB4FC1" w:rsidRDefault="00C010DB" w:rsidP="002A4CD8">
            <w:pPr>
              <w:pStyle w:val="TableText0"/>
            </w:pPr>
            <w:r w:rsidRPr="00EB4FC1">
              <w:t>Difference</w:t>
            </w:r>
          </w:p>
        </w:tc>
        <w:tc>
          <w:tcPr>
            <w:tcW w:w="2241" w:type="pct"/>
            <w:gridSpan w:val="2"/>
            <w:noWrap/>
            <w:hideMark/>
          </w:tcPr>
          <w:p w14:paraId="140D29DD" w14:textId="77777777" w:rsidR="00C010DB" w:rsidRPr="00EB4FC1" w:rsidRDefault="00C010DB" w:rsidP="002A4CD8">
            <w:pPr>
              <w:pStyle w:val="TableText0"/>
              <w:jc w:val="center"/>
            </w:pPr>
            <w:r w:rsidRPr="00EB4FC1">
              <w:t>$0.00</w:t>
            </w:r>
          </w:p>
        </w:tc>
      </w:tr>
    </w:tbl>
    <w:p w14:paraId="55AE3A28" w14:textId="323066F9" w:rsidR="00C010DB" w:rsidRDefault="00C010DB" w:rsidP="00C010DB">
      <w:pPr>
        <w:pStyle w:val="3-BodyText"/>
        <w:numPr>
          <w:ilvl w:val="0"/>
          <w:numId w:val="0"/>
        </w:numPr>
        <w:spacing w:after="0"/>
        <w:rPr>
          <w:rFonts w:ascii="Arial Narrow" w:hAnsi="Arial Narrow"/>
          <w:sz w:val="18"/>
        </w:rPr>
      </w:pPr>
      <w:r w:rsidRPr="006862D6">
        <w:rPr>
          <w:rFonts w:ascii="Arial Narrow" w:hAnsi="Arial Narrow"/>
          <w:sz w:val="18"/>
        </w:rPr>
        <w:t>Source</w:t>
      </w:r>
      <w:r>
        <w:rPr>
          <w:rFonts w:ascii="Arial Narrow" w:hAnsi="Arial Narrow"/>
          <w:sz w:val="18"/>
        </w:rPr>
        <w:t>: Compiled during evaluation</w:t>
      </w:r>
      <w:r w:rsidR="004E0AE7">
        <w:rPr>
          <w:rFonts w:ascii="Arial Narrow" w:hAnsi="Arial Narrow"/>
          <w:sz w:val="18"/>
        </w:rPr>
        <w:t>.</w:t>
      </w:r>
    </w:p>
    <w:p w14:paraId="17F9ECD8" w14:textId="79BF4B0A" w:rsidR="00C010DB" w:rsidRDefault="00C010DB" w:rsidP="00C010DB">
      <w:pPr>
        <w:pStyle w:val="3-BodyText"/>
        <w:numPr>
          <w:ilvl w:val="0"/>
          <w:numId w:val="0"/>
        </w:numPr>
        <w:spacing w:after="0"/>
        <w:rPr>
          <w:rFonts w:ascii="Arial Narrow" w:hAnsi="Arial Narrow"/>
          <w:sz w:val="18"/>
        </w:rPr>
      </w:pPr>
      <w:r>
        <w:rPr>
          <w:rFonts w:ascii="Arial Narrow" w:hAnsi="Arial Narrow"/>
          <w:sz w:val="18"/>
        </w:rPr>
        <w:t>AE</w:t>
      </w:r>
      <w:r w:rsidR="0028664B">
        <w:rPr>
          <w:rFonts w:ascii="Arial Narrow" w:hAnsi="Arial Narrow"/>
          <w:sz w:val="18"/>
        </w:rPr>
        <w:t>s</w:t>
      </w:r>
      <w:r>
        <w:rPr>
          <w:rFonts w:ascii="Arial Narrow" w:hAnsi="Arial Narrow"/>
          <w:sz w:val="18"/>
        </w:rPr>
        <w:t>= adverse events; ISR=injection site reaction; FDC=fixed dose combination; AEMP=approved ex-manufacturer price</w:t>
      </w:r>
    </w:p>
    <w:p w14:paraId="69FFEBEA" w14:textId="77777777" w:rsidR="00C010DB" w:rsidRPr="006862D6" w:rsidRDefault="00C010DB" w:rsidP="00C010DB">
      <w:pPr>
        <w:pStyle w:val="3-BodyText"/>
        <w:numPr>
          <w:ilvl w:val="0"/>
          <w:numId w:val="0"/>
        </w:numPr>
        <w:spacing w:after="0"/>
        <w:rPr>
          <w:rFonts w:ascii="Arial Narrow" w:hAnsi="Arial Narrow"/>
          <w:sz w:val="18"/>
        </w:rPr>
      </w:pPr>
    </w:p>
    <w:p w14:paraId="1A0A5ADC" w14:textId="08404A1C" w:rsidR="00C010DB" w:rsidRDefault="00C010DB" w:rsidP="00C010DB">
      <w:pPr>
        <w:pStyle w:val="3-BodyText"/>
        <w:rPr>
          <w:iCs/>
        </w:rPr>
      </w:pPr>
      <w:r w:rsidRPr="0002340D">
        <w:rPr>
          <w:iCs/>
        </w:rPr>
        <w:t xml:space="preserve">Based on </w:t>
      </w:r>
      <w:r w:rsidR="006058E0" w:rsidRPr="0002340D">
        <w:rPr>
          <w:iCs/>
        </w:rPr>
        <w:fldChar w:fldCharType="begin"/>
      </w:r>
      <w:r w:rsidR="006058E0" w:rsidRPr="0002340D">
        <w:rPr>
          <w:iCs/>
        </w:rPr>
        <w:instrText xml:space="preserve"> REF _Ref124166035 \h  \* MERGEFORMAT </w:instrText>
      </w:r>
      <w:r w:rsidR="006058E0" w:rsidRPr="0002340D">
        <w:rPr>
          <w:iCs/>
        </w:rPr>
      </w:r>
      <w:r w:rsidR="006058E0" w:rsidRPr="0002340D">
        <w:rPr>
          <w:iCs/>
        </w:rPr>
        <w:fldChar w:fldCharType="separate"/>
      </w:r>
      <w:r w:rsidR="00775281" w:rsidRPr="00775281">
        <w:rPr>
          <w:iCs/>
        </w:rPr>
        <w:t xml:space="preserve">Table </w:t>
      </w:r>
      <w:r w:rsidR="00775281" w:rsidRPr="00775281">
        <w:rPr>
          <w:iCs/>
          <w:noProof/>
        </w:rPr>
        <w:t>11</w:t>
      </w:r>
      <w:r w:rsidR="006058E0" w:rsidRPr="0002340D">
        <w:rPr>
          <w:iCs/>
        </w:rPr>
        <w:fldChar w:fldCharType="end"/>
      </w:r>
      <w:r w:rsidR="006058E0" w:rsidRPr="0002340D">
        <w:rPr>
          <w:iCs/>
        </w:rPr>
        <w:t xml:space="preserve">, </w:t>
      </w:r>
      <w:r w:rsidRPr="0002340D">
        <w:rPr>
          <w:iCs/>
        </w:rPr>
        <w:t xml:space="preserve">the lowest cost combination would be aprepitant </w:t>
      </w:r>
      <w:r w:rsidR="006A2454" w:rsidRPr="0002340D">
        <w:rPr>
          <w:iCs/>
        </w:rPr>
        <w:t xml:space="preserve">oral </w:t>
      </w:r>
      <w:r w:rsidRPr="0002340D">
        <w:rPr>
          <w:iCs/>
        </w:rPr>
        <w:t>and granisetron</w:t>
      </w:r>
      <w:r w:rsidR="008E74BE">
        <w:rPr>
          <w:iCs/>
        </w:rPr>
        <w:t xml:space="preserve"> (based on an assumption of a single dose of granisetron)</w:t>
      </w:r>
      <w:r w:rsidRPr="0002340D">
        <w:rPr>
          <w:iCs/>
        </w:rPr>
        <w:t xml:space="preserve">. At the price proposed in the submission, NEPA IV is associated with additional costs. </w:t>
      </w:r>
    </w:p>
    <w:p w14:paraId="210BE83C" w14:textId="788228BB" w:rsidR="00BC3022" w:rsidRDefault="001E50B6" w:rsidP="008E74BE">
      <w:pPr>
        <w:pStyle w:val="3-BodyText"/>
        <w:rPr>
          <w:iCs/>
        </w:rPr>
      </w:pPr>
      <w:r w:rsidRPr="00A548DE">
        <w:rPr>
          <w:iCs/>
        </w:rPr>
        <w:t>The ESC considered that, as the claim of superior comparative safety over Emend IV (plus a 5-HT3 RA) was not adequately justified, excluding alternative</w:t>
      </w:r>
      <w:r w:rsidR="001B0677" w:rsidRPr="00A548DE">
        <w:rPr>
          <w:iCs/>
        </w:rPr>
        <w:t xml:space="preserve"> therapie</w:t>
      </w:r>
      <w:r w:rsidRPr="00A548DE">
        <w:rPr>
          <w:iCs/>
        </w:rPr>
        <w:t xml:space="preserve">s on </w:t>
      </w:r>
      <w:r w:rsidR="001B0677" w:rsidRPr="00A548DE">
        <w:rPr>
          <w:iCs/>
        </w:rPr>
        <w:t xml:space="preserve">the </w:t>
      </w:r>
      <w:r w:rsidRPr="00A548DE">
        <w:rPr>
          <w:iCs/>
        </w:rPr>
        <w:t xml:space="preserve">basis </w:t>
      </w:r>
      <w:r w:rsidR="001B0677" w:rsidRPr="00A548DE">
        <w:rPr>
          <w:iCs/>
        </w:rPr>
        <w:t xml:space="preserve">of safety differences </w:t>
      </w:r>
      <w:r w:rsidRPr="00A548DE">
        <w:rPr>
          <w:iCs/>
        </w:rPr>
        <w:t xml:space="preserve">was not reasonable. However, if restricted to patients who are unsuitable for an oral alternative, the ESC considered it may be reasonable to exclude oral agents </w:t>
      </w:r>
      <w:r w:rsidR="001B0677" w:rsidRPr="00A548DE">
        <w:rPr>
          <w:iCs/>
        </w:rPr>
        <w:t>as alternative therapies</w:t>
      </w:r>
      <w:r w:rsidR="00CF21F6">
        <w:rPr>
          <w:iCs/>
        </w:rPr>
        <w:t>.</w:t>
      </w:r>
    </w:p>
    <w:p w14:paraId="568BA15B" w14:textId="1AEE0A22" w:rsidR="001E50B6" w:rsidRDefault="001E50B6" w:rsidP="008E74BE">
      <w:pPr>
        <w:pStyle w:val="3-BodyText"/>
        <w:rPr>
          <w:iCs/>
        </w:rPr>
      </w:pPr>
      <w:r w:rsidRPr="00A548DE">
        <w:rPr>
          <w:iCs/>
        </w:rPr>
        <w:t xml:space="preserve">The ESC noted there was variation in the duration of effectiveness of doses of some agents, and considered it </w:t>
      </w:r>
      <w:r w:rsidR="001B0677" w:rsidRPr="00A548DE">
        <w:rPr>
          <w:iCs/>
        </w:rPr>
        <w:t xml:space="preserve">may be </w:t>
      </w:r>
      <w:r w:rsidRPr="00A548DE">
        <w:rPr>
          <w:iCs/>
        </w:rPr>
        <w:t xml:space="preserve">reasonable </w:t>
      </w:r>
      <w:r w:rsidR="001B0677" w:rsidRPr="00A548DE">
        <w:rPr>
          <w:iCs/>
        </w:rPr>
        <w:t xml:space="preserve">for </w:t>
      </w:r>
      <w:r w:rsidRPr="00A548DE">
        <w:rPr>
          <w:iCs/>
        </w:rPr>
        <w:t>the cost</w:t>
      </w:r>
      <w:r w:rsidR="0086255F" w:rsidRPr="00A548DE">
        <w:rPr>
          <w:iCs/>
        </w:rPr>
        <w:t>-</w:t>
      </w:r>
      <w:r w:rsidRPr="00A548DE">
        <w:rPr>
          <w:iCs/>
        </w:rPr>
        <w:t xml:space="preserve">minimisation approach </w:t>
      </w:r>
      <w:r w:rsidR="001B0677" w:rsidRPr="00A548DE">
        <w:rPr>
          <w:iCs/>
        </w:rPr>
        <w:t xml:space="preserve">to </w:t>
      </w:r>
      <w:r w:rsidRPr="00A548DE">
        <w:rPr>
          <w:iCs/>
        </w:rPr>
        <w:t xml:space="preserve">reflect the cost of </w:t>
      </w:r>
      <w:r w:rsidR="007E600E" w:rsidRPr="00A548DE">
        <w:rPr>
          <w:iCs/>
        </w:rPr>
        <w:t>additional doses</w:t>
      </w:r>
      <w:r w:rsidRPr="00A548DE">
        <w:rPr>
          <w:iCs/>
        </w:rPr>
        <w:t xml:space="preserve">. To that end, the ESC </w:t>
      </w:r>
      <w:r w:rsidR="007E600E" w:rsidRPr="00A548DE">
        <w:rPr>
          <w:iCs/>
        </w:rPr>
        <w:t xml:space="preserve">noted </w:t>
      </w:r>
      <w:r w:rsidRPr="00A548DE">
        <w:rPr>
          <w:iCs/>
        </w:rPr>
        <w:t>the argument raised in the PSCR that granisetron</w:t>
      </w:r>
      <w:r w:rsidR="00A60008" w:rsidRPr="00A548DE">
        <w:rPr>
          <w:iCs/>
        </w:rPr>
        <w:t xml:space="preserve"> </w:t>
      </w:r>
      <w:r w:rsidRPr="00A548DE">
        <w:rPr>
          <w:iCs/>
        </w:rPr>
        <w:t>administration was complex and may require additional administrations (incurring additional costs) and concomitant corticosteroid administration</w:t>
      </w:r>
      <w:r w:rsidR="00CF21F6">
        <w:rPr>
          <w:iCs/>
        </w:rPr>
        <w:t>.</w:t>
      </w:r>
      <w:r w:rsidR="00BC3022">
        <w:rPr>
          <w:iCs/>
        </w:rPr>
        <w:t xml:space="preserve"> </w:t>
      </w:r>
      <w:r w:rsidR="00E65E23">
        <w:rPr>
          <w:iCs/>
        </w:rPr>
        <w:t xml:space="preserve">The submission stated </w:t>
      </w:r>
      <w:r w:rsidR="00E65E23">
        <w:t xml:space="preserve">that granisetron only provides 24 hours of anti-emetic coverage and included clinical advice that when granisetron is used, patients are then given 4-5 tablets to be taken daily, thereafter. </w:t>
      </w:r>
      <w:r w:rsidR="00BC3022">
        <w:rPr>
          <w:iCs/>
        </w:rPr>
        <w:t>The pre-PBAC</w:t>
      </w:r>
      <w:r w:rsidR="00AD07E4">
        <w:rPr>
          <w:iCs/>
        </w:rPr>
        <w:t xml:space="preserve"> Response</w:t>
      </w:r>
      <w:r w:rsidR="00BC3022">
        <w:rPr>
          <w:iCs/>
        </w:rPr>
        <w:t xml:space="preserve"> </w:t>
      </w:r>
      <w:r w:rsidR="00E65E23">
        <w:rPr>
          <w:iCs/>
        </w:rPr>
        <w:t>similarly</w:t>
      </w:r>
      <w:r w:rsidR="00BC3022">
        <w:rPr>
          <w:iCs/>
        </w:rPr>
        <w:t xml:space="preserve"> noted that the recommended doing of </w:t>
      </w:r>
      <w:r w:rsidR="00BC3022" w:rsidRPr="00444BD4">
        <w:t>tropisetron IV</w:t>
      </w:r>
      <w:r w:rsidR="00BC3022">
        <w:t xml:space="preserve"> includes oral administration on days 2-6</w:t>
      </w:r>
      <w:r w:rsidR="00B81371">
        <w:t>.</w:t>
      </w:r>
      <w:r w:rsidRPr="00A548DE">
        <w:rPr>
          <w:iCs/>
        </w:rPr>
        <w:t xml:space="preserve"> </w:t>
      </w:r>
    </w:p>
    <w:p w14:paraId="6B481FC7" w14:textId="4C1C37FC" w:rsidR="00D7710E" w:rsidRPr="00AD07E4" w:rsidRDefault="008E74BE" w:rsidP="00D7710E">
      <w:pPr>
        <w:pStyle w:val="3-BodyText"/>
        <w:rPr>
          <w:iCs/>
        </w:rPr>
      </w:pPr>
      <w:r>
        <w:rPr>
          <w:iCs/>
        </w:rPr>
        <w:t xml:space="preserve">The Pre-PBAC Response </w:t>
      </w:r>
      <w:r w:rsidR="00E842E1">
        <w:rPr>
          <w:iCs/>
        </w:rPr>
        <w:t xml:space="preserve"> disagreed the observed outcomes for ISRs were not clinically significant, however accepted the removal of the offset </w:t>
      </w:r>
      <w:r w:rsidR="004B27D0">
        <w:rPr>
          <w:iCs/>
        </w:rPr>
        <w:t>from the</w:t>
      </w:r>
      <w:r w:rsidR="00E842E1">
        <w:rPr>
          <w:iCs/>
        </w:rPr>
        <w:t xml:space="preserve"> CMA. The Response also</w:t>
      </w:r>
      <w:r>
        <w:rPr>
          <w:iCs/>
        </w:rPr>
        <w:t xml:space="preserve"> </w:t>
      </w:r>
      <w:r w:rsidR="00E842E1">
        <w:rPr>
          <w:iCs/>
        </w:rPr>
        <w:t>noted the advice of the ESC that the CMA should account for the need for additional doses of granisetron and tropisetron and argued the inclusion of these in the approach was appropriate as palonosetron achieves the same outcomes with a single dose. The Response also noted tropisetron was unsuitable for patients who were CYP2D6 ultrarapid metabolisers.</w:t>
      </w:r>
      <w:bookmarkStart w:id="52" w:name="_Toc22897646"/>
    </w:p>
    <w:p w14:paraId="523934FA" w14:textId="2DDFA51A" w:rsidR="00C010DB" w:rsidRDefault="00C010DB" w:rsidP="00D523C2">
      <w:pPr>
        <w:pStyle w:val="4-SubsectionHeading"/>
      </w:pPr>
      <w:bookmarkStart w:id="53" w:name="_Toc124842002"/>
      <w:r w:rsidRPr="002C2775">
        <w:t>Drug</w:t>
      </w:r>
      <w:r>
        <w:t xml:space="preserve"> </w:t>
      </w:r>
      <w:r w:rsidRPr="002C2775">
        <w:t>cost/patient/</w:t>
      </w:r>
      <w:bookmarkEnd w:id="52"/>
      <w:r>
        <w:t>c</w:t>
      </w:r>
      <w:r w:rsidR="007B6416">
        <w:t>ycl</w:t>
      </w:r>
      <w:r>
        <w:t>e</w:t>
      </w:r>
      <w:bookmarkEnd w:id="53"/>
    </w:p>
    <w:p w14:paraId="0B7E1EDA" w14:textId="529F6D21" w:rsidR="00C010DB" w:rsidRPr="00680A2D" w:rsidRDefault="00B52F66" w:rsidP="00C010DB">
      <w:pPr>
        <w:pStyle w:val="3-BodyText"/>
        <w:rPr>
          <w:iCs/>
        </w:rPr>
      </w:pPr>
      <w:bookmarkStart w:id="54" w:name="_Ref104805102"/>
      <w:r w:rsidRPr="00680A2D">
        <w:rPr>
          <w:iCs/>
        </w:rPr>
        <w:t>Under Section 100 listings, t</w:t>
      </w:r>
      <w:r w:rsidR="00C010DB" w:rsidRPr="00680A2D">
        <w:rPr>
          <w:iCs/>
        </w:rPr>
        <w:t xml:space="preserve">he drug cost/patient/cycle of chemotherapy was </w:t>
      </w:r>
      <w:r w:rsidR="00C010DB" w:rsidRPr="00E5043C">
        <w:rPr>
          <w:iCs/>
        </w:rPr>
        <w:t>$</w:t>
      </w:r>
      <w:r w:rsidR="00D25BE4" w:rsidRPr="00D25BE4">
        <w:rPr>
          <w:iCs/>
          <w:color w:val="000000"/>
          <w:w w:val="61"/>
          <w:shd w:val="solid" w:color="000000" w:fill="000000"/>
          <w:fitText w:val="475" w:id="-1233420285"/>
          <w14:textFill>
            <w14:solidFill>
              <w14:srgbClr w14:val="000000">
                <w14:alpha w14:val="100000"/>
              </w14:srgbClr>
            </w14:solidFill>
          </w14:textFill>
        </w:rPr>
        <w:t>|||  ||</w:t>
      </w:r>
      <w:r w:rsidR="00D25BE4" w:rsidRPr="00D25BE4">
        <w:rPr>
          <w:iCs/>
          <w:color w:val="000000"/>
          <w:spacing w:val="5"/>
          <w:w w:val="61"/>
          <w:shd w:val="solid" w:color="000000" w:fill="000000"/>
          <w:fitText w:val="475" w:id="-1233420285"/>
          <w14:textFill>
            <w14:solidFill>
              <w14:srgbClr w14:val="000000">
                <w14:alpha w14:val="100000"/>
              </w14:srgbClr>
            </w14:solidFill>
          </w14:textFill>
        </w:rPr>
        <w:t>|</w:t>
      </w:r>
      <w:r w:rsidR="00C010DB" w:rsidRPr="00680A2D">
        <w:rPr>
          <w:iCs/>
        </w:rPr>
        <w:t xml:space="preserve"> for NEPA IV, $97.16 for Emend IV and $22.04 for PALO IV.</w:t>
      </w:r>
      <w:r w:rsidR="00B05241" w:rsidRPr="00680A2D">
        <w:rPr>
          <w:iCs/>
        </w:rPr>
        <w:t xml:space="preserve"> These costs were assumed to apply on day 1 of a chemotherapy cycle. </w:t>
      </w:r>
    </w:p>
    <w:p w14:paraId="00725802" w14:textId="77777777" w:rsidR="00C010DB" w:rsidRPr="00C9624D" w:rsidRDefault="00C010DB" w:rsidP="00C010DB">
      <w:pPr>
        <w:pStyle w:val="4-SubsectionHeading"/>
      </w:pPr>
      <w:bookmarkStart w:id="55" w:name="_Toc22897647"/>
      <w:bookmarkStart w:id="56" w:name="_Toc124842003"/>
      <w:bookmarkEnd w:id="54"/>
      <w:r w:rsidRPr="00C9624D">
        <w:t>Estimated PBS usage &amp; financial implications</w:t>
      </w:r>
      <w:bookmarkEnd w:id="55"/>
      <w:bookmarkEnd w:id="56"/>
    </w:p>
    <w:p w14:paraId="3DA6EACA" w14:textId="01163F79" w:rsidR="00C010DB" w:rsidRPr="005C4F6E" w:rsidRDefault="00C010DB" w:rsidP="00C010DB">
      <w:pPr>
        <w:pStyle w:val="3-BodyText"/>
        <w:rPr>
          <w:color w:val="0066FF"/>
        </w:rPr>
      </w:pPr>
      <w:r>
        <w:t xml:space="preserve">This submission </w:t>
      </w:r>
      <w:r w:rsidR="009E3783">
        <w:t xml:space="preserve">was </w:t>
      </w:r>
      <w:r>
        <w:t>not considered by DUSC</w:t>
      </w:r>
      <w:r w:rsidRPr="008F625F">
        <w:t>.</w:t>
      </w:r>
      <w:r>
        <w:rPr>
          <w:color w:val="0070C0"/>
        </w:rPr>
        <w:t xml:space="preserve"> </w:t>
      </w:r>
      <w:r w:rsidRPr="008F625F">
        <w:t xml:space="preserve">The submission used a market share approach to estimate the extent of use of NEPA IV and the financial impact </w:t>
      </w:r>
      <w:r w:rsidRPr="005C4F6E">
        <w:t xml:space="preserve">of listing it on the PBS. The key inputs for the financial analysis are summarised </w:t>
      </w:r>
      <w:r w:rsidR="005C4F6E" w:rsidRPr="005C4F6E">
        <w:t xml:space="preserve">in </w:t>
      </w:r>
      <w:r w:rsidR="005C4F6E" w:rsidRPr="005C4F6E">
        <w:fldChar w:fldCharType="begin"/>
      </w:r>
      <w:r w:rsidR="005C4F6E" w:rsidRPr="005C4F6E">
        <w:instrText xml:space="preserve"> REF _Ref124170681 \h </w:instrText>
      </w:r>
      <w:r w:rsidR="005C4F6E">
        <w:instrText xml:space="preserve"> \* MERGEFORMAT </w:instrText>
      </w:r>
      <w:r w:rsidR="005C4F6E" w:rsidRPr="005C4F6E">
        <w:fldChar w:fldCharType="separate"/>
      </w:r>
      <w:r w:rsidR="00775281">
        <w:t xml:space="preserve">Table </w:t>
      </w:r>
      <w:r w:rsidR="00775281">
        <w:rPr>
          <w:noProof/>
        </w:rPr>
        <w:t>14</w:t>
      </w:r>
      <w:r w:rsidR="005C4F6E" w:rsidRPr="005C4F6E">
        <w:fldChar w:fldCharType="end"/>
      </w:r>
      <w:r w:rsidR="005C4F6E" w:rsidRPr="005C4F6E">
        <w:t>.</w:t>
      </w:r>
    </w:p>
    <w:p w14:paraId="478A2BB6" w14:textId="3C8116A7" w:rsidR="00C010DB" w:rsidRDefault="00C010DB" w:rsidP="00D904F6">
      <w:pPr>
        <w:pStyle w:val="Caption"/>
      </w:pPr>
      <w:bookmarkStart w:id="57" w:name="_Ref124170681"/>
      <w:r>
        <w:t xml:space="preserve">Table </w:t>
      </w:r>
      <w:fldSimple w:instr=" SEQ Table \* ARABIC ">
        <w:r w:rsidR="00775281">
          <w:rPr>
            <w:noProof/>
          </w:rPr>
          <w:t>14</w:t>
        </w:r>
      </w:fldSimple>
      <w:bookmarkEnd w:id="57"/>
      <w:r>
        <w:t xml:space="preserve">: </w:t>
      </w:r>
      <w:r w:rsidRPr="00114120">
        <w:t>Data sources and parameter values applied in the utilisation and financial estimates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8"/>
        <w:gridCol w:w="1566"/>
        <w:gridCol w:w="3164"/>
        <w:gridCol w:w="2932"/>
      </w:tblGrid>
      <w:tr w:rsidR="00C757E4" w:rsidRPr="00680A2D" w14:paraId="2ABE11AD" w14:textId="77777777" w:rsidTr="00C757E4">
        <w:trPr>
          <w:cantSplit/>
        </w:trPr>
        <w:tc>
          <w:tcPr>
            <w:tcW w:w="1518" w:type="dxa"/>
            <w:vAlign w:val="center"/>
          </w:tcPr>
          <w:p w14:paraId="7696B51B" w14:textId="77777777" w:rsidR="00C757E4" w:rsidRPr="00680A2D" w:rsidRDefault="00C757E4" w:rsidP="00D904F6">
            <w:pPr>
              <w:pStyle w:val="In-tableHeading"/>
              <w:keepLines/>
              <w:jc w:val="center"/>
            </w:pPr>
            <w:r w:rsidRPr="00680A2D">
              <w:t>Data</w:t>
            </w:r>
          </w:p>
        </w:tc>
        <w:tc>
          <w:tcPr>
            <w:tcW w:w="1566" w:type="dxa"/>
            <w:vAlign w:val="center"/>
          </w:tcPr>
          <w:p w14:paraId="0EAEB2DD" w14:textId="77777777" w:rsidR="00C757E4" w:rsidRPr="00680A2D" w:rsidRDefault="00C757E4" w:rsidP="00D904F6">
            <w:pPr>
              <w:pStyle w:val="In-tableHeading"/>
              <w:keepLines/>
              <w:jc w:val="center"/>
            </w:pPr>
            <w:r w:rsidRPr="00680A2D">
              <w:t>Value</w:t>
            </w:r>
          </w:p>
        </w:tc>
        <w:tc>
          <w:tcPr>
            <w:tcW w:w="3164" w:type="dxa"/>
            <w:vAlign w:val="center"/>
          </w:tcPr>
          <w:p w14:paraId="5F108B0B" w14:textId="77777777" w:rsidR="00C757E4" w:rsidRPr="00680A2D" w:rsidRDefault="00C757E4" w:rsidP="00D904F6">
            <w:pPr>
              <w:pStyle w:val="In-tableHeading"/>
              <w:keepLines/>
              <w:jc w:val="center"/>
            </w:pPr>
            <w:r w:rsidRPr="00680A2D">
              <w:t>Source</w:t>
            </w:r>
          </w:p>
        </w:tc>
        <w:tc>
          <w:tcPr>
            <w:tcW w:w="2932" w:type="dxa"/>
            <w:vAlign w:val="center"/>
          </w:tcPr>
          <w:p w14:paraId="18B31F22" w14:textId="77777777" w:rsidR="00C757E4" w:rsidRPr="00680A2D" w:rsidRDefault="00C757E4" w:rsidP="00D904F6">
            <w:pPr>
              <w:pStyle w:val="In-tableHeading"/>
              <w:keepLines/>
              <w:jc w:val="center"/>
            </w:pPr>
            <w:r w:rsidRPr="00680A2D">
              <w:t>Comment</w:t>
            </w:r>
          </w:p>
        </w:tc>
      </w:tr>
      <w:tr w:rsidR="00C757E4" w:rsidRPr="00680A2D" w14:paraId="48A06D2C" w14:textId="77777777" w:rsidTr="00C757E4">
        <w:trPr>
          <w:cantSplit/>
        </w:trPr>
        <w:tc>
          <w:tcPr>
            <w:tcW w:w="9180" w:type="dxa"/>
            <w:gridSpan w:val="4"/>
            <w:vAlign w:val="center"/>
          </w:tcPr>
          <w:p w14:paraId="58B8E7C6" w14:textId="77777777" w:rsidR="00C757E4" w:rsidRPr="00680A2D" w:rsidRDefault="00C757E4" w:rsidP="00D904F6">
            <w:pPr>
              <w:pStyle w:val="In-tableHeading"/>
              <w:keepLines/>
            </w:pPr>
            <w:r w:rsidRPr="00680A2D">
              <w:t>Eligible population</w:t>
            </w:r>
          </w:p>
        </w:tc>
      </w:tr>
      <w:tr w:rsidR="00C757E4" w:rsidRPr="00680A2D" w14:paraId="1D931413" w14:textId="77777777" w:rsidTr="00C757E4">
        <w:trPr>
          <w:cantSplit/>
        </w:trPr>
        <w:tc>
          <w:tcPr>
            <w:tcW w:w="1518" w:type="dxa"/>
            <w:vAlign w:val="center"/>
          </w:tcPr>
          <w:p w14:paraId="4D890D72" w14:textId="77777777" w:rsidR="00C757E4" w:rsidRPr="00680A2D" w:rsidRDefault="00C757E4" w:rsidP="00D904F6">
            <w:pPr>
              <w:pStyle w:val="TableText0"/>
              <w:keepLines/>
            </w:pPr>
            <w:r w:rsidRPr="00680A2D">
              <w:t>Size of the market, 2022</w:t>
            </w:r>
          </w:p>
        </w:tc>
        <w:tc>
          <w:tcPr>
            <w:tcW w:w="1566" w:type="dxa"/>
            <w:vAlign w:val="center"/>
          </w:tcPr>
          <w:p w14:paraId="1DD5ADCD" w14:textId="08DE5CE5" w:rsidR="00C757E4" w:rsidRPr="00FB7F39" w:rsidRDefault="00D25BE4" w:rsidP="00D904F6">
            <w:pPr>
              <w:pStyle w:val="TableText0"/>
              <w:keepLines/>
            </w:pPr>
            <w:r w:rsidRPr="00D25BE4">
              <w:rPr>
                <w:color w:val="000000"/>
                <w:spacing w:val="53"/>
                <w:shd w:val="solid" w:color="000000" w:fill="000000"/>
                <w:fitText w:val="330" w:id="-1233420284"/>
                <w14:textFill>
                  <w14:solidFill>
                    <w14:srgbClr w14:val="000000">
                      <w14:alpha w14:val="100000"/>
                    </w14:srgbClr>
                  </w14:solidFill>
                </w14:textFill>
              </w:rPr>
              <w:t>|||</w:t>
            </w:r>
            <w:r w:rsidRPr="00D25BE4">
              <w:rPr>
                <w:color w:val="000000"/>
                <w:spacing w:val="1"/>
                <w:shd w:val="solid" w:color="000000" w:fill="000000"/>
                <w:fitText w:val="330" w:id="-1233420284"/>
                <w14:textFill>
                  <w14:solidFill>
                    <w14:srgbClr w14:val="000000">
                      <w14:alpha w14:val="100000"/>
                    </w14:srgbClr>
                  </w14:solidFill>
                </w14:textFill>
              </w:rPr>
              <w:t>|</w:t>
            </w:r>
            <w:r w:rsidR="00FB7F39" w:rsidRPr="00FB7F39">
              <w:rPr>
                <w:vertAlign w:val="superscript"/>
              </w:rPr>
              <w:t>1</w:t>
            </w:r>
            <w:r w:rsidR="00C757E4" w:rsidRPr="00FB7F39">
              <w:t xml:space="preserve"> GE scripts,</w:t>
            </w:r>
          </w:p>
          <w:p w14:paraId="29794DB7" w14:textId="25C79BB9" w:rsidR="00C757E4" w:rsidRPr="00680A2D" w:rsidRDefault="00D25BE4" w:rsidP="00D904F6">
            <w:pPr>
              <w:pStyle w:val="TableText0"/>
              <w:keepLines/>
            </w:pPr>
            <w:r w:rsidRPr="00D25BE4">
              <w:rPr>
                <w:color w:val="000000"/>
                <w:spacing w:val="53"/>
                <w:shd w:val="solid" w:color="000000" w:fill="000000"/>
                <w:fitText w:val="330" w:id="-1233420283"/>
                <w14:textFill>
                  <w14:solidFill>
                    <w14:srgbClr w14:val="000000">
                      <w14:alpha w14:val="100000"/>
                    </w14:srgbClr>
                  </w14:solidFill>
                </w14:textFill>
              </w:rPr>
              <w:t>|||</w:t>
            </w:r>
            <w:r w:rsidRPr="00D25BE4">
              <w:rPr>
                <w:color w:val="000000"/>
                <w:spacing w:val="1"/>
                <w:shd w:val="solid" w:color="000000" w:fill="000000"/>
                <w:fitText w:val="330" w:id="-1233420283"/>
                <w14:textFill>
                  <w14:solidFill>
                    <w14:srgbClr w14:val="000000">
                      <w14:alpha w14:val="100000"/>
                    </w14:srgbClr>
                  </w14:solidFill>
                </w14:textFill>
              </w:rPr>
              <w:t>|</w:t>
            </w:r>
            <w:r w:rsidR="00FB7F39" w:rsidRPr="00FB7F39">
              <w:rPr>
                <w:vertAlign w:val="superscript"/>
              </w:rPr>
              <w:t>1</w:t>
            </w:r>
            <w:r w:rsidR="00C757E4" w:rsidRPr="00680A2D">
              <w:t xml:space="preserve"> CT scripts</w:t>
            </w:r>
          </w:p>
        </w:tc>
        <w:tc>
          <w:tcPr>
            <w:tcW w:w="3164" w:type="dxa"/>
            <w:vAlign w:val="center"/>
          </w:tcPr>
          <w:p w14:paraId="2DA740D2" w14:textId="77777777" w:rsidR="00C757E4" w:rsidRPr="00680A2D" w:rsidRDefault="00C757E4" w:rsidP="00D904F6">
            <w:pPr>
              <w:pStyle w:val="TableText0"/>
              <w:keepLines/>
            </w:pPr>
            <w:r w:rsidRPr="00680A2D">
              <w:t>The number of Emend IV scripts (PBS items11107N and 11103J), 2021</w:t>
            </w:r>
          </w:p>
        </w:tc>
        <w:tc>
          <w:tcPr>
            <w:tcW w:w="2932" w:type="dxa"/>
            <w:vAlign w:val="center"/>
          </w:tcPr>
          <w:p w14:paraId="046E7BE1" w14:textId="13FED43D" w:rsidR="00C757E4" w:rsidRPr="00680A2D" w:rsidRDefault="009B0741" w:rsidP="00D904F6">
            <w:pPr>
              <w:pStyle w:val="TableText0"/>
              <w:keepLines/>
            </w:pPr>
            <w:r>
              <w:t>May be reasonable, if restricted to patients ineligible for oral anti-emetics.</w:t>
            </w:r>
          </w:p>
        </w:tc>
      </w:tr>
      <w:tr w:rsidR="00C757E4" w:rsidRPr="00680A2D" w14:paraId="5D71EF69" w14:textId="77777777" w:rsidTr="00C757E4">
        <w:trPr>
          <w:cantSplit/>
        </w:trPr>
        <w:tc>
          <w:tcPr>
            <w:tcW w:w="1518" w:type="dxa"/>
            <w:vAlign w:val="center"/>
          </w:tcPr>
          <w:p w14:paraId="2E75CC42" w14:textId="77777777" w:rsidR="00C757E4" w:rsidRPr="00680A2D" w:rsidRDefault="00C757E4" w:rsidP="00D904F6">
            <w:pPr>
              <w:pStyle w:val="TableText0"/>
              <w:keepLines/>
            </w:pPr>
            <w:r w:rsidRPr="00680A2D">
              <w:t>Growth rate</w:t>
            </w:r>
          </w:p>
        </w:tc>
        <w:tc>
          <w:tcPr>
            <w:tcW w:w="1566" w:type="dxa"/>
            <w:vAlign w:val="center"/>
          </w:tcPr>
          <w:p w14:paraId="7829D205" w14:textId="07C6527A" w:rsidR="00C757E4" w:rsidRPr="00680A2D" w:rsidRDefault="00D25BE4" w:rsidP="00D904F6">
            <w:pPr>
              <w:pStyle w:val="TableText0"/>
              <w:keepLines/>
            </w:pPr>
            <w:r w:rsidRPr="00D25BE4">
              <w:rPr>
                <w:color w:val="000000"/>
                <w:spacing w:val="53"/>
                <w:shd w:val="solid" w:color="000000" w:fill="000000"/>
                <w:fitText w:val="330" w:id="-1233420282"/>
                <w14:textFill>
                  <w14:solidFill>
                    <w14:srgbClr w14:val="000000">
                      <w14:alpha w14:val="100000"/>
                    </w14:srgbClr>
                  </w14:solidFill>
                </w14:textFill>
              </w:rPr>
              <w:t>|||</w:t>
            </w:r>
            <w:r w:rsidRPr="00D25BE4">
              <w:rPr>
                <w:color w:val="000000"/>
                <w:spacing w:val="1"/>
                <w:shd w:val="solid" w:color="000000" w:fill="000000"/>
                <w:fitText w:val="330" w:id="-1233420282"/>
                <w14:textFill>
                  <w14:solidFill>
                    <w14:srgbClr w14:val="000000">
                      <w14:alpha w14:val="100000"/>
                    </w14:srgbClr>
                  </w14:solidFill>
                </w14:textFill>
              </w:rPr>
              <w:t>|</w:t>
            </w:r>
            <w:r w:rsidR="00C757E4" w:rsidRPr="00FB7F39">
              <w:t>%</w:t>
            </w:r>
          </w:p>
        </w:tc>
        <w:tc>
          <w:tcPr>
            <w:tcW w:w="3164" w:type="dxa"/>
            <w:vAlign w:val="center"/>
          </w:tcPr>
          <w:p w14:paraId="776B060B" w14:textId="77777777" w:rsidR="00C757E4" w:rsidRPr="00680A2D" w:rsidRDefault="00C757E4" w:rsidP="00D904F6">
            <w:pPr>
              <w:pStyle w:val="TableText0"/>
              <w:keepLines/>
            </w:pPr>
            <w:r w:rsidRPr="00680A2D">
              <w:t xml:space="preserve">Based on Emend IV scripts dispensed between 2019 and 2021. </w:t>
            </w:r>
          </w:p>
        </w:tc>
        <w:tc>
          <w:tcPr>
            <w:tcW w:w="2932" w:type="dxa"/>
            <w:vAlign w:val="center"/>
          </w:tcPr>
          <w:p w14:paraId="5FD3DA7E" w14:textId="39077C84" w:rsidR="00C757E4" w:rsidRPr="00680A2D" w:rsidRDefault="00C757E4" w:rsidP="00D904F6">
            <w:pPr>
              <w:pStyle w:val="TableText0"/>
              <w:keepLines/>
            </w:pPr>
            <w:r w:rsidRPr="00680A2D">
              <w:t xml:space="preserve">This growth rate may be optimistic as the rate of cancer incidence over the last 5 years was around 3% </w:t>
            </w:r>
            <w:r w:rsidRPr="00680A2D">
              <w:fldChar w:fldCharType="begin"/>
            </w:r>
            <w:r w:rsidRPr="00680A2D">
              <w:instrText xml:space="preserve"> ADDIN EN.CITE &lt;EndNote&gt;&lt;Cite&gt;&lt;Author&gt;Australian Institute of Health Welfare&lt;/Author&gt;&lt;Year&gt;2022&lt;/Year&gt;&lt;RecNum&gt;4&lt;/RecNum&gt;&lt;DisplayText&gt;&lt;style face="superscript"&gt;1&lt;/style&gt;&lt;/DisplayText&gt;&lt;record&gt;&lt;rec-number&gt;4&lt;/rec-number&gt;&lt;foreign-keys&gt;&lt;key app="EN" db-id="r009r5tx50s9z7eadtqxpv95wr9ews2e009s" timestamp="1672968847"&gt;4&lt;/key&gt;&lt;/foreign-keys&gt;&lt;ref-type name="Report"&gt;27&lt;/ref-type&gt;&lt;contributors&gt;&lt;authors&gt;&lt;author&gt;Australian Institute of Health Welfare,&lt;/author&gt;&lt;/authors&gt;&lt;/contributors&gt;&lt;titles&gt;&lt;title&gt;Cancer data in Australia&lt;/title&gt;&lt;/titles&gt;&lt;dates&gt;&lt;year&gt;2022&lt;/year&gt;&lt;/dates&gt;&lt;pub-location&gt;Canberra&lt;/pub-location&gt;&lt;publisher&gt;AIHW&lt;/publisher&gt;&lt;urls&gt;&lt;related-urls&gt;&lt;url&gt;https://www.aihw.gov.au/reports/cancer/cancer-data-in-australia&lt;/url&gt;&lt;/related-urls&gt;&lt;/urls&gt;&lt;/record&gt;&lt;/Cite&gt;&lt;/EndNote&gt;</w:instrText>
            </w:r>
            <w:r w:rsidRPr="00680A2D">
              <w:fldChar w:fldCharType="separate"/>
            </w:r>
            <w:r w:rsidRPr="00680A2D">
              <w:rPr>
                <w:noProof/>
                <w:vertAlign w:val="superscript"/>
              </w:rPr>
              <w:t>1</w:t>
            </w:r>
            <w:r w:rsidRPr="00680A2D">
              <w:fldChar w:fldCharType="end"/>
            </w:r>
            <w:r w:rsidR="00B81371">
              <w:t>.</w:t>
            </w:r>
            <w:r w:rsidR="005740C5">
              <w:t xml:space="preserve"> </w:t>
            </w:r>
            <w:r w:rsidR="00B81371">
              <w:t>T</w:t>
            </w:r>
            <w:r w:rsidR="005740C5">
              <w:t xml:space="preserve">he pre-PBAC Response  noted the AIHW report also </w:t>
            </w:r>
            <w:r w:rsidR="0053353E">
              <w:t xml:space="preserve">reported that </w:t>
            </w:r>
            <w:r w:rsidR="005740C5">
              <w:t xml:space="preserve">population growth was not consistent across age groups and </w:t>
            </w:r>
            <w:r w:rsidR="0053353E" w:rsidRPr="00021FD5">
              <w:t>cancer is more commonly diagnosed in older populations where growth is projected to be greatest</w:t>
            </w:r>
            <w:r w:rsidR="005740C5">
              <w:t>.</w:t>
            </w:r>
          </w:p>
        </w:tc>
      </w:tr>
      <w:tr w:rsidR="00C757E4" w:rsidRPr="00680A2D" w14:paraId="0071F386" w14:textId="77777777" w:rsidTr="00C757E4">
        <w:trPr>
          <w:cantSplit/>
        </w:trPr>
        <w:tc>
          <w:tcPr>
            <w:tcW w:w="9180" w:type="dxa"/>
            <w:gridSpan w:val="4"/>
            <w:vAlign w:val="center"/>
          </w:tcPr>
          <w:p w14:paraId="76FA6E9A" w14:textId="77777777" w:rsidR="00C757E4" w:rsidRPr="00680A2D" w:rsidRDefault="00C757E4" w:rsidP="00D904F6">
            <w:pPr>
              <w:pStyle w:val="TableText0"/>
              <w:keepLines/>
              <w:rPr>
                <w:b/>
              </w:rPr>
            </w:pPr>
            <w:r w:rsidRPr="00680A2D">
              <w:rPr>
                <w:b/>
              </w:rPr>
              <w:t>Treatment utilisation</w:t>
            </w:r>
          </w:p>
        </w:tc>
      </w:tr>
      <w:tr w:rsidR="00C757E4" w:rsidRPr="00680A2D" w14:paraId="7AEB3777" w14:textId="77777777" w:rsidTr="00C757E4">
        <w:trPr>
          <w:cantSplit/>
        </w:trPr>
        <w:tc>
          <w:tcPr>
            <w:tcW w:w="1518" w:type="dxa"/>
            <w:vAlign w:val="center"/>
          </w:tcPr>
          <w:p w14:paraId="2E980C9C" w14:textId="77777777" w:rsidR="00C757E4" w:rsidRPr="00680A2D" w:rsidRDefault="00C757E4" w:rsidP="00D904F6">
            <w:pPr>
              <w:pStyle w:val="TableText0"/>
              <w:keepLines/>
            </w:pPr>
            <w:r w:rsidRPr="00680A2D">
              <w:t>Uptake rate</w:t>
            </w:r>
          </w:p>
        </w:tc>
        <w:tc>
          <w:tcPr>
            <w:tcW w:w="1566" w:type="dxa"/>
            <w:vAlign w:val="center"/>
          </w:tcPr>
          <w:p w14:paraId="1A28879B" w14:textId="574628BA" w:rsidR="00C757E4" w:rsidRPr="00680A2D" w:rsidRDefault="00C757E4" w:rsidP="00D904F6">
            <w:pPr>
              <w:pStyle w:val="TableText0"/>
              <w:keepLines/>
            </w:pPr>
            <w:r w:rsidRPr="00680A2D">
              <w:t xml:space="preserve">Yr 1: </w:t>
            </w:r>
            <w:r w:rsidR="00D25BE4" w:rsidRPr="00D25BE4">
              <w:rPr>
                <w:color w:val="000000"/>
                <w:spacing w:val="53"/>
                <w:shd w:val="solid" w:color="000000" w:fill="000000"/>
                <w:fitText w:val="330" w:id="-1233420281"/>
                <w14:textFill>
                  <w14:solidFill>
                    <w14:srgbClr w14:val="000000">
                      <w14:alpha w14:val="100000"/>
                    </w14:srgbClr>
                  </w14:solidFill>
                </w14:textFill>
              </w:rPr>
              <w:t>|||</w:t>
            </w:r>
            <w:r w:rsidR="00D25BE4" w:rsidRPr="00D25BE4">
              <w:rPr>
                <w:color w:val="000000"/>
                <w:spacing w:val="1"/>
                <w:shd w:val="solid" w:color="000000" w:fill="000000"/>
                <w:fitText w:val="330" w:id="-1233420281"/>
                <w14:textFill>
                  <w14:solidFill>
                    <w14:srgbClr w14:val="000000">
                      <w14:alpha w14:val="100000"/>
                    </w14:srgbClr>
                  </w14:solidFill>
                </w14:textFill>
              </w:rPr>
              <w:t>|</w:t>
            </w:r>
            <w:r w:rsidRPr="00680A2D">
              <w:t>%</w:t>
            </w:r>
          </w:p>
          <w:p w14:paraId="1FE6F680" w14:textId="54F4168D" w:rsidR="00C757E4" w:rsidRPr="00680A2D" w:rsidRDefault="00C757E4" w:rsidP="00D904F6">
            <w:pPr>
              <w:pStyle w:val="TableText0"/>
              <w:keepLines/>
            </w:pPr>
            <w:r w:rsidRPr="00680A2D">
              <w:t xml:space="preserve">Yr 2: </w:t>
            </w:r>
            <w:r w:rsidR="00D25BE4" w:rsidRPr="00D25BE4">
              <w:rPr>
                <w:color w:val="000000"/>
                <w:spacing w:val="53"/>
                <w:shd w:val="solid" w:color="000000" w:fill="000000"/>
                <w:fitText w:val="330" w:id="-1233420280"/>
                <w14:textFill>
                  <w14:solidFill>
                    <w14:srgbClr w14:val="000000">
                      <w14:alpha w14:val="100000"/>
                    </w14:srgbClr>
                  </w14:solidFill>
                </w14:textFill>
              </w:rPr>
              <w:t>|||</w:t>
            </w:r>
            <w:r w:rsidR="00D25BE4" w:rsidRPr="00D25BE4">
              <w:rPr>
                <w:color w:val="000000"/>
                <w:spacing w:val="1"/>
                <w:shd w:val="solid" w:color="000000" w:fill="000000"/>
                <w:fitText w:val="330" w:id="-1233420280"/>
                <w14:textFill>
                  <w14:solidFill>
                    <w14:srgbClr w14:val="000000">
                      <w14:alpha w14:val="100000"/>
                    </w14:srgbClr>
                  </w14:solidFill>
                </w14:textFill>
              </w:rPr>
              <w:t>|</w:t>
            </w:r>
            <w:r w:rsidRPr="00680A2D">
              <w:t xml:space="preserve">% </w:t>
            </w:r>
          </w:p>
          <w:p w14:paraId="7A8B5CA2" w14:textId="51305198" w:rsidR="00C757E4" w:rsidRPr="00680A2D" w:rsidRDefault="00C757E4" w:rsidP="00D904F6">
            <w:pPr>
              <w:pStyle w:val="TableText0"/>
              <w:keepLines/>
            </w:pPr>
            <w:r w:rsidRPr="00680A2D">
              <w:t xml:space="preserve">Yr 3: </w:t>
            </w:r>
            <w:r w:rsidR="00D25BE4" w:rsidRPr="00D25BE4">
              <w:rPr>
                <w:color w:val="000000"/>
                <w:spacing w:val="53"/>
                <w:shd w:val="solid" w:color="000000" w:fill="000000"/>
                <w:fitText w:val="330" w:id="-1233420279"/>
                <w14:textFill>
                  <w14:solidFill>
                    <w14:srgbClr w14:val="000000">
                      <w14:alpha w14:val="100000"/>
                    </w14:srgbClr>
                  </w14:solidFill>
                </w14:textFill>
              </w:rPr>
              <w:t>|||</w:t>
            </w:r>
            <w:r w:rsidR="00D25BE4" w:rsidRPr="00D25BE4">
              <w:rPr>
                <w:color w:val="000000"/>
                <w:spacing w:val="1"/>
                <w:shd w:val="solid" w:color="000000" w:fill="000000"/>
                <w:fitText w:val="330" w:id="-1233420279"/>
                <w14:textFill>
                  <w14:solidFill>
                    <w14:srgbClr w14:val="000000">
                      <w14:alpha w14:val="100000"/>
                    </w14:srgbClr>
                  </w14:solidFill>
                </w14:textFill>
              </w:rPr>
              <w:t>|</w:t>
            </w:r>
            <w:r w:rsidRPr="00680A2D">
              <w:t>%</w:t>
            </w:r>
          </w:p>
          <w:p w14:paraId="4F6DAA06" w14:textId="3FB01982" w:rsidR="00C757E4" w:rsidRPr="00680A2D" w:rsidRDefault="00C757E4" w:rsidP="00D904F6">
            <w:pPr>
              <w:pStyle w:val="TableText0"/>
              <w:keepLines/>
            </w:pPr>
            <w:r w:rsidRPr="00680A2D">
              <w:t xml:space="preserve">Yr 4: </w:t>
            </w:r>
            <w:r w:rsidR="00D25BE4" w:rsidRPr="00D25BE4">
              <w:rPr>
                <w:color w:val="000000"/>
                <w:spacing w:val="53"/>
                <w:shd w:val="solid" w:color="000000" w:fill="000000"/>
                <w:fitText w:val="330" w:id="-1233420278"/>
                <w14:textFill>
                  <w14:solidFill>
                    <w14:srgbClr w14:val="000000">
                      <w14:alpha w14:val="100000"/>
                    </w14:srgbClr>
                  </w14:solidFill>
                </w14:textFill>
              </w:rPr>
              <w:t>|||</w:t>
            </w:r>
            <w:r w:rsidR="00D25BE4" w:rsidRPr="00D25BE4">
              <w:rPr>
                <w:color w:val="000000"/>
                <w:spacing w:val="1"/>
                <w:shd w:val="solid" w:color="000000" w:fill="000000"/>
                <w:fitText w:val="330" w:id="-1233420278"/>
                <w14:textFill>
                  <w14:solidFill>
                    <w14:srgbClr w14:val="000000">
                      <w14:alpha w14:val="100000"/>
                    </w14:srgbClr>
                  </w14:solidFill>
                </w14:textFill>
              </w:rPr>
              <w:t>|</w:t>
            </w:r>
            <w:r w:rsidRPr="00680A2D">
              <w:t>%</w:t>
            </w:r>
          </w:p>
          <w:p w14:paraId="3D209174" w14:textId="48FED1BF" w:rsidR="00C757E4" w:rsidRPr="00680A2D" w:rsidRDefault="00C757E4" w:rsidP="00D904F6">
            <w:pPr>
              <w:pStyle w:val="TableText0"/>
              <w:keepLines/>
            </w:pPr>
            <w:r w:rsidRPr="00680A2D">
              <w:t xml:space="preserve">Yr 5−6: </w:t>
            </w:r>
            <w:r w:rsidR="00D25BE4" w:rsidRPr="00D25BE4">
              <w:rPr>
                <w:color w:val="000000"/>
                <w:spacing w:val="53"/>
                <w:shd w:val="solid" w:color="000000" w:fill="000000"/>
                <w:fitText w:val="330" w:id="-1233420277"/>
                <w14:textFill>
                  <w14:solidFill>
                    <w14:srgbClr w14:val="000000">
                      <w14:alpha w14:val="100000"/>
                    </w14:srgbClr>
                  </w14:solidFill>
                </w14:textFill>
              </w:rPr>
              <w:t>|||</w:t>
            </w:r>
            <w:r w:rsidR="00D25BE4" w:rsidRPr="00D25BE4">
              <w:rPr>
                <w:color w:val="000000"/>
                <w:spacing w:val="1"/>
                <w:shd w:val="solid" w:color="000000" w:fill="000000"/>
                <w:fitText w:val="330" w:id="-1233420277"/>
                <w14:textFill>
                  <w14:solidFill>
                    <w14:srgbClr w14:val="000000">
                      <w14:alpha w14:val="100000"/>
                    </w14:srgbClr>
                  </w14:solidFill>
                </w14:textFill>
              </w:rPr>
              <w:t>|</w:t>
            </w:r>
            <w:r w:rsidRPr="00680A2D">
              <w:t>%</w:t>
            </w:r>
          </w:p>
        </w:tc>
        <w:tc>
          <w:tcPr>
            <w:tcW w:w="3164" w:type="dxa"/>
            <w:vAlign w:val="center"/>
          </w:tcPr>
          <w:p w14:paraId="2578F0D9" w14:textId="77777777" w:rsidR="00C757E4" w:rsidRPr="00680A2D" w:rsidRDefault="00C757E4" w:rsidP="00D904F6">
            <w:pPr>
              <w:pStyle w:val="TableText0"/>
              <w:keepLines/>
            </w:pPr>
            <w:r w:rsidRPr="00680A2D">
              <w:t>Assumption</w:t>
            </w:r>
          </w:p>
        </w:tc>
        <w:tc>
          <w:tcPr>
            <w:tcW w:w="2932" w:type="dxa"/>
            <w:vAlign w:val="center"/>
          </w:tcPr>
          <w:p w14:paraId="2BBC8947" w14:textId="77777777" w:rsidR="00C757E4" w:rsidRPr="00680A2D" w:rsidRDefault="00C757E4" w:rsidP="00D904F6">
            <w:pPr>
              <w:pStyle w:val="TableText0"/>
              <w:keepLines/>
            </w:pPr>
            <w:r w:rsidRPr="00680A2D">
              <w:t>Uptake rates may be underestimated owing to the convenience of administering NEPA IV (single injection) over the combination of Emend IV and palonosetron IV, which have to be administered sequentially.</w:t>
            </w:r>
          </w:p>
        </w:tc>
      </w:tr>
      <w:tr w:rsidR="00C757E4" w:rsidRPr="00680A2D" w14:paraId="3A9FD670" w14:textId="77777777" w:rsidTr="00C757E4">
        <w:trPr>
          <w:cantSplit/>
        </w:trPr>
        <w:tc>
          <w:tcPr>
            <w:tcW w:w="9180" w:type="dxa"/>
            <w:gridSpan w:val="4"/>
            <w:vAlign w:val="center"/>
          </w:tcPr>
          <w:p w14:paraId="2CBBC5CB" w14:textId="77777777" w:rsidR="00C757E4" w:rsidRPr="00680A2D" w:rsidRDefault="00C757E4" w:rsidP="00D904F6">
            <w:pPr>
              <w:pStyle w:val="TableText0"/>
              <w:keepLines/>
              <w:rPr>
                <w:b/>
              </w:rPr>
            </w:pPr>
            <w:r w:rsidRPr="00680A2D">
              <w:rPr>
                <w:b/>
              </w:rPr>
              <w:t>Costs</w:t>
            </w:r>
          </w:p>
        </w:tc>
      </w:tr>
      <w:tr w:rsidR="00C757E4" w:rsidRPr="00680A2D" w14:paraId="518D5C96" w14:textId="77777777" w:rsidTr="00C757E4">
        <w:trPr>
          <w:cantSplit/>
        </w:trPr>
        <w:tc>
          <w:tcPr>
            <w:tcW w:w="1518" w:type="dxa"/>
            <w:vAlign w:val="center"/>
          </w:tcPr>
          <w:p w14:paraId="20F24A6D" w14:textId="77777777" w:rsidR="00C757E4" w:rsidRPr="00680A2D" w:rsidRDefault="00C757E4" w:rsidP="00D904F6">
            <w:pPr>
              <w:pStyle w:val="TableText0"/>
              <w:keepLines/>
            </w:pPr>
            <w:r w:rsidRPr="00680A2D">
              <w:t>Proposed medicine</w:t>
            </w:r>
          </w:p>
        </w:tc>
        <w:tc>
          <w:tcPr>
            <w:tcW w:w="1566" w:type="dxa"/>
            <w:vAlign w:val="center"/>
          </w:tcPr>
          <w:p w14:paraId="0A1DF2DF" w14:textId="293BDAE2" w:rsidR="00C757E4" w:rsidRPr="00680A2D" w:rsidRDefault="00C757E4" w:rsidP="00D904F6">
            <w:pPr>
              <w:pStyle w:val="TableText0"/>
              <w:keepLines/>
            </w:pPr>
            <w:r w:rsidRPr="00680A2D">
              <w:t>GE: $</w:t>
            </w:r>
            <w:r w:rsidR="00D25BE4" w:rsidRPr="00D25BE4">
              <w:rPr>
                <w:color w:val="000000"/>
                <w:spacing w:val="53"/>
                <w:shd w:val="solid" w:color="000000" w:fill="000000"/>
                <w:fitText w:val="330" w:id="-1233420276"/>
                <w14:textFill>
                  <w14:solidFill>
                    <w14:srgbClr w14:val="000000">
                      <w14:alpha w14:val="100000"/>
                    </w14:srgbClr>
                  </w14:solidFill>
                </w14:textFill>
              </w:rPr>
              <w:t>|||</w:t>
            </w:r>
            <w:r w:rsidR="00D25BE4" w:rsidRPr="00D25BE4">
              <w:rPr>
                <w:color w:val="000000"/>
                <w:spacing w:val="1"/>
                <w:shd w:val="solid" w:color="000000" w:fill="000000"/>
                <w:fitText w:val="330" w:id="-1233420276"/>
                <w14:textFill>
                  <w14:solidFill>
                    <w14:srgbClr w14:val="000000">
                      <w14:alpha w14:val="100000"/>
                    </w14:srgbClr>
                  </w14:solidFill>
                </w14:textFill>
              </w:rPr>
              <w:t>|</w:t>
            </w:r>
          </w:p>
          <w:p w14:paraId="39FAFC20" w14:textId="3E6A0CD6" w:rsidR="00C757E4" w:rsidRPr="00680A2D" w:rsidRDefault="00C757E4" w:rsidP="00D904F6">
            <w:pPr>
              <w:pStyle w:val="TableText0"/>
              <w:keepLines/>
            </w:pPr>
            <w:r w:rsidRPr="00680A2D">
              <w:t>CT: $</w:t>
            </w:r>
            <w:r w:rsidR="00D25BE4" w:rsidRPr="00D25BE4">
              <w:rPr>
                <w:color w:val="000000"/>
                <w:spacing w:val="53"/>
                <w:shd w:val="solid" w:color="000000" w:fill="000000"/>
                <w:fitText w:val="330" w:id="-1233420275"/>
                <w14:textFill>
                  <w14:solidFill>
                    <w14:srgbClr w14:val="000000">
                      <w14:alpha w14:val="100000"/>
                    </w14:srgbClr>
                  </w14:solidFill>
                </w14:textFill>
              </w:rPr>
              <w:t>|||</w:t>
            </w:r>
            <w:r w:rsidR="00D25BE4" w:rsidRPr="00D25BE4">
              <w:rPr>
                <w:color w:val="000000"/>
                <w:spacing w:val="1"/>
                <w:shd w:val="solid" w:color="000000" w:fill="000000"/>
                <w:fitText w:val="330" w:id="-1233420275"/>
                <w14:textFill>
                  <w14:solidFill>
                    <w14:srgbClr w14:val="000000">
                      <w14:alpha w14:val="100000"/>
                    </w14:srgbClr>
                  </w14:solidFill>
                </w14:textFill>
              </w:rPr>
              <w:t>|</w:t>
            </w:r>
          </w:p>
        </w:tc>
        <w:tc>
          <w:tcPr>
            <w:tcW w:w="3164" w:type="dxa"/>
            <w:vAlign w:val="center"/>
          </w:tcPr>
          <w:p w14:paraId="6CA72A6B" w14:textId="77777777" w:rsidR="00C757E4" w:rsidRPr="00680A2D" w:rsidRDefault="00C757E4" w:rsidP="00D904F6">
            <w:pPr>
              <w:pStyle w:val="TableText0"/>
              <w:keepLines/>
            </w:pPr>
            <w:r w:rsidRPr="00680A2D">
              <w:t>Proposed DPMQ</w:t>
            </w:r>
          </w:p>
        </w:tc>
        <w:tc>
          <w:tcPr>
            <w:tcW w:w="2932" w:type="dxa"/>
            <w:vAlign w:val="center"/>
          </w:tcPr>
          <w:p w14:paraId="6413400F" w14:textId="77777777" w:rsidR="00C757E4" w:rsidRPr="00680A2D" w:rsidRDefault="00C757E4" w:rsidP="00D904F6">
            <w:pPr>
              <w:pStyle w:val="TableText0"/>
              <w:keepLines/>
            </w:pPr>
            <w:r w:rsidRPr="00680A2D">
              <w:t xml:space="preserve">The proposed price of NEPA IV was requested on a cost-minimisation basis against the combination of Emend IV and PALO IV. </w:t>
            </w:r>
          </w:p>
        </w:tc>
      </w:tr>
      <w:tr w:rsidR="00C757E4" w:rsidRPr="00680A2D" w14:paraId="7E32C736" w14:textId="77777777" w:rsidTr="00C757E4">
        <w:trPr>
          <w:cantSplit/>
        </w:trPr>
        <w:tc>
          <w:tcPr>
            <w:tcW w:w="1518" w:type="dxa"/>
            <w:vAlign w:val="center"/>
          </w:tcPr>
          <w:p w14:paraId="3725B7DD" w14:textId="77777777" w:rsidR="00C757E4" w:rsidRPr="00680A2D" w:rsidRDefault="00C757E4" w:rsidP="00D904F6">
            <w:pPr>
              <w:pStyle w:val="TableText0"/>
              <w:keepLines/>
            </w:pPr>
            <w:r w:rsidRPr="00680A2D">
              <w:t>Comparator – Emend IV</w:t>
            </w:r>
          </w:p>
        </w:tc>
        <w:tc>
          <w:tcPr>
            <w:tcW w:w="1566" w:type="dxa"/>
            <w:vAlign w:val="center"/>
          </w:tcPr>
          <w:p w14:paraId="3D0B7D2A" w14:textId="77777777" w:rsidR="00C757E4" w:rsidRPr="00680A2D" w:rsidRDefault="00C757E4" w:rsidP="00D904F6">
            <w:pPr>
              <w:pStyle w:val="TableText0"/>
              <w:keepLines/>
            </w:pPr>
            <w:r w:rsidRPr="00680A2D">
              <w:t>GE: $116.83</w:t>
            </w:r>
          </w:p>
          <w:p w14:paraId="7CCD92F7" w14:textId="77777777" w:rsidR="00C757E4" w:rsidRPr="00680A2D" w:rsidRDefault="00C757E4" w:rsidP="00D904F6">
            <w:pPr>
              <w:pStyle w:val="TableText0"/>
              <w:keepLines/>
            </w:pPr>
            <w:r w:rsidRPr="00680A2D">
              <w:t>CT: $97.16</w:t>
            </w:r>
          </w:p>
        </w:tc>
        <w:tc>
          <w:tcPr>
            <w:tcW w:w="3164" w:type="dxa"/>
            <w:vAlign w:val="center"/>
          </w:tcPr>
          <w:p w14:paraId="758BFE58" w14:textId="77777777" w:rsidR="00C757E4" w:rsidRPr="00680A2D" w:rsidRDefault="00C757E4" w:rsidP="00D904F6">
            <w:pPr>
              <w:pStyle w:val="TableText0"/>
              <w:keepLines/>
            </w:pPr>
            <w:r w:rsidRPr="00680A2D">
              <w:t>PBS item numbers: 11107N, 11103J</w:t>
            </w:r>
          </w:p>
        </w:tc>
        <w:tc>
          <w:tcPr>
            <w:tcW w:w="2932" w:type="dxa"/>
            <w:vAlign w:val="center"/>
          </w:tcPr>
          <w:p w14:paraId="16A97679" w14:textId="77777777" w:rsidR="00C757E4" w:rsidRPr="00680A2D" w:rsidRDefault="00C757E4" w:rsidP="00D904F6">
            <w:pPr>
              <w:pStyle w:val="TableText0"/>
              <w:keepLines/>
            </w:pPr>
            <w:r w:rsidRPr="00680A2D">
              <w:t>This was reasonable</w:t>
            </w:r>
          </w:p>
        </w:tc>
      </w:tr>
      <w:tr w:rsidR="00C757E4" w:rsidRPr="00680A2D" w14:paraId="5B2FE5CD" w14:textId="77777777" w:rsidTr="00C757E4">
        <w:trPr>
          <w:cantSplit/>
        </w:trPr>
        <w:tc>
          <w:tcPr>
            <w:tcW w:w="1518" w:type="dxa"/>
            <w:vAlign w:val="center"/>
          </w:tcPr>
          <w:p w14:paraId="7D1158DA" w14:textId="77777777" w:rsidR="00C757E4" w:rsidRPr="00680A2D" w:rsidRDefault="00C757E4" w:rsidP="00D904F6">
            <w:pPr>
              <w:pStyle w:val="TableText0"/>
              <w:keepLines/>
            </w:pPr>
            <w:r w:rsidRPr="00680A2D">
              <w:t>Comparator - palonosetron</w:t>
            </w:r>
          </w:p>
        </w:tc>
        <w:tc>
          <w:tcPr>
            <w:tcW w:w="1566" w:type="dxa"/>
            <w:vAlign w:val="center"/>
          </w:tcPr>
          <w:p w14:paraId="1D8A9550" w14:textId="77777777" w:rsidR="00C757E4" w:rsidRPr="00680A2D" w:rsidRDefault="00C757E4" w:rsidP="00D904F6">
            <w:pPr>
              <w:pStyle w:val="TableText0"/>
              <w:keepLines/>
            </w:pPr>
            <w:r w:rsidRPr="00680A2D">
              <w:t>CE: $35.84</w:t>
            </w:r>
          </w:p>
          <w:p w14:paraId="688EEA1D" w14:textId="77777777" w:rsidR="00C757E4" w:rsidRPr="00680A2D" w:rsidRDefault="00C757E4" w:rsidP="00D904F6">
            <w:pPr>
              <w:pStyle w:val="TableText0"/>
              <w:keepLines/>
            </w:pPr>
            <w:r w:rsidRPr="00680A2D">
              <w:t>CT: $22.04</w:t>
            </w:r>
          </w:p>
        </w:tc>
        <w:tc>
          <w:tcPr>
            <w:tcW w:w="3164" w:type="dxa"/>
            <w:vAlign w:val="center"/>
          </w:tcPr>
          <w:p w14:paraId="4DB84263" w14:textId="77777777" w:rsidR="00C757E4" w:rsidRPr="00680A2D" w:rsidRDefault="00C757E4" w:rsidP="00D904F6">
            <w:pPr>
              <w:pStyle w:val="TableText0"/>
              <w:keepLines/>
            </w:pPr>
            <w:r w:rsidRPr="00680A2D">
              <w:t xml:space="preserve">PBS item numbers: 5295Q, 5853C </w:t>
            </w:r>
          </w:p>
        </w:tc>
        <w:tc>
          <w:tcPr>
            <w:tcW w:w="2932" w:type="dxa"/>
            <w:vAlign w:val="center"/>
          </w:tcPr>
          <w:p w14:paraId="30D7A05D" w14:textId="77777777" w:rsidR="00C757E4" w:rsidRPr="00680A2D" w:rsidRDefault="00C757E4" w:rsidP="00D904F6">
            <w:pPr>
              <w:pStyle w:val="TableText0"/>
              <w:keepLines/>
            </w:pPr>
            <w:r w:rsidRPr="00680A2D">
              <w:t>This was reasonable</w:t>
            </w:r>
          </w:p>
        </w:tc>
      </w:tr>
      <w:tr w:rsidR="00C757E4" w:rsidRPr="00680A2D" w14:paraId="5C5090FE" w14:textId="77777777" w:rsidTr="00C757E4">
        <w:trPr>
          <w:cantSplit/>
        </w:trPr>
        <w:tc>
          <w:tcPr>
            <w:tcW w:w="1518" w:type="dxa"/>
            <w:vAlign w:val="center"/>
          </w:tcPr>
          <w:p w14:paraId="578FD764" w14:textId="77777777" w:rsidR="00C757E4" w:rsidRPr="00680A2D" w:rsidRDefault="00C757E4" w:rsidP="00D904F6">
            <w:pPr>
              <w:pStyle w:val="TableText0"/>
              <w:keepLines/>
            </w:pPr>
            <w:r w:rsidRPr="00680A2D">
              <w:t>Patient co-payment</w:t>
            </w:r>
          </w:p>
        </w:tc>
        <w:tc>
          <w:tcPr>
            <w:tcW w:w="1566" w:type="dxa"/>
            <w:vAlign w:val="center"/>
          </w:tcPr>
          <w:p w14:paraId="44470313" w14:textId="77777777" w:rsidR="00C757E4" w:rsidRPr="00680A2D" w:rsidRDefault="00C757E4" w:rsidP="00D904F6">
            <w:pPr>
              <w:pStyle w:val="TableText0"/>
              <w:keepLines/>
            </w:pPr>
            <w:r w:rsidRPr="00680A2D">
              <w:t>$18.84</w:t>
            </w:r>
          </w:p>
          <w:p w14:paraId="734DD162" w14:textId="77777777" w:rsidR="00C757E4" w:rsidRPr="00680A2D" w:rsidRDefault="00C757E4" w:rsidP="00D904F6">
            <w:pPr>
              <w:pStyle w:val="TableText0"/>
              <w:keepLines/>
            </w:pPr>
            <w:r w:rsidRPr="00680A2D">
              <w:t>$6.87</w:t>
            </w:r>
          </w:p>
        </w:tc>
        <w:tc>
          <w:tcPr>
            <w:tcW w:w="3164" w:type="dxa"/>
            <w:vAlign w:val="center"/>
          </w:tcPr>
          <w:p w14:paraId="0B668282" w14:textId="77777777" w:rsidR="00C757E4" w:rsidRPr="00680A2D" w:rsidRDefault="00C757E4" w:rsidP="00D904F6">
            <w:pPr>
              <w:pStyle w:val="TableText0"/>
              <w:keepLines/>
            </w:pPr>
            <w:r w:rsidRPr="00680A2D">
              <w:t>Services Australia PBS item statistics PBS item numbers: 11107N, 11103J</w:t>
            </w:r>
          </w:p>
        </w:tc>
        <w:tc>
          <w:tcPr>
            <w:tcW w:w="2932" w:type="dxa"/>
            <w:vAlign w:val="center"/>
          </w:tcPr>
          <w:p w14:paraId="76A969E6" w14:textId="77777777" w:rsidR="00C757E4" w:rsidRPr="00680A2D" w:rsidRDefault="00C757E4" w:rsidP="00D904F6">
            <w:pPr>
              <w:pStyle w:val="TableText0"/>
              <w:keepLines/>
            </w:pPr>
            <w:r w:rsidRPr="00680A2D">
              <w:t xml:space="preserve">This was reasonable. </w:t>
            </w:r>
          </w:p>
        </w:tc>
      </w:tr>
      <w:tr w:rsidR="00C757E4" w:rsidRPr="00680A2D" w14:paraId="3B330EA5" w14:textId="77777777" w:rsidTr="00C757E4">
        <w:trPr>
          <w:cantSplit/>
        </w:trPr>
        <w:tc>
          <w:tcPr>
            <w:tcW w:w="1518" w:type="dxa"/>
            <w:vAlign w:val="center"/>
          </w:tcPr>
          <w:p w14:paraId="19D7449B" w14:textId="77777777" w:rsidR="00C757E4" w:rsidRPr="00680A2D" w:rsidRDefault="00C757E4" w:rsidP="00D904F6">
            <w:pPr>
              <w:pStyle w:val="TableText0"/>
              <w:keepLines/>
            </w:pPr>
            <w:r w:rsidRPr="00680A2D">
              <w:t>PBS/RPBS split</w:t>
            </w:r>
          </w:p>
        </w:tc>
        <w:tc>
          <w:tcPr>
            <w:tcW w:w="1566" w:type="dxa"/>
            <w:vAlign w:val="center"/>
          </w:tcPr>
          <w:p w14:paraId="726FAA19" w14:textId="77777777" w:rsidR="00C757E4" w:rsidRPr="00680A2D" w:rsidRDefault="00C757E4" w:rsidP="00D904F6">
            <w:pPr>
              <w:pStyle w:val="TableText0"/>
              <w:keepLines/>
            </w:pPr>
            <w:r w:rsidRPr="00680A2D">
              <w:t>GE:98.05%/1.95%</w:t>
            </w:r>
          </w:p>
          <w:p w14:paraId="40DD7F56" w14:textId="77777777" w:rsidR="00C757E4" w:rsidRPr="00680A2D" w:rsidRDefault="00C757E4" w:rsidP="00D904F6">
            <w:pPr>
              <w:pStyle w:val="TableText0"/>
              <w:keepLines/>
            </w:pPr>
            <w:r w:rsidRPr="00680A2D">
              <w:t>CT: 99.7%/0.3%</w:t>
            </w:r>
          </w:p>
        </w:tc>
        <w:tc>
          <w:tcPr>
            <w:tcW w:w="3164" w:type="dxa"/>
            <w:vAlign w:val="center"/>
          </w:tcPr>
          <w:p w14:paraId="0C6AE2A2" w14:textId="77777777" w:rsidR="00C757E4" w:rsidRPr="00680A2D" w:rsidRDefault="00C757E4" w:rsidP="00D904F6">
            <w:pPr>
              <w:pStyle w:val="TableText0"/>
              <w:keepLines/>
            </w:pPr>
            <w:r w:rsidRPr="00680A2D">
              <w:t>Services Australia PBS Item statistics PBS item numbers: 11107N, 11103J</w:t>
            </w:r>
          </w:p>
        </w:tc>
        <w:tc>
          <w:tcPr>
            <w:tcW w:w="2932" w:type="dxa"/>
            <w:vAlign w:val="center"/>
          </w:tcPr>
          <w:p w14:paraId="7B8512E6" w14:textId="77777777" w:rsidR="00C757E4" w:rsidRPr="00680A2D" w:rsidRDefault="00C757E4" w:rsidP="00D904F6">
            <w:pPr>
              <w:pStyle w:val="TableText0"/>
              <w:keepLines/>
            </w:pPr>
            <w:r w:rsidRPr="00680A2D">
              <w:t>This was reasonable</w:t>
            </w:r>
          </w:p>
        </w:tc>
      </w:tr>
      <w:tr w:rsidR="00C757E4" w:rsidRPr="00680A2D" w14:paraId="4010D8E2" w14:textId="77777777" w:rsidTr="00C757E4">
        <w:trPr>
          <w:cantSplit/>
        </w:trPr>
        <w:tc>
          <w:tcPr>
            <w:tcW w:w="1518" w:type="dxa"/>
            <w:vAlign w:val="center"/>
          </w:tcPr>
          <w:p w14:paraId="30C5AAFB" w14:textId="77777777" w:rsidR="00C757E4" w:rsidRPr="00680A2D" w:rsidRDefault="00C757E4" w:rsidP="006064D8">
            <w:pPr>
              <w:pStyle w:val="TableText0"/>
              <w:keepNext w:val="0"/>
            </w:pPr>
            <w:r w:rsidRPr="00680A2D">
              <w:t>Nurse practitioner attendance</w:t>
            </w:r>
          </w:p>
        </w:tc>
        <w:tc>
          <w:tcPr>
            <w:tcW w:w="1566" w:type="dxa"/>
            <w:vAlign w:val="center"/>
          </w:tcPr>
          <w:p w14:paraId="2A3D2D43" w14:textId="77777777" w:rsidR="00C757E4" w:rsidRPr="00680A2D" w:rsidRDefault="00C757E4" w:rsidP="006064D8">
            <w:pPr>
              <w:pStyle w:val="TableText0"/>
              <w:keepNext w:val="0"/>
            </w:pPr>
            <w:r w:rsidRPr="00680A2D">
              <w:t>$8.12 per service</w:t>
            </w:r>
          </w:p>
        </w:tc>
        <w:tc>
          <w:tcPr>
            <w:tcW w:w="3164" w:type="dxa"/>
            <w:vAlign w:val="center"/>
          </w:tcPr>
          <w:p w14:paraId="07FE2129" w14:textId="77777777" w:rsidR="00C757E4" w:rsidRPr="00680A2D" w:rsidRDefault="00C757E4" w:rsidP="006064D8">
            <w:pPr>
              <w:pStyle w:val="TableText0"/>
              <w:keepNext w:val="0"/>
            </w:pPr>
            <w:r w:rsidRPr="00680A2D">
              <w:t>MBS Item 82200 (80% rebate)</w:t>
            </w:r>
          </w:p>
        </w:tc>
        <w:tc>
          <w:tcPr>
            <w:tcW w:w="2932" w:type="dxa"/>
            <w:vAlign w:val="center"/>
          </w:tcPr>
          <w:p w14:paraId="3B4ACFC0" w14:textId="3FF30FE6" w:rsidR="00C757E4" w:rsidRPr="00680A2D" w:rsidRDefault="00C757E4" w:rsidP="006064D8">
            <w:pPr>
              <w:pStyle w:val="TableText0"/>
              <w:keepNext w:val="0"/>
            </w:pPr>
            <w:r w:rsidRPr="00680A2D">
              <w:t>While the source may be reasonable, a reduction in nurse practitioner attendances as claimed may not be realised. Additionally, offsets for general practice items should not be included in financial estimations as these costs/savings to Government will not be realised in clinical practice.</w:t>
            </w:r>
          </w:p>
        </w:tc>
      </w:tr>
    </w:tbl>
    <w:p w14:paraId="615D31AA" w14:textId="77777777" w:rsidR="00C757E4" w:rsidRDefault="00C757E4" w:rsidP="00C757E4">
      <w:pPr>
        <w:pStyle w:val="FooterTableFigure"/>
      </w:pPr>
      <w:r>
        <w:t xml:space="preserve">Source: Table 4-1, p93 </w:t>
      </w:r>
      <w:r w:rsidRPr="00D13A3E">
        <w:t xml:space="preserve">of the </w:t>
      </w:r>
      <w:r>
        <w:t>submission.</w:t>
      </w:r>
    </w:p>
    <w:p w14:paraId="7C5B38D5" w14:textId="186E8BB5" w:rsidR="00D55801" w:rsidRDefault="003B55B6" w:rsidP="00C010DB">
      <w:pPr>
        <w:pStyle w:val="FooterTableFigure"/>
        <w:rPr>
          <w:vertAlign w:val="superscript"/>
        </w:rPr>
      </w:pPr>
      <w:r w:rsidRPr="003B55B6">
        <w:t>5-HT3 RA=5-hydroxytryptamine 3 receptor antagonist; CT=chemotherapy; DPMQ=dispensed price for maximum quantity, GE=General Schedule; MBS=Medicare benefits schedule; NK1 RA=neurokinin 1 receptor antagonist; PBS=pharmaceutical benefits scheme;</w:t>
      </w:r>
      <w:r w:rsidR="007C660F">
        <w:t xml:space="preserve"> PSD=public summary document;</w:t>
      </w:r>
      <w:r w:rsidRPr="003B55B6">
        <w:t xml:space="preserve"> RPBS=repatriation pharmaceutical benefits </w:t>
      </w:r>
      <w:r w:rsidR="00D55801" w:rsidRPr="003B55B6">
        <w:t>scheme</w:t>
      </w:r>
      <w:r w:rsidR="00D55801">
        <w:t>.</w:t>
      </w:r>
      <w:r w:rsidR="00D55801">
        <w:rPr>
          <w:vertAlign w:val="superscript"/>
        </w:rPr>
        <w:t xml:space="preserve"> </w:t>
      </w:r>
    </w:p>
    <w:p w14:paraId="62C5C99C" w14:textId="0C0B77F6" w:rsidR="00C010DB" w:rsidRDefault="00D55801" w:rsidP="00C010DB">
      <w:pPr>
        <w:pStyle w:val="FooterTableFigure"/>
      </w:pPr>
      <w:r>
        <w:rPr>
          <w:vertAlign w:val="superscript"/>
        </w:rPr>
        <w:t xml:space="preserve">a </w:t>
      </w:r>
      <w:bookmarkStart w:id="58" w:name="_Hlk124174152"/>
      <w:r w:rsidRPr="003B55B6">
        <w:t>Australian</w:t>
      </w:r>
      <w:r w:rsidR="003B55B6" w:rsidRPr="003B55B6">
        <w:t xml:space="preserve"> Institute of Health Welfare. Cancer data in Australia. Canberra: AIHW</w:t>
      </w:r>
      <w:r w:rsidR="003B55B6">
        <w:t xml:space="preserve"> </w:t>
      </w:r>
      <w:r w:rsidR="003B55B6" w:rsidRPr="003B55B6">
        <w:t>2022</w:t>
      </w:r>
      <w:bookmarkEnd w:id="58"/>
    </w:p>
    <w:p w14:paraId="71C8A552" w14:textId="77777777" w:rsidR="00FB7F39" w:rsidRPr="009A6D58" w:rsidRDefault="00FB7F39" w:rsidP="00FB7F39">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47B292AC" w14:textId="3BAA3CCE" w:rsidR="00FB7F39" w:rsidRPr="009A6D58" w:rsidRDefault="00FB7F39" w:rsidP="00FB7F39">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FB7F39">
        <w:rPr>
          <w:rFonts w:ascii="Arial Narrow" w:hAnsi="Arial Narrow"/>
          <w:i/>
          <w:sz w:val="18"/>
          <w:szCs w:val="18"/>
        </w:rPr>
        <w:t>500 to &lt; 5,000</w:t>
      </w:r>
    </w:p>
    <w:p w14:paraId="2F05D642" w14:textId="77777777" w:rsidR="00FB7F39" w:rsidRDefault="00FB7F39" w:rsidP="00C010DB">
      <w:pPr>
        <w:pStyle w:val="FooterTableFigure"/>
      </w:pPr>
    </w:p>
    <w:p w14:paraId="58D44607" w14:textId="6C0043F9" w:rsidR="00C010DB" w:rsidRDefault="00C010DB" w:rsidP="00C010DB">
      <w:pPr>
        <w:pStyle w:val="3-BodyText"/>
      </w:pPr>
      <w:bookmarkStart w:id="59" w:name="_Ref104805295"/>
      <w:r w:rsidRPr="008F625F">
        <w:t xml:space="preserve">The submission used a market share approach that assumed NEPA IV </w:t>
      </w:r>
      <w:r>
        <w:t>would</w:t>
      </w:r>
      <w:r w:rsidRPr="008F625F">
        <w:t xml:space="preserve"> only be used in the market that currently uses </w:t>
      </w:r>
      <w:r>
        <w:t>Emend IV</w:t>
      </w:r>
      <w:r w:rsidRPr="008F625F">
        <w:t xml:space="preserve"> for the prevention of CINV. </w:t>
      </w:r>
      <w:r w:rsidR="00AA70EE" w:rsidRPr="00680A2D">
        <w:rPr>
          <w:iCs/>
        </w:rPr>
        <w:t>However,</w:t>
      </w:r>
      <w:r w:rsidR="0030193D" w:rsidRPr="00680A2D">
        <w:rPr>
          <w:iCs/>
        </w:rPr>
        <w:t xml:space="preserve"> as </w:t>
      </w:r>
      <w:r w:rsidRPr="00680A2D">
        <w:rPr>
          <w:iCs/>
        </w:rPr>
        <w:t>NEPA IV may also replace NEPA and other combinations of NK1 + 5-HT3 RAs</w:t>
      </w:r>
      <w:r w:rsidR="00BF089B" w:rsidRPr="00680A2D">
        <w:rPr>
          <w:iCs/>
        </w:rPr>
        <w:t>,</w:t>
      </w:r>
      <w:r w:rsidRPr="00680A2D">
        <w:rPr>
          <w:iCs/>
        </w:rPr>
        <w:t xml:space="preserve"> </w:t>
      </w:r>
      <w:r w:rsidR="0030193D" w:rsidRPr="00680A2D">
        <w:rPr>
          <w:iCs/>
        </w:rPr>
        <w:t>the</w:t>
      </w:r>
      <w:r w:rsidRPr="00680A2D">
        <w:rPr>
          <w:iCs/>
        </w:rPr>
        <w:t xml:space="preserve"> approach used may not adequately capture the extent of use and financial impact of listing NEPA IV on the PBS. </w:t>
      </w:r>
    </w:p>
    <w:p w14:paraId="628F6B02" w14:textId="0D6D9ADD" w:rsidR="00C010DB" w:rsidRPr="00680A2D" w:rsidRDefault="00C010DB" w:rsidP="00C010DB">
      <w:pPr>
        <w:pStyle w:val="3-BodyText"/>
      </w:pPr>
      <w:r w:rsidRPr="00680A2D">
        <w:t xml:space="preserve">The submission assumed the size of the market for IV therapies for the prevention of CINV would grow based on the average annual growth in use of </w:t>
      </w:r>
      <w:r w:rsidR="002D4EC2" w:rsidRPr="00680A2D">
        <w:t>Emend</w:t>
      </w:r>
      <w:r w:rsidRPr="00680A2D">
        <w:t xml:space="preserve"> IV 2019-2021 (</w:t>
      </w:r>
      <w:r w:rsidR="00D25BE4" w:rsidRPr="00775281">
        <w:rPr>
          <w:color w:val="000000"/>
          <w:w w:val="15"/>
          <w:shd w:val="solid" w:color="000000" w:fill="000000"/>
          <w:fitText w:val="-20" w:id="-1233420274"/>
          <w14:textFill>
            <w14:solidFill>
              <w14:srgbClr w14:val="000000">
                <w14:alpha w14:val="100000"/>
              </w14:srgbClr>
            </w14:solidFill>
          </w14:textFill>
        </w:rPr>
        <w:t xml:space="preserve">|  </w:t>
      </w:r>
      <w:r w:rsidR="00D25BE4" w:rsidRPr="00775281">
        <w:rPr>
          <w:color w:val="000000"/>
          <w:spacing w:val="-69"/>
          <w:w w:val="15"/>
          <w:shd w:val="solid" w:color="000000" w:fill="000000"/>
          <w:fitText w:val="-20" w:id="-1233420274"/>
          <w14:textFill>
            <w14:solidFill>
              <w14:srgbClr w14:val="000000">
                <w14:alpha w14:val="100000"/>
              </w14:srgbClr>
            </w14:solidFill>
          </w14:textFill>
        </w:rPr>
        <w:t>|</w:t>
      </w:r>
      <w:r w:rsidRPr="00680A2D">
        <w:t xml:space="preserve">%). </w:t>
      </w:r>
      <w:r w:rsidRPr="00680A2D">
        <w:rPr>
          <w:color w:val="000000" w:themeColor="text1"/>
        </w:rPr>
        <w:t>This may not be reasonable as cancer incidence over the last 5 years has grown at an average annual rate of 3.0%</w:t>
      </w:r>
      <w:r w:rsidR="002D4EC2" w:rsidRPr="00680A2D">
        <w:rPr>
          <w:color w:val="000000" w:themeColor="text1"/>
        </w:rPr>
        <w:t xml:space="preserve"> </w:t>
      </w:r>
      <w:r w:rsidR="002D4EC2" w:rsidRPr="00680A2D">
        <w:rPr>
          <w:rStyle w:val="FootnoteReference"/>
          <w:color w:val="000000" w:themeColor="text1"/>
        </w:rPr>
        <w:footnoteReference w:id="13"/>
      </w:r>
      <w:r w:rsidRPr="00680A2D">
        <w:rPr>
          <w:color w:val="000000" w:themeColor="text1"/>
        </w:rPr>
        <w:t>, which was comparable to the increase in use of PBS-listed emetogenic chemotherapy services in the last 5 years (average annual growth rate of 3.4%).</w:t>
      </w:r>
    </w:p>
    <w:p w14:paraId="33091E38" w14:textId="424CDC21" w:rsidR="00C010DB" w:rsidRPr="00680A2D" w:rsidRDefault="00C010DB" w:rsidP="00C010DB">
      <w:pPr>
        <w:pStyle w:val="3-BodyText"/>
      </w:pPr>
      <w:r w:rsidRPr="00680A2D">
        <w:t xml:space="preserve">The submission </w:t>
      </w:r>
      <w:r w:rsidR="000F5CF1" w:rsidRPr="00680A2D">
        <w:t>assumed</w:t>
      </w:r>
      <w:r w:rsidRPr="00680A2D">
        <w:t xml:space="preserve"> the market share of NEPA IV would grow from </w:t>
      </w:r>
      <w:r w:rsidR="00D25BE4" w:rsidRPr="00D25BE4">
        <w:rPr>
          <w:color w:val="000000"/>
          <w:w w:val="61"/>
          <w:shd w:val="solid" w:color="000000" w:fill="000000"/>
          <w:fitText w:val="475" w:id="-1233420273"/>
          <w14:textFill>
            <w14:solidFill>
              <w14:srgbClr w14:val="000000">
                <w14:alpha w14:val="100000"/>
              </w14:srgbClr>
            </w14:solidFill>
          </w14:textFill>
        </w:rPr>
        <w:t>|||  ||</w:t>
      </w:r>
      <w:r w:rsidR="00D25BE4" w:rsidRPr="00D25BE4">
        <w:rPr>
          <w:color w:val="000000"/>
          <w:spacing w:val="5"/>
          <w:w w:val="61"/>
          <w:shd w:val="solid" w:color="000000" w:fill="000000"/>
          <w:fitText w:val="475" w:id="-1233420273"/>
          <w14:textFill>
            <w14:solidFill>
              <w14:srgbClr w14:val="000000">
                <w14:alpha w14:val="100000"/>
              </w14:srgbClr>
            </w14:solidFill>
          </w14:textFill>
        </w:rPr>
        <w:t>|</w:t>
      </w:r>
      <w:r w:rsidRPr="00680A2D">
        <w:t xml:space="preserve">% in Year 1 up to </w:t>
      </w:r>
      <w:r w:rsidR="00D25BE4" w:rsidRPr="00775281">
        <w:rPr>
          <w:color w:val="000000"/>
          <w:w w:val="15"/>
          <w:shd w:val="solid" w:color="000000" w:fill="000000"/>
          <w:fitText w:val="-20" w:id="-1233420272"/>
          <w14:textFill>
            <w14:solidFill>
              <w14:srgbClr w14:val="000000">
                <w14:alpha w14:val="100000"/>
              </w14:srgbClr>
            </w14:solidFill>
          </w14:textFill>
        </w:rPr>
        <w:t xml:space="preserve">|  </w:t>
      </w:r>
      <w:r w:rsidR="00D25BE4" w:rsidRPr="00775281">
        <w:rPr>
          <w:color w:val="000000"/>
          <w:spacing w:val="-69"/>
          <w:w w:val="15"/>
          <w:shd w:val="solid" w:color="000000" w:fill="000000"/>
          <w:fitText w:val="-20" w:id="-1233420272"/>
          <w14:textFill>
            <w14:solidFill>
              <w14:srgbClr w14:val="000000">
                <w14:alpha w14:val="100000"/>
              </w14:srgbClr>
            </w14:solidFill>
          </w14:textFill>
        </w:rPr>
        <w:t>|</w:t>
      </w:r>
      <w:r w:rsidRPr="00680A2D">
        <w:t xml:space="preserve">% by Year 6. There is some uncertainty around the lower and upper estimates of the uptakes rates utilised in the submission. The uptake rates may be an underestimate owing to </w:t>
      </w:r>
      <w:r w:rsidR="00D6358C" w:rsidRPr="00680A2D">
        <w:t>the convenience of administering a NK1 RA and 5-HT3 RA (the components of NEPA IV) as a single injection</w:t>
      </w:r>
      <w:r w:rsidRPr="00680A2D">
        <w:t xml:space="preserve"> as well as clinicians’ familiarity with the oral form of </w:t>
      </w:r>
      <w:r w:rsidR="00D57EE9" w:rsidRPr="00680A2D">
        <w:t>NEPA</w:t>
      </w:r>
      <w:bookmarkEnd w:id="59"/>
      <w:r w:rsidR="00D57EE9" w:rsidRPr="00680A2D">
        <w:t xml:space="preserve">. </w:t>
      </w:r>
    </w:p>
    <w:p w14:paraId="7FD912CC" w14:textId="4088F598" w:rsidR="00C010DB" w:rsidRPr="00680A2D" w:rsidRDefault="00C010DB" w:rsidP="00C010DB">
      <w:pPr>
        <w:pStyle w:val="3-BodyText"/>
      </w:pPr>
      <w:r w:rsidRPr="00680A2D">
        <w:t xml:space="preserve">The submission estimated a net cost of </w:t>
      </w:r>
      <w:r w:rsidR="00266FB7" w:rsidRPr="00266FB7">
        <w:t>$0</w:t>
      </w:r>
      <w:r w:rsidR="00E80F92">
        <w:t> </w:t>
      </w:r>
      <w:r w:rsidR="00266FB7" w:rsidRPr="00266FB7">
        <w:t>to</w:t>
      </w:r>
      <w:r w:rsidR="00E80F92">
        <w:t> </w:t>
      </w:r>
      <w:r w:rsidR="00266FB7" w:rsidRPr="00266FB7">
        <w:t>&lt;</w:t>
      </w:r>
      <w:r w:rsidR="00E80F92">
        <w:t> </w:t>
      </w:r>
      <w:r w:rsidR="00266FB7" w:rsidRPr="00266FB7">
        <w:t>$10 million</w:t>
      </w:r>
      <w:r w:rsidRPr="00680A2D">
        <w:t xml:space="preserve"> to the PBS/RPBS in Year 6.  Additional costs to the PBS/RPBS are a result of a reduction in patient co-payments – where one is applied per script or original script for NEPA IV compared to two co-payments per script or original script for </w:t>
      </w:r>
      <w:r w:rsidR="00D57EE9" w:rsidRPr="00680A2D">
        <w:t xml:space="preserve">Emend </w:t>
      </w:r>
      <w:r w:rsidRPr="00680A2D">
        <w:t xml:space="preserve">IV + PALO IV. It is also important to note that if NEPA IV were to replace other </w:t>
      </w:r>
      <w:r w:rsidR="000F5CF1" w:rsidRPr="00680A2D">
        <w:t>combinations</w:t>
      </w:r>
      <w:r w:rsidRPr="00680A2D">
        <w:t xml:space="preserve"> of NK1 + 5</w:t>
      </w:r>
      <w:r w:rsidR="00D57EE9" w:rsidRPr="00680A2D">
        <w:t>-</w:t>
      </w:r>
      <w:r w:rsidRPr="00680A2D">
        <w:t xml:space="preserve">HT3 RAs, and in those who would otherwise have received in 5-HT3 RAs alone, there may be a further increase in the net cost to the PBS/RPBS. </w:t>
      </w:r>
    </w:p>
    <w:p w14:paraId="45B30EC0" w14:textId="77777777" w:rsidR="00C010DB" w:rsidRDefault="00C010DB" w:rsidP="00C010DB">
      <w:pPr>
        <w:pStyle w:val="3-BodyText"/>
      </w:pPr>
      <w:r>
        <w:t xml:space="preserve">A summary of the net financial implications for PBS/RPBS is provided in the table below. </w:t>
      </w:r>
    </w:p>
    <w:p w14:paraId="0149B24C" w14:textId="49D82A3F" w:rsidR="00C010DB" w:rsidRPr="0023413C" w:rsidRDefault="00C010DB" w:rsidP="00C010DB">
      <w:pPr>
        <w:pStyle w:val="Caption"/>
        <w:rPr>
          <w:rStyle w:val="CommentReference"/>
          <w:b/>
          <w:szCs w:val="24"/>
        </w:rPr>
      </w:pPr>
      <w:r>
        <w:t xml:space="preserve">Table </w:t>
      </w:r>
      <w:fldSimple w:instr=" SEQ Table \* ARABIC ">
        <w:r w:rsidR="00775281">
          <w:rPr>
            <w:noProof/>
          </w:rPr>
          <w:t>15</w:t>
        </w:r>
      </w:fldSimple>
      <w:r>
        <w:t xml:space="preserve">: </w:t>
      </w:r>
      <w:r w:rsidRPr="004C0BBB">
        <w:t>Estimated reduction in the net cost to the PBS/RPBS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675"/>
        <w:gridCol w:w="1057"/>
        <w:gridCol w:w="1057"/>
        <w:gridCol w:w="1057"/>
        <w:gridCol w:w="1057"/>
        <w:gridCol w:w="1057"/>
        <w:gridCol w:w="1057"/>
      </w:tblGrid>
      <w:tr w:rsidR="00C010DB" w:rsidRPr="00D424C7" w14:paraId="22E424D4" w14:textId="77777777" w:rsidTr="004A7958">
        <w:trPr>
          <w:cantSplit/>
          <w:tblHeader/>
        </w:trPr>
        <w:tc>
          <w:tcPr>
            <w:tcW w:w="1483" w:type="pct"/>
            <w:shd w:val="clear" w:color="auto" w:fill="auto"/>
            <w:vAlign w:val="center"/>
          </w:tcPr>
          <w:p w14:paraId="0349B939" w14:textId="77777777" w:rsidR="00C010DB" w:rsidRPr="00D424C7" w:rsidRDefault="00C010DB" w:rsidP="004A7958">
            <w:pPr>
              <w:pStyle w:val="In-tableHeading"/>
            </w:pPr>
          </w:p>
        </w:tc>
        <w:tc>
          <w:tcPr>
            <w:tcW w:w="586" w:type="pct"/>
            <w:shd w:val="clear" w:color="auto" w:fill="auto"/>
            <w:vAlign w:val="center"/>
          </w:tcPr>
          <w:p w14:paraId="3E53683F" w14:textId="77777777" w:rsidR="00C010DB" w:rsidRPr="00D424C7" w:rsidRDefault="00C010DB" w:rsidP="004A7958">
            <w:pPr>
              <w:pStyle w:val="In-tableHeading"/>
              <w:jc w:val="center"/>
            </w:pPr>
            <w:r w:rsidRPr="00D424C7">
              <w:t>Year 1</w:t>
            </w:r>
          </w:p>
        </w:tc>
        <w:tc>
          <w:tcPr>
            <w:tcW w:w="586" w:type="pct"/>
            <w:shd w:val="clear" w:color="auto" w:fill="auto"/>
            <w:vAlign w:val="center"/>
          </w:tcPr>
          <w:p w14:paraId="20D30221" w14:textId="77777777" w:rsidR="00C010DB" w:rsidRPr="00D424C7" w:rsidRDefault="00C010DB" w:rsidP="004A7958">
            <w:pPr>
              <w:pStyle w:val="In-tableHeading"/>
              <w:jc w:val="center"/>
            </w:pPr>
            <w:r w:rsidRPr="00D424C7">
              <w:t>Year 2</w:t>
            </w:r>
          </w:p>
        </w:tc>
        <w:tc>
          <w:tcPr>
            <w:tcW w:w="586" w:type="pct"/>
            <w:shd w:val="clear" w:color="auto" w:fill="auto"/>
            <w:vAlign w:val="center"/>
          </w:tcPr>
          <w:p w14:paraId="5A0570EC" w14:textId="77777777" w:rsidR="00C010DB" w:rsidRPr="00D424C7" w:rsidRDefault="00C010DB" w:rsidP="004A7958">
            <w:pPr>
              <w:pStyle w:val="In-tableHeading"/>
              <w:jc w:val="center"/>
            </w:pPr>
            <w:r w:rsidRPr="00D424C7">
              <w:t>Year 3</w:t>
            </w:r>
          </w:p>
        </w:tc>
        <w:tc>
          <w:tcPr>
            <w:tcW w:w="586" w:type="pct"/>
            <w:shd w:val="clear" w:color="auto" w:fill="auto"/>
            <w:vAlign w:val="center"/>
          </w:tcPr>
          <w:p w14:paraId="1DC9EBC6" w14:textId="77777777" w:rsidR="00C010DB" w:rsidRPr="00D424C7" w:rsidRDefault="00C010DB" w:rsidP="004A7958">
            <w:pPr>
              <w:pStyle w:val="In-tableHeading"/>
              <w:jc w:val="center"/>
            </w:pPr>
            <w:r w:rsidRPr="00D424C7">
              <w:t>Year 4</w:t>
            </w:r>
          </w:p>
        </w:tc>
        <w:tc>
          <w:tcPr>
            <w:tcW w:w="586" w:type="pct"/>
            <w:shd w:val="clear" w:color="auto" w:fill="auto"/>
            <w:vAlign w:val="center"/>
          </w:tcPr>
          <w:p w14:paraId="6666BCD4" w14:textId="77777777" w:rsidR="00C010DB" w:rsidRPr="00D424C7" w:rsidRDefault="00C010DB" w:rsidP="004A7958">
            <w:pPr>
              <w:pStyle w:val="In-tableHeading"/>
              <w:jc w:val="center"/>
            </w:pPr>
            <w:r w:rsidRPr="00D424C7">
              <w:t>Year 5</w:t>
            </w:r>
          </w:p>
        </w:tc>
        <w:tc>
          <w:tcPr>
            <w:tcW w:w="586" w:type="pct"/>
            <w:shd w:val="clear" w:color="auto" w:fill="auto"/>
            <w:vAlign w:val="center"/>
          </w:tcPr>
          <w:p w14:paraId="0E67102C" w14:textId="77777777" w:rsidR="00C010DB" w:rsidRPr="00D424C7" w:rsidRDefault="00C010DB" w:rsidP="004A7958">
            <w:pPr>
              <w:pStyle w:val="In-tableHeading"/>
              <w:jc w:val="center"/>
            </w:pPr>
            <w:r w:rsidRPr="00D424C7">
              <w:t>Year 6</w:t>
            </w:r>
          </w:p>
        </w:tc>
      </w:tr>
      <w:tr w:rsidR="00C010DB" w:rsidRPr="003F255E" w14:paraId="7A2317A2" w14:textId="77777777" w:rsidTr="004A7958">
        <w:trPr>
          <w:cantSplit/>
        </w:trPr>
        <w:tc>
          <w:tcPr>
            <w:tcW w:w="1483" w:type="pct"/>
            <w:shd w:val="clear" w:color="auto" w:fill="auto"/>
            <w:vAlign w:val="center"/>
          </w:tcPr>
          <w:p w14:paraId="25659F60" w14:textId="77777777" w:rsidR="00C010DB" w:rsidRDefault="00C010DB" w:rsidP="004A7958">
            <w:pPr>
              <w:pStyle w:val="TableText0"/>
            </w:pPr>
            <w:r>
              <w:t>Size of market</w:t>
            </w:r>
          </w:p>
        </w:tc>
        <w:tc>
          <w:tcPr>
            <w:tcW w:w="586" w:type="pct"/>
            <w:shd w:val="clear" w:color="auto" w:fill="auto"/>
            <w:vAlign w:val="center"/>
          </w:tcPr>
          <w:p w14:paraId="469FEEDB" w14:textId="4CDF702C" w:rsidR="00C010DB" w:rsidRPr="00304BA5" w:rsidRDefault="00D25BE4" w:rsidP="004A7958">
            <w:pPr>
              <w:pStyle w:val="TableText0"/>
              <w:jc w:val="center"/>
              <w:rPr>
                <w:rFonts w:cs="Arial"/>
                <w:color w:val="000000"/>
                <w:highlight w:val="darkGray"/>
              </w:rPr>
            </w:pPr>
            <w:r w:rsidRPr="00D25BE4">
              <w:rPr>
                <w:rFonts w:cs="Arial" w:hint="eastAsia"/>
                <w:color w:val="000000"/>
                <w:w w:val="16"/>
                <w:shd w:val="solid" w:color="000000" w:fill="000000"/>
                <w:fitText w:val="75" w:id="-1233420288"/>
                <w14:textFill>
                  <w14:solidFill>
                    <w14:srgbClr w14:val="000000">
                      <w14:alpha w14:val="100000"/>
                    </w14:srgbClr>
                  </w14:solidFill>
                </w14:textFill>
              </w:rPr>
              <w:t xml:space="preserve">　</w:t>
            </w:r>
            <w:r w:rsidRPr="00D25BE4">
              <w:rPr>
                <w:rFonts w:cs="Arial"/>
                <w:color w:val="000000"/>
                <w:w w:val="16"/>
                <w:shd w:val="solid" w:color="000000" w:fill="000000"/>
                <w:fitText w:val="75" w:id="-1233420288"/>
                <w14:textFill>
                  <w14:solidFill>
                    <w14:srgbClr w14:val="000000">
                      <w14:alpha w14:val="100000"/>
                    </w14:srgbClr>
                  </w14:solidFill>
                </w14:textFill>
              </w:rPr>
              <w:t>|</w:t>
            </w:r>
            <w:r w:rsidRPr="00D25BE4">
              <w:rPr>
                <w:rFonts w:cs="Arial" w:hint="eastAsia"/>
                <w:color w:val="000000"/>
                <w:spacing w:val="5"/>
                <w:w w:val="16"/>
                <w:shd w:val="solid" w:color="000000" w:fill="000000"/>
                <w:fitText w:val="75" w:id="-1233420288"/>
                <w14:textFill>
                  <w14:solidFill>
                    <w14:srgbClr w14:val="000000">
                      <w14:alpha w14:val="100000"/>
                    </w14:srgbClr>
                  </w14:solidFill>
                </w14:textFill>
              </w:rPr>
              <w:t xml:space="preserve">　</w:t>
            </w:r>
            <w:r w:rsidR="00E06D6F" w:rsidRPr="00E06D6F">
              <w:rPr>
                <w:rFonts w:cs="Arial"/>
                <w:color w:val="000000"/>
                <w:vertAlign w:val="superscript"/>
              </w:rPr>
              <w:t>1</w:t>
            </w:r>
          </w:p>
        </w:tc>
        <w:tc>
          <w:tcPr>
            <w:tcW w:w="586" w:type="pct"/>
            <w:shd w:val="clear" w:color="auto" w:fill="auto"/>
          </w:tcPr>
          <w:p w14:paraId="009B1E41" w14:textId="66B96FEE" w:rsidR="00C010DB" w:rsidRPr="00304BA5" w:rsidRDefault="00D25BE4" w:rsidP="004A7958">
            <w:pPr>
              <w:pStyle w:val="TableText0"/>
              <w:jc w:val="center"/>
              <w:rPr>
                <w:rFonts w:cs="Arial"/>
                <w:highlight w:val="darkGray"/>
              </w:rPr>
            </w:pPr>
            <w:r w:rsidRPr="00D25BE4">
              <w:rPr>
                <w:rFonts w:hint="eastAsia"/>
                <w:color w:val="000000"/>
                <w:w w:val="16"/>
                <w:shd w:val="solid" w:color="000000" w:fill="000000"/>
                <w:fitText w:val="75" w:id="-1233420287"/>
                <w14:textFill>
                  <w14:solidFill>
                    <w14:srgbClr w14:val="000000">
                      <w14:alpha w14:val="100000"/>
                    </w14:srgbClr>
                  </w14:solidFill>
                </w14:textFill>
              </w:rPr>
              <w:t xml:space="preserve">　</w:t>
            </w:r>
            <w:r w:rsidRPr="00D25BE4">
              <w:rPr>
                <w:color w:val="000000"/>
                <w:w w:val="16"/>
                <w:shd w:val="solid" w:color="000000" w:fill="000000"/>
                <w:fitText w:val="75" w:id="-1233420287"/>
                <w14:textFill>
                  <w14:solidFill>
                    <w14:srgbClr w14:val="000000">
                      <w14:alpha w14:val="100000"/>
                    </w14:srgbClr>
                  </w14:solidFill>
                </w14:textFill>
              </w:rPr>
              <w:t>|</w:t>
            </w:r>
            <w:r w:rsidRPr="00D25BE4">
              <w:rPr>
                <w:rFonts w:hint="eastAsia"/>
                <w:color w:val="000000"/>
                <w:spacing w:val="5"/>
                <w:w w:val="16"/>
                <w:shd w:val="solid" w:color="000000" w:fill="000000"/>
                <w:fitText w:val="75" w:id="-1233420287"/>
                <w14:textFill>
                  <w14:solidFill>
                    <w14:srgbClr w14:val="000000">
                      <w14:alpha w14:val="100000"/>
                    </w14:srgbClr>
                  </w14:solidFill>
                </w14:textFill>
              </w:rPr>
              <w:t xml:space="preserve">　</w:t>
            </w:r>
            <w:r w:rsidR="00C70109">
              <w:rPr>
                <w:rFonts w:cs="Arial"/>
                <w:color w:val="000000"/>
                <w:vertAlign w:val="superscript"/>
              </w:rPr>
              <w:t>5</w:t>
            </w:r>
          </w:p>
        </w:tc>
        <w:tc>
          <w:tcPr>
            <w:tcW w:w="586" w:type="pct"/>
            <w:shd w:val="clear" w:color="auto" w:fill="auto"/>
          </w:tcPr>
          <w:p w14:paraId="59E45D28" w14:textId="33FC5369" w:rsidR="00C010DB" w:rsidRPr="00304BA5" w:rsidRDefault="00D25BE4" w:rsidP="004A7958">
            <w:pPr>
              <w:pStyle w:val="TableText0"/>
              <w:jc w:val="center"/>
              <w:rPr>
                <w:rFonts w:cs="Arial"/>
                <w:highlight w:val="darkGray"/>
              </w:rPr>
            </w:pPr>
            <w:r w:rsidRPr="00D25BE4">
              <w:rPr>
                <w:rFonts w:hint="eastAsia"/>
                <w:color w:val="000000"/>
                <w:w w:val="16"/>
                <w:shd w:val="solid" w:color="000000" w:fill="000000"/>
                <w:fitText w:val="75" w:id="-1233420286"/>
                <w14:textFill>
                  <w14:solidFill>
                    <w14:srgbClr w14:val="000000">
                      <w14:alpha w14:val="100000"/>
                    </w14:srgbClr>
                  </w14:solidFill>
                </w14:textFill>
              </w:rPr>
              <w:t xml:space="preserve">　</w:t>
            </w:r>
            <w:r w:rsidRPr="00D25BE4">
              <w:rPr>
                <w:color w:val="000000"/>
                <w:w w:val="16"/>
                <w:shd w:val="solid" w:color="000000" w:fill="000000"/>
                <w:fitText w:val="75" w:id="-1233420286"/>
                <w14:textFill>
                  <w14:solidFill>
                    <w14:srgbClr w14:val="000000">
                      <w14:alpha w14:val="100000"/>
                    </w14:srgbClr>
                  </w14:solidFill>
                </w14:textFill>
              </w:rPr>
              <w:t>|</w:t>
            </w:r>
            <w:r w:rsidRPr="00D25BE4">
              <w:rPr>
                <w:rFonts w:hint="eastAsia"/>
                <w:color w:val="000000"/>
                <w:spacing w:val="5"/>
                <w:w w:val="16"/>
                <w:shd w:val="solid" w:color="000000" w:fill="000000"/>
                <w:fitText w:val="75" w:id="-1233420286"/>
                <w14:textFill>
                  <w14:solidFill>
                    <w14:srgbClr w14:val="000000">
                      <w14:alpha w14:val="100000"/>
                    </w14:srgbClr>
                  </w14:solidFill>
                </w14:textFill>
              </w:rPr>
              <w:t xml:space="preserve">　</w:t>
            </w:r>
            <w:r w:rsidR="00C70109">
              <w:rPr>
                <w:rFonts w:cs="Arial"/>
                <w:color w:val="000000"/>
                <w:vertAlign w:val="superscript"/>
              </w:rPr>
              <w:t>5</w:t>
            </w:r>
          </w:p>
        </w:tc>
        <w:tc>
          <w:tcPr>
            <w:tcW w:w="586" w:type="pct"/>
            <w:shd w:val="clear" w:color="auto" w:fill="auto"/>
          </w:tcPr>
          <w:p w14:paraId="28D6B48E" w14:textId="3EBDDE10" w:rsidR="00C010DB" w:rsidRPr="00304BA5" w:rsidRDefault="00D25BE4" w:rsidP="004A7958">
            <w:pPr>
              <w:pStyle w:val="TableText0"/>
              <w:jc w:val="center"/>
              <w:rPr>
                <w:rFonts w:cs="Arial"/>
                <w:highlight w:val="darkGray"/>
              </w:rPr>
            </w:pPr>
            <w:r w:rsidRPr="00D25BE4">
              <w:rPr>
                <w:rFonts w:hint="eastAsia"/>
                <w:color w:val="000000"/>
                <w:w w:val="16"/>
                <w:shd w:val="solid" w:color="000000" w:fill="000000"/>
                <w:fitText w:val="75" w:id="-1233420285"/>
                <w14:textFill>
                  <w14:solidFill>
                    <w14:srgbClr w14:val="000000">
                      <w14:alpha w14:val="100000"/>
                    </w14:srgbClr>
                  </w14:solidFill>
                </w14:textFill>
              </w:rPr>
              <w:t xml:space="preserve">　</w:t>
            </w:r>
            <w:r w:rsidRPr="00D25BE4">
              <w:rPr>
                <w:color w:val="000000"/>
                <w:w w:val="16"/>
                <w:shd w:val="solid" w:color="000000" w:fill="000000"/>
                <w:fitText w:val="75" w:id="-1233420285"/>
                <w14:textFill>
                  <w14:solidFill>
                    <w14:srgbClr w14:val="000000">
                      <w14:alpha w14:val="100000"/>
                    </w14:srgbClr>
                  </w14:solidFill>
                </w14:textFill>
              </w:rPr>
              <w:t>|</w:t>
            </w:r>
            <w:r w:rsidRPr="00D25BE4">
              <w:rPr>
                <w:rFonts w:hint="eastAsia"/>
                <w:color w:val="000000"/>
                <w:spacing w:val="5"/>
                <w:w w:val="16"/>
                <w:shd w:val="solid" w:color="000000" w:fill="000000"/>
                <w:fitText w:val="75" w:id="-1233420285"/>
                <w14:textFill>
                  <w14:solidFill>
                    <w14:srgbClr w14:val="000000">
                      <w14:alpha w14:val="100000"/>
                    </w14:srgbClr>
                  </w14:solidFill>
                </w14:textFill>
              </w:rPr>
              <w:t xml:space="preserve">　</w:t>
            </w:r>
            <w:r w:rsidR="00C70109">
              <w:rPr>
                <w:rFonts w:cs="Arial"/>
                <w:color w:val="000000"/>
                <w:vertAlign w:val="superscript"/>
              </w:rPr>
              <w:t>5</w:t>
            </w:r>
          </w:p>
        </w:tc>
        <w:tc>
          <w:tcPr>
            <w:tcW w:w="586" w:type="pct"/>
            <w:shd w:val="clear" w:color="auto" w:fill="auto"/>
          </w:tcPr>
          <w:p w14:paraId="4FD9758A" w14:textId="09FA45C1" w:rsidR="00C010DB" w:rsidRPr="00304BA5" w:rsidRDefault="00D25BE4" w:rsidP="004A7958">
            <w:pPr>
              <w:pStyle w:val="TableText0"/>
              <w:jc w:val="center"/>
              <w:rPr>
                <w:rFonts w:cs="Arial"/>
                <w:highlight w:val="darkGray"/>
              </w:rPr>
            </w:pPr>
            <w:r w:rsidRPr="00D25BE4">
              <w:rPr>
                <w:rFonts w:hint="eastAsia"/>
                <w:color w:val="000000"/>
                <w:w w:val="16"/>
                <w:shd w:val="solid" w:color="000000" w:fill="000000"/>
                <w:fitText w:val="75" w:id="-1233420284"/>
                <w14:textFill>
                  <w14:solidFill>
                    <w14:srgbClr w14:val="000000">
                      <w14:alpha w14:val="100000"/>
                    </w14:srgbClr>
                  </w14:solidFill>
                </w14:textFill>
              </w:rPr>
              <w:t xml:space="preserve">　</w:t>
            </w:r>
            <w:r w:rsidRPr="00D25BE4">
              <w:rPr>
                <w:color w:val="000000"/>
                <w:w w:val="16"/>
                <w:shd w:val="solid" w:color="000000" w:fill="000000"/>
                <w:fitText w:val="75" w:id="-1233420284"/>
                <w14:textFill>
                  <w14:solidFill>
                    <w14:srgbClr w14:val="000000">
                      <w14:alpha w14:val="100000"/>
                    </w14:srgbClr>
                  </w14:solidFill>
                </w14:textFill>
              </w:rPr>
              <w:t>|</w:t>
            </w:r>
            <w:r w:rsidRPr="00D25BE4">
              <w:rPr>
                <w:rFonts w:hint="eastAsia"/>
                <w:color w:val="000000"/>
                <w:spacing w:val="5"/>
                <w:w w:val="16"/>
                <w:shd w:val="solid" w:color="000000" w:fill="000000"/>
                <w:fitText w:val="75" w:id="-1233420284"/>
                <w14:textFill>
                  <w14:solidFill>
                    <w14:srgbClr w14:val="000000">
                      <w14:alpha w14:val="100000"/>
                    </w14:srgbClr>
                  </w14:solidFill>
                </w14:textFill>
              </w:rPr>
              <w:t xml:space="preserve">　</w:t>
            </w:r>
            <w:r w:rsidR="00C70109">
              <w:rPr>
                <w:rFonts w:cs="Arial"/>
                <w:color w:val="000000"/>
                <w:vertAlign w:val="superscript"/>
              </w:rPr>
              <w:t>5</w:t>
            </w:r>
          </w:p>
        </w:tc>
        <w:tc>
          <w:tcPr>
            <w:tcW w:w="586" w:type="pct"/>
            <w:shd w:val="clear" w:color="auto" w:fill="auto"/>
          </w:tcPr>
          <w:p w14:paraId="647F13AF" w14:textId="3CE1967E" w:rsidR="00C010DB" w:rsidRPr="00304BA5" w:rsidRDefault="00D25BE4" w:rsidP="004A7958">
            <w:pPr>
              <w:pStyle w:val="TableText0"/>
              <w:jc w:val="center"/>
              <w:rPr>
                <w:rFonts w:cs="Arial"/>
                <w:highlight w:val="darkGray"/>
              </w:rPr>
            </w:pPr>
            <w:r w:rsidRPr="00D25BE4">
              <w:rPr>
                <w:rFonts w:hint="eastAsia"/>
                <w:color w:val="000000"/>
                <w:w w:val="16"/>
                <w:shd w:val="solid" w:color="000000" w:fill="000000"/>
                <w:fitText w:val="75" w:id="-1233420283"/>
                <w14:textFill>
                  <w14:solidFill>
                    <w14:srgbClr w14:val="000000">
                      <w14:alpha w14:val="100000"/>
                    </w14:srgbClr>
                  </w14:solidFill>
                </w14:textFill>
              </w:rPr>
              <w:t xml:space="preserve">　</w:t>
            </w:r>
            <w:r w:rsidRPr="00D25BE4">
              <w:rPr>
                <w:color w:val="000000"/>
                <w:w w:val="16"/>
                <w:shd w:val="solid" w:color="000000" w:fill="000000"/>
                <w:fitText w:val="75" w:id="-1233420283"/>
                <w14:textFill>
                  <w14:solidFill>
                    <w14:srgbClr w14:val="000000">
                      <w14:alpha w14:val="100000"/>
                    </w14:srgbClr>
                  </w14:solidFill>
                </w14:textFill>
              </w:rPr>
              <w:t>|</w:t>
            </w:r>
            <w:r w:rsidRPr="00D25BE4">
              <w:rPr>
                <w:rFonts w:hint="eastAsia"/>
                <w:color w:val="000000"/>
                <w:spacing w:val="5"/>
                <w:w w:val="16"/>
                <w:shd w:val="solid" w:color="000000" w:fill="000000"/>
                <w:fitText w:val="75" w:id="-1233420283"/>
                <w14:textFill>
                  <w14:solidFill>
                    <w14:srgbClr w14:val="000000">
                      <w14:alpha w14:val="100000"/>
                    </w14:srgbClr>
                  </w14:solidFill>
                </w14:textFill>
              </w:rPr>
              <w:t xml:space="preserve">　</w:t>
            </w:r>
            <w:r w:rsidR="00C70109">
              <w:rPr>
                <w:rFonts w:cs="Arial"/>
                <w:color w:val="000000"/>
                <w:vertAlign w:val="superscript"/>
              </w:rPr>
              <w:t>6</w:t>
            </w:r>
          </w:p>
        </w:tc>
      </w:tr>
      <w:tr w:rsidR="00C010DB" w:rsidRPr="003F255E" w14:paraId="42882F39" w14:textId="77777777" w:rsidTr="004A7958">
        <w:trPr>
          <w:cantSplit/>
        </w:trPr>
        <w:tc>
          <w:tcPr>
            <w:tcW w:w="1483" w:type="pct"/>
            <w:shd w:val="clear" w:color="auto" w:fill="auto"/>
            <w:vAlign w:val="center"/>
          </w:tcPr>
          <w:p w14:paraId="2F4E93BE" w14:textId="77777777" w:rsidR="00C010DB" w:rsidRDefault="00C010DB" w:rsidP="004A7958">
            <w:pPr>
              <w:pStyle w:val="TableText0"/>
            </w:pPr>
            <w:r>
              <w:t>Market share taken by NEPA IV</w:t>
            </w:r>
          </w:p>
        </w:tc>
        <w:tc>
          <w:tcPr>
            <w:tcW w:w="586" w:type="pct"/>
            <w:shd w:val="clear" w:color="auto" w:fill="auto"/>
            <w:vAlign w:val="center"/>
          </w:tcPr>
          <w:p w14:paraId="7486BD75" w14:textId="0F5C158D" w:rsidR="00C010DB" w:rsidRDefault="00D25BE4" w:rsidP="004A7958">
            <w:pPr>
              <w:pStyle w:val="TableText0"/>
              <w:jc w:val="center"/>
              <w:rPr>
                <w:rFonts w:cs="Arial"/>
                <w:color w:val="000000"/>
              </w:rPr>
            </w:pPr>
            <w:r w:rsidRPr="00D25BE4">
              <w:rPr>
                <w:rFonts w:cs="Arial" w:hint="eastAsia"/>
                <w:color w:val="000000"/>
                <w:w w:val="27"/>
                <w:shd w:val="solid" w:color="000000" w:fill="000000"/>
                <w:fitText w:val="120" w:id="-1233420282"/>
                <w14:textFill>
                  <w14:solidFill>
                    <w14:srgbClr w14:val="000000">
                      <w14:alpha w14:val="100000"/>
                    </w14:srgbClr>
                  </w14:solidFill>
                </w14:textFill>
              </w:rPr>
              <w:t xml:space="preserve">　</w:t>
            </w:r>
            <w:r w:rsidRPr="00D25BE4">
              <w:rPr>
                <w:rFonts w:cs="Arial"/>
                <w:color w:val="000000"/>
                <w:w w:val="27"/>
                <w:shd w:val="solid" w:color="000000" w:fill="000000"/>
                <w:fitText w:val="120" w:id="-1233420282"/>
                <w14:textFill>
                  <w14:solidFill>
                    <w14:srgbClr w14:val="000000">
                      <w14:alpha w14:val="100000"/>
                    </w14:srgbClr>
                  </w14:solidFill>
                </w14:textFill>
              </w:rPr>
              <w:t>|</w:t>
            </w:r>
            <w:r w:rsidRPr="00D25BE4">
              <w:rPr>
                <w:rFonts w:cs="Arial" w:hint="eastAsia"/>
                <w:color w:val="000000"/>
                <w:spacing w:val="2"/>
                <w:w w:val="27"/>
                <w:shd w:val="solid" w:color="000000" w:fill="000000"/>
                <w:fitText w:val="120" w:id="-1233420282"/>
                <w14:textFill>
                  <w14:solidFill>
                    <w14:srgbClr w14:val="000000">
                      <w14:alpha w14:val="100000"/>
                    </w14:srgbClr>
                  </w14:solidFill>
                </w14:textFill>
              </w:rPr>
              <w:t xml:space="preserve">　</w:t>
            </w:r>
            <w:r w:rsidR="00C010DB" w:rsidRPr="0017690D">
              <w:rPr>
                <w:rFonts w:cs="Arial"/>
                <w:color w:val="000000"/>
              </w:rPr>
              <w:t>%</w:t>
            </w:r>
          </w:p>
        </w:tc>
        <w:tc>
          <w:tcPr>
            <w:tcW w:w="586" w:type="pct"/>
            <w:shd w:val="clear" w:color="auto" w:fill="auto"/>
            <w:vAlign w:val="center"/>
          </w:tcPr>
          <w:p w14:paraId="701F1EBF" w14:textId="67BF2979" w:rsidR="00C010DB" w:rsidRDefault="00D25BE4" w:rsidP="004A7958">
            <w:pPr>
              <w:pStyle w:val="TableText0"/>
              <w:jc w:val="center"/>
              <w:rPr>
                <w:rFonts w:cs="Arial"/>
              </w:rPr>
            </w:pPr>
            <w:r w:rsidRPr="00D25BE4">
              <w:rPr>
                <w:rFonts w:cs="Arial" w:hint="eastAsia"/>
                <w:color w:val="000000"/>
                <w:w w:val="27"/>
                <w:shd w:val="solid" w:color="000000" w:fill="000000"/>
                <w:fitText w:val="120" w:id="-1233420281"/>
                <w14:textFill>
                  <w14:solidFill>
                    <w14:srgbClr w14:val="000000">
                      <w14:alpha w14:val="100000"/>
                    </w14:srgbClr>
                  </w14:solidFill>
                </w14:textFill>
              </w:rPr>
              <w:t xml:space="preserve">　</w:t>
            </w:r>
            <w:r w:rsidRPr="00D25BE4">
              <w:rPr>
                <w:rFonts w:cs="Arial"/>
                <w:color w:val="000000"/>
                <w:w w:val="27"/>
                <w:shd w:val="solid" w:color="000000" w:fill="000000"/>
                <w:fitText w:val="120" w:id="-1233420281"/>
                <w14:textFill>
                  <w14:solidFill>
                    <w14:srgbClr w14:val="000000">
                      <w14:alpha w14:val="100000"/>
                    </w14:srgbClr>
                  </w14:solidFill>
                </w14:textFill>
              </w:rPr>
              <w:t>|</w:t>
            </w:r>
            <w:r w:rsidRPr="00D25BE4">
              <w:rPr>
                <w:rFonts w:cs="Arial" w:hint="eastAsia"/>
                <w:color w:val="000000"/>
                <w:spacing w:val="2"/>
                <w:w w:val="27"/>
                <w:shd w:val="solid" w:color="000000" w:fill="000000"/>
                <w:fitText w:val="120" w:id="-1233420281"/>
                <w14:textFill>
                  <w14:solidFill>
                    <w14:srgbClr w14:val="000000">
                      <w14:alpha w14:val="100000"/>
                    </w14:srgbClr>
                  </w14:solidFill>
                </w14:textFill>
              </w:rPr>
              <w:t xml:space="preserve">　</w:t>
            </w:r>
            <w:r w:rsidR="00C010DB" w:rsidRPr="0017690D">
              <w:rPr>
                <w:rFonts w:cs="Arial"/>
                <w:color w:val="000000"/>
              </w:rPr>
              <w:t>%</w:t>
            </w:r>
          </w:p>
        </w:tc>
        <w:tc>
          <w:tcPr>
            <w:tcW w:w="586" w:type="pct"/>
            <w:shd w:val="clear" w:color="auto" w:fill="auto"/>
            <w:vAlign w:val="center"/>
          </w:tcPr>
          <w:p w14:paraId="74EB7F4B" w14:textId="3D698CF9" w:rsidR="00C010DB" w:rsidRDefault="00D25BE4" w:rsidP="004A7958">
            <w:pPr>
              <w:pStyle w:val="TableText0"/>
              <w:jc w:val="center"/>
              <w:rPr>
                <w:rFonts w:cs="Arial"/>
              </w:rPr>
            </w:pPr>
            <w:r w:rsidRPr="00D25BE4">
              <w:rPr>
                <w:rFonts w:cs="Arial" w:hint="eastAsia"/>
                <w:color w:val="000000"/>
                <w:w w:val="27"/>
                <w:shd w:val="solid" w:color="000000" w:fill="000000"/>
                <w:fitText w:val="120" w:id="-1233420280"/>
                <w14:textFill>
                  <w14:solidFill>
                    <w14:srgbClr w14:val="000000">
                      <w14:alpha w14:val="100000"/>
                    </w14:srgbClr>
                  </w14:solidFill>
                </w14:textFill>
              </w:rPr>
              <w:t xml:space="preserve">　</w:t>
            </w:r>
            <w:r w:rsidRPr="00D25BE4">
              <w:rPr>
                <w:rFonts w:cs="Arial"/>
                <w:color w:val="000000"/>
                <w:w w:val="27"/>
                <w:shd w:val="solid" w:color="000000" w:fill="000000"/>
                <w:fitText w:val="120" w:id="-1233420280"/>
                <w14:textFill>
                  <w14:solidFill>
                    <w14:srgbClr w14:val="000000">
                      <w14:alpha w14:val="100000"/>
                    </w14:srgbClr>
                  </w14:solidFill>
                </w14:textFill>
              </w:rPr>
              <w:t>|</w:t>
            </w:r>
            <w:r w:rsidRPr="00D25BE4">
              <w:rPr>
                <w:rFonts w:cs="Arial" w:hint="eastAsia"/>
                <w:color w:val="000000"/>
                <w:spacing w:val="2"/>
                <w:w w:val="27"/>
                <w:shd w:val="solid" w:color="000000" w:fill="000000"/>
                <w:fitText w:val="120" w:id="-1233420280"/>
                <w14:textFill>
                  <w14:solidFill>
                    <w14:srgbClr w14:val="000000">
                      <w14:alpha w14:val="100000"/>
                    </w14:srgbClr>
                  </w14:solidFill>
                </w14:textFill>
              </w:rPr>
              <w:t xml:space="preserve">　</w:t>
            </w:r>
            <w:r w:rsidR="00C010DB" w:rsidRPr="0017690D">
              <w:rPr>
                <w:rFonts w:cs="Arial"/>
                <w:color w:val="000000"/>
              </w:rPr>
              <w:t>%</w:t>
            </w:r>
          </w:p>
        </w:tc>
        <w:tc>
          <w:tcPr>
            <w:tcW w:w="586" w:type="pct"/>
            <w:shd w:val="clear" w:color="auto" w:fill="auto"/>
            <w:vAlign w:val="center"/>
          </w:tcPr>
          <w:p w14:paraId="097F4E78" w14:textId="2D7C66F1" w:rsidR="00C010DB" w:rsidRDefault="00D25BE4" w:rsidP="004A7958">
            <w:pPr>
              <w:pStyle w:val="TableText0"/>
              <w:jc w:val="center"/>
              <w:rPr>
                <w:rFonts w:cs="Arial"/>
              </w:rPr>
            </w:pPr>
            <w:r w:rsidRPr="00D25BE4">
              <w:rPr>
                <w:rFonts w:cs="Arial" w:hint="eastAsia"/>
                <w:color w:val="000000"/>
                <w:w w:val="27"/>
                <w:shd w:val="solid" w:color="000000" w:fill="000000"/>
                <w:fitText w:val="120" w:id="-1233420279"/>
                <w14:textFill>
                  <w14:solidFill>
                    <w14:srgbClr w14:val="000000">
                      <w14:alpha w14:val="100000"/>
                    </w14:srgbClr>
                  </w14:solidFill>
                </w14:textFill>
              </w:rPr>
              <w:t xml:space="preserve">　</w:t>
            </w:r>
            <w:r w:rsidRPr="00D25BE4">
              <w:rPr>
                <w:rFonts w:cs="Arial"/>
                <w:color w:val="000000"/>
                <w:w w:val="27"/>
                <w:shd w:val="solid" w:color="000000" w:fill="000000"/>
                <w:fitText w:val="120" w:id="-1233420279"/>
                <w14:textFill>
                  <w14:solidFill>
                    <w14:srgbClr w14:val="000000">
                      <w14:alpha w14:val="100000"/>
                    </w14:srgbClr>
                  </w14:solidFill>
                </w14:textFill>
              </w:rPr>
              <w:t>|</w:t>
            </w:r>
            <w:r w:rsidRPr="00D25BE4">
              <w:rPr>
                <w:rFonts w:cs="Arial" w:hint="eastAsia"/>
                <w:color w:val="000000"/>
                <w:spacing w:val="2"/>
                <w:w w:val="27"/>
                <w:shd w:val="solid" w:color="000000" w:fill="000000"/>
                <w:fitText w:val="120" w:id="-1233420279"/>
                <w14:textFill>
                  <w14:solidFill>
                    <w14:srgbClr w14:val="000000">
                      <w14:alpha w14:val="100000"/>
                    </w14:srgbClr>
                  </w14:solidFill>
                </w14:textFill>
              </w:rPr>
              <w:t xml:space="preserve">　</w:t>
            </w:r>
            <w:r w:rsidR="00C010DB" w:rsidRPr="0017690D">
              <w:rPr>
                <w:rFonts w:cs="Arial"/>
                <w:color w:val="000000"/>
              </w:rPr>
              <w:t>%</w:t>
            </w:r>
          </w:p>
        </w:tc>
        <w:tc>
          <w:tcPr>
            <w:tcW w:w="586" w:type="pct"/>
            <w:shd w:val="clear" w:color="auto" w:fill="auto"/>
            <w:vAlign w:val="center"/>
          </w:tcPr>
          <w:p w14:paraId="73F20C8F" w14:textId="7DA7F511" w:rsidR="00C010DB" w:rsidRDefault="00D25BE4" w:rsidP="004A7958">
            <w:pPr>
              <w:pStyle w:val="TableText0"/>
              <w:jc w:val="center"/>
              <w:rPr>
                <w:rFonts w:cs="Arial"/>
              </w:rPr>
            </w:pPr>
            <w:r w:rsidRPr="00D25BE4">
              <w:rPr>
                <w:rFonts w:cs="Arial" w:hint="eastAsia"/>
                <w:color w:val="000000"/>
                <w:w w:val="27"/>
                <w:shd w:val="solid" w:color="000000" w:fill="000000"/>
                <w:fitText w:val="120" w:id="-1233420278"/>
                <w14:textFill>
                  <w14:solidFill>
                    <w14:srgbClr w14:val="000000">
                      <w14:alpha w14:val="100000"/>
                    </w14:srgbClr>
                  </w14:solidFill>
                </w14:textFill>
              </w:rPr>
              <w:t xml:space="preserve">　</w:t>
            </w:r>
            <w:r w:rsidRPr="00D25BE4">
              <w:rPr>
                <w:rFonts w:cs="Arial"/>
                <w:color w:val="000000"/>
                <w:w w:val="27"/>
                <w:shd w:val="solid" w:color="000000" w:fill="000000"/>
                <w:fitText w:val="120" w:id="-1233420278"/>
                <w14:textFill>
                  <w14:solidFill>
                    <w14:srgbClr w14:val="000000">
                      <w14:alpha w14:val="100000"/>
                    </w14:srgbClr>
                  </w14:solidFill>
                </w14:textFill>
              </w:rPr>
              <w:t>|</w:t>
            </w:r>
            <w:r w:rsidRPr="00D25BE4">
              <w:rPr>
                <w:rFonts w:cs="Arial" w:hint="eastAsia"/>
                <w:color w:val="000000"/>
                <w:spacing w:val="2"/>
                <w:w w:val="27"/>
                <w:shd w:val="solid" w:color="000000" w:fill="000000"/>
                <w:fitText w:val="120" w:id="-1233420278"/>
                <w14:textFill>
                  <w14:solidFill>
                    <w14:srgbClr w14:val="000000">
                      <w14:alpha w14:val="100000"/>
                    </w14:srgbClr>
                  </w14:solidFill>
                </w14:textFill>
              </w:rPr>
              <w:t xml:space="preserve">　</w:t>
            </w:r>
            <w:r w:rsidR="00C010DB" w:rsidRPr="0017690D">
              <w:rPr>
                <w:rFonts w:cs="Arial"/>
                <w:color w:val="000000"/>
              </w:rPr>
              <w:t>%</w:t>
            </w:r>
          </w:p>
        </w:tc>
        <w:tc>
          <w:tcPr>
            <w:tcW w:w="586" w:type="pct"/>
            <w:shd w:val="clear" w:color="auto" w:fill="auto"/>
            <w:vAlign w:val="center"/>
          </w:tcPr>
          <w:p w14:paraId="27D8C848" w14:textId="35AD1905" w:rsidR="00C010DB" w:rsidRDefault="00D25BE4" w:rsidP="004A7958">
            <w:pPr>
              <w:pStyle w:val="TableText0"/>
              <w:jc w:val="center"/>
              <w:rPr>
                <w:rFonts w:cs="Arial"/>
              </w:rPr>
            </w:pPr>
            <w:r w:rsidRPr="00D25BE4">
              <w:rPr>
                <w:rFonts w:cs="Arial" w:hint="eastAsia"/>
                <w:color w:val="000000"/>
                <w:w w:val="27"/>
                <w:shd w:val="solid" w:color="000000" w:fill="000000"/>
                <w:fitText w:val="120" w:id="-1233420277"/>
                <w14:textFill>
                  <w14:solidFill>
                    <w14:srgbClr w14:val="000000">
                      <w14:alpha w14:val="100000"/>
                    </w14:srgbClr>
                  </w14:solidFill>
                </w14:textFill>
              </w:rPr>
              <w:t xml:space="preserve">　</w:t>
            </w:r>
            <w:r w:rsidRPr="00D25BE4">
              <w:rPr>
                <w:rFonts w:cs="Arial"/>
                <w:color w:val="000000"/>
                <w:w w:val="27"/>
                <w:shd w:val="solid" w:color="000000" w:fill="000000"/>
                <w:fitText w:val="120" w:id="-1233420277"/>
                <w14:textFill>
                  <w14:solidFill>
                    <w14:srgbClr w14:val="000000">
                      <w14:alpha w14:val="100000"/>
                    </w14:srgbClr>
                  </w14:solidFill>
                </w14:textFill>
              </w:rPr>
              <w:t>|</w:t>
            </w:r>
            <w:r w:rsidRPr="00D25BE4">
              <w:rPr>
                <w:rFonts w:cs="Arial" w:hint="eastAsia"/>
                <w:color w:val="000000"/>
                <w:spacing w:val="2"/>
                <w:w w:val="27"/>
                <w:shd w:val="solid" w:color="000000" w:fill="000000"/>
                <w:fitText w:val="120" w:id="-1233420277"/>
                <w14:textFill>
                  <w14:solidFill>
                    <w14:srgbClr w14:val="000000">
                      <w14:alpha w14:val="100000"/>
                    </w14:srgbClr>
                  </w14:solidFill>
                </w14:textFill>
              </w:rPr>
              <w:t xml:space="preserve">　</w:t>
            </w:r>
            <w:r w:rsidR="00C010DB" w:rsidRPr="0017690D">
              <w:rPr>
                <w:rFonts w:cs="Arial"/>
                <w:color w:val="000000"/>
              </w:rPr>
              <w:t>%</w:t>
            </w:r>
          </w:p>
        </w:tc>
      </w:tr>
      <w:tr w:rsidR="00C010DB" w:rsidRPr="003F255E" w14:paraId="56371FDA" w14:textId="77777777" w:rsidTr="004A7958">
        <w:trPr>
          <w:cantSplit/>
        </w:trPr>
        <w:tc>
          <w:tcPr>
            <w:tcW w:w="1483" w:type="pct"/>
            <w:shd w:val="clear" w:color="auto" w:fill="auto"/>
            <w:vAlign w:val="center"/>
          </w:tcPr>
          <w:p w14:paraId="7D8878F7" w14:textId="77777777" w:rsidR="00C010DB" w:rsidRDefault="00C010DB" w:rsidP="004A7958">
            <w:pPr>
              <w:pStyle w:val="TableText0"/>
            </w:pPr>
            <w:r>
              <w:t>NEPA IV scripts</w:t>
            </w:r>
          </w:p>
        </w:tc>
        <w:tc>
          <w:tcPr>
            <w:tcW w:w="586" w:type="pct"/>
            <w:shd w:val="clear" w:color="auto" w:fill="auto"/>
            <w:vAlign w:val="center"/>
          </w:tcPr>
          <w:p w14:paraId="7795A512" w14:textId="421C4249" w:rsidR="00C010DB" w:rsidRPr="00304BA5" w:rsidRDefault="00D25BE4" w:rsidP="004A7958">
            <w:pPr>
              <w:pStyle w:val="TableText0"/>
              <w:jc w:val="center"/>
              <w:rPr>
                <w:rFonts w:cs="Arial"/>
                <w:color w:val="000000"/>
                <w:highlight w:val="darkGray"/>
              </w:rPr>
            </w:pPr>
            <w:r w:rsidRPr="00D25BE4">
              <w:rPr>
                <w:rFonts w:hint="eastAsia"/>
                <w:color w:val="000000"/>
                <w:w w:val="16"/>
                <w:shd w:val="solid" w:color="000000" w:fill="000000"/>
                <w:fitText w:val="75" w:id="-1233420276"/>
                <w14:textFill>
                  <w14:solidFill>
                    <w14:srgbClr w14:val="000000">
                      <w14:alpha w14:val="100000"/>
                    </w14:srgbClr>
                  </w14:solidFill>
                </w14:textFill>
              </w:rPr>
              <w:t xml:space="preserve">　</w:t>
            </w:r>
            <w:r w:rsidRPr="00D25BE4">
              <w:rPr>
                <w:color w:val="000000"/>
                <w:w w:val="16"/>
                <w:shd w:val="solid" w:color="000000" w:fill="000000"/>
                <w:fitText w:val="75" w:id="-1233420276"/>
                <w14:textFill>
                  <w14:solidFill>
                    <w14:srgbClr w14:val="000000">
                      <w14:alpha w14:val="100000"/>
                    </w14:srgbClr>
                  </w14:solidFill>
                </w14:textFill>
              </w:rPr>
              <w:t>|</w:t>
            </w:r>
            <w:r w:rsidRPr="00D25BE4">
              <w:rPr>
                <w:rFonts w:hint="eastAsia"/>
                <w:color w:val="000000"/>
                <w:spacing w:val="5"/>
                <w:w w:val="16"/>
                <w:shd w:val="solid" w:color="000000" w:fill="000000"/>
                <w:fitText w:val="75" w:id="-1233420276"/>
                <w14:textFill>
                  <w14:solidFill>
                    <w14:srgbClr w14:val="000000">
                      <w14:alpha w14:val="100000"/>
                    </w14:srgbClr>
                  </w14:solidFill>
                </w14:textFill>
              </w:rPr>
              <w:t xml:space="preserve">　</w:t>
            </w:r>
            <w:r w:rsidR="00E06D6F">
              <w:rPr>
                <w:rFonts w:cs="Arial"/>
                <w:color w:val="000000"/>
                <w:vertAlign w:val="superscript"/>
              </w:rPr>
              <w:t>2</w:t>
            </w:r>
          </w:p>
        </w:tc>
        <w:tc>
          <w:tcPr>
            <w:tcW w:w="586" w:type="pct"/>
            <w:shd w:val="clear" w:color="auto" w:fill="auto"/>
            <w:vAlign w:val="center"/>
          </w:tcPr>
          <w:p w14:paraId="42EAA1CB" w14:textId="142D6BB4" w:rsidR="00C010DB" w:rsidRPr="00304BA5" w:rsidRDefault="00D25BE4" w:rsidP="004A7958">
            <w:pPr>
              <w:pStyle w:val="TableText0"/>
              <w:jc w:val="center"/>
              <w:rPr>
                <w:rFonts w:cs="Arial"/>
                <w:highlight w:val="darkGray"/>
              </w:rPr>
            </w:pPr>
            <w:r w:rsidRPr="00D25BE4">
              <w:rPr>
                <w:rFonts w:hint="eastAsia"/>
                <w:color w:val="000000"/>
                <w:w w:val="16"/>
                <w:shd w:val="solid" w:color="000000" w:fill="000000"/>
                <w:fitText w:val="75" w:id="-1233420275"/>
                <w14:textFill>
                  <w14:solidFill>
                    <w14:srgbClr w14:val="000000">
                      <w14:alpha w14:val="100000"/>
                    </w14:srgbClr>
                  </w14:solidFill>
                </w14:textFill>
              </w:rPr>
              <w:t xml:space="preserve">　</w:t>
            </w:r>
            <w:r w:rsidRPr="00D25BE4">
              <w:rPr>
                <w:color w:val="000000"/>
                <w:w w:val="16"/>
                <w:shd w:val="solid" w:color="000000" w:fill="000000"/>
                <w:fitText w:val="75" w:id="-1233420275"/>
                <w14:textFill>
                  <w14:solidFill>
                    <w14:srgbClr w14:val="000000">
                      <w14:alpha w14:val="100000"/>
                    </w14:srgbClr>
                  </w14:solidFill>
                </w14:textFill>
              </w:rPr>
              <w:t>|</w:t>
            </w:r>
            <w:r w:rsidRPr="00D25BE4">
              <w:rPr>
                <w:rFonts w:hint="eastAsia"/>
                <w:color w:val="000000"/>
                <w:spacing w:val="5"/>
                <w:w w:val="16"/>
                <w:shd w:val="solid" w:color="000000" w:fill="000000"/>
                <w:fitText w:val="75" w:id="-1233420275"/>
                <w14:textFill>
                  <w14:solidFill>
                    <w14:srgbClr w14:val="000000">
                      <w14:alpha w14:val="100000"/>
                    </w14:srgbClr>
                  </w14:solidFill>
                </w14:textFill>
              </w:rPr>
              <w:t xml:space="preserve">　</w:t>
            </w:r>
            <w:r w:rsidR="0023687B">
              <w:rPr>
                <w:rFonts w:cs="Arial"/>
                <w:color w:val="000000"/>
                <w:vertAlign w:val="superscript"/>
              </w:rPr>
              <w:t>1</w:t>
            </w:r>
          </w:p>
        </w:tc>
        <w:tc>
          <w:tcPr>
            <w:tcW w:w="586" w:type="pct"/>
            <w:shd w:val="clear" w:color="auto" w:fill="auto"/>
            <w:vAlign w:val="center"/>
          </w:tcPr>
          <w:p w14:paraId="3E4DC522" w14:textId="74781090" w:rsidR="00C010DB" w:rsidRPr="00304BA5" w:rsidRDefault="00D25BE4" w:rsidP="004A7958">
            <w:pPr>
              <w:pStyle w:val="TableText0"/>
              <w:jc w:val="center"/>
              <w:rPr>
                <w:rFonts w:cs="Arial"/>
                <w:highlight w:val="darkGray"/>
              </w:rPr>
            </w:pPr>
            <w:r w:rsidRPr="00D25BE4">
              <w:rPr>
                <w:rFonts w:hint="eastAsia"/>
                <w:color w:val="000000"/>
                <w:w w:val="16"/>
                <w:shd w:val="solid" w:color="000000" w:fill="000000"/>
                <w:fitText w:val="75" w:id="-1233420274"/>
                <w14:textFill>
                  <w14:solidFill>
                    <w14:srgbClr w14:val="000000">
                      <w14:alpha w14:val="100000"/>
                    </w14:srgbClr>
                  </w14:solidFill>
                </w14:textFill>
              </w:rPr>
              <w:t xml:space="preserve">　</w:t>
            </w:r>
            <w:r w:rsidRPr="00D25BE4">
              <w:rPr>
                <w:color w:val="000000"/>
                <w:w w:val="16"/>
                <w:shd w:val="solid" w:color="000000" w:fill="000000"/>
                <w:fitText w:val="75" w:id="-1233420274"/>
                <w14:textFill>
                  <w14:solidFill>
                    <w14:srgbClr w14:val="000000">
                      <w14:alpha w14:val="100000"/>
                    </w14:srgbClr>
                  </w14:solidFill>
                </w14:textFill>
              </w:rPr>
              <w:t>|</w:t>
            </w:r>
            <w:r w:rsidRPr="00D25BE4">
              <w:rPr>
                <w:rFonts w:hint="eastAsia"/>
                <w:color w:val="000000"/>
                <w:spacing w:val="5"/>
                <w:w w:val="16"/>
                <w:shd w:val="solid" w:color="000000" w:fill="000000"/>
                <w:fitText w:val="75" w:id="-1233420274"/>
                <w14:textFill>
                  <w14:solidFill>
                    <w14:srgbClr w14:val="000000">
                      <w14:alpha w14:val="100000"/>
                    </w14:srgbClr>
                  </w14:solidFill>
                </w14:textFill>
              </w:rPr>
              <w:t xml:space="preserve">　</w:t>
            </w:r>
            <w:r w:rsidR="0023687B">
              <w:rPr>
                <w:rFonts w:cs="Arial"/>
                <w:color w:val="000000"/>
                <w:vertAlign w:val="superscript"/>
              </w:rPr>
              <w:t>1</w:t>
            </w:r>
          </w:p>
        </w:tc>
        <w:tc>
          <w:tcPr>
            <w:tcW w:w="586" w:type="pct"/>
            <w:shd w:val="clear" w:color="auto" w:fill="auto"/>
            <w:vAlign w:val="center"/>
          </w:tcPr>
          <w:p w14:paraId="489081C4" w14:textId="072E67EC" w:rsidR="00C010DB" w:rsidRPr="00304BA5" w:rsidRDefault="00D25BE4" w:rsidP="004A7958">
            <w:pPr>
              <w:pStyle w:val="TableText0"/>
              <w:jc w:val="center"/>
              <w:rPr>
                <w:rFonts w:cs="Arial"/>
                <w:highlight w:val="darkGray"/>
              </w:rPr>
            </w:pPr>
            <w:r w:rsidRPr="00D25BE4">
              <w:rPr>
                <w:rFonts w:hint="eastAsia"/>
                <w:color w:val="000000"/>
                <w:w w:val="16"/>
                <w:shd w:val="solid" w:color="000000" w:fill="000000"/>
                <w:fitText w:val="75" w:id="-1233420273"/>
                <w14:textFill>
                  <w14:solidFill>
                    <w14:srgbClr w14:val="000000">
                      <w14:alpha w14:val="100000"/>
                    </w14:srgbClr>
                  </w14:solidFill>
                </w14:textFill>
              </w:rPr>
              <w:t xml:space="preserve">　</w:t>
            </w:r>
            <w:r w:rsidRPr="00D25BE4">
              <w:rPr>
                <w:color w:val="000000"/>
                <w:w w:val="16"/>
                <w:shd w:val="solid" w:color="000000" w:fill="000000"/>
                <w:fitText w:val="75" w:id="-1233420273"/>
                <w14:textFill>
                  <w14:solidFill>
                    <w14:srgbClr w14:val="000000">
                      <w14:alpha w14:val="100000"/>
                    </w14:srgbClr>
                  </w14:solidFill>
                </w14:textFill>
              </w:rPr>
              <w:t>|</w:t>
            </w:r>
            <w:r w:rsidRPr="00D25BE4">
              <w:rPr>
                <w:rFonts w:hint="eastAsia"/>
                <w:color w:val="000000"/>
                <w:spacing w:val="5"/>
                <w:w w:val="16"/>
                <w:shd w:val="solid" w:color="000000" w:fill="000000"/>
                <w:fitText w:val="75" w:id="-1233420273"/>
                <w14:textFill>
                  <w14:solidFill>
                    <w14:srgbClr w14:val="000000">
                      <w14:alpha w14:val="100000"/>
                    </w14:srgbClr>
                  </w14:solidFill>
                </w14:textFill>
              </w:rPr>
              <w:t xml:space="preserve">　</w:t>
            </w:r>
            <w:r w:rsidR="00C70109">
              <w:rPr>
                <w:rFonts w:cs="Arial"/>
                <w:color w:val="000000"/>
                <w:vertAlign w:val="superscript"/>
              </w:rPr>
              <w:t>5</w:t>
            </w:r>
          </w:p>
        </w:tc>
        <w:tc>
          <w:tcPr>
            <w:tcW w:w="586" w:type="pct"/>
            <w:shd w:val="clear" w:color="auto" w:fill="auto"/>
            <w:vAlign w:val="center"/>
          </w:tcPr>
          <w:p w14:paraId="6ACF22ED" w14:textId="11AE676D" w:rsidR="00C010DB" w:rsidRPr="00304BA5" w:rsidRDefault="00D25BE4" w:rsidP="004A7958">
            <w:pPr>
              <w:pStyle w:val="TableText0"/>
              <w:jc w:val="center"/>
              <w:rPr>
                <w:rFonts w:cs="Arial"/>
                <w:highlight w:val="darkGray"/>
              </w:rPr>
            </w:pPr>
            <w:r w:rsidRPr="00D25BE4">
              <w:rPr>
                <w:rFonts w:hint="eastAsia"/>
                <w:color w:val="000000"/>
                <w:w w:val="16"/>
                <w:shd w:val="solid" w:color="000000" w:fill="000000"/>
                <w:fitText w:val="75" w:id="-1233420272"/>
                <w14:textFill>
                  <w14:solidFill>
                    <w14:srgbClr w14:val="000000">
                      <w14:alpha w14:val="100000"/>
                    </w14:srgbClr>
                  </w14:solidFill>
                </w14:textFill>
              </w:rPr>
              <w:t xml:space="preserve">　</w:t>
            </w:r>
            <w:r w:rsidRPr="00D25BE4">
              <w:rPr>
                <w:color w:val="000000"/>
                <w:w w:val="16"/>
                <w:shd w:val="solid" w:color="000000" w:fill="000000"/>
                <w:fitText w:val="75" w:id="-1233420272"/>
                <w14:textFill>
                  <w14:solidFill>
                    <w14:srgbClr w14:val="000000">
                      <w14:alpha w14:val="100000"/>
                    </w14:srgbClr>
                  </w14:solidFill>
                </w14:textFill>
              </w:rPr>
              <w:t>|</w:t>
            </w:r>
            <w:r w:rsidRPr="00D25BE4">
              <w:rPr>
                <w:rFonts w:hint="eastAsia"/>
                <w:color w:val="000000"/>
                <w:spacing w:val="5"/>
                <w:w w:val="16"/>
                <w:shd w:val="solid" w:color="000000" w:fill="000000"/>
                <w:fitText w:val="75" w:id="-1233420272"/>
                <w14:textFill>
                  <w14:solidFill>
                    <w14:srgbClr w14:val="000000">
                      <w14:alpha w14:val="100000"/>
                    </w14:srgbClr>
                  </w14:solidFill>
                </w14:textFill>
              </w:rPr>
              <w:t xml:space="preserve">　</w:t>
            </w:r>
            <w:r w:rsidR="00C70109">
              <w:rPr>
                <w:rFonts w:cs="Arial"/>
                <w:color w:val="000000"/>
                <w:vertAlign w:val="superscript"/>
              </w:rPr>
              <w:t>5</w:t>
            </w:r>
          </w:p>
        </w:tc>
        <w:tc>
          <w:tcPr>
            <w:tcW w:w="586" w:type="pct"/>
            <w:shd w:val="clear" w:color="auto" w:fill="auto"/>
            <w:vAlign w:val="center"/>
          </w:tcPr>
          <w:p w14:paraId="277BDF6D" w14:textId="51CD1FF7" w:rsidR="00C010DB" w:rsidRPr="00304BA5" w:rsidRDefault="00D25BE4" w:rsidP="004A7958">
            <w:pPr>
              <w:pStyle w:val="TableText0"/>
              <w:jc w:val="center"/>
              <w:rPr>
                <w:rFonts w:cs="Arial"/>
                <w:highlight w:val="darkGray"/>
              </w:rPr>
            </w:pPr>
            <w:r w:rsidRPr="00D25BE4">
              <w:rPr>
                <w:rFonts w:hint="eastAsia"/>
                <w:color w:val="000000"/>
                <w:w w:val="16"/>
                <w:shd w:val="solid" w:color="000000" w:fill="000000"/>
                <w:fitText w:val="75" w:id="-1233420288"/>
                <w14:textFill>
                  <w14:solidFill>
                    <w14:srgbClr w14:val="000000">
                      <w14:alpha w14:val="100000"/>
                    </w14:srgbClr>
                  </w14:solidFill>
                </w14:textFill>
              </w:rPr>
              <w:t xml:space="preserve">　</w:t>
            </w:r>
            <w:r w:rsidRPr="00D25BE4">
              <w:rPr>
                <w:color w:val="000000"/>
                <w:w w:val="16"/>
                <w:shd w:val="solid" w:color="000000" w:fill="000000"/>
                <w:fitText w:val="75" w:id="-1233420288"/>
                <w14:textFill>
                  <w14:solidFill>
                    <w14:srgbClr w14:val="000000">
                      <w14:alpha w14:val="100000"/>
                    </w14:srgbClr>
                  </w14:solidFill>
                </w14:textFill>
              </w:rPr>
              <w:t>|</w:t>
            </w:r>
            <w:r w:rsidRPr="00D25BE4">
              <w:rPr>
                <w:rFonts w:hint="eastAsia"/>
                <w:color w:val="000000"/>
                <w:spacing w:val="5"/>
                <w:w w:val="16"/>
                <w:shd w:val="solid" w:color="000000" w:fill="000000"/>
                <w:fitText w:val="75" w:id="-1233420288"/>
                <w14:textFill>
                  <w14:solidFill>
                    <w14:srgbClr w14:val="000000">
                      <w14:alpha w14:val="100000"/>
                    </w14:srgbClr>
                  </w14:solidFill>
                </w14:textFill>
              </w:rPr>
              <w:t xml:space="preserve">　</w:t>
            </w:r>
            <w:r w:rsidR="00C70109">
              <w:rPr>
                <w:rFonts w:cs="Arial"/>
                <w:color w:val="000000"/>
                <w:vertAlign w:val="superscript"/>
              </w:rPr>
              <w:t>5</w:t>
            </w:r>
          </w:p>
        </w:tc>
      </w:tr>
      <w:tr w:rsidR="00C010DB" w:rsidRPr="003F255E" w14:paraId="38415F00" w14:textId="77777777" w:rsidTr="004A7958">
        <w:trPr>
          <w:cantSplit/>
        </w:trPr>
        <w:tc>
          <w:tcPr>
            <w:tcW w:w="1483" w:type="pct"/>
            <w:shd w:val="clear" w:color="auto" w:fill="auto"/>
            <w:vAlign w:val="center"/>
          </w:tcPr>
          <w:p w14:paraId="1BCDE46F" w14:textId="77777777" w:rsidR="00C010DB" w:rsidRDefault="00C010DB" w:rsidP="00A723BE">
            <w:pPr>
              <w:pStyle w:val="TableText0"/>
              <w:numPr>
                <w:ilvl w:val="0"/>
                <w:numId w:val="17"/>
              </w:numPr>
            </w:pPr>
            <w:r>
              <w:t>GE scripts</w:t>
            </w:r>
          </w:p>
        </w:tc>
        <w:tc>
          <w:tcPr>
            <w:tcW w:w="586" w:type="pct"/>
            <w:shd w:val="clear" w:color="auto" w:fill="auto"/>
          </w:tcPr>
          <w:p w14:paraId="44C141ED" w14:textId="66A4DEC4" w:rsidR="00C010DB" w:rsidRPr="00304BA5" w:rsidRDefault="00D25BE4" w:rsidP="004A7958">
            <w:pPr>
              <w:pStyle w:val="TableText0"/>
              <w:jc w:val="center"/>
              <w:rPr>
                <w:rFonts w:cs="Arial"/>
                <w:color w:val="000000"/>
                <w:highlight w:val="darkGray"/>
              </w:rPr>
            </w:pPr>
            <w:r w:rsidRPr="00D25BE4">
              <w:rPr>
                <w:rFonts w:hint="eastAsia"/>
                <w:color w:val="000000"/>
                <w:w w:val="16"/>
                <w:shd w:val="solid" w:color="000000" w:fill="000000"/>
                <w:fitText w:val="75" w:id="-1233420032"/>
                <w14:textFill>
                  <w14:solidFill>
                    <w14:srgbClr w14:val="000000">
                      <w14:alpha w14:val="100000"/>
                    </w14:srgbClr>
                  </w14:solidFill>
                </w14:textFill>
              </w:rPr>
              <w:t xml:space="preserve">　</w:t>
            </w:r>
            <w:r w:rsidRPr="00D25BE4">
              <w:rPr>
                <w:color w:val="000000"/>
                <w:w w:val="16"/>
                <w:shd w:val="solid" w:color="000000" w:fill="000000"/>
                <w:fitText w:val="75" w:id="-1233420032"/>
                <w14:textFill>
                  <w14:solidFill>
                    <w14:srgbClr w14:val="000000">
                      <w14:alpha w14:val="100000"/>
                    </w14:srgbClr>
                  </w14:solidFill>
                </w14:textFill>
              </w:rPr>
              <w:t>|</w:t>
            </w:r>
            <w:r w:rsidRPr="00D25BE4">
              <w:rPr>
                <w:rFonts w:hint="eastAsia"/>
                <w:color w:val="000000"/>
                <w:spacing w:val="5"/>
                <w:w w:val="16"/>
                <w:shd w:val="solid" w:color="000000" w:fill="000000"/>
                <w:fitText w:val="75" w:id="-1233420032"/>
                <w14:textFill>
                  <w14:solidFill>
                    <w14:srgbClr w14:val="000000">
                      <w14:alpha w14:val="100000"/>
                    </w14:srgbClr>
                  </w14:solidFill>
                </w14:textFill>
              </w:rPr>
              <w:t xml:space="preserve">　</w:t>
            </w:r>
            <w:r w:rsidR="00E06D6F">
              <w:rPr>
                <w:rFonts w:cs="Arial"/>
                <w:color w:val="000000"/>
                <w:vertAlign w:val="superscript"/>
              </w:rPr>
              <w:t>2</w:t>
            </w:r>
          </w:p>
        </w:tc>
        <w:tc>
          <w:tcPr>
            <w:tcW w:w="586" w:type="pct"/>
            <w:shd w:val="clear" w:color="auto" w:fill="auto"/>
          </w:tcPr>
          <w:p w14:paraId="450B0580" w14:textId="1BC02965" w:rsidR="00C010DB" w:rsidRPr="00304BA5" w:rsidRDefault="00D25BE4" w:rsidP="004A7958">
            <w:pPr>
              <w:pStyle w:val="TableText0"/>
              <w:jc w:val="center"/>
              <w:rPr>
                <w:rFonts w:cs="Arial"/>
                <w:highlight w:val="darkGray"/>
              </w:rPr>
            </w:pPr>
            <w:r w:rsidRPr="00D25BE4">
              <w:rPr>
                <w:rFonts w:hint="eastAsia"/>
                <w:color w:val="000000"/>
                <w:w w:val="16"/>
                <w:shd w:val="solid" w:color="000000" w:fill="000000"/>
                <w:fitText w:val="75" w:id="-1233420031"/>
                <w14:textFill>
                  <w14:solidFill>
                    <w14:srgbClr w14:val="000000">
                      <w14:alpha w14:val="100000"/>
                    </w14:srgbClr>
                  </w14:solidFill>
                </w14:textFill>
              </w:rPr>
              <w:t xml:space="preserve">　</w:t>
            </w:r>
            <w:r w:rsidRPr="00D25BE4">
              <w:rPr>
                <w:color w:val="000000"/>
                <w:w w:val="16"/>
                <w:shd w:val="solid" w:color="000000" w:fill="000000"/>
                <w:fitText w:val="75" w:id="-1233420031"/>
                <w14:textFill>
                  <w14:solidFill>
                    <w14:srgbClr w14:val="000000">
                      <w14:alpha w14:val="100000"/>
                    </w14:srgbClr>
                  </w14:solidFill>
                </w14:textFill>
              </w:rPr>
              <w:t>|</w:t>
            </w:r>
            <w:r w:rsidRPr="00D25BE4">
              <w:rPr>
                <w:rFonts w:hint="eastAsia"/>
                <w:color w:val="000000"/>
                <w:spacing w:val="5"/>
                <w:w w:val="16"/>
                <w:shd w:val="solid" w:color="000000" w:fill="000000"/>
                <w:fitText w:val="75" w:id="-1233420031"/>
                <w14:textFill>
                  <w14:solidFill>
                    <w14:srgbClr w14:val="000000">
                      <w14:alpha w14:val="100000"/>
                    </w14:srgbClr>
                  </w14:solidFill>
                </w14:textFill>
              </w:rPr>
              <w:t xml:space="preserve">　</w:t>
            </w:r>
            <w:r w:rsidR="0023687B">
              <w:rPr>
                <w:rFonts w:cs="Arial"/>
                <w:color w:val="000000"/>
                <w:vertAlign w:val="superscript"/>
              </w:rPr>
              <w:t>2</w:t>
            </w:r>
          </w:p>
        </w:tc>
        <w:tc>
          <w:tcPr>
            <w:tcW w:w="586" w:type="pct"/>
            <w:shd w:val="clear" w:color="auto" w:fill="auto"/>
          </w:tcPr>
          <w:p w14:paraId="52DEE8A0" w14:textId="32FE7F67" w:rsidR="00C010DB" w:rsidRPr="00304BA5" w:rsidRDefault="00D25BE4" w:rsidP="004A7958">
            <w:pPr>
              <w:pStyle w:val="TableText0"/>
              <w:jc w:val="center"/>
              <w:rPr>
                <w:rFonts w:cs="Arial"/>
                <w:highlight w:val="darkGray"/>
              </w:rPr>
            </w:pPr>
            <w:r w:rsidRPr="00D25BE4">
              <w:rPr>
                <w:rFonts w:hint="eastAsia"/>
                <w:color w:val="000000"/>
                <w:w w:val="16"/>
                <w:shd w:val="solid" w:color="000000" w:fill="000000"/>
                <w:fitText w:val="75" w:id="-1233420030"/>
                <w14:textFill>
                  <w14:solidFill>
                    <w14:srgbClr w14:val="000000">
                      <w14:alpha w14:val="100000"/>
                    </w14:srgbClr>
                  </w14:solidFill>
                </w14:textFill>
              </w:rPr>
              <w:t xml:space="preserve">　</w:t>
            </w:r>
            <w:r w:rsidRPr="00D25BE4">
              <w:rPr>
                <w:color w:val="000000"/>
                <w:w w:val="16"/>
                <w:shd w:val="solid" w:color="000000" w:fill="000000"/>
                <w:fitText w:val="75" w:id="-1233420030"/>
                <w14:textFill>
                  <w14:solidFill>
                    <w14:srgbClr w14:val="000000">
                      <w14:alpha w14:val="100000"/>
                    </w14:srgbClr>
                  </w14:solidFill>
                </w14:textFill>
              </w:rPr>
              <w:t>|</w:t>
            </w:r>
            <w:r w:rsidRPr="00D25BE4">
              <w:rPr>
                <w:rFonts w:hint="eastAsia"/>
                <w:color w:val="000000"/>
                <w:spacing w:val="5"/>
                <w:w w:val="16"/>
                <w:shd w:val="solid" w:color="000000" w:fill="000000"/>
                <w:fitText w:val="75" w:id="-1233420030"/>
                <w14:textFill>
                  <w14:solidFill>
                    <w14:srgbClr w14:val="000000">
                      <w14:alpha w14:val="100000"/>
                    </w14:srgbClr>
                  </w14:solidFill>
                </w14:textFill>
              </w:rPr>
              <w:t xml:space="preserve">　</w:t>
            </w:r>
            <w:r w:rsidR="0023687B">
              <w:rPr>
                <w:rFonts w:cs="Arial"/>
                <w:color w:val="000000"/>
                <w:vertAlign w:val="superscript"/>
              </w:rPr>
              <w:t>1</w:t>
            </w:r>
          </w:p>
        </w:tc>
        <w:tc>
          <w:tcPr>
            <w:tcW w:w="586" w:type="pct"/>
            <w:shd w:val="clear" w:color="auto" w:fill="auto"/>
          </w:tcPr>
          <w:p w14:paraId="4C8F15E5" w14:textId="7D393AD6" w:rsidR="00C010DB" w:rsidRPr="00304BA5" w:rsidRDefault="00D25BE4" w:rsidP="004A7958">
            <w:pPr>
              <w:pStyle w:val="TableText0"/>
              <w:jc w:val="center"/>
              <w:rPr>
                <w:rFonts w:cs="Arial"/>
                <w:highlight w:val="darkGray"/>
              </w:rPr>
            </w:pPr>
            <w:r w:rsidRPr="00D25BE4">
              <w:rPr>
                <w:rFonts w:hint="eastAsia"/>
                <w:color w:val="000000"/>
                <w:w w:val="16"/>
                <w:shd w:val="solid" w:color="000000" w:fill="000000"/>
                <w:fitText w:val="75" w:id="-1233420029"/>
                <w14:textFill>
                  <w14:solidFill>
                    <w14:srgbClr w14:val="000000">
                      <w14:alpha w14:val="100000"/>
                    </w14:srgbClr>
                  </w14:solidFill>
                </w14:textFill>
              </w:rPr>
              <w:t xml:space="preserve">　</w:t>
            </w:r>
            <w:r w:rsidRPr="00D25BE4">
              <w:rPr>
                <w:color w:val="000000"/>
                <w:w w:val="16"/>
                <w:shd w:val="solid" w:color="000000" w:fill="000000"/>
                <w:fitText w:val="75" w:id="-1233420029"/>
                <w14:textFill>
                  <w14:solidFill>
                    <w14:srgbClr w14:val="000000">
                      <w14:alpha w14:val="100000"/>
                    </w14:srgbClr>
                  </w14:solidFill>
                </w14:textFill>
              </w:rPr>
              <w:t>|</w:t>
            </w:r>
            <w:r w:rsidRPr="00D25BE4">
              <w:rPr>
                <w:rFonts w:hint="eastAsia"/>
                <w:color w:val="000000"/>
                <w:spacing w:val="5"/>
                <w:w w:val="16"/>
                <w:shd w:val="solid" w:color="000000" w:fill="000000"/>
                <w:fitText w:val="75" w:id="-1233420029"/>
                <w14:textFill>
                  <w14:solidFill>
                    <w14:srgbClr w14:val="000000">
                      <w14:alpha w14:val="100000"/>
                    </w14:srgbClr>
                  </w14:solidFill>
                </w14:textFill>
              </w:rPr>
              <w:t xml:space="preserve">　</w:t>
            </w:r>
            <w:r w:rsidR="0023687B">
              <w:rPr>
                <w:rFonts w:cs="Arial"/>
                <w:color w:val="000000"/>
                <w:vertAlign w:val="superscript"/>
              </w:rPr>
              <w:t>1</w:t>
            </w:r>
          </w:p>
        </w:tc>
        <w:tc>
          <w:tcPr>
            <w:tcW w:w="586" w:type="pct"/>
            <w:shd w:val="clear" w:color="auto" w:fill="auto"/>
          </w:tcPr>
          <w:p w14:paraId="2847CEE1" w14:textId="46401FA0" w:rsidR="00C010DB" w:rsidRPr="00304BA5" w:rsidRDefault="00D25BE4" w:rsidP="004A7958">
            <w:pPr>
              <w:pStyle w:val="TableText0"/>
              <w:jc w:val="center"/>
              <w:rPr>
                <w:rFonts w:cs="Arial"/>
                <w:highlight w:val="darkGray"/>
              </w:rPr>
            </w:pPr>
            <w:r w:rsidRPr="00D25BE4">
              <w:rPr>
                <w:rFonts w:hint="eastAsia"/>
                <w:color w:val="000000"/>
                <w:w w:val="16"/>
                <w:shd w:val="solid" w:color="000000" w:fill="000000"/>
                <w:fitText w:val="75" w:id="-1233420028"/>
                <w14:textFill>
                  <w14:solidFill>
                    <w14:srgbClr w14:val="000000">
                      <w14:alpha w14:val="100000"/>
                    </w14:srgbClr>
                  </w14:solidFill>
                </w14:textFill>
              </w:rPr>
              <w:t xml:space="preserve">　</w:t>
            </w:r>
            <w:r w:rsidRPr="00D25BE4">
              <w:rPr>
                <w:color w:val="000000"/>
                <w:w w:val="16"/>
                <w:shd w:val="solid" w:color="000000" w:fill="000000"/>
                <w:fitText w:val="75" w:id="-1233420028"/>
                <w14:textFill>
                  <w14:solidFill>
                    <w14:srgbClr w14:val="000000">
                      <w14:alpha w14:val="100000"/>
                    </w14:srgbClr>
                  </w14:solidFill>
                </w14:textFill>
              </w:rPr>
              <w:t>|</w:t>
            </w:r>
            <w:r w:rsidRPr="00D25BE4">
              <w:rPr>
                <w:rFonts w:hint="eastAsia"/>
                <w:color w:val="000000"/>
                <w:spacing w:val="5"/>
                <w:w w:val="16"/>
                <w:shd w:val="solid" w:color="000000" w:fill="000000"/>
                <w:fitText w:val="75" w:id="-1233420028"/>
                <w14:textFill>
                  <w14:solidFill>
                    <w14:srgbClr w14:val="000000">
                      <w14:alpha w14:val="100000"/>
                    </w14:srgbClr>
                  </w14:solidFill>
                </w14:textFill>
              </w:rPr>
              <w:t xml:space="preserve">　</w:t>
            </w:r>
            <w:r w:rsidR="00C70109">
              <w:rPr>
                <w:rFonts w:cs="Arial"/>
                <w:color w:val="000000"/>
                <w:vertAlign w:val="superscript"/>
              </w:rPr>
              <w:t>5</w:t>
            </w:r>
          </w:p>
        </w:tc>
        <w:tc>
          <w:tcPr>
            <w:tcW w:w="586" w:type="pct"/>
            <w:shd w:val="clear" w:color="auto" w:fill="auto"/>
          </w:tcPr>
          <w:p w14:paraId="65D85BA9" w14:textId="34D6627C" w:rsidR="00C010DB" w:rsidRPr="00304BA5" w:rsidRDefault="00D25BE4" w:rsidP="004A7958">
            <w:pPr>
              <w:pStyle w:val="TableText0"/>
              <w:jc w:val="center"/>
              <w:rPr>
                <w:rFonts w:cs="Arial"/>
                <w:highlight w:val="darkGray"/>
              </w:rPr>
            </w:pPr>
            <w:r w:rsidRPr="00D25BE4">
              <w:rPr>
                <w:rFonts w:hint="eastAsia"/>
                <w:color w:val="000000"/>
                <w:w w:val="16"/>
                <w:shd w:val="solid" w:color="000000" w:fill="000000"/>
                <w:fitText w:val="75" w:id="-1233420027"/>
                <w14:textFill>
                  <w14:solidFill>
                    <w14:srgbClr w14:val="000000">
                      <w14:alpha w14:val="100000"/>
                    </w14:srgbClr>
                  </w14:solidFill>
                </w14:textFill>
              </w:rPr>
              <w:t xml:space="preserve">　</w:t>
            </w:r>
            <w:r w:rsidRPr="00D25BE4">
              <w:rPr>
                <w:color w:val="000000"/>
                <w:w w:val="16"/>
                <w:shd w:val="solid" w:color="000000" w:fill="000000"/>
                <w:fitText w:val="75" w:id="-1233420027"/>
                <w14:textFill>
                  <w14:solidFill>
                    <w14:srgbClr w14:val="000000">
                      <w14:alpha w14:val="100000"/>
                    </w14:srgbClr>
                  </w14:solidFill>
                </w14:textFill>
              </w:rPr>
              <w:t>|</w:t>
            </w:r>
            <w:r w:rsidRPr="00D25BE4">
              <w:rPr>
                <w:rFonts w:hint="eastAsia"/>
                <w:color w:val="000000"/>
                <w:spacing w:val="5"/>
                <w:w w:val="16"/>
                <w:shd w:val="solid" w:color="000000" w:fill="000000"/>
                <w:fitText w:val="75" w:id="-1233420027"/>
                <w14:textFill>
                  <w14:solidFill>
                    <w14:srgbClr w14:val="000000">
                      <w14:alpha w14:val="100000"/>
                    </w14:srgbClr>
                  </w14:solidFill>
                </w14:textFill>
              </w:rPr>
              <w:t xml:space="preserve">　</w:t>
            </w:r>
            <w:r w:rsidR="00C70109">
              <w:rPr>
                <w:rFonts w:cs="Arial"/>
                <w:color w:val="000000"/>
                <w:vertAlign w:val="superscript"/>
              </w:rPr>
              <w:t>5</w:t>
            </w:r>
          </w:p>
        </w:tc>
      </w:tr>
      <w:tr w:rsidR="00C010DB" w:rsidRPr="003F255E" w14:paraId="3720C85A" w14:textId="77777777" w:rsidTr="004A7958">
        <w:trPr>
          <w:cantSplit/>
        </w:trPr>
        <w:tc>
          <w:tcPr>
            <w:tcW w:w="1483" w:type="pct"/>
            <w:shd w:val="clear" w:color="auto" w:fill="auto"/>
            <w:vAlign w:val="center"/>
          </w:tcPr>
          <w:p w14:paraId="3EE65F76" w14:textId="77777777" w:rsidR="00C010DB" w:rsidRDefault="00C010DB" w:rsidP="00A723BE">
            <w:pPr>
              <w:pStyle w:val="TableText0"/>
              <w:numPr>
                <w:ilvl w:val="0"/>
                <w:numId w:val="17"/>
              </w:numPr>
            </w:pPr>
            <w:r>
              <w:t>CT scripts</w:t>
            </w:r>
          </w:p>
        </w:tc>
        <w:tc>
          <w:tcPr>
            <w:tcW w:w="586" w:type="pct"/>
            <w:shd w:val="clear" w:color="auto" w:fill="auto"/>
          </w:tcPr>
          <w:p w14:paraId="26E91141" w14:textId="53171CBB" w:rsidR="00C010DB" w:rsidRPr="00304BA5" w:rsidRDefault="00D25BE4" w:rsidP="004A7958">
            <w:pPr>
              <w:pStyle w:val="TableText0"/>
              <w:jc w:val="center"/>
              <w:rPr>
                <w:rFonts w:cs="Arial"/>
                <w:color w:val="000000"/>
                <w:highlight w:val="darkGray"/>
              </w:rPr>
            </w:pPr>
            <w:r w:rsidRPr="00D25BE4">
              <w:rPr>
                <w:rFonts w:hint="eastAsia"/>
                <w:color w:val="000000"/>
                <w:w w:val="16"/>
                <w:shd w:val="solid" w:color="000000" w:fill="000000"/>
                <w:fitText w:val="75" w:id="-1233420026"/>
                <w14:textFill>
                  <w14:solidFill>
                    <w14:srgbClr w14:val="000000">
                      <w14:alpha w14:val="100000"/>
                    </w14:srgbClr>
                  </w14:solidFill>
                </w14:textFill>
              </w:rPr>
              <w:t xml:space="preserve">　</w:t>
            </w:r>
            <w:r w:rsidRPr="00D25BE4">
              <w:rPr>
                <w:color w:val="000000"/>
                <w:w w:val="16"/>
                <w:shd w:val="solid" w:color="000000" w:fill="000000"/>
                <w:fitText w:val="75" w:id="-1233420026"/>
                <w14:textFill>
                  <w14:solidFill>
                    <w14:srgbClr w14:val="000000">
                      <w14:alpha w14:val="100000"/>
                    </w14:srgbClr>
                  </w14:solidFill>
                </w14:textFill>
              </w:rPr>
              <w:t>|</w:t>
            </w:r>
            <w:r w:rsidRPr="00D25BE4">
              <w:rPr>
                <w:rFonts w:hint="eastAsia"/>
                <w:color w:val="000000"/>
                <w:spacing w:val="5"/>
                <w:w w:val="16"/>
                <w:shd w:val="solid" w:color="000000" w:fill="000000"/>
                <w:fitText w:val="75" w:id="-1233420026"/>
                <w14:textFill>
                  <w14:solidFill>
                    <w14:srgbClr w14:val="000000">
                      <w14:alpha w14:val="100000"/>
                    </w14:srgbClr>
                  </w14:solidFill>
                </w14:textFill>
              </w:rPr>
              <w:t xml:space="preserve">　</w:t>
            </w:r>
            <w:r w:rsidR="00E06D6F">
              <w:rPr>
                <w:rFonts w:cs="Arial"/>
                <w:color w:val="000000"/>
                <w:vertAlign w:val="superscript"/>
              </w:rPr>
              <w:t>3</w:t>
            </w:r>
          </w:p>
        </w:tc>
        <w:tc>
          <w:tcPr>
            <w:tcW w:w="586" w:type="pct"/>
            <w:shd w:val="clear" w:color="auto" w:fill="auto"/>
          </w:tcPr>
          <w:p w14:paraId="5647A6DB" w14:textId="21C698E8" w:rsidR="00C010DB" w:rsidRPr="00304BA5" w:rsidRDefault="00D25BE4" w:rsidP="004A7958">
            <w:pPr>
              <w:pStyle w:val="TableText0"/>
              <w:jc w:val="center"/>
              <w:rPr>
                <w:rFonts w:cs="Arial"/>
                <w:highlight w:val="darkGray"/>
              </w:rPr>
            </w:pPr>
            <w:r w:rsidRPr="00D25BE4">
              <w:rPr>
                <w:rFonts w:hint="eastAsia"/>
                <w:color w:val="000000"/>
                <w:w w:val="16"/>
                <w:shd w:val="solid" w:color="000000" w:fill="000000"/>
                <w:fitText w:val="75" w:id="-1233420025"/>
                <w14:textFill>
                  <w14:solidFill>
                    <w14:srgbClr w14:val="000000">
                      <w14:alpha w14:val="100000"/>
                    </w14:srgbClr>
                  </w14:solidFill>
                </w14:textFill>
              </w:rPr>
              <w:t xml:space="preserve">　</w:t>
            </w:r>
            <w:r w:rsidRPr="00D25BE4">
              <w:rPr>
                <w:color w:val="000000"/>
                <w:w w:val="16"/>
                <w:shd w:val="solid" w:color="000000" w:fill="000000"/>
                <w:fitText w:val="75" w:id="-1233420025"/>
                <w14:textFill>
                  <w14:solidFill>
                    <w14:srgbClr w14:val="000000">
                      <w14:alpha w14:val="100000"/>
                    </w14:srgbClr>
                  </w14:solidFill>
                </w14:textFill>
              </w:rPr>
              <w:t>|</w:t>
            </w:r>
            <w:r w:rsidRPr="00D25BE4">
              <w:rPr>
                <w:rFonts w:hint="eastAsia"/>
                <w:color w:val="000000"/>
                <w:spacing w:val="5"/>
                <w:w w:val="16"/>
                <w:shd w:val="solid" w:color="000000" w:fill="000000"/>
                <w:fitText w:val="75" w:id="-1233420025"/>
                <w14:textFill>
                  <w14:solidFill>
                    <w14:srgbClr w14:val="000000">
                      <w14:alpha w14:val="100000"/>
                    </w14:srgbClr>
                  </w14:solidFill>
                </w14:textFill>
              </w:rPr>
              <w:t xml:space="preserve">　</w:t>
            </w:r>
            <w:r w:rsidR="00E06D6F">
              <w:rPr>
                <w:rFonts w:cs="Arial"/>
                <w:color w:val="000000"/>
                <w:vertAlign w:val="superscript"/>
              </w:rPr>
              <w:t>2</w:t>
            </w:r>
          </w:p>
        </w:tc>
        <w:tc>
          <w:tcPr>
            <w:tcW w:w="586" w:type="pct"/>
            <w:shd w:val="clear" w:color="auto" w:fill="auto"/>
          </w:tcPr>
          <w:p w14:paraId="15D8FAE6" w14:textId="782E8EF0" w:rsidR="00C010DB" w:rsidRPr="00304BA5" w:rsidRDefault="00D25BE4" w:rsidP="004A7958">
            <w:pPr>
              <w:pStyle w:val="TableText0"/>
              <w:jc w:val="center"/>
              <w:rPr>
                <w:rFonts w:cs="Arial"/>
                <w:highlight w:val="darkGray"/>
              </w:rPr>
            </w:pPr>
            <w:r w:rsidRPr="00D25BE4">
              <w:rPr>
                <w:rFonts w:hint="eastAsia"/>
                <w:color w:val="000000"/>
                <w:w w:val="16"/>
                <w:shd w:val="solid" w:color="000000" w:fill="000000"/>
                <w:fitText w:val="75" w:id="-1233420024"/>
                <w14:textFill>
                  <w14:solidFill>
                    <w14:srgbClr w14:val="000000">
                      <w14:alpha w14:val="100000"/>
                    </w14:srgbClr>
                  </w14:solidFill>
                </w14:textFill>
              </w:rPr>
              <w:t xml:space="preserve">　</w:t>
            </w:r>
            <w:r w:rsidRPr="00D25BE4">
              <w:rPr>
                <w:color w:val="000000"/>
                <w:w w:val="16"/>
                <w:shd w:val="solid" w:color="000000" w:fill="000000"/>
                <w:fitText w:val="75" w:id="-1233420024"/>
                <w14:textFill>
                  <w14:solidFill>
                    <w14:srgbClr w14:val="000000">
                      <w14:alpha w14:val="100000"/>
                    </w14:srgbClr>
                  </w14:solidFill>
                </w14:textFill>
              </w:rPr>
              <w:t>|</w:t>
            </w:r>
            <w:r w:rsidRPr="00D25BE4">
              <w:rPr>
                <w:rFonts w:hint="eastAsia"/>
                <w:color w:val="000000"/>
                <w:spacing w:val="5"/>
                <w:w w:val="16"/>
                <w:shd w:val="solid" w:color="000000" w:fill="000000"/>
                <w:fitText w:val="75" w:id="-1233420024"/>
                <w14:textFill>
                  <w14:solidFill>
                    <w14:srgbClr w14:val="000000">
                      <w14:alpha w14:val="100000"/>
                    </w14:srgbClr>
                  </w14:solidFill>
                </w14:textFill>
              </w:rPr>
              <w:t xml:space="preserve">　</w:t>
            </w:r>
            <w:r w:rsidR="00E06D6F">
              <w:rPr>
                <w:rFonts w:cs="Arial"/>
                <w:color w:val="000000"/>
                <w:vertAlign w:val="superscript"/>
              </w:rPr>
              <w:t>2</w:t>
            </w:r>
          </w:p>
        </w:tc>
        <w:tc>
          <w:tcPr>
            <w:tcW w:w="586" w:type="pct"/>
            <w:shd w:val="clear" w:color="auto" w:fill="auto"/>
          </w:tcPr>
          <w:p w14:paraId="401E0D24" w14:textId="53DE6A1D" w:rsidR="00C010DB" w:rsidRPr="00304BA5" w:rsidRDefault="00D25BE4" w:rsidP="004A7958">
            <w:pPr>
              <w:pStyle w:val="TableText0"/>
              <w:jc w:val="center"/>
              <w:rPr>
                <w:rFonts w:cs="Arial"/>
                <w:highlight w:val="darkGray"/>
              </w:rPr>
            </w:pPr>
            <w:r w:rsidRPr="00D25BE4">
              <w:rPr>
                <w:rFonts w:hint="eastAsia"/>
                <w:color w:val="000000"/>
                <w:w w:val="16"/>
                <w:shd w:val="solid" w:color="000000" w:fill="000000"/>
                <w:fitText w:val="75" w:id="-1233420023"/>
                <w14:textFill>
                  <w14:solidFill>
                    <w14:srgbClr w14:val="000000">
                      <w14:alpha w14:val="100000"/>
                    </w14:srgbClr>
                  </w14:solidFill>
                </w14:textFill>
              </w:rPr>
              <w:t xml:space="preserve">　</w:t>
            </w:r>
            <w:r w:rsidRPr="00D25BE4">
              <w:rPr>
                <w:color w:val="000000"/>
                <w:w w:val="16"/>
                <w:shd w:val="solid" w:color="000000" w:fill="000000"/>
                <w:fitText w:val="75" w:id="-1233420023"/>
                <w14:textFill>
                  <w14:solidFill>
                    <w14:srgbClr w14:val="000000">
                      <w14:alpha w14:val="100000"/>
                    </w14:srgbClr>
                  </w14:solidFill>
                </w14:textFill>
              </w:rPr>
              <w:t>|</w:t>
            </w:r>
            <w:r w:rsidRPr="00D25BE4">
              <w:rPr>
                <w:rFonts w:hint="eastAsia"/>
                <w:color w:val="000000"/>
                <w:spacing w:val="5"/>
                <w:w w:val="16"/>
                <w:shd w:val="solid" w:color="000000" w:fill="000000"/>
                <w:fitText w:val="75" w:id="-1233420023"/>
                <w14:textFill>
                  <w14:solidFill>
                    <w14:srgbClr w14:val="000000">
                      <w14:alpha w14:val="100000"/>
                    </w14:srgbClr>
                  </w14:solidFill>
                </w14:textFill>
              </w:rPr>
              <w:t xml:space="preserve">　</w:t>
            </w:r>
            <w:r w:rsidR="00E06D6F">
              <w:rPr>
                <w:rFonts w:cs="Arial"/>
                <w:color w:val="000000"/>
                <w:vertAlign w:val="superscript"/>
              </w:rPr>
              <w:t>2</w:t>
            </w:r>
          </w:p>
        </w:tc>
        <w:tc>
          <w:tcPr>
            <w:tcW w:w="586" w:type="pct"/>
            <w:shd w:val="clear" w:color="auto" w:fill="auto"/>
          </w:tcPr>
          <w:p w14:paraId="5BEAF1C6" w14:textId="1E70FE3E" w:rsidR="00C010DB" w:rsidRPr="00304BA5" w:rsidRDefault="00D25BE4" w:rsidP="004A7958">
            <w:pPr>
              <w:pStyle w:val="TableText0"/>
              <w:jc w:val="center"/>
              <w:rPr>
                <w:rFonts w:cs="Arial"/>
                <w:highlight w:val="darkGray"/>
              </w:rPr>
            </w:pPr>
            <w:r w:rsidRPr="00D25BE4">
              <w:rPr>
                <w:rFonts w:hint="eastAsia"/>
                <w:color w:val="000000"/>
                <w:w w:val="16"/>
                <w:shd w:val="solid" w:color="000000" w:fill="000000"/>
                <w:fitText w:val="75" w:id="-1233420022"/>
                <w14:textFill>
                  <w14:solidFill>
                    <w14:srgbClr w14:val="000000">
                      <w14:alpha w14:val="100000"/>
                    </w14:srgbClr>
                  </w14:solidFill>
                </w14:textFill>
              </w:rPr>
              <w:t xml:space="preserve">　</w:t>
            </w:r>
            <w:r w:rsidRPr="00D25BE4">
              <w:rPr>
                <w:color w:val="000000"/>
                <w:w w:val="16"/>
                <w:shd w:val="solid" w:color="000000" w:fill="000000"/>
                <w:fitText w:val="75" w:id="-1233420022"/>
                <w14:textFill>
                  <w14:solidFill>
                    <w14:srgbClr w14:val="000000">
                      <w14:alpha w14:val="100000"/>
                    </w14:srgbClr>
                  </w14:solidFill>
                </w14:textFill>
              </w:rPr>
              <w:t>|</w:t>
            </w:r>
            <w:r w:rsidRPr="00D25BE4">
              <w:rPr>
                <w:rFonts w:hint="eastAsia"/>
                <w:color w:val="000000"/>
                <w:spacing w:val="5"/>
                <w:w w:val="16"/>
                <w:shd w:val="solid" w:color="000000" w:fill="000000"/>
                <w:fitText w:val="75" w:id="-1233420022"/>
                <w14:textFill>
                  <w14:solidFill>
                    <w14:srgbClr w14:val="000000">
                      <w14:alpha w14:val="100000"/>
                    </w14:srgbClr>
                  </w14:solidFill>
                </w14:textFill>
              </w:rPr>
              <w:t xml:space="preserve">　</w:t>
            </w:r>
            <w:r w:rsidR="00E06D6F">
              <w:rPr>
                <w:rFonts w:cs="Arial"/>
                <w:color w:val="000000"/>
                <w:vertAlign w:val="superscript"/>
              </w:rPr>
              <w:t>2</w:t>
            </w:r>
          </w:p>
        </w:tc>
        <w:tc>
          <w:tcPr>
            <w:tcW w:w="586" w:type="pct"/>
            <w:shd w:val="clear" w:color="auto" w:fill="auto"/>
          </w:tcPr>
          <w:p w14:paraId="5F4A0EA5" w14:textId="26B0FB53" w:rsidR="00C010DB" w:rsidRPr="00304BA5" w:rsidRDefault="00D25BE4" w:rsidP="004A7958">
            <w:pPr>
              <w:pStyle w:val="TableText0"/>
              <w:jc w:val="center"/>
              <w:rPr>
                <w:rFonts w:cs="Arial"/>
                <w:highlight w:val="darkGray"/>
              </w:rPr>
            </w:pPr>
            <w:r w:rsidRPr="00D25BE4">
              <w:rPr>
                <w:rFonts w:hint="eastAsia"/>
                <w:color w:val="000000"/>
                <w:w w:val="16"/>
                <w:shd w:val="solid" w:color="000000" w:fill="000000"/>
                <w:fitText w:val="75" w:id="-1233420021"/>
                <w14:textFill>
                  <w14:solidFill>
                    <w14:srgbClr w14:val="000000">
                      <w14:alpha w14:val="100000"/>
                    </w14:srgbClr>
                  </w14:solidFill>
                </w14:textFill>
              </w:rPr>
              <w:t xml:space="preserve">　</w:t>
            </w:r>
            <w:r w:rsidRPr="00D25BE4">
              <w:rPr>
                <w:color w:val="000000"/>
                <w:w w:val="16"/>
                <w:shd w:val="solid" w:color="000000" w:fill="000000"/>
                <w:fitText w:val="75" w:id="-1233420021"/>
                <w14:textFill>
                  <w14:solidFill>
                    <w14:srgbClr w14:val="000000">
                      <w14:alpha w14:val="100000"/>
                    </w14:srgbClr>
                  </w14:solidFill>
                </w14:textFill>
              </w:rPr>
              <w:t>|</w:t>
            </w:r>
            <w:r w:rsidRPr="00D25BE4">
              <w:rPr>
                <w:rFonts w:hint="eastAsia"/>
                <w:color w:val="000000"/>
                <w:spacing w:val="5"/>
                <w:w w:val="16"/>
                <w:shd w:val="solid" w:color="000000" w:fill="000000"/>
                <w:fitText w:val="75" w:id="-1233420021"/>
                <w14:textFill>
                  <w14:solidFill>
                    <w14:srgbClr w14:val="000000">
                      <w14:alpha w14:val="100000"/>
                    </w14:srgbClr>
                  </w14:solidFill>
                </w14:textFill>
              </w:rPr>
              <w:t xml:space="preserve">　</w:t>
            </w:r>
            <w:r w:rsidR="00E06D6F">
              <w:rPr>
                <w:rFonts w:cs="Arial"/>
                <w:color w:val="000000"/>
                <w:vertAlign w:val="superscript"/>
              </w:rPr>
              <w:t>2</w:t>
            </w:r>
          </w:p>
        </w:tc>
      </w:tr>
      <w:tr w:rsidR="00C010DB" w:rsidRPr="003F255E" w14:paraId="03D2CBA1" w14:textId="77777777" w:rsidTr="004A7958">
        <w:trPr>
          <w:cantSplit/>
        </w:trPr>
        <w:tc>
          <w:tcPr>
            <w:tcW w:w="1483" w:type="pct"/>
            <w:shd w:val="clear" w:color="auto" w:fill="auto"/>
            <w:vAlign w:val="center"/>
          </w:tcPr>
          <w:p w14:paraId="7FB2FA8F" w14:textId="77777777" w:rsidR="00C010DB" w:rsidRPr="00045B1E" w:rsidRDefault="00C010DB" w:rsidP="004A7958">
            <w:pPr>
              <w:pStyle w:val="TableText0"/>
              <w:rPr>
                <w:vertAlign w:val="superscript"/>
              </w:rPr>
            </w:pPr>
            <w:r>
              <w:t xml:space="preserve">Cost of NEPA IV </w:t>
            </w:r>
            <w:r>
              <w:rPr>
                <w:vertAlign w:val="superscript"/>
              </w:rPr>
              <w:t>a</w:t>
            </w:r>
          </w:p>
        </w:tc>
        <w:tc>
          <w:tcPr>
            <w:tcW w:w="586" w:type="pct"/>
            <w:shd w:val="clear" w:color="auto" w:fill="auto"/>
          </w:tcPr>
          <w:p w14:paraId="1043464D" w14:textId="09AE882F" w:rsidR="00C010DB" w:rsidRDefault="00C010DB" w:rsidP="004A7958">
            <w:pPr>
              <w:pStyle w:val="TableText0"/>
              <w:jc w:val="center"/>
              <w:rPr>
                <w:rFonts w:cs="Arial"/>
                <w:color w:val="000000"/>
              </w:rPr>
            </w:pPr>
            <w:r w:rsidRPr="001B5328">
              <w:t>$</w:t>
            </w:r>
            <w:r w:rsidR="00D25BE4" w:rsidRPr="00D25BE4">
              <w:rPr>
                <w:rFonts w:hint="eastAsia"/>
                <w:color w:val="000000"/>
                <w:w w:val="27"/>
                <w:shd w:val="solid" w:color="000000" w:fill="000000"/>
                <w:fitText w:val="120" w:id="-1233420020"/>
                <w14:textFill>
                  <w14:solidFill>
                    <w14:srgbClr w14:val="000000">
                      <w14:alpha w14:val="100000"/>
                    </w14:srgbClr>
                  </w14:solidFill>
                </w14:textFill>
              </w:rPr>
              <w:t xml:space="preserve">　</w:t>
            </w:r>
            <w:r w:rsidR="00D25BE4" w:rsidRPr="00D25BE4">
              <w:rPr>
                <w:color w:val="000000"/>
                <w:w w:val="27"/>
                <w:shd w:val="solid" w:color="000000" w:fill="000000"/>
                <w:fitText w:val="120" w:id="-1233420020"/>
                <w14:textFill>
                  <w14:solidFill>
                    <w14:srgbClr w14:val="000000">
                      <w14:alpha w14:val="100000"/>
                    </w14:srgbClr>
                  </w14:solidFill>
                </w14:textFill>
              </w:rPr>
              <w:t>|</w:t>
            </w:r>
            <w:r w:rsidR="00D25BE4" w:rsidRPr="00D25BE4">
              <w:rPr>
                <w:rFonts w:hint="eastAsia"/>
                <w:color w:val="000000"/>
                <w:spacing w:val="2"/>
                <w:w w:val="27"/>
                <w:shd w:val="solid" w:color="000000" w:fill="000000"/>
                <w:fitText w:val="120" w:id="-1233420020"/>
                <w14:textFill>
                  <w14:solidFill>
                    <w14:srgbClr w14:val="000000">
                      <w14:alpha w14:val="100000"/>
                    </w14:srgbClr>
                  </w14:solidFill>
                </w14:textFill>
              </w:rPr>
              <w:t xml:space="preserve">　</w:t>
            </w:r>
            <w:r w:rsidR="0023687B">
              <w:rPr>
                <w:rFonts w:cs="Arial"/>
                <w:color w:val="000000"/>
                <w:vertAlign w:val="superscript"/>
              </w:rPr>
              <w:t>4</w:t>
            </w:r>
          </w:p>
        </w:tc>
        <w:tc>
          <w:tcPr>
            <w:tcW w:w="586" w:type="pct"/>
            <w:shd w:val="clear" w:color="auto" w:fill="auto"/>
          </w:tcPr>
          <w:p w14:paraId="7FEC9F4E" w14:textId="75A744A3" w:rsidR="00C010DB" w:rsidRDefault="00C010DB" w:rsidP="004A7958">
            <w:pPr>
              <w:pStyle w:val="TableText0"/>
              <w:jc w:val="center"/>
              <w:rPr>
                <w:rFonts w:cs="Arial"/>
              </w:rPr>
            </w:pPr>
            <w:r w:rsidRPr="001B5328">
              <w:t>$</w:t>
            </w:r>
            <w:r w:rsidR="00D25BE4" w:rsidRPr="00D25BE4">
              <w:rPr>
                <w:rFonts w:hint="eastAsia"/>
                <w:color w:val="000000"/>
                <w:w w:val="27"/>
                <w:shd w:val="solid" w:color="000000" w:fill="000000"/>
                <w:fitText w:val="120" w:id="-1233420019"/>
                <w14:textFill>
                  <w14:solidFill>
                    <w14:srgbClr w14:val="000000">
                      <w14:alpha w14:val="100000"/>
                    </w14:srgbClr>
                  </w14:solidFill>
                </w14:textFill>
              </w:rPr>
              <w:t xml:space="preserve">　</w:t>
            </w:r>
            <w:r w:rsidR="00D25BE4" w:rsidRPr="00D25BE4">
              <w:rPr>
                <w:color w:val="000000"/>
                <w:w w:val="27"/>
                <w:shd w:val="solid" w:color="000000" w:fill="000000"/>
                <w:fitText w:val="120" w:id="-1233420019"/>
                <w14:textFill>
                  <w14:solidFill>
                    <w14:srgbClr w14:val="000000">
                      <w14:alpha w14:val="100000"/>
                    </w14:srgbClr>
                  </w14:solidFill>
                </w14:textFill>
              </w:rPr>
              <w:t>|</w:t>
            </w:r>
            <w:r w:rsidR="00D25BE4" w:rsidRPr="00D25BE4">
              <w:rPr>
                <w:rFonts w:hint="eastAsia"/>
                <w:color w:val="000000"/>
                <w:spacing w:val="2"/>
                <w:w w:val="27"/>
                <w:shd w:val="solid" w:color="000000" w:fill="000000"/>
                <w:fitText w:val="120" w:id="-1233420019"/>
                <w14:textFill>
                  <w14:solidFill>
                    <w14:srgbClr w14:val="000000">
                      <w14:alpha w14:val="100000"/>
                    </w14:srgbClr>
                  </w14:solidFill>
                </w14:textFill>
              </w:rPr>
              <w:t xml:space="preserve">　</w:t>
            </w:r>
            <w:r w:rsidR="0023687B">
              <w:rPr>
                <w:rFonts w:cs="Arial"/>
                <w:color w:val="000000"/>
                <w:vertAlign w:val="superscript"/>
              </w:rPr>
              <w:t>4</w:t>
            </w:r>
          </w:p>
        </w:tc>
        <w:tc>
          <w:tcPr>
            <w:tcW w:w="586" w:type="pct"/>
            <w:shd w:val="clear" w:color="auto" w:fill="auto"/>
          </w:tcPr>
          <w:p w14:paraId="33A88167" w14:textId="6DA67A0E" w:rsidR="00C010DB" w:rsidRDefault="00C010DB" w:rsidP="004A7958">
            <w:pPr>
              <w:pStyle w:val="TableText0"/>
              <w:jc w:val="center"/>
              <w:rPr>
                <w:rFonts w:cs="Arial"/>
              </w:rPr>
            </w:pPr>
            <w:r w:rsidRPr="001B5328">
              <w:t>$</w:t>
            </w:r>
            <w:r w:rsidR="00D25BE4" w:rsidRPr="00D25BE4">
              <w:rPr>
                <w:rFonts w:hint="eastAsia"/>
                <w:color w:val="000000"/>
                <w:w w:val="27"/>
                <w:shd w:val="solid" w:color="000000" w:fill="000000"/>
                <w:fitText w:val="120" w:id="-1233420018"/>
                <w14:textFill>
                  <w14:solidFill>
                    <w14:srgbClr w14:val="000000">
                      <w14:alpha w14:val="100000"/>
                    </w14:srgbClr>
                  </w14:solidFill>
                </w14:textFill>
              </w:rPr>
              <w:t xml:space="preserve">　</w:t>
            </w:r>
            <w:r w:rsidR="00D25BE4" w:rsidRPr="00D25BE4">
              <w:rPr>
                <w:color w:val="000000"/>
                <w:w w:val="27"/>
                <w:shd w:val="solid" w:color="000000" w:fill="000000"/>
                <w:fitText w:val="120" w:id="-1233420018"/>
                <w14:textFill>
                  <w14:solidFill>
                    <w14:srgbClr w14:val="000000">
                      <w14:alpha w14:val="100000"/>
                    </w14:srgbClr>
                  </w14:solidFill>
                </w14:textFill>
              </w:rPr>
              <w:t>|</w:t>
            </w:r>
            <w:r w:rsidR="00D25BE4" w:rsidRPr="00D25BE4">
              <w:rPr>
                <w:rFonts w:hint="eastAsia"/>
                <w:color w:val="000000"/>
                <w:spacing w:val="2"/>
                <w:w w:val="27"/>
                <w:shd w:val="solid" w:color="000000" w:fill="000000"/>
                <w:fitText w:val="120" w:id="-1233420018"/>
                <w14:textFill>
                  <w14:solidFill>
                    <w14:srgbClr w14:val="000000">
                      <w14:alpha w14:val="100000"/>
                    </w14:srgbClr>
                  </w14:solidFill>
                </w14:textFill>
              </w:rPr>
              <w:t xml:space="preserve">　</w:t>
            </w:r>
            <w:r w:rsidR="0023687B">
              <w:rPr>
                <w:rFonts w:cs="Arial"/>
                <w:color w:val="000000"/>
                <w:vertAlign w:val="superscript"/>
              </w:rPr>
              <w:t>4</w:t>
            </w:r>
          </w:p>
        </w:tc>
        <w:tc>
          <w:tcPr>
            <w:tcW w:w="586" w:type="pct"/>
            <w:shd w:val="clear" w:color="auto" w:fill="auto"/>
          </w:tcPr>
          <w:p w14:paraId="62790EE1" w14:textId="46634CED" w:rsidR="00C010DB" w:rsidRDefault="00C010DB" w:rsidP="004A7958">
            <w:pPr>
              <w:pStyle w:val="TableText0"/>
              <w:jc w:val="center"/>
              <w:rPr>
                <w:rFonts w:cs="Arial"/>
              </w:rPr>
            </w:pPr>
            <w:r w:rsidRPr="001B5328">
              <w:t>$</w:t>
            </w:r>
            <w:r w:rsidR="00D25BE4" w:rsidRPr="00D25BE4">
              <w:rPr>
                <w:rFonts w:hint="eastAsia"/>
                <w:color w:val="000000"/>
                <w:w w:val="27"/>
                <w:shd w:val="solid" w:color="000000" w:fill="000000"/>
                <w:fitText w:val="120" w:id="-1233420017"/>
                <w14:textFill>
                  <w14:solidFill>
                    <w14:srgbClr w14:val="000000">
                      <w14:alpha w14:val="100000"/>
                    </w14:srgbClr>
                  </w14:solidFill>
                </w14:textFill>
              </w:rPr>
              <w:t xml:space="preserve">　</w:t>
            </w:r>
            <w:r w:rsidR="00D25BE4" w:rsidRPr="00D25BE4">
              <w:rPr>
                <w:color w:val="000000"/>
                <w:w w:val="27"/>
                <w:shd w:val="solid" w:color="000000" w:fill="000000"/>
                <w:fitText w:val="120" w:id="-1233420017"/>
                <w14:textFill>
                  <w14:solidFill>
                    <w14:srgbClr w14:val="000000">
                      <w14:alpha w14:val="100000"/>
                    </w14:srgbClr>
                  </w14:solidFill>
                </w14:textFill>
              </w:rPr>
              <w:t>|</w:t>
            </w:r>
            <w:r w:rsidR="00D25BE4" w:rsidRPr="00D25BE4">
              <w:rPr>
                <w:rFonts w:hint="eastAsia"/>
                <w:color w:val="000000"/>
                <w:spacing w:val="2"/>
                <w:w w:val="27"/>
                <w:shd w:val="solid" w:color="000000" w:fill="000000"/>
                <w:fitText w:val="120" w:id="-1233420017"/>
                <w14:textFill>
                  <w14:solidFill>
                    <w14:srgbClr w14:val="000000">
                      <w14:alpha w14:val="100000"/>
                    </w14:srgbClr>
                  </w14:solidFill>
                </w14:textFill>
              </w:rPr>
              <w:t xml:space="preserve">　</w:t>
            </w:r>
            <w:r w:rsidR="0023687B">
              <w:rPr>
                <w:rFonts w:cs="Arial"/>
                <w:color w:val="000000"/>
                <w:vertAlign w:val="superscript"/>
              </w:rPr>
              <w:t>4</w:t>
            </w:r>
          </w:p>
        </w:tc>
        <w:tc>
          <w:tcPr>
            <w:tcW w:w="586" w:type="pct"/>
            <w:shd w:val="clear" w:color="auto" w:fill="auto"/>
          </w:tcPr>
          <w:p w14:paraId="593CABFF" w14:textId="19D5BD92" w:rsidR="00C010DB" w:rsidRDefault="00C010DB" w:rsidP="004A7958">
            <w:pPr>
              <w:pStyle w:val="TableText0"/>
              <w:jc w:val="center"/>
              <w:rPr>
                <w:rFonts w:cs="Arial"/>
              </w:rPr>
            </w:pPr>
            <w:r w:rsidRPr="001B5328">
              <w:t>$</w:t>
            </w:r>
            <w:r w:rsidR="00D25BE4" w:rsidRPr="00D25BE4">
              <w:rPr>
                <w:rFonts w:hint="eastAsia"/>
                <w:color w:val="000000"/>
                <w:w w:val="27"/>
                <w:shd w:val="solid" w:color="000000" w:fill="000000"/>
                <w:fitText w:val="120" w:id="-1233420016"/>
                <w14:textFill>
                  <w14:solidFill>
                    <w14:srgbClr w14:val="000000">
                      <w14:alpha w14:val="100000"/>
                    </w14:srgbClr>
                  </w14:solidFill>
                </w14:textFill>
              </w:rPr>
              <w:t xml:space="preserve">　</w:t>
            </w:r>
            <w:r w:rsidR="00D25BE4" w:rsidRPr="00D25BE4">
              <w:rPr>
                <w:color w:val="000000"/>
                <w:w w:val="27"/>
                <w:shd w:val="solid" w:color="000000" w:fill="000000"/>
                <w:fitText w:val="120" w:id="-1233420016"/>
                <w14:textFill>
                  <w14:solidFill>
                    <w14:srgbClr w14:val="000000">
                      <w14:alpha w14:val="100000"/>
                    </w14:srgbClr>
                  </w14:solidFill>
                </w14:textFill>
              </w:rPr>
              <w:t>|</w:t>
            </w:r>
            <w:r w:rsidR="00D25BE4" w:rsidRPr="00D25BE4">
              <w:rPr>
                <w:rFonts w:hint="eastAsia"/>
                <w:color w:val="000000"/>
                <w:spacing w:val="2"/>
                <w:w w:val="27"/>
                <w:shd w:val="solid" w:color="000000" w:fill="000000"/>
                <w:fitText w:val="120" w:id="-1233420016"/>
                <w14:textFill>
                  <w14:solidFill>
                    <w14:srgbClr w14:val="000000">
                      <w14:alpha w14:val="100000"/>
                    </w14:srgbClr>
                  </w14:solidFill>
                </w14:textFill>
              </w:rPr>
              <w:t xml:space="preserve">　</w:t>
            </w:r>
            <w:r w:rsidR="0023687B">
              <w:rPr>
                <w:rFonts w:cs="Arial"/>
                <w:color w:val="000000"/>
                <w:vertAlign w:val="superscript"/>
              </w:rPr>
              <w:t>4</w:t>
            </w:r>
          </w:p>
        </w:tc>
        <w:tc>
          <w:tcPr>
            <w:tcW w:w="586" w:type="pct"/>
            <w:shd w:val="clear" w:color="auto" w:fill="auto"/>
          </w:tcPr>
          <w:p w14:paraId="079F42D0" w14:textId="050CD367" w:rsidR="00C010DB" w:rsidRDefault="00C010DB" w:rsidP="004A7958">
            <w:pPr>
              <w:pStyle w:val="TableText0"/>
              <w:jc w:val="center"/>
              <w:rPr>
                <w:rFonts w:cs="Arial"/>
              </w:rPr>
            </w:pPr>
            <w:r w:rsidRPr="001B5328">
              <w:t>$</w:t>
            </w:r>
            <w:r w:rsidR="00D25BE4" w:rsidRPr="00D25BE4">
              <w:rPr>
                <w:rFonts w:hint="eastAsia"/>
                <w:color w:val="000000"/>
                <w:w w:val="27"/>
                <w:shd w:val="solid" w:color="000000" w:fill="000000"/>
                <w:fitText w:val="120" w:id="-1233420032"/>
                <w14:textFill>
                  <w14:solidFill>
                    <w14:srgbClr w14:val="000000">
                      <w14:alpha w14:val="100000"/>
                    </w14:srgbClr>
                  </w14:solidFill>
                </w14:textFill>
              </w:rPr>
              <w:t xml:space="preserve">　</w:t>
            </w:r>
            <w:r w:rsidR="00D25BE4" w:rsidRPr="00D25BE4">
              <w:rPr>
                <w:color w:val="000000"/>
                <w:w w:val="27"/>
                <w:shd w:val="solid" w:color="000000" w:fill="000000"/>
                <w:fitText w:val="120" w:id="-1233420032"/>
                <w14:textFill>
                  <w14:solidFill>
                    <w14:srgbClr w14:val="000000">
                      <w14:alpha w14:val="100000"/>
                    </w14:srgbClr>
                  </w14:solidFill>
                </w14:textFill>
              </w:rPr>
              <w:t>|</w:t>
            </w:r>
            <w:r w:rsidR="00D25BE4" w:rsidRPr="00D25BE4">
              <w:rPr>
                <w:rFonts w:hint="eastAsia"/>
                <w:color w:val="000000"/>
                <w:spacing w:val="2"/>
                <w:w w:val="27"/>
                <w:shd w:val="solid" w:color="000000" w:fill="000000"/>
                <w:fitText w:val="120" w:id="-1233420032"/>
                <w14:textFill>
                  <w14:solidFill>
                    <w14:srgbClr w14:val="000000">
                      <w14:alpha w14:val="100000"/>
                    </w14:srgbClr>
                  </w14:solidFill>
                </w14:textFill>
              </w:rPr>
              <w:t xml:space="preserve">　</w:t>
            </w:r>
            <w:r w:rsidR="0023687B">
              <w:rPr>
                <w:rFonts w:cs="Arial"/>
                <w:color w:val="000000"/>
                <w:vertAlign w:val="superscript"/>
              </w:rPr>
              <w:t>4</w:t>
            </w:r>
          </w:p>
        </w:tc>
      </w:tr>
      <w:tr w:rsidR="00C010DB" w:rsidRPr="003F255E" w14:paraId="5E4B05E7" w14:textId="77777777" w:rsidTr="004A7958">
        <w:trPr>
          <w:cantSplit/>
        </w:trPr>
        <w:tc>
          <w:tcPr>
            <w:tcW w:w="1483" w:type="pct"/>
            <w:shd w:val="clear" w:color="auto" w:fill="auto"/>
            <w:vAlign w:val="center"/>
          </w:tcPr>
          <w:p w14:paraId="48DA9D74" w14:textId="77777777" w:rsidR="00C010DB" w:rsidRDefault="00C010DB" w:rsidP="004A7958">
            <w:pPr>
              <w:pStyle w:val="TableText0"/>
            </w:pPr>
            <w:r>
              <w:t xml:space="preserve">Patient co-payments </w:t>
            </w:r>
            <w:r>
              <w:rPr>
                <w:vertAlign w:val="superscript"/>
              </w:rPr>
              <w:t>b</w:t>
            </w:r>
            <w:r>
              <w:t xml:space="preserve"> </w:t>
            </w:r>
          </w:p>
        </w:tc>
        <w:tc>
          <w:tcPr>
            <w:tcW w:w="586" w:type="pct"/>
            <w:shd w:val="clear" w:color="auto" w:fill="auto"/>
          </w:tcPr>
          <w:p w14:paraId="05D74D4D" w14:textId="3B705C78" w:rsidR="00C010DB" w:rsidRDefault="00C010DB" w:rsidP="004A7958">
            <w:pPr>
              <w:pStyle w:val="TableText0"/>
              <w:jc w:val="center"/>
              <w:rPr>
                <w:rFonts w:cs="Arial"/>
                <w:color w:val="000000"/>
              </w:rPr>
            </w:pPr>
            <w:r w:rsidRPr="00927918">
              <w:t>$</w:t>
            </w:r>
            <w:r w:rsidR="00D25BE4" w:rsidRPr="00D25BE4">
              <w:rPr>
                <w:rFonts w:hint="eastAsia"/>
                <w:color w:val="000000"/>
                <w:w w:val="27"/>
                <w:shd w:val="solid" w:color="000000" w:fill="000000"/>
                <w:fitText w:val="120" w:id="-1233420031"/>
                <w14:textFill>
                  <w14:solidFill>
                    <w14:srgbClr w14:val="000000">
                      <w14:alpha w14:val="100000"/>
                    </w14:srgbClr>
                  </w14:solidFill>
                </w14:textFill>
              </w:rPr>
              <w:t xml:space="preserve">　</w:t>
            </w:r>
            <w:r w:rsidR="00D25BE4" w:rsidRPr="00D25BE4">
              <w:rPr>
                <w:color w:val="000000"/>
                <w:w w:val="27"/>
                <w:shd w:val="solid" w:color="000000" w:fill="000000"/>
                <w:fitText w:val="120" w:id="-1233420031"/>
                <w14:textFill>
                  <w14:solidFill>
                    <w14:srgbClr w14:val="000000">
                      <w14:alpha w14:val="100000"/>
                    </w14:srgbClr>
                  </w14:solidFill>
                </w14:textFill>
              </w:rPr>
              <w:t>|</w:t>
            </w:r>
            <w:r w:rsidR="00D25BE4" w:rsidRPr="00D25BE4">
              <w:rPr>
                <w:rFonts w:hint="eastAsia"/>
                <w:color w:val="000000"/>
                <w:spacing w:val="2"/>
                <w:w w:val="27"/>
                <w:shd w:val="solid" w:color="000000" w:fill="000000"/>
                <w:fitText w:val="120" w:id="-1233420031"/>
                <w14:textFill>
                  <w14:solidFill>
                    <w14:srgbClr w14:val="000000">
                      <w14:alpha w14:val="100000"/>
                    </w14:srgbClr>
                  </w14:solidFill>
                </w14:textFill>
              </w:rPr>
              <w:t xml:space="preserve">　</w:t>
            </w:r>
            <w:r w:rsidR="0023687B">
              <w:rPr>
                <w:rFonts w:cs="Arial"/>
                <w:color w:val="000000"/>
                <w:vertAlign w:val="superscript"/>
              </w:rPr>
              <w:t>4</w:t>
            </w:r>
          </w:p>
        </w:tc>
        <w:tc>
          <w:tcPr>
            <w:tcW w:w="586" w:type="pct"/>
            <w:shd w:val="clear" w:color="auto" w:fill="auto"/>
          </w:tcPr>
          <w:p w14:paraId="2FBD3480" w14:textId="7E119A87" w:rsidR="00C010DB" w:rsidRDefault="00C010DB" w:rsidP="004A7958">
            <w:pPr>
              <w:pStyle w:val="TableText0"/>
              <w:jc w:val="center"/>
              <w:rPr>
                <w:rFonts w:cs="Arial"/>
              </w:rPr>
            </w:pPr>
            <w:r w:rsidRPr="00927918">
              <w:t>$</w:t>
            </w:r>
            <w:r w:rsidR="00D25BE4" w:rsidRPr="00D25BE4">
              <w:rPr>
                <w:rFonts w:hint="eastAsia"/>
                <w:color w:val="000000"/>
                <w:w w:val="27"/>
                <w:shd w:val="solid" w:color="000000" w:fill="000000"/>
                <w:fitText w:val="120" w:id="-1233420030"/>
                <w14:textFill>
                  <w14:solidFill>
                    <w14:srgbClr w14:val="000000">
                      <w14:alpha w14:val="100000"/>
                    </w14:srgbClr>
                  </w14:solidFill>
                </w14:textFill>
              </w:rPr>
              <w:t xml:space="preserve">　</w:t>
            </w:r>
            <w:r w:rsidR="00D25BE4" w:rsidRPr="00D25BE4">
              <w:rPr>
                <w:color w:val="000000"/>
                <w:w w:val="27"/>
                <w:shd w:val="solid" w:color="000000" w:fill="000000"/>
                <w:fitText w:val="120" w:id="-1233420030"/>
                <w14:textFill>
                  <w14:solidFill>
                    <w14:srgbClr w14:val="000000">
                      <w14:alpha w14:val="100000"/>
                    </w14:srgbClr>
                  </w14:solidFill>
                </w14:textFill>
              </w:rPr>
              <w:t>|</w:t>
            </w:r>
            <w:r w:rsidR="00D25BE4" w:rsidRPr="00D25BE4">
              <w:rPr>
                <w:rFonts w:hint="eastAsia"/>
                <w:color w:val="000000"/>
                <w:spacing w:val="2"/>
                <w:w w:val="27"/>
                <w:shd w:val="solid" w:color="000000" w:fill="000000"/>
                <w:fitText w:val="120" w:id="-1233420030"/>
                <w14:textFill>
                  <w14:solidFill>
                    <w14:srgbClr w14:val="000000">
                      <w14:alpha w14:val="100000"/>
                    </w14:srgbClr>
                  </w14:solidFill>
                </w14:textFill>
              </w:rPr>
              <w:t xml:space="preserve">　</w:t>
            </w:r>
            <w:r w:rsidR="0023687B">
              <w:rPr>
                <w:rFonts w:cs="Arial"/>
                <w:color w:val="000000"/>
                <w:vertAlign w:val="superscript"/>
              </w:rPr>
              <w:t>4</w:t>
            </w:r>
          </w:p>
        </w:tc>
        <w:tc>
          <w:tcPr>
            <w:tcW w:w="586" w:type="pct"/>
            <w:shd w:val="clear" w:color="auto" w:fill="auto"/>
          </w:tcPr>
          <w:p w14:paraId="0893EED1" w14:textId="12645731" w:rsidR="00C010DB" w:rsidRDefault="00C010DB" w:rsidP="004A7958">
            <w:pPr>
              <w:pStyle w:val="TableText0"/>
              <w:jc w:val="center"/>
              <w:rPr>
                <w:rFonts w:cs="Arial"/>
              </w:rPr>
            </w:pPr>
            <w:r w:rsidRPr="00927918">
              <w:t>$</w:t>
            </w:r>
            <w:r w:rsidR="00D25BE4" w:rsidRPr="00D25BE4">
              <w:rPr>
                <w:rFonts w:hint="eastAsia"/>
                <w:color w:val="000000"/>
                <w:w w:val="27"/>
                <w:shd w:val="solid" w:color="000000" w:fill="000000"/>
                <w:fitText w:val="120" w:id="-1233420029"/>
                <w14:textFill>
                  <w14:solidFill>
                    <w14:srgbClr w14:val="000000">
                      <w14:alpha w14:val="100000"/>
                    </w14:srgbClr>
                  </w14:solidFill>
                </w14:textFill>
              </w:rPr>
              <w:t xml:space="preserve">　</w:t>
            </w:r>
            <w:r w:rsidR="00D25BE4" w:rsidRPr="00D25BE4">
              <w:rPr>
                <w:color w:val="000000"/>
                <w:w w:val="27"/>
                <w:shd w:val="solid" w:color="000000" w:fill="000000"/>
                <w:fitText w:val="120" w:id="-1233420029"/>
                <w14:textFill>
                  <w14:solidFill>
                    <w14:srgbClr w14:val="000000">
                      <w14:alpha w14:val="100000"/>
                    </w14:srgbClr>
                  </w14:solidFill>
                </w14:textFill>
              </w:rPr>
              <w:t>|</w:t>
            </w:r>
            <w:r w:rsidR="00D25BE4" w:rsidRPr="00D25BE4">
              <w:rPr>
                <w:rFonts w:hint="eastAsia"/>
                <w:color w:val="000000"/>
                <w:spacing w:val="2"/>
                <w:w w:val="27"/>
                <w:shd w:val="solid" w:color="000000" w:fill="000000"/>
                <w:fitText w:val="120" w:id="-1233420029"/>
                <w14:textFill>
                  <w14:solidFill>
                    <w14:srgbClr w14:val="000000">
                      <w14:alpha w14:val="100000"/>
                    </w14:srgbClr>
                  </w14:solidFill>
                </w14:textFill>
              </w:rPr>
              <w:t xml:space="preserve">　</w:t>
            </w:r>
            <w:r w:rsidR="0023687B">
              <w:rPr>
                <w:rFonts w:cs="Arial"/>
                <w:color w:val="000000"/>
                <w:vertAlign w:val="superscript"/>
              </w:rPr>
              <w:t>4</w:t>
            </w:r>
          </w:p>
        </w:tc>
        <w:tc>
          <w:tcPr>
            <w:tcW w:w="586" w:type="pct"/>
            <w:shd w:val="clear" w:color="auto" w:fill="auto"/>
          </w:tcPr>
          <w:p w14:paraId="2E3D7303" w14:textId="33481BDE" w:rsidR="00C010DB" w:rsidRDefault="00C010DB" w:rsidP="004A7958">
            <w:pPr>
              <w:pStyle w:val="TableText0"/>
              <w:jc w:val="center"/>
              <w:rPr>
                <w:rFonts w:cs="Arial"/>
              </w:rPr>
            </w:pPr>
            <w:r w:rsidRPr="00927918">
              <w:t>$</w:t>
            </w:r>
            <w:r w:rsidR="00D25BE4" w:rsidRPr="00D25BE4">
              <w:rPr>
                <w:rFonts w:hint="eastAsia"/>
                <w:color w:val="000000"/>
                <w:w w:val="27"/>
                <w:shd w:val="solid" w:color="000000" w:fill="000000"/>
                <w:fitText w:val="120" w:id="-1233420028"/>
                <w14:textFill>
                  <w14:solidFill>
                    <w14:srgbClr w14:val="000000">
                      <w14:alpha w14:val="100000"/>
                    </w14:srgbClr>
                  </w14:solidFill>
                </w14:textFill>
              </w:rPr>
              <w:t xml:space="preserve">　</w:t>
            </w:r>
            <w:r w:rsidR="00D25BE4" w:rsidRPr="00D25BE4">
              <w:rPr>
                <w:color w:val="000000"/>
                <w:w w:val="27"/>
                <w:shd w:val="solid" w:color="000000" w:fill="000000"/>
                <w:fitText w:val="120" w:id="-1233420028"/>
                <w14:textFill>
                  <w14:solidFill>
                    <w14:srgbClr w14:val="000000">
                      <w14:alpha w14:val="100000"/>
                    </w14:srgbClr>
                  </w14:solidFill>
                </w14:textFill>
              </w:rPr>
              <w:t>|</w:t>
            </w:r>
            <w:r w:rsidR="00D25BE4" w:rsidRPr="00D25BE4">
              <w:rPr>
                <w:rFonts w:hint="eastAsia"/>
                <w:color w:val="000000"/>
                <w:spacing w:val="2"/>
                <w:w w:val="27"/>
                <w:shd w:val="solid" w:color="000000" w:fill="000000"/>
                <w:fitText w:val="120" w:id="-1233420028"/>
                <w14:textFill>
                  <w14:solidFill>
                    <w14:srgbClr w14:val="000000">
                      <w14:alpha w14:val="100000"/>
                    </w14:srgbClr>
                  </w14:solidFill>
                </w14:textFill>
              </w:rPr>
              <w:t xml:space="preserve">　</w:t>
            </w:r>
            <w:r w:rsidR="0023687B">
              <w:rPr>
                <w:rFonts w:cs="Arial"/>
                <w:color w:val="000000"/>
                <w:vertAlign w:val="superscript"/>
              </w:rPr>
              <w:t>4</w:t>
            </w:r>
          </w:p>
        </w:tc>
        <w:tc>
          <w:tcPr>
            <w:tcW w:w="586" w:type="pct"/>
            <w:shd w:val="clear" w:color="auto" w:fill="auto"/>
          </w:tcPr>
          <w:p w14:paraId="0671FE94" w14:textId="5C8842AF" w:rsidR="00C010DB" w:rsidRDefault="00C010DB" w:rsidP="004A7958">
            <w:pPr>
              <w:pStyle w:val="TableText0"/>
              <w:jc w:val="center"/>
              <w:rPr>
                <w:rFonts w:cs="Arial"/>
              </w:rPr>
            </w:pPr>
            <w:r w:rsidRPr="00927918">
              <w:t>$</w:t>
            </w:r>
            <w:r w:rsidR="00D25BE4" w:rsidRPr="00D25BE4">
              <w:rPr>
                <w:rFonts w:hint="eastAsia"/>
                <w:color w:val="000000"/>
                <w:w w:val="27"/>
                <w:shd w:val="solid" w:color="000000" w:fill="000000"/>
                <w:fitText w:val="120" w:id="-1233420027"/>
                <w14:textFill>
                  <w14:solidFill>
                    <w14:srgbClr w14:val="000000">
                      <w14:alpha w14:val="100000"/>
                    </w14:srgbClr>
                  </w14:solidFill>
                </w14:textFill>
              </w:rPr>
              <w:t xml:space="preserve">　</w:t>
            </w:r>
            <w:r w:rsidR="00D25BE4" w:rsidRPr="00D25BE4">
              <w:rPr>
                <w:color w:val="000000"/>
                <w:w w:val="27"/>
                <w:shd w:val="solid" w:color="000000" w:fill="000000"/>
                <w:fitText w:val="120" w:id="-1233420027"/>
                <w14:textFill>
                  <w14:solidFill>
                    <w14:srgbClr w14:val="000000">
                      <w14:alpha w14:val="100000"/>
                    </w14:srgbClr>
                  </w14:solidFill>
                </w14:textFill>
              </w:rPr>
              <w:t>|</w:t>
            </w:r>
            <w:r w:rsidR="00D25BE4" w:rsidRPr="00D25BE4">
              <w:rPr>
                <w:rFonts w:hint="eastAsia"/>
                <w:color w:val="000000"/>
                <w:spacing w:val="2"/>
                <w:w w:val="27"/>
                <w:shd w:val="solid" w:color="000000" w:fill="000000"/>
                <w:fitText w:val="120" w:id="-1233420027"/>
                <w14:textFill>
                  <w14:solidFill>
                    <w14:srgbClr w14:val="000000">
                      <w14:alpha w14:val="100000"/>
                    </w14:srgbClr>
                  </w14:solidFill>
                </w14:textFill>
              </w:rPr>
              <w:t xml:space="preserve">　</w:t>
            </w:r>
            <w:r w:rsidR="0023687B">
              <w:rPr>
                <w:rFonts w:cs="Arial"/>
                <w:color w:val="000000"/>
                <w:vertAlign w:val="superscript"/>
              </w:rPr>
              <w:t>4</w:t>
            </w:r>
          </w:p>
        </w:tc>
        <w:tc>
          <w:tcPr>
            <w:tcW w:w="586" w:type="pct"/>
            <w:shd w:val="clear" w:color="auto" w:fill="auto"/>
          </w:tcPr>
          <w:p w14:paraId="5E4027FD" w14:textId="304428FD" w:rsidR="00C010DB" w:rsidRDefault="00C010DB" w:rsidP="004A7958">
            <w:pPr>
              <w:pStyle w:val="TableText0"/>
              <w:jc w:val="center"/>
              <w:rPr>
                <w:rFonts w:cs="Arial"/>
              </w:rPr>
            </w:pPr>
            <w:r w:rsidRPr="00927918">
              <w:t>$</w:t>
            </w:r>
            <w:r w:rsidR="00D25BE4" w:rsidRPr="00D25BE4">
              <w:rPr>
                <w:rFonts w:hint="eastAsia"/>
                <w:color w:val="000000"/>
                <w:w w:val="27"/>
                <w:shd w:val="solid" w:color="000000" w:fill="000000"/>
                <w:fitText w:val="120" w:id="-1233420026"/>
                <w14:textFill>
                  <w14:solidFill>
                    <w14:srgbClr w14:val="000000">
                      <w14:alpha w14:val="100000"/>
                    </w14:srgbClr>
                  </w14:solidFill>
                </w14:textFill>
              </w:rPr>
              <w:t xml:space="preserve">　</w:t>
            </w:r>
            <w:r w:rsidR="00D25BE4" w:rsidRPr="00D25BE4">
              <w:rPr>
                <w:color w:val="000000"/>
                <w:w w:val="27"/>
                <w:shd w:val="solid" w:color="000000" w:fill="000000"/>
                <w:fitText w:val="120" w:id="-1233420026"/>
                <w14:textFill>
                  <w14:solidFill>
                    <w14:srgbClr w14:val="000000">
                      <w14:alpha w14:val="100000"/>
                    </w14:srgbClr>
                  </w14:solidFill>
                </w14:textFill>
              </w:rPr>
              <w:t>|</w:t>
            </w:r>
            <w:r w:rsidR="00D25BE4" w:rsidRPr="00D25BE4">
              <w:rPr>
                <w:rFonts w:hint="eastAsia"/>
                <w:color w:val="000000"/>
                <w:spacing w:val="2"/>
                <w:w w:val="27"/>
                <w:shd w:val="solid" w:color="000000" w:fill="000000"/>
                <w:fitText w:val="120" w:id="-1233420026"/>
                <w14:textFill>
                  <w14:solidFill>
                    <w14:srgbClr w14:val="000000">
                      <w14:alpha w14:val="100000"/>
                    </w14:srgbClr>
                  </w14:solidFill>
                </w14:textFill>
              </w:rPr>
              <w:t xml:space="preserve">　</w:t>
            </w:r>
            <w:r w:rsidR="0023687B">
              <w:rPr>
                <w:rFonts w:cs="Arial"/>
                <w:color w:val="000000"/>
                <w:vertAlign w:val="superscript"/>
              </w:rPr>
              <w:t>4</w:t>
            </w:r>
          </w:p>
        </w:tc>
      </w:tr>
      <w:tr w:rsidR="00C010DB" w:rsidRPr="003F255E" w14:paraId="232CBAAF" w14:textId="77777777" w:rsidTr="004A7958">
        <w:trPr>
          <w:cantSplit/>
        </w:trPr>
        <w:tc>
          <w:tcPr>
            <w:tcW w:w="1483" w:type="pct"/>
            <w:shd w:val="clear" w:color="auto" w:fill="auto"/>
            <w:vAlign w:val="center"/>
          </w:tcPr>
          <w:p w14:paraId="7F2E4575" w14:textId="77777777" w:rsidR="00C010DB" w:rsidRDefault="00C010DB" w:rsidP="004A7958">
            <w:pPr>
              <w:pStyle w:val="TableText0"/>
            </w:pPr>
            <w:r>
              <w:t>Cost of NEPA IV to the PBS/RPBS less copays</w:t>
            </w:r>
          </w:p>
        </w:tc>
        <w:tc>
          <w:tcPr>
            <w:tcW w:w="586" w:type="pct"/>
            <w:shd w:val="clear" w:color="auto" w:fill="auto"/>
            <w:vAlign w:val="center"/>
          </w:tcPr>
          <w:p w14:paraId="2D2B91D7" w14:textId="552F0562" w:rsidR="00C010DB" w:rsidRPr="00CD0916" w:rsidRDefault="00C010DB" w:rsidP="004A7958">
            <w:pPr>
              <w:pStyle w:val="TableText0"/>
              <w:jc w:val="center"/>
            </w:pPr>
            <w:r>
              <w:rPr>
                <w:rFonts w:cs="Arial"/>
                <w:color w:val="000000"/>
              </w:rPr>
              <w:t>$</w:t>
            </w:r>
            <w:r w:rsidR="00D25BE4" w:rsidRPr="00D25BE4">
              <w:rPr>
                <w:rFonts w:cs="Arial" w:hint="eastAsia"/>
                <w:color w:val="000000"/>
                <w:w w:val="27"/>
                <w:shd w:val="solid" w:color="000000" w:fill="000000"/>
                <w:fitText w:val="120" w:id="-1233420025"/>
                <w14:textFill>
                  <w14:solidFill>
                    <w14:srgbClr w14:val="000000">
                      <w14:alpha w14:val="100000"/>
                    </w14:srgbClr>
                  </w14:solidFill>
                </w14:textFill>
              </w:rPr>
              <w:t xml:space="preserve">　</w:t>
            </w:r>
            <w:r w:rsidR="00D25BE4" w:rsidRPr="00D25BE4">
              <w:rPr>
                <w:rFonts w:cs="Arial"/>
                <w:color w:val="000000"/>
                <w:w w:val="27"/>
                <w:shd w:val="solid" w:color="000000" w:fill="000000"/>
                <w:fitText w:val="120" w:id="-1233420025"/>
                <w14:textFill>
                  <w14:solidFill>
                    <w14:srgbClr w14:val="000000">
                      <w14:alpha w14:val="100000"/>
                    </w14:srgbClr>
                  </w14:solidFill>
                </w14:textFill>
              </w:rPr>
              <w:t>|</w:t>
            </w:r>
            <w:r w:rsidR="00D25BE4" w:rsidRPr="00D25BE4">
              <w:rPr>
                <w:rFonts w:cs="Arial" w:hint="eastAsia"/>
                <w:color w:val="000000"/>
                <w:spacing w:val="2"/>
                <w:w w:val="27"/>
                <w:shd w:val="solid" w:color="000000" w:fill="000000"/>
                <w:fitText w:val="120" w:id="-1233420025"/>
                <w14:textFill>
                  <w14:solidFill>
                    <w14:srgbClr w14:val="000000">
                      <w14:alpha w14:val="100000"/>
                    </w14:srgbClr>
                  </w14:solidFill>
                </w14:textFill>
              </w:rPr>
              <w:t xml:space="preserve">　</w:t>
            </w:r>
            <w:r w:rsidR="0023687B">
              <w:rPr>
                <w:rFonts w:cs="Arial"/>
                <w:color w:val="000000"/>
                <w:vertAlign w:val="superscript"/>
              </w:rPr>
              <w:t>4</w:t>
            </w:r>
          </w:p>
        </w:tc>
        <w:tc>
          <w:tcPr>
            <w:tcW w:w="586" w:type="pct"/>
            <w:shd w:val="clear" w:color="auto" w:fill="auto"/>
            <w:vAlign w:val="center"/>
          </w:tcPr>
          <w:p w14:paraId="7B86B427" w14:textId="7149B671" w:rsidR="00C010DB" w:rsidRPr="00CD0916" w:rsidRDefault="00C010DB" w:rsidP="004A7958">
            <w:pPr>
              <w:pStyle w:val="TableText0"/>
              <w:jc w:val="center"/>
            </w:pPr>
            <w:r>
              <w:rPr>
                <w:rFonts w:cs="Arial"/>
              </w:rPr>
              <w:t>$</w:t>
            </w:r>
            <w:r w:rsidR="00D25BE4" w:rsidRPr="00D25BE4">
              <w:rPr>
                <w:rFonts w:cs="Arial" w:hint="eastAsia"/>
                <w:color w:val="000000"/>
                <w:w w:val="27"/>
                <w:shd w:val="solid" w:color="000000" w:fill="000000"/>
                <w:fitText w:val="120" w:id="-1233420024"/>
                <w14:textFill>
                  <w14:solidFill>
                    <w14:srgbClr w14:val="000000">
                      <w14:alpha w14:val="100000"/>
                    </w14:srgbClr>
                  </w14:solidFill>
                </w14:textFill>
              </w:rPr>
              <w:t xml:space="preserve">　</w:t>
            </w:r>
            <w:r w:rsidR="00D25BE4" w:rsidRPr="00D25BE4">
              <w:rPr>
                <w:rFonts w:cs="Arial"/>
                <w:color w:val="000000"/>
                <w:w w:val="27"/>
                <w:shd w:val="solid" w:color="000000" w:fill="000000"/>
                <w:fitText w:val="120" w:id="-1233420024"/>
                <w14:textFill>
                  <w14:solidFill>
                    <w14:srgbClr w14:val="000000">
                      <w14:alpha w14:val="100000"/>
                    </w14:srgbClr>
                  </w14:solidFill>
                </w14:textFill>
              </w:rPr>
              <w:t>|</w:t>
            </w:r>
            <w:r w:rsidR="00D25BE4" w:rsidRPr="00D25BE4">
              <w:rPr>
                <w:rFonts w:cs="Arial" w:hint="eastAsia"/>
                <w:color w:val="000000"/>
                <w:spacing w:val="2"/>
                <w:w w:val="27"/>
                <w:shd w:val="solid" w:color="000000" w:fill="000000"/>
                <w:fitText w:val="120" w:id="-1233420024"/>
                <w14:textFill>
                  <w14:solidFill>
                    <w14:srgbClr w14:val="000000">
                      <w14:alpha w14:val="100000"/>
                    </w14:srgbClr>
                  </w14:solidFill>
                </w14:textFill>
              </w:rPr>
              <w:t xml:space="preserve">　</w:t>
            </w:r>
            <w:r w:rsidR="0023687B">
              <w:rPr>
                <w:rFonts w:cs="Arial"/>
                <w:color w:val="000000"/>
                <w:vertAlign w:val="superscript"/>
              </w:rPr>
              <w:t>4</w:t>
            </w:r>
          </w:p>
        </w:tc>
        <w:tc>
          <w:tcPr>
            <w:tcW w:w="586" w:type="pct"/>
            <w:shd w:val="clear" w:color="auto" w:fill="auto"/>
            <w:vAlign w:val="center"/>
          </w:tcPr>
          <w:p w14:paraId="79BA2E35" w14:textId="6DC442E3" w:rsidR="00C010DB" w:rsidRPr="00CD0916" w:rsidRDefault="00C010DB" w:rsidP="004A7958">
            <w:pPr>
              <w:pStyle w:val="TableText0"/>
              <w:jc w:val="center"/>
            </w:pPr>
            <w:r>
              <w:rPr>
                <w:rFonts w:cs="Arial"/>
              </w:rPr>
              <w:t>$</w:t>
            </w:r>
            <w:r w:rsidR="00D25BE4" w:rsidRPr="00D25BE4">
              <w:rPr>
                <w:rFonts w:cs="Arial" w:hint="eastAsia"/>
                <w:color w:val="000000"/>
                <w:w w:val="27"/>
                <w:shd w:val="solid" w:color="000000" w:fill="000000"/>
                <w:fitText w:val="120" w:id="-1233420023"/>
                <w14:textFill>
                  <w14:solidFill>
                    <w14:srgbClr w14:val="000000">
                      <w14:alpha w14:val="100000"/>
                    </w14:srgbClr>
                  </w14:solidFill>
                </w14:textFill>
              </w:rPr>
              <w:t xml:space="preserve">　</w:t>
            </w:r>
            <w:r w:rsidR="00D25BE4" w:rsidRPr="00D25BE4">
              <w:rPr>
                <w:rFonts w:cs="Arial"/>
                <w:color w:val="000000"/>
                <w:w w:val="27"/>
                <w:shd w:val="solid" w:color="000000" w:fill="000000"/>
                <w:fitText w:val="120" w:id="-1233420023"/>
                <w14:textFill>
                  <w14:solidFill>
                    <w14:srgbClr w14:val="000000">
                      <w14:alpha w14:val="100000"/>
                    </w14:srgbClr>
                  </w14:solidFill>
                </w14:textFill>
              </w:rPr>
              <w:t>|</w:t>
            </w:r>
            <w:r w:rsidR="00D25BE4" w:rsidRPr="00D25BE4">
              <w:rPr>
                <w:rFonts w:cs="Arial" w:hint="eastAsia"/>
                <w:color w:val="000000"/>
                <w:spacing w:val="2"/>
                <w:w w:val="27"/>
                <w:shd w:val="solid" w:color="000000" w:fill="000000"/>
                <w:fitText w:val="120" w:id="-1233420023"/>
                <w14:textFill>
                  <w14:solidFill>
                    <w14:srgbClr w14:val="000000">
                      <w14:alpha w14:val="100000"/>
                    </w14:srgbClr>
                  </w14:solidFill>
                </w14:textFill>
              </w:rPr>
              <w:t xml:space="preserve">　</w:t>
            </w:r>
            <w:r w:rsidR="0023687B">
              <w:rPr>
                <w:rFonts w:cs="Arial"/>
                <w:color w:val="000000"/>
                <w:vertAlign w:val="superscript"/>
              </w:rPr>
              <w:t>4</w:t>
            </w:r>
          </w:p>
        </w:tc>
        <w:tc>
          <w:tcPr>
            <w:tcW w:w="586" w:type="pct"/>
            <w:shd w:val="clear" w:color="auto" w:fill="auto"/>
            <w:vAlign w:val="center"/>
          </w:tcPr>
          <w:p w14:paraId="768B92C6" w14:textId="3649F78E" w:rsidR="00C010DB" w:rsidRPr="00CD0916" w:rsidRDefault="00C010DB" w:rsidP="004A7958">
            <w:pPr>
              <w:pStyle w:val="TableText0"/>
              <w:jc w:val="center"/>
            </w:pPr>
            <w:r>
              <w:rPr>
                <w:rFonts w:cs="Arial"/>
              </w:rPr>
              <w:t>$</w:t>
            </w:r>
            <w:r w:rsidR="00D25BE4" w:rsidRPr="00D25BE4">
              <w:rPr>
                <w:rFonts w:cs="Arial" w:hint="eastAsia"/>
                <w:color w:val="000000"/>
                <w:w w:val="27"/>
                <w:shd w:val="solid" w:color="000000" w:fill="000000"/>
                <w:fitText w:val="120" w:id="-1233420022"/>
                <w14:textFill>
                  <w14:solidFill>
                    <w14:srgbClr w14:val="000000">
                      <w14:alpha w14:val="100000"/>
                    </w14:srgbClr>
                  </w14:solidFill>
                </w14:textFill>
              </w:rPr>
              <w:t xml:space="preserve">　</w:t>
            </w:r>
            <w:r w:rsidR="00D25BE4" w:rsidRPr="00D25BE4">
              <w:rPr>
                <w:rFonts w:cs="Arial"/>
                <w:color w:val="000000"/>
                <w:w w:val="27"/>
                <w:shd w:val="solid" w:color="000000" w:fill="000000"/>
                <w:fitText w:val="120" w:id="-1233420022"/>
                <w14:textFill>
                  <w14:solidFill>
                    <w14:srgbClr w14:val="000000">
                      <w14:alpha w14:val="100000"/>
                    </w14:srgbClr>
                  </w14:solidFill>
                </w14:textFill>
              </w:rPr>
              <w:t>|</w:t>
            </w:r>
            <w:r w:rsidR="00D25BE4" w:rsidRPr="00D25BE4">
              <w:rPr>
                <w:rFonts w:cs="Arial" w:hint="eastAsia"/>
                <w:color w:val="000000"/>
                <w:spacing w:val="2"/>
                <w:w w:val="27"/>
                <w:shd w:val="solid" w:color="000000" w:fill="000000"/>
                <w:fitText w:val="120" w:id="-1233420022"/>
                <w14:textFill>
                  <w14:solidFill>
                    <w14:srgbClr w14:val="000000">
                      <w14:alpha w14:val="100000"/>
                    </w14:srgbClr>
                  </w14:solidFill>
                </w14:textFill>
              </w:rPr>
              <w:t xml:space="preserve">　</w:t>
            </w:r>
            <w:r w:rsidR="0023687B">
              <w:rPr>
                <w:rFonts w:cs="Arial"/>
                <w:color w:val="000000"/>
                <w:vertAlign w:val="superscript"/>
              </w:rPr>
              <w:t>4</w:t>
            </w:r>
          </w:p>
        </w:tc>
        <w:tc>
          <w:tcPr>
            <w:tcW w:w="586" w:type="pct"/>
            <w:shd w:val="clear" w:color="auto" w:fill="auto"/>
            <w:vAlign w:val="center"/>
          </w:tcPr>
          <w:p w14:paraId="638AA8F1" w14:textId="596F506C" w:rsidR="00C010DB" w:rsidRPr="00CD0916" w:rsidRDefault="00C010DB" w:rsidP="004A7958">
            <w:pPr>
              <w:pStyle w:val="TableText0"/>
              <w:jc w:val="center"/>
            </w:pPr>
            <w:r>
              <w:rPr>
                <w:rFonts w:cs="Arial"/>
              </w:rPr>
              <w:t>$</w:t>
            </w:r>
            <w:r w:rsidR="00D25BE4" w:rsidRPr="00D25BE4">
              <w:rPr>
                <w:rFonts w:cs="Arial" w:hint="eastAsia"/>
                <w:color w:val="000000"/>
                <w:w w:val="27"/>
                <w:shd w:val="solid" w:color="000000" w:fill="000000"/>
                <w:fitText w:val="120" w:id="-1233420021"/>
                <w14:textFill>
                  <w14:solidFill>
                    <w14:srgbClr w14:val="000000">
                      <w14:alpha w14:val="100000"/>
                    </w14:srgbClr>
                  </w14:solidFill>
                </w14:textFill>
              </w:rPr>
              <w:t xml:space="preserve">　</w:t>
            </w:r>
            <w:r w:rsidR="00D25BE4" w:rsidRPr="00D25BE4">
              <w:rPr>
                <w:rFonts w:cs="Arial"/>
                <w:color w:val="000000"/>
                <w:w w:val="27"/>
                <w:shd w:val="solid" w:color="000000" w:fill="000000"/>
                <w:fitText w:val="120" w:id="-1233420021"/>
                <w14:textFill>
                  <w14:solidFill>
                    <w14:srgbClr w14:val="000000">
                      <w14:alpha w14:val="100000"/>
                    </w14:srgbClr>
                  </w14:solidFill>
                </w14:textFill>
              </w:rPr>
              <w:t>|</w:t>
            </w:r>
            <w:r w:rsidR="00D25BE4" w:rsidRPr="00D25BE4">
              <w:rPr>
                <w:rFonts w:cs="Arial" w:hint="eastAsia"/>
                <w:color w:val="000000"/>
                <w:spacing w:val="2"/>
                <w:w w:val="27"/>
                <w:shd w:val="solid" w:color="000000" w:fill="000000"/>
                <w:fitText w:val="120" w:id="-1233420021"/>
                <w14:textFill>
                  <w14:solidFill>
                    <w14:srgbClr w14:val="000000">
                      <w14:alpha w14:val="100000"/>
                    </w14:srgbClr>
                  </w14:solidFill>
                </w14:textFill>
              </w:rPr>
              <w:t xml:space="preserve">　</w:t>
            </w:r>
            <w:r w:rsidR="0023687B">
              <w:rPr>
                <w:rFonts w:cs="Arial"/>
                <w:color w:val="000000"/>
                <w:vertAlign w:val="superscript"/>
              </w:rPr>
              <w:t>4</w:t>
            </w:r>
          </w:p>
        </w:tc>
        <w:tc>
          <w:tcPr>
            <w:tcW w:w="586" w:type="pct"/>
            <w:shd w:val="clear" w:color="auto" w:fill="auto"/>
            <w:vAlign w:val="center"/>
          </w:tcPr>
          <w:p w14:paraId="59801EDC" w14:textId="6A2B12D1" w:rsidR="00C010DB" w:rsidRPr="00CD0916" w:rsidRDefault="00C010DB" w:rsidP="004A7958">
            <w:pPr>
              <w:pStyle w:val="TableText0"/>
              <w:jc w:val="center"/>
            </w:pPr>
            <w:r>
              <w:rPr>
                <w:rFonts w:cs="Arial"/>
              </w:rPr>
              <w:t>$</w:t>
            </w:r>
            <w:r w:rsidR="00D25BE4" w:rsidRPr="00D25BE4">
              <w:rPr>
                <w:rFonts w:cs="Arial" w:hint="eastAsia"/>
                <w:color w:val="000000"/>
                <w:w w:val="27"/>
                <w:shd w:val="solid" w:color="000000" w:fill="000000"/>
                <w:fitText w:val="120" w:id="-1233420020"/>
                <w14:textFill>
                  <w14:solidFill>
                    <w14:srgbClr w14:val="000000">
                      <w14:alpha w14:val="100000"/>
                    </w14:srgbClr>
                  </w14:solidFill>
                </w14:textFill>
              </w:rPr>
              <w:t xml:space="preserve">　</w:t>
            </w:r>
            <w:r w:rsidR="00D25BE4" w:rsidRPr="00D25BE4">
              <w:rPr>
                <w:rFonts w:cs="Arial"/>
                <w:color w:val="000000"/>
                <w:w w:val="27"/>
                <w:shd w:val="solid" w:color="000000" w:fill="000000"/>
                <w:fitText w:val="120" w:id="-1233420020"/>
                <w14:textFill>
                  <w14:solidFill>
                    <w14:srgbClr w14:val="000000">
                      <w14:alpha w14:val="100000"/>
                    </w14:srgbClr>
                  </w14:solidFill>
                </w14:textFill>
              </w:rPr>
              <w:t>|</w:t>
            </w:r>
            <w:r w:rsidR="00D25BE4" w:rsidRPr="00D25BE4">
              <w:rPr>
                <w:rFonts w:cs="Arial" w:hint="eastAsia"/>
                <w:color w:val="000000"/>
                <w:spacing w:val="2"/>
                <w:w w:val="27"/>
                <w:shd w:val="solid" w:color="000000" w:fill="000000"/>
                <w:fitText w:val="120" w:id="-1233420020"/>
                <w14:textFill>
                  <w14:solidFill>
                    <w14:srgbClr w14:val="000000">
                      <w14:alpha w14:val="100000"/>
                    </w14:srgbClr>
                  </w14:solidFill>
                </w14:textFill>
              </w:rPr>
              <w:t xml:space="preserve">　</w:t>
            </w:r>
            <w:r w:rsidR="0023687B">
              <w:rPr>
                <w:rFonts w:cs="Arial"/>
                <w:color w:val="000000"/>
                <w:vertAlign w:val="superscript"/>
              </w:rPr>
              <w:t>4</w:t>
            </w:r>
          </w:p>
        </w:tc>
      </w:tr>
      <w:tr w:rsidR="00C010DB" w:rsidRPr="003F255E" w14:paraId="6C6F4A11" w14:textId="77777777" w:rsidTr="004A7958">
        <w:trPr>
          <w:cantSplit/>
        </w:trPr>
        <w:tc>
          <w:tcPr>
            <w:tcW w:w="1483" w:type="pct"/>
            <w:shd w:val="clear" w:color="auto" w:fill="auto"/>
            <w:vAlign w:val="center"/>
          </w:tcPr>
          <w:p w14:paraId="0602A079" w14:textId="678F7544" w:rsidR="00C010DB" w:rsidRDefault="00C010DB" w:rsidP="004A7958">
            <w:pPr>
              <w:pStyle w:val="TableText0"/>
            </w:pPr>
            <w:r>
              <w:t xml:space="preserve">Reduction </w:t>
            </w:r>
            <w:r w:rsidR="00386B94">
              <w:t>in Emend IV</w:t>
            </w:r>
            <w:r>
              <w:t xml:space="preserve"> scripts</w:t>
            </w:r>
          </w:p>
        </w:tc>
        <w:tc>
          <w:tcPr>
            <w:tcW w:w="586" w:type="pct"/>
            <w:shd w:val="clear" w:color="auto" w:fill="auto"/>
            <w:vAlign w:val="center"/>
          </w:tcPr>
          <w:p w14:paraId="2DD2EDB7" w14:textId="1328D76A" w:rsidR="00C010DB" w:rsidRPr="00304BA5" w:rsidRDefault="00D25BE4" w:rsidP="004A7958">
            <w:pPr>
              <w:pStyle w:val="TableText0"/>
              <w:jc w:val="center"/>
              <w:rPr>
                <w:rFonts w:cs="Arial"/>
                <w:color w:val="000000"/>
                <w:highlight w:val="darkGray"/>
              </w:rPr>
            </w:pPr>
            <w:r w:rsidRPr="00D25BE4">
              <w:rPr>
                <w:rFonts w:hint="eastAsia"/>
                <w:color w:val="000000"/>
                <w:w w:val="16"/>
                <w:shd w:val="solid" w:color="000000" w:fill="000000"/>
                <w:fitText w:val="75" w:id="-1233420019"/>
                <w14:textFill>
                  <w14:solidFill>
                    <w14:srgbClr w14:val="000000">
                      <w14:alpha w14:val="100000"/>
                    </w14:srgbClr>
                  </w14:solidFill>
                </w14:textFill>
              </w:rPr>
              <w:t xml:space="preserve">　</w:t>
            </w:r>
            <w:r w:rsidRPr="00D25BE4">
              <w:rPr>
                <w:color w:val="000000"/>
                <w:w w:val="16"/>
                <w:shd w:val="solid" w:color="000000" w:fill="000000"/>
                <w:fitText w:val="75" w:id="-1233420019"/>
                <w14:textFill>
                  <w14:solidFill>
                    <w14:srgbClr w14:val="000000">
                      <w14:alpha w14:val="100000"/>
                    </w14:srgbClr>
                  </w14:solidFill>
                </w14:textFill>
              </w:rPr>
              <w:t>|</w:t>
            </w:r>
            <w:r w:rsidRPr="00D25BE4">
              <w:rPr>
                <w:rFonts w:hint="eastAsia"/>
                <w:color w:val="000000"/>
                <w:spacing w:val="5"/>
                <w:w w:val="16"/>
                <w:shd w:val="solid" w:color="000000" w:fill="000000"/>
                <w:fitText w:val="75" w:id="-1233420019"/>
                <w14:textFill>
                  <w14:solidFill>
                    <w14:srgbClr w14:val="000000">
                      <w14:alpha w14:val="100000"/>
                    </w14:srgbClr>
                  </w14:solidFill>
                </w14:textFill>
              </w:rPr>
              <w:t xml:space="preserve">　</w:t>
            </w:r>
            <w:r w:rsidR="00E06D6F">
              <w:rPr>
                <w:rFonts w:cs="Arial"/>
                <w:color w:val="000000"/>
                <w:vertAlign w:val="superscript"/>
              </w:rPr>
              <w:t>2</w:t>
            </w:r>
          </w:p>
        </w:tc>
        <w:tc>
          <w:tcPr>
            <w:tcW w:w="586" w:type="pct"/>
            <w:shd w:val="clear" w:color="auto" w:fill="auto"/>
            <w:vAlign w:val="center"/>
          </w:tcPr>
          <w:p w14:paraId="0FF66252" w14:textId="4E0BE74F" w:rsidR="00C010DB" w:rsidRPr="00304BA5" w:rsidRDefault="00D25BE4" w:rsidP="004A7958">
            <w:pPr>
              <w:pStyle w:val="TableText0"/>
              <w:jc w:val="center"/>
              <w:rPr>
                <w:rFonts w:cs="Arial"/>
                <w:highlight w:val="darkGray"/>
              </w:rPr>
            </w:pPr>
            <w:r w:rsidRPr="00D25BE4">
              <w:rPr>
                <w:rFonts w:hint="eastAsia"/>
                <w:color w:val="000000"/>
                <w:w w:val="16"/>
                <w:shd w:val="solid" w:color="000000" w:fill="000000"/>
                <w:fitText w:val="75" w:id="-1233420018"/>
                <w14:textFill>
                  <w14:solidFill>
                    <w14:srgbClr w14:val="000000">
                      <w14:alpha w14:val="100000"/>
                    </w14:srgbClr>
                  </w14:solidFill>
                </w14:textFill>
              </w:rPr>
              <w:t xml:space="preserve">　</w:t>
            </w:r>
            <w:r w:rsidRPr="00D25BE4">
              <w:rPr>
                <w:color w:val="000000"/>
                <w:w w:val="16"/>
                <w:shd w:val="solid" w:color="000000" w:fill="000000"/>
                <w:fitText w:val="75" w:id="-1233420018"/>
                <w14:textFill>
                  <w14:solidFill>
                    <w14:srgbClr w14:val="000000">
                      <w14:alpha w14:val="100000"/>
                    </w14:srgbClr>
                  </w14:solidFill>
                </w14:textFill>
              </w:rPr>
              <w:t>|</w:t>
            </w:r>
            <w:r w:rsidRPr="00D25BE4">
              <w:rPr>
                <w:rFonts w:hint="eastAsia"/>
                <w:color w:val="000000"/>
                <w:spacing w:val="5"/>
                <w:w w:val="16"/>
                <w:shd w:val="solid" w:color="000000" w:fill="000000"/>
                <w:fitText w:val="75" w:id="-1233420018"/>
                <w14:textFill>
                  <w14:solidFill>
                    <w14:srgbClr w14:val="000000">
                      <w14:alpha w14:val="100000"/>
                    </w14:srgbClr>
                  </w14:solidFill>
                </w14:textFill>
              </w:rPr>
              <w:t xml:space="preserve">　</w:t>
            </w:r>
            <w:r w:rsidR="0023687B">
              <w:rPr>
                <w:rFonts w:cs="Arial"/>
                <w:color w:val="000000"/>
                <w:vertAlign w:val="superscript"/>
              </w:rPr>
              <w:t>1</w:t>
            </w:r>
          </w:p>
        </w:tc>
        <w:tc>
          <w:tcPr>
            <w:tcW w:w="586" w:type="pct"/>
            <w:shd w:val="clear" w:color="auto" w:fill="auto"/>
            <w:vAlign w:val="center"/>
          </w:tcPr>
          <w:p w14:paraId="7A269949" w14:textId="71780F94" w:rsidR="00C010DB" w:rsidRPr="00304BA5" w:rsidRDefault="00D25BE4" w:rsidP="004A7958">
            <w:pPr>
              <w:pStyle w:val="TableText0"/>
              <w:jc w:val="center"/>
              <w:rPr>
                <w:rFonts w:cs="Arial"/>
                <w:highlight w:val="darkGray"/>
              </w:rPr>
            </w:pPr>
            <w:r w:rsidRPr="00D25BE4">
              <w:rPr>
                <w:rFonts w:hint="eastAsia"/>
                <w:color w:val="000000"/>
                <w:w w:val="16"/>
                <w:shd w:val="solid" w:color="000000" w:fill="000000"/>
                <w:fitText w:val="75" w:id="-1233420017"/>
                <w14:textFill>
                  <w14:solidFill>
                    <w14:srgbClr w14:val="000000">
                      <w14:alpha w14:val="100000"/>
                    </w14:srgbClr>
                  </w14:solidFill>
                </w14:textFill>
              </w:rPr>
              <w:t xml:space="preserve">　</w:t>
            </w:r>
            <w:r w:rsidRPr="00D25BE4">
              <w:rPr>
                <w:color w:val="000000"/>
                <w:w w:val="16"/>
                <w:shd w:val="solid" w:color="000000" w:fill="000000"/>
                <w:fitText w:val="75" w:id="-1233420017"/>
                <w14:textFill>
                  <w14:solidFill>
                    <w14:srgbClr w14:val="000000">
                      <w14:alpha w14:val="100000"/>
                    </w14:srgbClr>
                  </w14:solidFill>
                </w14:textFill>
              </w:rPr>
              <w:t>|</w:t>
            </w:r>
            <w:r w:rsidRPr="00D25BE4">
              <w:rPr>
                <w:rFonts w:hint="eastAsia"/>
                <w:color w:val="000000"/>
                <w:spacing w:val="5"/>
                <w:w w:val="16"/>
                <w:shd w:val="solid" w:color="000000" w:fill="000000"/>
                <w:fitText w:val="75" w:id="-1233420017"/>
                <w14:textFill>
                  <w14:solidFill>
                    <w14:srgbClr w14:val="000000">
                      <w14:alpha w14:val="100000"/>
                    </w14:srgbClr>
                  </w14:solidFill>
                </w14:textFill>
              </w:rPr>
              <w:t xml:space="preserve">　</w:t>
            </w:r>
            <w:r w:rsidR="0023687B">
              <w:rPr>
                <w:rFonts w:cs="Arial"/>
                <w:color w:val="000000"/>
                <w:vertAlign w:val="superscript"/>
              </w:rPr>
              <w:t>1</w:t>
            </w:r>
          </w:p>
        </w:tc>
        <w:tc>
          <w:tcPr>
            <w:tcW w:w="586" w:type="pct"/>
            <w:shd w:val="clear" w:color="auto" w:fill="auto"/>
            <w:vAlign w:val="center"/>
          </w:tcPr>
          <w:p w14:paraId="35D379E2" w14:textId="66D4C38B" w:rsidR="00C010DB" w:rsidRPr="00304BA5" w:rsidRDefault="00D25BE4" w:rsidP="004A7958">
            <w:pPr>
              <w:pStyle w:val="TableText0"/>
              <w:jc w:val="center"/>
              <w:rPr>
                <w:rFonts w:cs="Arial"/>
                <w:highlight w:val="darkGray"/>
              </w:rPr>
            </w:pPr>
            <w:r w:rsidRPr="00D25BE4">
              <w:rPr>
                <w:rFonts w:hint="eastAsia"/>
                <w:color w:val="000000"/>
                <w:w w:val="16"/>
                <w:shd w:val="solid" w:color="000000" w:fill="000000"/>
                <w:fitText w:val="75" w:id="-1233420016"/>
                <w14:textFill>
                  <w14:solidFill>
                    <w14:srgbClr w14:val="000000">
                      <w14:alpha w14:val="100000"/>
                    </w14:srgbClr>
                  </w14:solidFill>
                </w14:textFill>
              </w:rPr>
              <w:t xml:space="preserve">　</w:t>
            </w:r>
            <w:r w:rsidRPr="00D25BE4">
              <w:rPr>
                <w:color w:val="000000"/>
                <w:w w:val="16"/>
                <w:shd w:val="solid" w:color="000000" w:fill="000000"/>
                <w:fitText w:val="75" w:id="-1233420016"/>
                <w14:textFill>
                  <w14:solidFill>
                    <w14:srgbClr w14:val="000000">
                      <w14:alpha w14:val="100000"/>
                    </w14:srgbClr>
                  </w14:solidFill>
                </w14:textFill>
              </w:rPr>
              <w:t>|</w:t>
            </w:r>
            <w:r w:rsidRPr="00D25BE4">
              <w:rPr>
                <w:rFonts w:hint="eastAsia"/>
                <w:color w:val="000000"/>
                <w:spacing w:val="5"/>
                <w:w w:val="16"/>
                <w:shd w:val="solid" w:color="000000" w:fill="000000"/>
                <w:fitText w:val="75" w:id="-1233420016"/>
                <w14:textFill>
                  <w14:solidFill>
                    <w14:srgbClr w14:val="000000">
                      <w14:alpha w14:val="100000"/>
                    </w14:srgbClr>
                  </w14:solidFill>
                </w14:textFill>
              </w:rPr>
              <w:t xml:space="preserve">　</w:t>
            </w:r>
            <w:r w:rsidR="00C70109">
              <w:rPr>
                <w:rFonts w:cs="Arial"/>
                <w:color w:val="000000"/>
                <w:vertAlign w:val="superscript"/>
              </w:rPr>
              <w:t>5</w:t>
            </w:r>
          </w:p>
        </w:tc>
        <w:tc>
          <w:tcPr>
            <w:tcW w:w="586" w:type="pct"/>
            <w:shd w:val="clear" w:color="auto" w:fill="auto"/>
            <w:vAlign w:val="center"/>
          </w:tcPr>
          <w:p w14:paraId="0CF7B064" w14:textId="3210FF3F" w:rsidR="00C010DB" w:rsidRPr="00304BA5" w:rsidRDefault="00D25BE4" w:rsidP="004A7958">
            <w:pPr>
              <w:pStyle w:val="TableText0"/>
              <w:jc w:val="center"/>
              <w:rPr>
                <w:rFonts w:cs="Arial"/>
                <w:highlight w:val="darkGray"/>
              </w:rPr>
            </w:pPr>
            <w:r w:rsidRPr="00D25BE4">
              <w:rPr>
                <w:rFonts w:hint="eastAsia"/>
                <w:color w:val="000000"/>
                <w:w w:val="16"/>
                <w:shd w:val="solid" w:color="000000" w:fill="000000"/>
                <w:fitText w:val="75" w:id="-1233420032"/>
                <w14:textFill>
                  <w14:solidFill>
                    <w14:srgbClr w14:val="000000">
                      <w14:alpha w14:val="100000"/>
                    </w14:srgbClr>
                  </w14:solidFill>
                </w14:textFill>
              </w:rPr>
              <w:t xml:space="preserve">　</w:t>
            </w:r>
            <w:r w:rsidRPr="00D25BE4">
              <w:rPr>
                <w:color w:val="000000"/>
                <w:w w:val="16"/>
                <w:shd w:val="solid" w:color="000000" w:fill="000000"/>
                <w:fitText w:val="75" w:id="-1233420032"/>
                <w14:textFill>
                  <w14:solidFill>
                    <w14:srgbClr w14:val="000000">
                      <w14:alpha w14:val="100000"/>
                    </w14:srgbClr>
                  </w14:solidFill>
                </w14:textFill>
              </w:rPr>
              <w:t>|</w:t>
            </w:r>
            <w:r w:rsidRPr="00D25BE4">
              <w:rPr>
                <w:rFonts w:hint="eastAsia"/>
                <w:color w:val="000000"/>
                <w:spacing w:val="5"/>
                <w:w w:val="16"/>
                <w:shd w:val="solid" w:color="000000" w:fill="000000"/>
                <w:fitText w:val="75" w:id="-1233420032"/>
                <w14:textFill>
                  <w14:solidFill>
                    <w14:srgbClr w14:val="000000">
                      <w14:alpha w14:val="100000"/>
                    </w14:srgbClr>
                  </w14:solidFill>
                </w14:textFill>
              </w:rPr>
              <w:t xml:space="preserve">　</w:t>
            </w:r>
            <w:r w:rsidR="00C70109">
              <w:rPr>
                <w:rFonts w:cs="Arial"/>
                <w:color w:val="000000"/>
                <w:vertAlign w:val="superscript"/>
              </w:rPr>
              <w:t>5</w:t>
            </w:r>
          </w:p>
        </w:tc>
        <w:tc>
          <w:tcPr>
            <w:tcW w:w="586" w:type="pct"/>
            <w:shd w:val="clear" w:color="auto" w:fill="auto"/>
            <w:vAlign w:val="center"/>
          </w:tcPr>
          <w:p w14:paraId="1536A547" w14:textId="3BCAA3A7" w:rsidR="00C010DB" w:rsidRPr="00304BA5" w:rsidRDefault="00D25BE4" w:rsidP="004A7958">
            <w:pPr>
              <w:pStyle w:val="TableText0"/>
              <w:jc w:val="center"/>
              <w:rPr>
                <w:rFonts w:cs="Arial"/>
                <w:highlight w:val="darkGray"/>
              </w:rPr>
            </w:pPr>
            <w:r w:rsidRPr="00D25BE4">
              <w:rPr>
                <w:rFonts w:hint="eastAsia"/>
                <w:color w:val="000000"/>
                <w:w w:val="16"/>
                <w:shd w:val="solid" w:color="000000" w:fill="000000"/>
                <w:fitText w:val="75" w:id="-1233420031"/>
                <w14:textFill>
                  <w14:solidFill>
                    <w14:srgbClr w14:val="000000">
                      <w14:alpha w14:val="100000"/>
                    </w14:srgbClr>
                  </w14:solidFill>
                </w14:textFill>
              </w:rPr>
              <w:t xml:space="preserve">　</w:t>
            </w:r>
            <w:r w:rsidRPr="00D25BE4">
              <w:rPr>
                <w:color w:val="000000"/>
                <w:w w:val="16"/>
                <w:shd w:val="solid" w:color="000000" w:fill="000000"/>
                <w:fitText w:val="75" w:id="-1233420031"/>
                <w14:textFill>
                  <w14:solidFill>
                    <w14:srgbClr w14:val="000000">
                      <w14:alpha w14:val="100000"/>
                    </w14:srgbClr>
                  </w14:solidFill>
                </w14:textFill>
              </w:rPr>
              <w:t>|</w:t>
            </w:r>
            <w:r w:rsidRPr="00D25BE4">
              <w:rPr>
                <w:rFonts w:hint="eastAsia"/>
                <w:color w:val="000000"/>
                <w:spacing w:val="5"/>
                <w:w w:val="16"/>
                <w:shd w:val="solid" w:color="000000" w:fill="000000"/>
                <w:fitText w:val="75" w:id="-1233420031"/>
                <w14:textFill>
                  <w14:solidFill>
                    <w14:srgbClr w14:val="000000">
                      <w14:alpha w14:val="100000"/>
                    </w14:srgbClr>
                  </w14:solidFill>
                </w14:textFill>
              </w:rPr>
              <w:t xml:space="preserve">　</w:t>
            </w:r>
            <w:r w:rsidR="00C70109">
              <w:rPr>
                <w:rFonts w:cs="Arial"/>
                <w:color w:val="000000"/>
                <w:vertAlign w:val="superscript"/>
              </w:rPr>
              <w:t>5</w:t>
            </w:r>
          </w:p>
        </w:tc>
      </w:tr>
      <w:tr w:rsidR="00AD784E" w:rsidRPr="003F255E" w14:paraId="00C61787" w14:textId="77777777" w:rsidTr="004A7958">
        <w:trPr>
          <w:cantSplit/>
        </w:trPr>
        <w:tc>
          <w:tcPr>
            <w:tcW w:w="1483" w:type="pct"/>
            <w:shd w:val="clear" w:color="auto" w:fill="auto"/>
            <w:vAlign w:val="center"/>
          </w:tcPr>
          <w:p w14:paraId="18CCE3DA" w14:textId="47D14E00" w:rsidR="00AD784E" w:rsidRDefault="00AD784E" w:rsidP="004A7958">
            <w:pPr>
              <w:pStyle w:val="TableText0"/>
            </w:pPr>
            <w:r>
              <w:t>Reduction in palonosetron scripts</w:t>
            </w:r>
          </w:p>
        </w:tc>
        <w:tc>
          <w:tcPr>
            <w:tcW w:w="586" w:type="pct"/>
            <w:shd w:val="clear" w:color="auto" w:fill="auto"/>
            <w:vAlign w:val="center"/>
          </w:tcPr>
          <w:p w14:paraId="074DCEA2" w14:textId="2921135F" w:rsidR="00AD784E" w:rsidRPr="00304BA5" w:rsidRDefault="00D25BE4" w:rsidP="004A7958">
            <w:pPr>
              <w:pStyle w:val="TableText0"/>
              <w:jc w:val="center"/>
              <w:rPr>
                <w:highlight w:val="darkGray"/>
              </w:rPr>
            </w:pPr>
            <w:r w:rsidRPr="00D25BE4">
              <w:rPr>
                <w:rFonts w:hint="eastAsia"/>
                <w:color w:val="000000"/>
                <w:w w:val="16"/>
                <w:shd w:val="solid" w:color="000000" w:fill="000000"/>
                <w:fitText w:val="75" w:id="-1233420030"/>
                <w14:textFill>
                  <w14:solidFill>
                    <w14:srgbClr w14:val="000000">
                      <w14:alpha w14:val="100000"/>
                    </w14:srgbClr>
                  </w14:solidFill>
                </w14:textFill>
              </w:rPr>
              <w:t xml:space="preserve">　</w:t>
            </w:r>
            <w:r w:rsidRPr="00D25BE4">
              <w:rPr>
                <w:color w:val="000000"/>
                <w:w w:val="16"/>
                <w:shd w:val="solid" w:color="000000" w:fill="000000"/>
                <w:fitText w:val="75" w:id="-1233420030"/>
                <w14:textFill>
                  <w14:solidFill>
                    <w14:srgbClr w14:val="000000">
                      <w14:alpha w14:val="100000"/>
                    </w14:srgbClr>
                  </w14:solidFill>
                </w14:textFill>
              </w:rPr>
              <w:t>|</w:t>
            </w:r>
            <w:r w:rsidRPr="00D25BE4">
              <w:rPr>
                <w:rFonts w:hint="eastAsia"/>
                <w:color w:val="000000"/>
                <w:spacing w:val="5"/>
                <w:w w:val="16"/>
                <w:shd w:val="solid" w:color="000000" w:fill="000000"/>
                <w:fitText w:val="75" w:id="-1233420030"/>
                <w14:textFill>
                  <w14:solidFill>
                    <w14:srgbClr w14:val="000000">
                      <w14:alpha w14:val="100000"/>
                    </w14:srgbClr>
                  </w14:solidFill>
                </w14:textFill>
              </w:rPr>
              <w:t xml:space="preserve">　</w:t>
            </w:r>
            <w:r w:rsidR="00E06D6F">
              <w:rPr>
                <w:rFonts w:cs="Arial"/>
                <w:color w:val="000000"/>
                <w:vertAlign w:val="superscript"/>
              </w:rPr>
              <w:t>2</w:t>
            </w:r>
          </w:p>
        </w:tc>
        <w:tc>
          <w:tcPr>
            <w:tcW w:w="586" w:type="pct"/>
            <w:shd w:val="clear" w:color="auto" w:fill="auto"/>
            <w:vAlign w:val="center"/>
          </w:tcPr>
          <w:p w14:paraId="4EFCC550" w14:textId="7D9D2B9C" w:rsidR="00AD784E" w:rsidRPr="00304BA5" w:rsidRDefault="00D25BE4" w:rsidP="004A7958">
            <w:pPr>
              <w:pStyle w:val="TableText0"/>
              <w:jc w:val="center"/>
              <w:rPr>
                <w:highlight w:val="darkGray"/>
              </w:rPr>
            </w:pPr>
            <w:r w:rsidRPr="00D25BE4">
              <w:rPr>
                <w:rFonts w:hint="eastAsia"/>
                <w:color w:val="000000"/>
                <w:w w:val="16"/>
                <w:shd w:val="solid" w:color="000000" w:fill="000000"/>
                <w:fitText w:val="75" w:id="-1233419776"/>
                <w14:textFill>
                  <w14:solidFill>
                    <w14:srgbClr w14:val="000000">
                      <w14:alpha w14:val="100000"/>
                    </w14:srgbClr>
                  </w14:solidFill>
                </w14:textFill>
              </w:rPr>
              <w:t xml:space="preserve">　</w:t>
            </w:r>
            <w:r w:rsidRPr="00D25BE4">
              <w:rPr>
                <w:color w:val="000000"/>
                <w:w w:val="16"/>
                <w:shd w:val="solid" w:color="000000" w:fill="000000"/>
                <w:fitText w:val="75" w:id="-1233419776"/>
                <w14:textFill>
                  <w14:solidFill>
                    <w14:srgbClr w14:val="000000">
                      <w14:alpha w14:val="100000"/>
                    </w14:srgbClr>
                  </w14:solidFill>
                </w14:textFill>
              </w:rPr>
              <w:t>|</w:t>
            </w:r>
            <w:r w:rsidRPr="00D25BE4">
              <w:rPr>
                <w:rFonts w:hint="eastAsia"/>
                <w:color w:val="000000"/>
                <w:spacing w:val="5"/>
                <w:w w:val="16"/>
                <w:shd w:val="solid" w:color="000000" w:fill="000000"/>
                <w:fitText w:val="75" w:id="-1233419776"/>
                <w14:textFill>
                  <w14:solidFill>
                    <w14:srgbClr w14:val="000000">
                      <w14:alpha w14:val="100000"/>
                    </w14:srgbClr>
                  </w14:solidFill>
                </w14:textFill>
              </w:rPr>
              <w:t xml:space="preserve">　</w:t>
            </w:r>
            <w:r w:rsidR="0023687B">
              <w:rPr>
                <w:rFonts w:cs="Arial"/>
                <w:color w:val="000000"/>
                <w:vertAlign w:val="superscript"/>
              </w:rPr>
              <w:t>1</w:t>
            </w:r>
          </w:p>
        </w:tc>
        <w:tc>
          <w:tcPr>
            <w:tcW w:w="586" w:type="pct"/>
            <w:shd w:val="clear" w:color="auto" w:fill="auto"/>
            <w:vAlign w:val="center"/>
          </w:tcPr>
          <w:p w14:paraId="522A6B33" w14:textId="493F5AEF" w:rsidR="00AD784E" w:rsidRPr="00304BA5" w:rsidRDefault="00D25BE4" w:rsidP="004A7958">
            <w:pPr>
              <w:pStyle w:val="TableText0"/>
              <w:jc w:val="center"/>
              <w:rPr>
                <w:highlight w:val="darkGray"/>
              </w:rPr>
            </w:pPr>
            <w:r w:rsidRPr="00D25BE4">
              <w:rPr>
                <w:rFonts w:hint="eastAsia"/>
                <w:color w:val="000000"/>
                <w:w w:val="16"/>
                <w:shd w:val="solid" w:color="000000" w:fill="000000"/>
                <w:fitText w:val="75" w:id="-1233419775"/>
                <w14:textFill>
                  <w14:solidFill>
                    <w14:srgbClr w14:val="000000">
                      <w14:alpha w14:val="100000"/>
                    </w14:srgbClr>
                  </w14:solidFill>
                </w14:textFill>
              </w:rPr>
              <w:t xml:space="preserve">　</w:t>
            </w:r>
            <w:r w:rsidRPr="00D25BE4">
              <w:rPr>
                <w:color w:val="000000"/>
                <w:w w:val="16"/>
                <w:shd w:val="solid" w:color="000000" w:fill="000000"/>
                <w:fitText w:val="75" w:id="-1233419775"/>
                <w14:textFill>
                  <w14:solidFill>
                    <w14:srgbClr w14:val="000000">
                      <w14:alpha w14:val="100000"/>
                    </w14:srgbClr>
                  </w14:solidFill>
                </w14:textFill>
              </w:rPr>
              <w:t>|</w:t>
            </w:r>
            <w:r w:rsidRPr="00D25BE4">
              <w:rPr>
                <w:rFonts w:hint="eastAsia"/>
                <w:color w:val="000000"/>
                <w:spacing w:val="5"/>
                <w:w w:val="16"/>
                <w:shd w:val="solid" w:color="000000" w:fill="000000"/>
                <w:fitText w:val="75" w:id="-1233419775"/>
                <w14:textFill>
                  <w14:solidFill>
                    <w14:srgbClr w14:val="000000">
                      <w14:alpha w14:val="100000"/>
                    </w14:srgbClr>
                  </w14:solidFill>
                </w14:textFill>
              </w:rPr>
              <w:t xml:space="preserve">　</w:t>
            </w:r>
            <w:r w:rsidR="0023687B">
              <w:rPr>
                <w:rFonts w:cs="Arial"/>
                <w:color w:val="000000"/>
                <w:vertAlign w:val="superscript"/>
              </w:rPr>
              <w:t>1</w:t>
            </w:r>
          </w:p>
        </w:tc>
        <w:tc>
          <w:tcPr>
            <w:tcW w:w="586" w:type="pct"/>
            <w:shd w:val="clear" w:color="auto" w:fill="auto"/>
            <w:vAlign w:val="center"/>
          </w:tcPr>
          <w:p w14:paraId="405F54E6" w14:textId="75ECF80C" w:rsidR="00AD784E" w:rsidRPr="00304BA5" w:rsidRDefault="00D25BE4" w:rsidP="004A7958">
            <w:pPr>
              <w:pStyle w:val="TableText0"/>
              <w:jc w:val="center"/>
              <w:rPr>
                <w:highlight w:val="darkGray"/>
              </w:rPr>
            </w:pPr>
            <w:r w:rsidRPr="00D25BE4">
              <w:rPr>
                <w:rFonts w:hint="eastAsia"/>
                <w:color w:val="000000"/>
                <w:w w:val="16"/>
                <w:shd w:val="solid" w:color="000000" w:fill="000000"/>
                <w:fitText w:val="75" w:id="-1233419774"/>
                <w14:textFill>
                  <w14:solidFill>
                    <w14:srgbClr w14:val="000000">
                      <w14:alpha w14:val="100000"/>
                    </w14:srgbClr>
                  </w14:solidFill>
                </w14:textFill>
              </w:rPr>
              <w:t xml:space="preserve">　</w:t>
            </w:r>
            <w:r w:rsidRPr="00D25BE4">
              <w:rPr>
                <w:color w:val="000000"/>
                <w:w w:val="16"/>
                <w:shd w:val="solid" w:color="000000" w:fill="000000"/>
                <w:fitText w:val="75" w:id="-1233419774"/>
                <w14:textFill>
                  <w14:solidFill>
                    <w14:srgbClr w14:val="000000">
                      <w14:alpha w14:val="100000"/>
                    </w14:srgbClr>
                  </w14:solidFill>
                </w14:textFill>
              </w:rPr>
              <w:t>|</w:t>
            </w:r>
            <w:r w:rsidRPr="00D25BE4">
              <w:rPr>
                <w:rFonts w:hint="eastAsia"/>
                <w:color w:val="000000"/>
                <w:spacing w:val="5"/>
                <w:w w:val="16"/>
                <w:shd w:val="solid" w:color="000000" w:fill="000000"/>
                <w:fitText w:val="75" w:id="-1233419774"/>
                <w14:textFill>
                  <w14:solidFill>
                    <w14:srgbClr w14:val="000000">
                      <w14:alpha w14:val="100000"/>
                    </w14:srgbClr>
                  </w14:solidFill>
                </w14:textFill>
              </w:rPr>
              <w:t xml:space="preserve">　</w:t>
            </w:r>
            <w:r w:rsidR="00C70109">
              <w:rPr>
                <w:rFonts w:cs="Arial"/>
                <w:color w:val="000000"/>
                <w:vertAlign w:val="superscript"/>
              </w:rPr>
              <w:t>5</w:t>
            </w:r>
          </w:p>
        </w:tc>
        <w:tc>
          <w:tcPr>
            <w:tcW w:w="586" w:type="pct"/>
            <w:shd w:val="clear" w:color="auto" w:fill="auto"/>
            <w:vAlign w:val="center"/>
          </w:tcPr>
          <w:p w14:paraId="2448DF70" w14:textId="1DD4392F" w:rsidR="00AD784E" w:rsidRPr="00304BA5" w:rsidRDefault="00D25BE4" w:rsidP="004A7958">
            <w:pPr>
              <w:pStyle w:val="TableText0"/>
              <w:jc w:val="center"/>
              <w:rPr>
                <w:highlight w:val="darkGray"/>
              </w:rPr>
            </w:pPr>
            <w:r w:rsidRPr="00D25BE4">
              <w:rPr>
                <w:rFonts w:hint="eastAsia"/>
                <w:color w:val="000000"/>
                <w:w w:val="16"/>
                <w:shd w:val="solid" w:color="000000" w:fill="000000"/>
                <w:fitText w:val="75" w:id="-1233419773"/>
                <w14:textFill>
                  <w14:solidFill>
                    <w14:srgbClr w14:val="000000">
                      <w14:alpha w14:val="100000"/>
                    </w14:srgbClr>
                  </w14:solidFill>
                </w14:textFill>
              </w:rPr>
              <w:t xml:space="preserve">　</w:t>
            </w:r>
            <w:r w:rsidRPr="00D25BE4">
              <w:rPr>
                <w:color w:val="000000"/>
                <w:w w:val="16"/>
                <w:shd w:val="solid" w:color="000000" w:fill="000000"/>
                <w:fitText w:val="75" w:id="-1233419773"/>
                <w14:textFill>
                  <w14:solidFill>
                    <w14:srgbClr w14:val="000000">
                      <w14:alpha w14:val="100000"/>
                    </w14:srgbClr>
                  </w14:solidFill>
                </w14:textFill>
              </w:rPr>
              <w:t>|</w:t>
            </w:r>
            <w:r w:rsidRPr="00D25BE4">
              <w:rPr>
                <w:rFonts w:hint="eastAsia"/>
                <w:color w:val="000000"/>
                <w:spacing w:val="5"/>
                <w:w w:val="16"/>
                <w:shd w:val="solid" w:color="000000" w:fill="000000"/>
                <w:fitText w:val="75" w:id="-1233419773"/>
                <w14:textFill>
                  <w14:solidFill>
                    <w14:srgbClr w14:val="000000">
                      <w14:alpha w14:val="100000"/>
                    </w14:srgbClr>
                  </w14:solidFill>
                </w14:textFill>
              </w:rPr>
              <w:t xml:space="preserve">　</w:t>
            </w:r>
            <w:r w:rsidR="00C70109">
              <w:rPr>
                <w:rFonts w:cs="Arial"/>
                <w:color w:val="000000"/>
                <w:vertAlign w:val="superscript"/>
              </w:rPr>
              <w:t>5</w:t>
            </w:r>
          </w:p>
        </w:tc>
        <w:tc>
          <w:tcPr>
            <w:tcW w:w="586" w:type="pct"/>
            <w:shd w:val="clear" w:color="auto" w:fill="auto"/>
            <w:vAlign w:val="center"/>
          </w:tcPr>
          <w:p w14:paraId="1AB08409" w14:textId="048D7F89" w:rsidR="00AD784E" w:rsidRPr="00304BA5" w:rsidRDefault="00D25BE4" w:rsidP="004A7958">
            <w:pPr>
              <w:pStyle w:val="TableText0"/>
              <w:jc w:val="center"/>
              <w:rPr>
                <w:highlight w:val="darkGray"/>
              </w:rPr>
            </w:pPr>
            <w:r w:rsidRPr="00D25BE4">
              <w:rPr>
                <w:rFonts w:hint="eastAsia"/>
                <w:color w:val="000000"/>
                <w:w w:val="16"/>
                <w:shd w:val="solid" w:color="000000" w:fill="000000"/>
                <w:fitText w:val="75" w:id="-1233419772"/>
                <w14:textFill>
                  <w14:solidFill>
                    <w14:srgbClr w14:val="000000">
                      <w14:alpha w14:val="100000"/>
                    </w14:srgbClr>
                  </w14:solidFill>
                </w14:textFill>
              </w:rPr>
              <w:t xml:space="preserve">　</w:t>
            </w:r>
            <w:r w:rsidRPr="00D25BE4">
              <w:rPr>
                <w:color w:val="000000"/>
                <w:w w:val="16"/>
                <w:shd w:val="solid" w:color="000000" w:fill="000000"/>
                <w:fitText w:val="75" w:id="-1233419772"/>
                <w14:textFill>
                  <w14:solidFill>
                    <w14:srgbClr w14:val="000000">
                      <w14:alpha w14:val="100000"/>
                    </w14:srgbClr>
                  </w14:solidFill>
                </w14:textFill>
              </w:rPr>
              <w:t>|</w:t>
            </w:r>
            <w:r w:rsidRPr="00D25BE4">
              <w:rPr>
                <w:rFonts w:hint="eastAsia"/>
                <w:color w:val="000000"/>
                <w:spacing w:val="5"/>
                <w:w w:val="16"/>
                <w:shd w:val="solid" w:color="000000" w:fill="000000"/>
                <w:fitText w:val="75" w:id="-1233419772"/>
                <w14:textFill>
                  <w14:solidFill>
                    <w14:srgbClr w14:val="000000">
                      <w14:alpha w14:val="100000"/>
                    </w14:srgbClr>
                  </w14:solidFill>
                </w14:textFill>
              </w:rPr>
              <w:t xml:space="preserve">　</w:t>
            </w:r>
            <w:r w:rsidR="00C70109">
              <w:rPr>
                <w:rFonts w:cs="Arial"/>
                <w:color w:val="000000"/>
                <w:vertAlign w:val="superscript"/>
              </w:rPr>
              <w:t>5</w:t>
            </w:r>
          </w:p>
        </w:tc>
      </w:tr>
      <w:tr w:rsidR="00C010DB" w:rsidRPr="003F255E" w14:paraId="5E1A494C" w14:textId="77777777" w:rsidTr="004A7958">
        <w:trPr>
          <w:cantSplit/>
        </w:trPr>
        <w:tc>
          <w:tcPr>
            <w:tcW w:w="1483" w:type="pct"/>
            <w:shd w:val="clear" w:color="auto" w:fill="auto"/>
            <w:vAlign w:val="center"/>
          </w:tcPr>
          <w:p w14:paraId="04794DA3" w14:textId="717952EA" w:rsidR="00C010DB" w:rsidRPr="00045B1E" w:rsidRDefault="00C010DB" w:rsidP="004A7958">
            <w:pPr>
              <w:pStyle w:val="TableText0"/>
              <w:rPr>
                <w:vertAlign w:val="superscript"/>
              </w:rPr>
            </w:pPr>
            <w:r>
              <w:t xml:space="preserve">Reduction in cost of </w:t>
            </w:r>
            <w:r w:rsidR="00386B94">
              <w:t xml:space="preserve">Emend IV </w:t>
            </w:r>
            <w:r>
              <w:rPr>
                <w:vertAlign w:val="superscript"/>
              </w:rPr>
              <w:t>c</w:t>
            </w:r>
            <w:r>
              <w:t xml:space="preserve"> and palonosetron </w:t>
            </w:r>
            <w:r>
              <w:rPr>
                <w:vertAlign w:val="superscript"/>
              </w:rPr>
              <w:t>d</w:t>
            </w:r>
          </w:p>
        </w:tc>
        <w:tc>
          <w:tcPr>
            <w:tcW w:w="586" w:type="pct"/>
            <w:shd w:val="clear" w:color="auto" w:fill="auto"/>
          </w:tcPr>
          <w:p w14:paraId="3CA42993" w14:textId="29F0036B" w:rsidR="00C010DB" w:rsidRDefault="00C010DB" w:rsidP="004A7958">
            <w:pPr>
              <w:pStyle w:val="TableText0"/>
              <w:jc w:val="center"/>
              <w:rPr>
                <w:rFonts w:cs="Arial"/>
                <w:color w:val="000000"/>
              </w:rPr>
            </w:pPr>
            <w:r w:rsidRPr="00EA6353">
              <w:t>$</w:t>
            </w:r>
            <w:r w:rsidR="00D25BE4" w:rsidRPr="00D25BE4">
              <w:rPr>
                <w:rFonts w:hint="eastAsia"/>
                <w:color w:val="000000"/>
                <w:w w:val="27"/>
                <w:shd w:val="solid" w:color="000000" w:fill="000000"/>
                <w:fitText w:val="120" w:id="-1233419771"/>
                <w14:textFill>
                  <w14:solidFill>
                    <w14:srgbClr w14:val="000000">
                      <w14:alpha w14:val="100000"/>
                    </w14:srgbClr>
                  </w14:solidFill>
                </w14:textFill>
              </w:rPr>
              <w:t xml:space="preserve">　</w:t>
            </w:r>
            <w:r w:rsidR="00D25BE4" w:rsidRPr="00D25BE4">
              <w:rPr>
                <w:color w:val="000000"/>
                <w:w w:val="27"/>
                <w:shd w:val="solid" w:color="000000" w:fill="000000"/>
                <w:fitText w:val="120" w:id="-1233419771"/>
                <w14:textFill>
                  <w14:solidFill>
                    <w14:srgbClr w14:val="000000">
                      <w14:alpha w14:val="100000"/>
                    </w14:srgbClr>
                  </w14:solidFill>
                </w14:textFill>
              </w:rPr>
              <w:t>|</w:t>
            </w:r>
            <w:r w:rsidR="00D25BE4" w:rsidRPr="00D25BE4">
              <w:rPr>
                <w:rFonts w:hint="eastAsia"/>
                <w:color w:val="000000"/>
                <w:spacing w:val="2"/>
                <w:w w:val="27"/>
                <w:shd w:val="solid" w:color="000000" w:fill="000000"/>
                <w:fitText w:val="120" w:id="-1233419771"/>
                <w14:textFill>
                  <w14:solidFill>
                    <w14:srgbClr w14:val="000000">
                      <w14:alpha w14:val="100000"/>
                    </w14:srgbClr>
                  </w14:solidFill>
                </w14:textFill>
              </w:rPr>
              <w:t xml:space="preserve">　</w:t>
            </w:r>
            <w:r w:rsidR="0023687B">
              <w:rPr>
                <w:rFonts w:cs="Arial"/>
                <w:color w:val="000000"/>
                <w:vertAlign w:val="superscript"/>
              </w:rPr>
              <w:t>4</w:t>
            </w:r>
          </w:p>
        </w:tc>
        <w:tc>
          <w:tcPr>
            <w:tcW w:w="586" w:type="pct"/>
            <w:shd w:val="clear" w:color="auto" w:fill="auto"/>
          </w:tcPr>
          <w:p w14:paraId="00DBD18F" w14:textId="3E930F59" w:rsidR="00C010DB" w:rsidRDefault="00C010DB" w:rsidP="004A7958">
            <w:pPr>
              <w:pStyle w:val="TableText0"/>
              <w:jc w:val="center"/>
              <w:rPr>
                <w:rFonts w:cs="Arial"/>
              </w:rPr>
            </w:pPr>
            <w:r w:rsidRPr="00EA6353">
              <w:t>$</w:t>
            </w:r>
            <w:r w:rsidR="00D25BE4" w:rsidRPr="00D25BE4">
              <w:rPr>
                <w:rFonts w:hint="eastAsia"/>
                <w:color w:val="000000"/>
                <w:w w:val="27"/>
                <w:shd w:val="solid" w:color="000000" w:fill="000000"/>
                <w:fitText w:val="120" w:id="-1233419770"/>
                <w14:textFill>
                  <w14:solidFill>
                    <w14:srgbClr w14:val="000000">
                      <w14:alpha w14:val="100000"/>
                    </w14:srgbClr>
                  </w14:solidFill>
                </w14:textFill>
              </w:rPr>
              <w:t xml:space="preserve">　</w:t>
            </w:r>
            <w:r w:rsidR="00D25BE4" w:rsidRPr="00D25BE4">
              <w:rPr>
                <w:color w:val="000000"/>
                <w:w w:val="27"/>
                <w:shd w:val="solid" w:color="000000" w:fill="000000"/>
                <w:fitText w:val="120" w:id="-1233419770"/>
                <w14:textFill>
                  <w14:solidFill>
                    <w14:srgbClr w14:val="000000">
                      <w14:alpha w14:val="100000"/>
                    </w14:srgbClr>
                  </w14:solidFill>
                </w14:textFill>
              </w:rPr>
              <w:t>|</w:t>
            </w:r>
            <w:r w:rsidR="00D25BE4" w:rsidRPr="00D25BE4">
              <w:rPr>
                <w:rFonts w:hint="eastAsia"/>
                <w:color w:val="000000"/>
                <w:spacing w:val="2"/>
                <w:w w:val="27"/>
                <w:shd w:val="solid" w:color="000000" w:fill="000000"/>
                <w:fitText w:val="120" w:id="-1233419770"/>
                <w14:textFill>
                  <w14:solidFill>
                    <w14:srgbClr w14:val="000000">
                      <w14:alpha w14:val="100000"/>
                    </w14:srgbClr>
                  </w14:solidFill>
                </w14:textFill>
              </w:rPr>
              <w:t xml:space="preserve">　</w:t>
            </w:r>
            <w:r w:rsidR="0023687B">
              <w:rPr>
                <w:rFonts w:cs="Arial"/>
                <w:color w:val="000000"/>
                <w:vertAlign w:val="superscript"/>
              </w:rPr>
              <w:t>4</w:t>
            </w:r>
          </w:p>
        </w:tc>
        <w:tc>
          <w:tcPr>
            <w:tcW w:w="586" w:type="pct"/>
            <w:shd w:val="clear" w:color="auto" w:fill="auto"/>
          </w:tcPr>
          <w:p w14:paraId="0C0316AC" w14:textId="77B215BD" w:rsidR="00C010DB" w:rsidRDefault="00C010DB" w:rsidP="004A7958">
            <w:pPr>
              <w:pStyle w:val="TableText0"/>
              <w:jc w:val="center"/>
              <w:rPr>
                <w:rFonts w:cs="Arial"/>
              </w:rPr>
            </w:pPr>
            <w:r w:rsidRPr="00EA6353">
              <w:t>$</w:t>
            </w:r>
            <w:r w:rsidR="00D25BE4" w:rsidRPr="00D25BE4">
              <w:rPr>
                <w:rFonts w:hint="eastAsia"/>
                <w:color w:val="000000"/>
                <w:w w:val="27"/>
                <w:shd w:val="solid" w:color="000000" w:fill="000000"/>
                <w:fitText w:val="120" w:id="-1233419769"/>
                <w14:textFill>
                  <w14:solidFill>
                    <w14:srgbClr w14:val="000000">
                      <w14:alpha w14:val="100000"/>
                    </w14:srgbClr>
                  </w14:solidFill>
                </w14:textFill>
              </w:rPr>
              <w:t xml:space="preserve">　</w:t>
            </w:r>
            <w:r w:rsidR="00D25BE4" w:rsidRPr="00D25BE4">
              <w:rPr>
                <w:color w:val="000000"/>
                <w:w w:val="27"/>
                <w:shd w:val="solid" w:color="000000" w:fill="000000"/>
                <w:fitText w:val="120" w:id="-1233419769"/>
                <w14:textFill>
                  <w14:solidFill>
                    <w14:srgbClr w14:val="000000">
                      <w14:alpha w14:val="100000"/>
                    </w14:srgbClr>
                  </w14:solidFill>
                </w14:textFill>
              </w:rPr>
              <w:t>|</w:t>
            </w:r>
            <w:r w:rsidR="00D25BE4" w:rsidRPr="00D25BE4">
              <w:rPr>
                <w:rFonts w:hint="eastAsia"/>
                <w:color w:val="000000"/>
                <w:spacing w:val="2"/>
                <w:w w:val="27"/>
                <w:shd w:val="solid" w:color="000000" w:fill="000000"/>
                <w:fitText w:val="120" w:id="-1233419769"/>
                <w14:textFill>
                  <w14:solidFill>
                    <w14:srgbClr w14:val="000000">
                      <w14:alpha w14:val="100000"/>
                    </w14:srgbClr>
                  </w14:solidFill>
                </w14:textFill>
              </w:rPr>
              <w:t xml:space="preserve">　</w:t>
            </w:r>
            <w:r w:rsidR="0023687B">
              <w:rPr>
                <w:rFonts w:cs="Arial"/>
                <w:color w:val="000000"/>
                <w:vertAlign w:val="superscript"/>
              </w:rPr>
              <w:t>4</w:t>
            </w:r>
          </w:p>
        </w:tc>
        <w:tc>
          <w:tcPr>
            <w:tcW w:w="586" w:type="pct"/>
            <w:shd w:val="clear" w:color="auto" w:fill="auto"/>
          </w:tcPr>
          <w:p w14:paraId="6D896F0B" w14:textId="293734EC" w:rsidR="00C010DB" w:rsidRDefault="00C010DB" w:rsidP="004A7958">
            <w:pPr>
              <w:pStyle w:val="TableText0"/>
              <w:jc w:val="center"/>
              <w:rPr>
                <w:rFonts w:cs="Arial"/>
              </w:rPr>
            </w:pPr>
            <w:r w:rsidRPr="00EA6353">
              <w:t>$</w:t>
            </w:r>
            <w:r w:rsidR="00D25BE4" w:rsidRPr="00D25BE4">
              <w:rPr>
                <w:rFonts w:hint="eastAsia"/>
                <w:color w:val="000000"/>
                <w:w w:val="27"/>
                <w:shd w:val="solid" w:color="000000" w:fill="000000"/>
                <w:fitText w:val="120" w:id="-1233419768"/>
                <w14:textFill>
                  <w14:solidFill>
                    <w14:srgbClr w14:val="000000">
                      <w14:alpha w14:val="100000"/>
                    </w14:srgbClr>
                  </w14:solidFill>
                </w14:textFill>
              </w:rPr>
              <w:t xml:space="preserve">　</w:t>
            </w:r>
            <w:r w:rsidR="00D25BE4" w:rsidRPr="00D25BE4">
              <w:rPr>
                <w:color w:val="000000"/>
                <w:w w:val="27"/>
                <w:shd w:val="solid" w:color="000000" w:fill="000000"/>
                <w:fitText w:val="120" w:id="-1233419768"/>
                <w14:textFill>
                  <w14:solidFill>
                    <w14:srgbClr w14:val="000000">
                      <w14:alpha w14:val="100000"/>
                    </w14:srgbClr>
                  </w14:solidFill>
                </w14:textFill>
              </w:rPr>
              <w:t>|</w:t>
            </w:r>
            <w:r w:rsidR="00D25BE4" w:rsidRPr="00D25BE4">
              <w:rPr>
                <w:rFonts w:hint="eastAsia"/>
                <w:color w:val="000000"/>
                <w:spacing w:val="2"/>
                <w:w w:val="27"/>
                <w:shd w:val="solid" w:color="000000" w:fill="000000"/>
                <w:fitText w:val="120" w:id="-1233419768"/>
                <w14:textFill>
                  <w14:solidFill>
                    <w14:srgbClr w14:val="000000">
                      <w14:alpha w14:val="100000"/>
                    </w14:srgbClr>
                  </w14:solidFill>
                </w14:textFill>
              </w:rPr>
              <w:t xml:space="preserve">　</w:t>
            </w:r>
            <w:r w:rsidR="0023687B">
              <w:rPr>
                <w:rFonts w:cs="Arial"/>
                <w:color w:val="000000"/>
                <w:vertAlign w:val="superscript"/>
              </w:rPr>
              <w:t>4</w:t>
            </w:r>
          </w:p>
        </w:tc>
        <w:tc>
          <w:tcPr>
            <w:tcW w:w="586" w:type="pct"/>
            <w:shd w:val="clear" w:color="auto" w:fill="auto"/>
          </w:tcPr>
          <w:p w14:paraId="4C75E4EE" w14:textId="6013E540" w:rsidR="00C010DB" w:rsidRDefault="00C010DB" w:rsidP="004A7958">
            <w:pPr>
              <w:pStyle w:val="TableText0"/>
              <w:jc w:val="center"/>
              <w:rPr>
                <w:rFonts w:cs="Arial"/>
              </w:rPr>
            </w:pPr>
            <w:r w:rsidRPr="00EA6353">
              <w:t>$</w:t>
            </w:r>
            <w:r w:rsidR="00D25BE4" w:rsidRPr="00D25BE4">
              <w:rPr>
                <w:rFonts w:hint="eastAsia"/>
                <w:color w:val="000000"/>
                <w:w w:val="27"/>
                <w:shd w:val="solid" w:color="000000" w:fill="000000"/>
                <w:fitText w:val="120" w:id="-1233419767"/>
                <w14:textFill>
                  <w14:solidFill>
                    <w14:srgbClr w14:val="000000">
                      <w14:alpha w14:val="100000"/>
                    </w14:srgbClr>
                  </w14:solidFill>
                </w14:textFill>
              </w:rPr>
              <w:t xml:space="preserve">　</w:t>
            </w:r>
            <w:r w:rsidR="00D25BE4" w:rsidRPr="00D25BE4">
              <w:rPr>
                <w:color w:val="000000"/>
                <w:w w:val="27"/>
                <w:shd w:val="solid" w:color="000000" w:fill="000000"/>
                <w:fitText w:val="120" w:id="-1233419767"/>
                <w14:textFill>
                  <w14:solidFill>
                    <w14:srgbClr w14:val="000000">
                      <w14:alpha w14:val="100000"/>
                    </w14:srgbClr>
                  </w14:solidFill>
                </w14:textFill>
              </w:rPr>
              <w:t>|</w:t>
            </w:r>
            <w:r w:rsidR="00D25BE4" w:rsidRPr="00D25BE4">
              <w:rPr>
                <w:rFonts w:hint="eastAsia"/>
                <w:color w:val="000000"/>
                <w:spacing w:val="2"/>
                <w:w w:val="27"/>
                <w:shd w:val="solid" w:color="000000" w:fill="000000"/>
                <w:fitText w:val="120" w:id="-1233419767"/>
                <w14:textFill>
                  <w14:solidFill>
                    <w14:srgbClr w14:val="000000">
                      <w14:alpha w14:val="100000"/>
                    </w14:srgbClr>
                  </w14:solidFill>
                </w14:textFill>
              </w:rPr>
              <w:t xml:space="preserve">　</w:t>
            </w:r>
            <w:r w:rsidR="0023687B">
              <w:rPr>
                <w:rFonts w:cs="Arial"/>
                <w:color w:val="000000"/>
                <w:vertAlign w:val="superscript"/>
              </w:rPr>
              <w:t>4</w:t>
            </w:r>
          </w:p>
        </w:tc>
        <w:tc>
          <w:tcPr>
            <w:tcW w:w="586" w:type="pct"/>
            <w:shd w:val="clear" w:color="auto" w:fill="auto"/>
          </w:tcPr>
          <w:p w14:paraId="61DC5E4B" w14:textId="780F04D1" w:rsidR="00C010DB" w:rsidRDefault="00C010DB" w:rsidP="004A7958">
            <w:pPr>
              <w:pStyle w:val="TableText0"/>
              <w:jc w:val="center"/>
              <w:rPr>
                <w:rFonts w:cs="Arial"/>
              </w:rPr>
            </w:pPr>
            <w:r w:rsidRPr="00EA6353">
              <w:t>$</w:t>
            </w:r>
            <w:r w:rsidR="00D25BE4" w:rsidRPr="00D25BE4">
              <w:rPr>
                <w:rFonts w:hint="eastAsia"/>
                <w:color w:val="000000"/>
                <w:w w:val="27"/>
                <w:shd w:val="solid" w:color="000000" w:fill="000000"/>
                <w:fitText w:val="120" w:id="-1233419766"/>
                <w14:textFill>
                  <w14:solidFill>
                    <w14:srgbClr w14:val="000000">
                      <w14:alpha w14:val="100000"/>
                    </w14:srgbClr>
                  </w14:solidFill>
                </w14:textFill>
              </w:rPr>
              <w:t xml:space="preserve">　</w:t>
            </w:r>
            <w:r w:rsidR="00D25BE4" w:rsidRPr="00D25BE4">
              <w:rPr>
                <w:color w:val="000000"/>
                <w:w w:val="27"/>
                <w:shd w:val="solid" w:color="000000" w:fill="000000"/>
                <w:fitText w:val="120" w:id="-1233419766"/>
                <w14:textFill>
                  <w14:solidFill>
                    <w14:srgbClr w14:val="000000">
                      <w14:alpha w14:val="100000"/>
                    </w14:srgbClr>
                  </w14:solidFill>
                </w14:textFill>
              </w:rPr>
              <w:t>|</w:t>
            </w:r>
            <w:r w:rsidR="00D25BE4" w:rsidRPr="00D25BE4">
              <w:rPr>
                <w:rFonts w:hint="eastAsia"/>
                <w:color w:val="000000"/>
                <w:spacing w:val="2"/>
                <w:w w:val="27"/>
                <w:shd w:val="solid" w:color="000000" w:fill="000000"/>
                <w:fitText w:val="120" w:id="-1233419766"/>
                <w14:textFill>
                  <w14:solidFill>
                    <w14:srgbClr w14:val="000000">
                      <w14:alpha w14:val="100000"/>
                    </w14:srgbClr>
                  </w14:solidFill>
                </w14:textFill>
              </w:rPr>
              <w:t xml:space="preserve">　</w:t>
            </w:r>
            <w:r w:rsidR="0023687B">
              <w:rPr>
                <w:rFonts w:cs="Arial"/>
                <w:color w:val="000000"/>
                <w:vertAlign w:val="superscript"/>
              </w:rPr>
              <w:t>4</w:t>
            </w:r>
          </w:p>
        </w:tc>
      </w:tr>
      <w:tr w:rsidR="00C010DB" w:rsidRPr="003F255E" w14:paraId="182B5A12" w14:textId="77777777" w:rsidTr="004A7958">
        <w:trPr>
          <w:cantSplit/>
        </w:trPr>
        <w:tc>
          <w:tcPr>
            <w:tcW w:w="1483" w:type="pct"/>
            <w:shd w:val="clear" w:color="auto" w:fill="auto"/>
            <w:vAlign w:val="center"/>
          </w:tcPr>
          <w:p w14:paraId="317AD196" w14:textId="77777777" w:rsidR="00C010DB" w:rsidRPr="00045B1E" w:rsidRDefault="00C010DB" w:rsidP="004A7958">
            <w:pPr>
              <w:pStyle w:val="TableText0"/>
              <w:rPr>
                <w:vertAlign w:val="superscript"/>
              </w:rPr>
            </w:pPr>
            <w:r>
              <w:t xml:space="preserve">Reduction in patient co-payments </w:t>
            </w:r>
            <w:r>
              <w:rPr>
                <w:vertAlign w:val="superscript"/>
              </w:rPr>
              <w:t>e</w:t>
            </w:r>
          </w:p>
        </w:tc>
        <w:tc>
          <w:tcPr>
            <w:tcW w:w="586" w:type="pct"/>
            <w:shd w:val="clear" w:color="auto" w:fill="auto"/>
          </w:tcPr>
          <w:p w14:paraId="4FC72D53" w14:textId="6982EA03" w:rsidR="00C010DB" w:rsidRDefault="00C010DB" w:rsidP="004A7958">
            <w:pPr>
              <w:pStyle w:val="TableText0"/>
              <w:jc w:val="center"/>
              <w:rPr>
                <w:rFonts w:cs="Arial"/>
                <w:color w:val="000000"/>
              </w:rPr>
            </w:pPr>
            <w:r w:rsidRPr="006034F4">
              <w:t>$</w:t>
            </w:r>
            <w:r w:rsidR="00D25BE4" w:rsidRPr="00D25BE4">
              <w:rPr>
                <w:rFonts w:hint="eastAsia"/>
                <w:color w:val="000000"/>
                <w:w w:val="27"/>
                <w:shd w:val="solid" w:color="000000" w:fill="000000"/>
                <w:fitText w:val="120" w:id="-1233419765"/>
                <w14:textFill>
                  <w14:solidFill>
                    <w14:srgbClr w14:val="000000">
                      <w14:alpha w14:val="100000"/>
                    </w14:srgbClr>
                  </w14:solidFill>
                </w14:textFill>
              </w:rPr>
              <w:t xml:space="preserve">　</w:t>
            </w:r>
            <w:r w:rsidR="00D25BE4" w:rsidRPr="00D25BE4">
              <w:rPr>
                <w:color w:val="000000"/>
                <w:w w:val="27"/>
                <w:shd w:val="solid" w:color="000000" w:fill="000000"/>
                <w:fitText w:val="120" w:id="-1233419765"/>
                <w14:textFill>
                  <w14:solidFill>
                    <w14:srgbClr w14:val="000000">
                      <w14:alpha w14:val="100000"/>
                    </w14:srgbClr>
                  </w14:solidFill>
                </w14:textFill>
              </w:rPr>
              <w:t>|</w:t>
            </w:r>
            <w:r w:rsidR="00D25BE4" w:rsidRPr="00D25BE4">
              <w:rPr>
                <w:rFonts w:hint="eastAsia"/>
                <w:color w:val="000000"/>
                <w:spacing w:val="2"/>
                <w:w w:val="27"/>
                <w:shd w:val="solid" w:color="000000" w:fill="000000"/>
                <w:fitText w:val="120" w:id="-1233419765"/>
                <w14:textFill>
                  <w14:solidFill>
                    <w14:srgbClr w14:val="000000">
                      <w14:alpha w14:val="100000"/>
                    </w14:srgbClr>
                  </w14:solidFill>
                </w14:textFill>
              </w:rPr>
              <w:t xml:space="preserve">　</w:t>
            </w:r>
            <w:r w:rsidR="0023687B">
              <w:rPr>
                <w:rFonts w:cs="Arial"/>
                <w:color w:val="000000"/>
                <w:vertAlign w:val="superscript"/>
              </w:rPr>
              <w:t>4</w:t>
            </w:r>
          </w:p>
        </w:tc>
        <w:tc>
          <w:tcPr>
            <w:tcW w:w="586" w:type="pct"/>
            <w:shd w:val="clear" w:color="auto" w:fill="auto"/>
          </w:tcPr>
          <w:p w14:paraId="2722AE15" w14:textId="20FFA1D1" w:rsidR="00C010DB" w:rsidRDefault="00C010DB" w:rsidP="004A7958">
            <w:pPr>
              <w:pStyle w:val="TableText0"/>
              <w:jc w:val="center"/>
              <w:rPr>
                <w:rFonts w:cs="Arial"/>
              </w:rPr>
            </w:pPr>
            <w:r w:rsidRPr="006034F4">
              <w:t>$</w:t>
            </w:r>
            <w:r w:rsidR="00D25BE4" w:rsidRPr="00D25BE4">
              <w:rPr>
                <w:rFonts w:hint="eastAsia"/>
                <w:color w:val="000000"/>
                <w:w w:val="27"/>
                <w:shd w:val="solid" w:color="000000" w:fill="000000"/>
                <w:fitText w:val="120" w:id="-1233419764"/>
                <w14:textFill>
                  <w14:solidFill>
                    <w14:srgbClr w14:val="000000">
                      <w14:alpha w14:val="100000"/>
                    </w14:srgbClr>
                  </w14:solidFill>
                </w14:textFill>
              </w:rPr>
              <w:t xml:space="preserve">　</w:t>
            </w:r>
            <w:r w:rsidR="00D25BE4" w:rsidRPr="00D25BE4">
              <w:rPr>
                <w:color w:val="000000"/>
                <w:w w:val="27"/>
                <w:shd w:val="solid" w:color="000000" w:fill="000000"/>
                <w:fitText w:val="120" w:id="-1233419764"/>
                <w14:textFill>
                  <w14:solidFill>
                    <w14:srgbClr w14:val="000000">
                      <w14:alpha w14:val="100000"/>
                    </w14:srgbClr>
                  </w14:solidFill>
                </w14:textFill>
              </w:rPr>
              <w:t>|</w:t>
            </w:r>
            <w:r w:rsidR="00D25BE4" w:rsidRPr="00D25BE4">
              <w:rPr>
                <w:rFonts w:hint="eastAsia"/>
                <w:color w:val="000000"/>
                <w:spacing w:val="2"/>
                <w:w w:val="27"/>
                <w:shd w:val="solid" w:color="000000" w:fill="000000"/>
                <w:fitText w:val="120" w:id="-1233419764"/>
                <w14:textFill>
                  <w14:solidFill>
                    <w14:srgbClr w14:val="000000">
                      <w14:alpha w14:val="100000"/>
                    </w14:srgbClr>
                  </w14:solidFill>
                </w14:textFill>
              </w:rPr>
              <w:t xml:space="preserve">　</w:t>
            </w:r>
            <w:r w:rsidR="0023687B">
              <w:rPr>
                <w:rFonts w:cs="Arial"/>
                <w:color w:val="000000"/>
                <w:vertAlign w:val="superscript"/>
              </w:rPr>
              <w:t>4</w:t>
            </w:r>
          </w:p>
        </w:tc>
        <w:tc>
          <w:tcPr>
            <w:tcW w:w="586" w:type="pct"/>
            <w:shd w:val="clear" w:color="auto" w:fill="auto"/>
          </w:tcPr>
          <w:p w14:paraId="787D28CD" w14:textId="6A9B34AD" w:rsidR="00C010DB" w:rsidRDefault="00C010DB" w:rsidP="004A7958">
            <w:pPr>
              <w:pStyle w:val="TableText0"/>
              <w:jc w:val="center"/>
              <w:rPr>
                <w:rFonts w:cs="Arial"/>
              </w:rPr>
            </w:pPr>
            <w:r w:rsidRPr="006034F4">
              <w:t>$</w:t>
            </w:r>
            <w:r w:rsidR="00D25BE4" w:rsidRPr="00D25BE4">
              <w:rPr>
                <w:rFonts w:hint="eastAsia"/>
                <w:color w:val="000000"/>
                <w:w w:val="27"/>
                <w:shd w:val="solid" w:color="000000" w:fill="000000"/>
                <w:fitText w:val="120" w:id="-1233419763"/>
                <w14:textFill>
                  <w14:solidFill>
                    <w14:srgbClr w14:val="000000">
                      <w14:alpha w14:val="100000"/>
                    </w14:srgbClr>
                  </w14:solidFill>
                </w14:textFill>
              </w:rPr>
              <w:t xml:space="preserve">　</w:t>
            </w:r>
            <w:r w:rsidR="00D25BE4" w:rsidRPr="00D25BE4">
              <w:rPr>
                <w:color w:val="000000"/>
                <w:w w:val="27"/>
                <w:shd w:val="solid" w:color="000000" w:fill="000000"/>
                <w:fitText w:val="120" w:id="-1233419763"/>
                <w14:textFill>
                  <w14:solidFill>
                    <w14:srgbClr w14:val="000000">
                      <w14:alpha w14:val="100000"/>
                    </w14:srgbClr>
                  </w14:solidFill>
                </w14:textFill>
              </w:rPr>
              <w:t>|</w:t>
            </w:r>
            <w:r w:rsidR="00D25BE4" w:rsidRPr="00D25BE4">
              <w:rPr>
                <w:rFonts w:hint="eastAsia"/>
                <w:color w:val="000000"/>
                <w:spacing w:val="2"/>
                <w:w w:val="27"/>
                <w:shd w:val="solid" w:color="000000" w:fill="000000"/>
                <w:fitText w:val="120" w:id="-1233419763"/>
                <w14:textFill>
                  <w14:solidFill>
                    <w14:srgbClr w14:val="000000">
                      <w14:alpha w14:val="100000"/>
                    </w14:srgbClr>
                  </w14:solidFill>
                </w14:textFill>
              </w:rPr>
              <w:t xml:space="preserve">　</w:t>
            </w:r>
            <w:r w:rsidR="0023687B">
              <w:rPr>
                <w:rFonts w:cs="Arial"/>
                <w:color w:val="000000"/>
                <w:vertAlign w:val="superscript"/>
              </w:rPr>
              <w:t>4</w:t>
            </w:r>
          </w:p>
        </w:tc>
        <w:tc>
          <w:tcPr>
            <w:tcW w:w="586" w:type="pct"/>
            <w:shd w:val="clear" w:color="auto" w:fill="auto"/>
          </w:tcPr>
          <w:p w14:paraId="7493441E" w14:textId="400FA063" w:rsidR="00C010DB" w:rsidRDefault="00C010DB" w:rsidP="004A7958">
            <w:pPr>
              <w:pStyle w:val="TableText0"/>
              <w:jc w:val="center"/>
              <w:rPr>
                <w:rFonts w:cs="Arial"/>
              </w:rPr>
            </w:pPr>
            <w:r w:rsidRPr="006034F4">
              <w:t>$</w:t>
            </w:r>
            <w:r w:rsidR="00D25BE4" w:rsidRPr="00D25BE4">
              <w:rPr>
                <w:rFonts w:hint="eastAsia"/>
                <w:color w:val="000000"/>
                <w:w w:val="27"/>
                <w:shd w:val="solid" w:color="000000" w:fill="000000"/>
                <w:fitText w:val="120" w:id="-1233419762"/>
                <w14:textFill>
                  <w14:solidFill>
                    <w14:srgbClr w14:val="000000">
                      <w14:alpha w14:val="100000"/>
                    </w14:srgbClr>
                  </w14:solidFill>
                </w14:textFill>
              </w:rPr>
              <w:t xml:space="preserve">　</w:t>
            </w:r>
            <w:r w:rsidR="00D25BE4" w:rsidRPr="00D25BE4">
              <w:rPr>
                <w:color w:val="000000"/>
                <w:w w:val="27"/>
                <w:shd w:val="solid" w:color="000000" w:fill="000000"/>
                <w:fitText w:val="120" w:id="-1233419762"/>
                <w14:textFill>
                  <w14:solidFill>
                    <w14:srgbClr w14:val="000000">
                      <w14:alpha w14:val="100000"/>
                    </w14:srgbClr>
                  </w14:solidFill>
                </w14:textFill>
              </w:rPr>
              <w:t>|</w:t>
            </w:r>
            <w:r w:rsidR="00D25BE4" w:rsidRPr="00D25BE4">
              <w:rPr>
                <w:rFonts w:hint="eastAsia"/>
                <w:color w:val="000000"/>
                <w:spacing w:val="2"/>
                <w:w w:val="27"/>
                <w:shd w:val="solid" w:color="000000" w:fill="000000"/>
                <w:fitText w:val="120" w:id="-1233419762"/>
                <w14:textFill>
                  <w14:solidFill>
                    <w14:srgbClr w14:val="000000">
                      <w14:alpha w14:val="100000"/>
                    </w14:srgbClr>
                  </w14:solidFill>
                </w14:textFill>
              </w:rPr>
              <w:t xml:space="preserve">　</w:t>
            </w:r>
            <w:r w:rsidR="0023687B">
              <w:rPr>
                <w:rFonts w:cs="Arial"/>
                <w:color w:val="000000"/>
                <w:vertAlign w:val="superscript"/>
              </w:rPr>
              <w:t>4</w:t>
            </w:r>
          </w:p>
        </w:tc>
        <w:tc>
          <w:tcPr>
            <w:tcW w:w="586" w:type="pct"/>
            <w:shd w:val="clear" w:color="auto" w:fill="auto"/>
          </w:tcPr>
          <w:p w14:paraId="50A938A5" w14:textId="7F05FFC3" w:rsidR="00C010DB" w:rsidRDefault="00C010DB" w:rsidP="004A7958">
            <w:pPr>
              <w:pStyle w:val="TableText0"/>
              <w:jc w:val="center"/>
              <w:rPr>
                <w:rFonts w:cs="Arial"/>
              </w:rPr>
            </w:pPr>
            <w:r w:rsidRPr="006034F4">
              <w:t>$</w:t>
            </w:r>
            <w:r w:rsidR="00D25BE4" w:rsidRPr="00D25BE4">
              <w:rPr>
                <w:rFonts w:hint="eastAsia"/>
                <w:color w:val="000000"/>
                <w:w w:val="27"/>
                <w:shd w:val="solid" w:color="000000" w:fill="000000"/>
                <w:fitText w:val="120" w:id="-1233419761"/>
                <w14:textFill>
                  <w14:solidFill>
                    <w14:srgbClr w14:val="000000">
                      <w14:alpha w14:val="100000"/>
                    </w14:srgbClr>
                  </w14:solidFill>
                </w14:textFill>
              </w:rPr>
              <w:t xml:space="preserve">　</w:t>
            </w:r>
            <w:r w:rsidR="00D25BE4" w:rsidRPr="00D25BE4">
              <w:rPr>
                <w:color w:val="000000"/>
                <w:w w:val="27"/>
                <w:shd w:val="solid" w:color="000000" w:fill="000000"/>
                <w:fitText w:val="120" w:id="-1233419761"/>
                <w14:textFill>
                  <w14:solidFill>
                    <w14:srgbClr w14:val="000000">
                      <w14:alpha w14:val="100000"/>
                    </w14:srgbClr>
                  </w14:solidFill>
                </w14:textFill>
              </w:rPr>
              <w:t>|</w:t>
            </w:r>
            <w:r w:rsidR="00D25BE4" w:rsidRPr="00D25BE4">
              <w:rPr>
                <w:rFonts w:hint="eastAsia"/>
                <w:color w:val="000000"/>
                <w:spacing w:val="2"/>
                <w:w w:val="27"/>
                <w:shd w:val="solid" w:color="000000" w:fill="000000"/>
                <w:fitText w:val="120" w:id="-1233419761"/>
                <w14:textFill>
                  <w14:solidFill>
                    <w14:srgbClr w14:val="000000">
                      <w14:alpha w14:val="100000"/>
                    </w14:srgbClr>
                  </w14:solidFill>
                </w14:textFill>
              </w:rPr>
              <w:t xml:space="preserve">　</w:t>
            </w:r>
            <w:r w:rsidR="0023687B">
              <w:rPr>
                <w:rFonts w:cs="Arial"/>
                <w:color w:val="000000"/>
                <w:vertAlign w:val="superscript"/>
              </w:rPr>
              <w:t>4</w:t>
            </w:r>
          </w:p>
        </w:tc>
        <w:tc>
          <w:tcPr>
            <w:tcW w:w="586" w:type="pct"/>
            <w:shd w:val="clear" w:color="auto" w:fill="auto"/>
          </w:tcPr>
          <w:p w14:paraId="06EEF4A0" w14:textId="3A32390B" w:rsidR="00C010DB" w:rsidRDefault="00C010DB" w:rsidP="004A7958">
            <w:pPr>
              <w:pStyle w:val="TableText0"/>
              <w:jc w:val="center"/>
              <w:rPr>
                <w:rFonts w:cs="Arial"/>
              </w:rPr>
            </w:pPr>
            <w:r w:rsidRPr="006034F4">
              <w:t>$</w:t>
            </w:r>
            <w:r w:rsidR="00D25BE4" w:rsidRPr="00D25BE4">
              <w:rPr>
                <w:rFonts w:hint="eastAsia"/>
                <w:color w:val="000000"/>
                <w:w w:val="27"/>
                <w:shd w:val="solid" w:color="000000" w:fill="000000"/>
                <w:fitText w:val="120" w:id="-1233419760"/>
                <w14:textFill>
                  <w14:solidFill>
                    <w14:srgbClr w14:val="000000">
                      <w14:alpha w14:val="100000"/>
                    </w14:srgbClr>
                  </w14:solidFill>
                </w14:textFill>
              </w:rPr>
              <w:t xml:space="preserve">　</w:t>
            </w:r>
            <w:r w:rsidR="00D25BE4" w:rsidRPr="00D25BE4">
              <w:rPr>
                <w:color w:val="000000"/>
                <w:w w:val="27"/>
                <w:shd w:val="solid" w:color="000000" w:fill="000000"/>
                <w:fitText w:val="120" w:id="-1233419760"/>
                <w14:textFill>
                  <w14:solidFill>
                    <w14:srgbClr w14:val="000000">
                      <w14:alpha w14:val="100000"/>
                    </w14:srgbClr>
                  </w14:solidFill>
                </w14:textFill>
              </w:rPr>
              <w:t>|</w:t>
            </w:r>
            <w:r w:rsidR="00D25BE4" w:rsidRPr="00D25BE4">
              <w:rPr>
                <w:rFonts w:hint="eastAsia"/>
                <w:color w:val="000000"/>
                <w:spacing w:val="2"/>
                <w:w w:val="27"/>
                <w:shd w:val="solid" w:color="000000" w:fill="000000"/>
                <w:fitText w:val="120" w:id="-1233419760"/>
                <w14:textFill>
                  <w14:solidFill>
                    <w14:srgbClr w14:val="000000">
                      <w14:alpha w14:val="100000"/>
                    </w14:srgbClr>
                  </w14:solidFill>
                </w14:textFill>
              </w:rPr>
              <w:t xml:space="preserve">　</w:t>
            </w:r>
            <w:r w:rsidR="00E5728E">
              <w:rPr>
                <w:rFonts w:cs="Arial"/>
                <w:color w:val="000000"/>
                <w:vertAlign w:val="superscript"/>
              </w:rPr>
              <w:t>4</w:t>
            </w:r>
          </w:p>
        </w:tc>
      </w:tr>
      <w:tr w:rsidR="00C010DB" w:rsidRPr="003F255E" w14:paraId="73AE756D" w14:textId="77777777" w:rsidTr="004A7958">
        <w:trPr>
          <w:cantSplit/>
        </w:trPr>
        <w:tc>
          <w:tcPr>
            <w:tcW w:w="1483" w:type="pct"/>
            <w:shd w:val="clear" w:color="auto" w:fill="auto"/>
            <w:vAlign w:val="center"/>
          </w:tcPr>
          <w:p w14:paraId="522B2401" w14:textId="2FB864C5" w:rsidR="00C010DB" w:rsidRDefault="00C010DB" w:rsidP="004A7958">
            <w:pPr>
              <w:pStyle w:val="TableText0"/>
            </w:pPr>
            <w:r>
              <w:t>Reduction in cost to the PBS/RPBS les</w:t>
            </w:r>
            <w:r w:rsidR="00F82164">
              <w:t>s</w:t>
            </w:r>
            <w:r>
              <w:t xml:space="preserve"> copays</w:t>
            </w:r>
          </w:p>
        </w:tc>
        <w:tc>
          <w:tcPr>
            <w:tcW w:w="586" w:type="pct"/>
            <w:shd w:val="clear" w:color="auto" w:fill="auto"/>
          </w:tcPr>
          <w:p w14:paraId="5C110E6E" w14:textId="0BA750B3" w:rsidR="00C010DB" w:rsidRPr="00CD0916" w:rsidRDefault="00C010DB" w:rsidP="004A7958">
            <w:pPr>
              <w:pStyle w:val="TableText0"/>
              <w:jc w:val="center"/>
              <w:rPr>
                <w:rFonts w:cs="Arial"/>
              </w:rPr>
            </w:pPr>
            <w:r w:rsidRPr="00CD0916">
              <w:t>$</w:t>
            </w:r>
            <w:r w:rsidR="00D25BE4" w:rsidRPr="00D25BE4">
              <w:rPr>
                <w:rFonts w:hint="eastAsia"/>
                <w:color w:val="000000"/>
                <w:w w:val="27"/>
                <w:shd w:val="solid" w:color="000000" w:fill="000000"/>
                <w:fitText w:val="120" w:id="-1233419776"/>
                <w14:textFill>
                  <w14:solidFill>
                    <w14:srgbClr w14:val="000000">
                      <w14:alpha w14:val="100000"/>
                    </w14:srgbClr>
                  </w14:solidFill>
                </w14:textFill>
              </w:rPr>
              <w:t xml:space="preserve">　</w:t>
            </w:r>
            <w:r w:rsidR="00D25BE4" w:rsidRPr="00D25BE4">
              <w:rPr>
                <w:color w:val="000000"/>
                <w:w w:val="27"/>
                <w:shd w:val="solid" w:color="000000" w:fill="000000"/>
                <w:fitText w:val="120" w:id="-1233419776"/>
                <w14:textFill>
                  <w14:solidFill>
                    <w14:srgbClr w14:val="000000">
                      <w14:alpha w14:val="100000"/>
                    </w14:srgbClr>
                  </w14:solidFill>
                </w14:textFill>
              </w:rPr>
              <w:t>|</w:t>
            </w:r>
            <w:r w:rsidR="00D25BE4" w:rsidRPr="00D25BE4">
              <w:rPr>
                <w:rFonts w:hint="eastAsia"/>
                <w:color w:val="000000"/>
                <w:spacing w:val="2"/>
                <w:w w:val="27"/>
                <w:shd w:val="solid" w:color="000000" w:fill="000000"/>
                <w:fitText w:val="120" w:id="-1233419776"/>
                <w14:textFill>
                  <w14:solidFill>
                    <w14:srgbClr w14:val="000000">
                      <w14:alpha w14:val="100000"/>
                    </w14:srgbClr>
                  </w14:solidFill>
                </w14:textFill>
              </w:rPr>
              <w:t xml:space="preserve">　</w:t>
            </w:r>
            <w:r w:rsidR="00E5728E">
              <w:rPr>
                <w:rFonts w:cs="Arial"/>
                <w:color w:val="000000"/>
                <w:vertAlign w:val="superscript"/>
              </w:rPr>
              <w:t>4</w:t>
            </w:r>
          </w:p>
        </w:tc>
        <w:tc>
          <w:tcPr>
            <w:tcW w:w="586" w:type="pct"/>
            <w:shd w:val="clear" w:color="auto" w:fill="auto"/>
          </w:tcPr>
          <w:p w14:paraId="15638A86" w14:textId="520E3714" w:rsidR="00C010DB" w:rsidRPr="00CD0916" w:rsidRDefault="00C010DB" w:rsidP="004A7958">
            <w:pPr>
              <w:pStyle w:val="TableText0"/>
              <w:jc w:val="center"/>
              <w:rPr>
                <w:rFonts w:cs="Arial"/>
              </w:rPr>
            </w:pPr>
            <w:r w:rsidRPr="00CD0916">
              <w:t>$</w:t>
            </w:r>
            <w:r w:rsidR="00D25BE4" w:rsidRPr="00D25BE4">
              <w:rPr>
                <w:rFonts w:hint="eastAsia"/>
                <w:color w:val="000000"/>
                <w:w w:val="27"/>
                <w:shd w:val="solid" w:color="000000" w:fill="000000"/>
                <w:fitText w:val="120" w:id="-1233419775"/>
                <w14:textFill>
                  <w14:solidFill>
                    <w14:srgbClr w14:val="000000">
                      <w14:alpha w14:val="100000"/>
                    </w14:srgbClr>
                  </w14:solidFill>
                </w14:textFill>
              </w:rPr>
              <w:t xml:space="preserve">　</w:t>
            </w:r>
            <w:r w:rsidR="00D25BE4" w:rsidRPr="00D25BE4">
              <w:rPr>
                <w:color w:val="000000"/>
                <w:w w:val="27"/>
                <w:shd w:val="solid" w:color="000000" w:fill="000000"/>
                <w:fitText w:val="120" w:id="-1233419775"/>
                <w14:textFill>
                  <w14:solidFill>
                    <w14:srgbClr w14:val="000000">
                      <w14:alpha w14:val="100000"/>
                    </w14:srgbClr>
                  </w14:solidFill>
                </w14:textFill>
              </w:rPr>
              <w:t>|</w:t>
            </w:r>
            <w:r w:rsidR="00D25BE4" w:rsidRPr="00D25BE4">
              <w:rPr>
                <w:rFonts w:hint="eastAsia"/>
                <w:color w:val="000000"/>
                <w:spacing w:val="2"/>
                <w:w w:val="27"/>
                <w:shd w:val="solid" w:color="000000" w:fill="000000"/>
                <w:fitText w:val="120" w:id="-1233419775"/>
                <w14:textFill>
                  <w14:solidFill>
                    <w14:srgbClr w14:val="000000">
                      <w14:alpha w14:val="100000"/>
                    </w14:srgbClr>
                  </w14:solidFill>
                </w14:textFill>
              </w:rPr>
              <w:t xml:space="preserve">　</w:t>
            </w:r>
            <w:r w:rsidR="00E5728E">
              <w:rPr>
                <w:rFonts w:cs="Arial"/>
                <w:color w:val="000000"/>
                <w:vertAlign w:val="superscript"/>
              </w:rPr>
              <w:t>4</w:t>
            </w:r>
          </w:p>
        </w:tc>
        <w:tc>
          <w:tcPr>
            <w:tcW w:w="586" w:type="pct"/>
            <w:shd w:val="clear" w:color="auto" w:fill="auto"/>
          </w:tcPr>
          <w:p w14:paraId="26C5F41F" w14:textId="7283213D" w:rsidR="00C010DB" w:rsidRPr="00CD0916" w:rsidRDefault="00C010DB" w:rsidP="004A7958">
            <w:pPr>
              <w:pStyle w:val="TableText0"/>
              <w:jc w:val="center"/>
              <w:rPr>
                <w:rFonts w:cs="Arial"/>
              </w:rPr>
            </w:pPr>
            <w:r w:rsidRPr="00CD0916">
              <w:t>$</w:t>
            </w:r>
            <w:r w:rsidR="00D25BE4" w:rsidRPr="00D25BE4">
              <w:rPr>
                <w:rFonts w:hint="eastAsia"/>
                <w:color w:val="000000"/>
                <w:w w:val="27"/>
                <w:shd w:val="solid" w:color="000000" w:fill="000000"/>
                <w:fitText w:val="120" w:id="-1233419774"/>
                <w14:textFill>
                  <w14:solidFill>
                    <w14:srgbClr w14:val="000000">
                      <w14:alpha w14:val="100000"/>
                    </w14:srgbClr>
                  </w14:solidFill>
                </w14:textFill>
              </w:rPr>
              <w:t xml:space="preserve">　</w:t>
            </w:r>
            <w:r w:rsidR="00D25BE4" w:rsidRPr="00D25BE4">
              <w:rPr>
                <w:color w:val="000000"/>
                <w:w w:val="27"/>
                <w:shd w:val="solid" w:color="000000" w:fill="000000"/>
                <w:fitText w:val="120" w:id="-1233419774"/>
                <w14:textFill>
                  <w14:solidFill>
                    <w14:srgbClr w14:val="000000">
                      <w14:alpha w14:val="100000"/>
                    </w14:srgbClr>
                  </w14:solidFill>
                </w14:textFill>
              </w:rPr>
              <w:t>|</w:t>
            </w:r>
            <w:r w:rsidR="00D25BE4" w:rsidRPr="00D25BE4">
              <w:rPr>
                <w:rFonts w:hint="eastAsia"/>
                <w:color w:val="000000"/>
                <w:spacing w:val="2"/>
                <w:w w:val="27"/>
                <w:shd w:val="solid" w:color="000000" w:fill="000000"/>
                <w:fitText w:val="120" w:id="-1233419774"/>
                <w14:textFill>
                  <w14:solidFill>
                    <w14:srgbClr w14:val="000000">
                      <w14:alpha w14:val="100000"/>
                    </w14:srgbClr>
                  </w14:solidFill>
                </w14:textFill>
              </w:rPr>
              <w:t xml:space="preserve">　</w:t>
            </w:r>
            <w:r w:rsidR="00E5728E">
              <w:rPr>
                <w:rFonts w:cs="Arial"/>
                <w:color w:val="000000"/>
                <w:vertAlign w:val="superscript"/>
              </w:rPr>
              <w:t>4</w:t>
            </w:r>
          </w:p>
        </w:tc>
        <w:tc>
          <w:tcPr>
            <w:tcW w:w="586" w:type="pct"/>
            <w:shd w:val="clear" w:color="auto" w:fill="auto"/>
          </w:tcPr>
          <w:p w14:paraId="13332101" w14:textId="08084BF7" w:rsidR="00C010DB" w:rsidRPr="00CD0916" w:rsidRDefault="00C010DB" w:rsidP="004A7958">
            <w:pPr>
              <w:pStyle w:val="TableText0"/>
              <w:jc w:val="center"/>
              <w:rPr>
                <w:rFonts w:cs="Arial"/>
              </w:rPr>
            </w:pPr>
            <w:r w:rsidRPr="00CD0916">
              <w:t>$</w:t>
            </w:r>
            <w:r w:rsidR="00D25BE4" w:rsidRPr="00D25BE4">
              <w:rPr>
                <w:rFonts w:hint="eastAsia"/>
                <w:color w:val="000000"/>
                <w:w w:val="27"/>
                <w:shd w:val="solid" w:color="000000" w:fill="000000"/>
                <w:fitText w:val="120" w:id="-1233419773"/>
                <w14:textFill>
                  <w14:solidFill>
                    <w14:srgbClr w14:val="000000">
                      <w14:alpha w14:val="100000"/>
                    </w14:srgbClr>
                  </w14:solidFill>
                </w14:textFill>
              </w:rPr>
              <w:t xml:space="preserve">　</w:t>
            </w:r>
            <w:r w:rsidR="00D25BE4" w:rsidRPr="00D25BE4">
              <w:rPr>
                <w:color w:val="000000"/>
                <w:w w:val="27"/>
                <w:shd w:val="solid" w:color="000000" w:fill="000000"/>
                <w:fitText w:val="120" w:id="-1233419773"/>
                <w14:textFill>
                  <w14:solidFill>
                    <w14:srgbClr w14:val="000000">
                      <w14:alpha w14:val="100000"/>
                    </w14:srgbClr>
                  </w14:solidFill>
                </w14:textFill>
              </w:rPr>
              <w:t>|</w:t>
            </w:r>
            <w:r w:rsidR="00D25BE4" w:rsidRPr="00D25BE4">
              <w:rPr>
                <w:rFonts w:hint="eastAsia"/>
                <w:color w:val="000000"/>
                <w:spacing w:val="2"/>
                <w:w w:val="27"/>
                <w:shd w:val="solid" w:color="000000" w:fill="000000"/>
                <w:fitText w:val="120" w:id="-1233419773"/>
                <w14:textFill>
                  <w14:solidFill>
                    <w14:srgbClr w14:val="000000">
                      <w14:alpha w14:val="100000"/>
                    </w14:srgbClr>
                  </w14:solidFill>
                </w14:textFill>
              </w:rPr>
              <w:t xml:space="preserve">　</w:t>
            </w:r>
            <w:r w:rsidR="00E5728E">
              <w:rPr>
                <w:rFonts w:cs="Arial"/>
                <w:color w:val="000000"/>
                <w:vertAlign w:val="superscript"/>
              </w:rPr>
              <w:t>4</w:t>
            </w:r>
          </w:p>
        </w:tc>
        <w:tc>
          <w:tcPr>
            <w:tcW w:w="586" w:type="pct"/>
            <w:shd w:val="clear" w:color="auto" w:fill="auto"/>
          </w:tcPr>
          <w:p w14:paraId="2B85F1BD" w14:textId="48BB8F0F" w:rsidR="00C010DB" w:rsidRPr="00CD0916" w:rsidRDefault="00C010DB" w:rsidP="004A7958">
            <w:pPr>
              <w:pStyle w:val="TableText0"/>
              <w:jc w:val="center"/>
              <w:rPr>
                <w:rFonts w:cs="Arial"/>
              </w:rPr>
            </w:pPr>
            <w:r w:rsidRPr="00CD0916">
              <w:t>$</w:t>
            </w:r>
            <w:r w:rsidR="00D25BE4" w:rsidRPr="00D25BE4">
              <w:rPr>
                <w:rFonts w:hint="eastAsia"/>
                <w:color w:val="000000"/>
                <w:w w:val="27"/>
                <w:shd w:val="solid" w:color="000000" w:fill="000000"/>
                <w:fitText w:val="120" w:id="-1233419772"/>
                <w14:textFill>
                  <w14:solidFill>
                    <w14:srgbClr w14:val="000000">
                      <w14:alpha w14:val="100000"/>
                    </w14:srgbClr>
                  </w14:solidFill>
                </w14:textFill>
              </w:rPr>
              <w:t xml:space="preserve">　</w:t>
            </w:r>
            <w:r w:rsidR="00D25BE4" w:rsidRPr="00D25BE4">
              <w:rPr>
                <w:color w:val="000000"/>
                <w:w w:val="27"/>
                <w:shd w:val="solid" w:color="000000" w:fill="000000"/>
                <w:fitText w:val="120" w:id="-1233419772"/>
                <w14:textFill>
                  <w14:solidFill>
                    <w14:srgbClr w14:val="000000">
                      <w14:alpha w14:val="100000"/>
                    </w14:srgbClr>
                  </w14:solidFill>
                </w14:textFill>
              </w:rPr>
              <w:t>|</w:t>
            </w:r>
            <w:r w:rsidR="00D25BE4" w:rsidRPr="00D25BE4">
              <w:rPr>
                <w:rFonts w:hint="eastAsia"/>
                <w:color w:val="000000"/>
                <w:spacing w:val="2"/>
                <w:w w:val="27"/>
                <w:shd w:val="solid" w:color="000000" w:fill="000000"/>
                <w:fitText w:val="120" w:id="-1233419772"/>
                <w14:textFill>
                  <w14:solidFill>
                    <w14:srgbClr w14:val="000000">
                      <w14:alpha w14:val="100000"/>
                    </w14:srgbClr>
                  </w14:solidFill>
                </w14:textFill>
              </w:rPr>
              <w:t xml:space="preserve">　</w:t>
            </w:r>
            <w:r w:rsidR="00E5728E">
              <w:rPr>
                <w:rFonts w:cs="Arial"/>
                <w:color w:val="000000"/>
                <w:vertAlign w:val="superscript"/>
              </w:rPr>
              <w:t>4</w:t>
            </w:r>
          </w:p>
        </w:tc>
        <w:tc>
          <w:tcPr>
            <w:tcW w:w="586" w:type="pct"/>
            <w:shd w:val="clear" w:color="auto" w:fill="auto"/>
          </w:tcPr>
          <w:p w14:paraId="4C97B959" w14:textId="2066C886" w:rsidR="00C010DB" w:rsidRPr="00CD0916" w:rsidRDefault="00C010DB" w:rsidP="004A7958">
            <w:pPr>
              <w:pStyle w:val="TableText0"/>
              <w:jc w:val="center"/>
              <w:rPr>
                <w:rFonts w:cs="Arial"/>
              </w:rPr>
            </w:pPr>
            <w:r w:rsidRPr="00CD0916">
              <w:t>$</w:t>
            </w:r>
            <w:r w:rsidR="00D25BE4" w:rsidRPr="00D25BE4">
              <w:rPr>
                <w:rFonts w:hint="eastAsia"/>
                <w:color w:val="000000"/>
                <w:w w:val="27"/>
                <w:shd w:val="solid" w:color="000000" w:fill="000000"/>
                <w:fitText w:val="120" w:id="-1233419771"/>
                <w14:textFill>
                  <w14:solidFill>
                    <w14:srgbClr w14:val="000000">
                      <w14:alpha w14:val="100000"/>
                    </w14:srgbClr>
                  </w14:solidFill>
                </w14:textFill>
              </w:rPr>
              <w:t xml:space="preserve">　</w:t>
            </w:r>
            <w:r w:rsidR="00D25BE4" w:rsidRPr="00D25BE4">
              <w:rPr>
                <w:color w:val="000000"/>
                <w:w w:val="27"/>
                <w:shd w:val="solid" w:color="000000" w:fill="000000"/>
                <w:fitText w:val="120" w:id="-1233419771"/>
                <w14:textFill>
                  <w14:solidFill>
                    <w14:srgbClr w14:val="000000">
                      <w14:alpha w14:val="100000"/>
                    </w14:srgbClr>
                  </w14:solidFill>
                </w14:textFill>
              </w:rPr>
              <w:t>|</w:t>
            </w:r>
            <w:r w:rsidR="00D25BE4" w:rsidRPr="00D25BE4">
              <w:rPr>
                <w:rFonts w:hint="eastAsia"/>
                <w:color w:val="000000"/>
                <w:spacing w:val="2"/>
                <w:w w:val="27"/>
                <w:shd w:val="solid" w:color="000000" w:fill="000000"/>
                <w:fitText w:val="120" w:id="-1233419771"/>
                <w14:textFill>
                  <w14:solidFill>
                    <w14:srgbClr w14:val="000000">
                      <w14:alpha w14:val="100000"/>
                    </w14:srgbClr>
                  </w14:solidFill>
                </w14:textFill>
              </w:rPr>
              <w:t xml:space="preserve">　</w:t>
            </w:r>
            <w:r w:rsidR="00E5728E">
              <w:rPr>
                <w:rFonts w:cs="Arial"/>
                <w:color w:val="000000"/>
                <w:vertAlign w:val="superscript"/>
              </w:rPr>
              <w:t>4</w:t>
            </w:r>
          </w:p>
        </w:tc>
      </w:tr>
      <w:tr w:rsidR="00C010DB" w:rsidRPr="003F255E" w14:paraId="76350F60" w14:textId="77777777" w:rsidTr="004A7958">
        <w:trPr>
          <w:cantSplit/>
        </w:trPr>
        <w:tc>
          <w:tcPr>
            <w:tcW w:w="1483" w:type="pct"/>
            <w:shd w:val="clear" w:color="auto" w:fill="auto"/>
            <w:vAlign w:val="center"/>
          </w:tcPr>
          <w:p w14:paraId="06DBDE99" w14:textId="77777777" w:rsidR="00C010DB" w:rsidRPr="009F6D51" w:rsidRDefault="00C010DB" w:rsidP="004A7958">
            <w:pPr>
              <w:pStyle w:val="TableText0"/>
              <w:rPr>
                <w:b/>
              </w:rPr>
            </w:pPr>
            <w:r w:rsidRPr="009F6D51">
              <w:rPr>
                <w:b/>
              </w:rPr>
              <w:t>Net cost to the PBS/RPBS</w:t>
            </w:r>
          </w:p>
        </w:tc>
        <w:tc>
          <w:tcPr>
            <w:tcW w:w="586" w:type="pct"/>
            <w:shd w:val="clear" w:color="auto" w:fill="auto"/>
          </w:tcPr>
          <w:p w14:paraId="3BF73AC5" w14:textId="5C0D4E3C" w:rsidR="00C010DB" w:rsidRPr="009F6D51" w:rsidRDefault="00C010DB" w:rsidP="004A7958">
            <w:pPr>
              <w:pStyle w:val="TableText0"/>
              <w:jc w:val="center"/>
              <w:rPr>
                <w:b/>
              </w:rPr>
            </w:pPr>
            <w:r w:rsidRPr="009F6D51">
              <w:rPr>
                <w:b/>
              </w:rPr>
              <w:t>$</w:t>
            </w:r>
            <w:r w:rsidR="00D25BE4" w:rsidRPr="00D25BE4">
              <w:rPr>
                <w:rFonts w:hint="eastAsia"/>
                <w:b/>
                <w:color w:val="000000"/>
                <w:w w:val="33"/>
                <w:shd w:val="solid" w:color="000000" w:fill="000000"/>
                <w:fitText w:val="150" w:id="-1233419770"/>
                <w14:textFill>
                  <w14:solidFill>
                    <w14:srgbClr w14:val="000000">
                      <w14:alpha w14:val="100000"/>
                    </w14:srgbClr>
                  </w14:solidFill>
                </w14:textFill>
              </w:rPr>
              <w:t xml:space="preserve">　</w:t>
            </w:r>
            <w:r w:rsidR="00D25BE4" w:rsidRPr="00D25BE4">
              <w:rPr>
                <w:b/>
                <w:color w:val="000000"/>
                <w:w w:val="33"/>
                <w:shd w:val="solid" w:color="000000" w:fill="000000"/>
                <w:fitText w:val="150" w:id="-1233419770"/>
                <w14:textFill>
                  <w14:solidFill>
                    <w14:srgbClr w14:val="000000">
                      <w14:alpha w14:val="100000"/>
                    </w14:srgbClr>
                  </w14:solidFill>
                </w14:textFill>
              </w:rPr>
              <w:t>|</w:t>
            </w:r>
            <w:r w:rsidR="00D25BE4" w:rsidRPr="00D25BE4">
              <w:rPr>
                <w:rFonts w:hint="eastAsia"/>
                <w:b/>
                <w:color w:val="000000"/>
                <w:spacing w:val="3"/>
                <w:w w:val="33"/>
                <w:shd w:val="solid" w:color="000000" w:fill="000000"/>
                <w:fitText w:val="150" w:id="-1233419770"/>
                <w14:textFill>
                  <w14:solidFill>
                    <w14:srgbClr w14:val="000000">
                      <w14:alpha w14:val="100000"/>
                    </w14:srgbClr>
                  </w14:solidFill>
                </w14:textFill>
              </w:rPr>
              <w:t xml:space="preserve">　</w:t>
            </w:r>
            <w:r w:rsidR="00C70109">
              <w:rPr>
                <w:rFonts w:cs="Arial"/>
                <w:color w:val="000000"/>
                <w:vertAlign w:val="superscript"/>
              </w:rPr>
              <w:t>4</w:t>
            </w:r>
          </w:p>
        </w:tc>
        <w:tc>
          <w:tcPr>
            <w:tcW w:w="586" w:type="pct"/>
            <w:shd w:val="clear" w:color="auto" w:fill="auto"/>
          </w:tcPr>
          <w:p w14:paraId="16967155" w14:textId="292870C7" w:rsidR="00C010DB" w:rsidRPr="009F6D51" w:rsidRDefault="00C010DB" w:rsidP="004A7958">
            <w:pPr>
              <w:pStyle w:val="TableText0"/>
              <w:jc w:val="center"/>
              <w:rPr>
                <w:b/>
              </w:rPr>
            </w:pPr>
            <w:r w:rsidRPr="009F6D51">
              <w:rPr>
                <w:b/>
              </w:rPr>
              <w:t>$</w:t>
            </w:r>
            <w:r w:rsidR="00D25BE4" w:rsidRPr="00D25BE4">
              <w:rPr>
                <w:rFonts w:hint="eastAsia"/>
                <w:b/>
                <w:color w:val="000000"/>
                <w:w w:val="33"/>
                <w:shd w:val="solid" w:color="000000" w:fill="000000"/>
                <w:fitText w:val="150" w:id="-1233419769"/>
                <w14:textFill>
                  <w14:solidFill>
                    <w14:srgbClr w14:val="000000">
                      <w14:alpha w14:val="100000"/>
                    </w14:srgbClr>
                  </w14:solidFill>
                </w14:textFill>
              </w:rPr>
              <w:t xml:space="preserve">　</w:t>
            </w:r>
            <w:r w:rsidR="00D25BE4" w:rsidRPr="00D25BE4">
              <w:rPr>
                <w:b/>
                <w:color w:val="000000"/>
                <w:w w:val="33"/>
                <w:shd w:val="solid" w:color="000000" w:fill="000000"/>
                <w:fitText w:val="150" w:id="-1233419769"/>
                <w14:textFill>
                  <w14:solidFill>
                    <w14:srgbClr w14:val="000000">
                      <w14:alpha w14:val="100000"/>
                    </w14:srgbClr>
                  </w14:solidFill>
                </w14:textFill>
              </w:rPr>
              <w:t>|</w:t>
            </w:r>
            <w:r w:rsidR="00D25BE4" w:rsidRPr="00D25BE4">
              <w:rPr>
                <w:rFonts w:hint="eastAsia"/>
                <w:b/>
                <w:color w:val="000000"/>
                <w:spacing w:val="3"/>
                <w:w w:val="33"/>
                <w:shd w:val="solid" w:color="000000" w:fill="000000"/>
                <w:fitText w:val="150" w:id="-1233419769"/>
                <w14:textFill>
                  <w14:solidFill>
                    <w14:srgbClr w14:val="000000">
                      <w14:alpha w14:val="100000"/>
                    </w14:srgbClr>
                  </w14:solidFill>
                </w14:textFill>
              </w:rPr>
              <w:t xml:space="preserve">　</w:t>
            </w:r>
            <w:r w:rsidR="00C70109">
              <w:rPr>
                <w:rFonts w:cs="Arial"/>
                <w:color w:val="000000"/>
                <w:vertAlign w:val="superscript"/>
              </w:rPr>
              <w:t>4</w:t>
            </w:r>
          </w:p>
        </w:tc>
        <w:tc>
          <w:tcPr>
            <w:tcW w:w="586" w:type="pct"/>
            <w:shd w:val="clear" w:color="auto" w:fill="auto"/>
          </w:tcPr>
          <w:p w14:paraId="24869496" w14:textId="199A513E" w:rsidR="00C010DB" w:rsidRPr="009F6D51" w:rsidRDefault="00C010DB" w:rsidP="004A7958">
            <w:pPr>
              <w:pStyle w:val="TableText0"/>
              <w:jc w:val="center"/>
              <w:rPr>
                <w:b/>
              </w:rPr>
            </w:pPr>
            <w:r w:rsidRPr="009F6D51">
              <w:rPr>
                <w:b/>
              </w:rPr>
              <w:t>$</w:t>
            </w:r>
            <w:r w:rsidR="00D25BE4" w:rsidRPr="00D25BE4">
              <w:rPr>
                <w:rFonts w:hint="eastAsia"/>
                <w:b/>
                <w:color w:val="000000"/>
                <w:w w:val="33"/>
                <w:shd w:val="solid" w:color="000000" w:fill="000000"/>
                <w:fitText w:val="150" w:id="-1233419768"/>
                <w14:textFill>
                  <w14:solidFill>
                    <w14:srgbClr w14:val="000000">
                      <w14:alpha w14:val="100000"/>
                    </w14:srgbClr>
                  </w14:solidFill>
                </w14:textFill>
              </w:rPr>
              <w:t xml:space="preserve">　</w:t>
            </w:r>
            <w:r w:rsidR="00D25BE4" w:rsidRPr="00D25BE4">
              <w:rPr>
                <w:b/>
                <w:color w:val="000000"/>
                <w:w w:val="33"/>
                <w:shd w:val="solid" w:color="000000" w:fill="000000"/>
                <w:fitText w:val="150" w:id="-1233419768"/>
                <w14:textFill>
                  <w14:solidFill>
                    <w14:srgbClr w14:val="000000">
                      <w14:alpha w14:val="100000"/>
                    </w14:srgbClr>
                  </w14:solidFill>
                </w14:textFill>
              </w:rPr>
              <w:t>|</w:t>
            </w:r>
            <w:r w:rsidR="00D25BE4" w:rsidRPr="00D25BE4">
              <w:rPr>
                <w:rFonts w:hint="eastAsia"/>
                <w:b/>
                <w:color w:val="000000"/>
                <w:spacing w:val="3"/>
                <w:w w:val="33"/>
                <w:shd w:val="solid" w:color="000000" w:fill="000000"/>
                <w:fitText w:val="150" w:id="-1233419768"/>
                <w14:textFill>
                  <w14:solidFill>
                    <w14:srgbClr w14:val="000000">
                      <w14:alpha w14:val="100000"/>
                    </w14:srgbClr>
                  </w14:solidFill>
                </w14:textFill>
              </w:rPr>
              <w:t xml:space="preserve">　</w:t>
            </w:r>
            <w:r w:rsidR="00C70109">
              <w:rPr>
                <w:rFonts w:cs="Arial"/>
                <w:color w:val="000000"/>
                <w:vertAlign w:val="superscript"/>
              </w:rPr>
              <w:t>4</w:t>
            </w:r>
          </w:p>
        </w:tc>
        <w:tc>
          <w:tcPr>
            <w:tcW w:w="586" w:type="pct"/>
            <w:shd w:val="clear" w:color="auto" w:fill="auto"/>
          </w:tcPr>
          <w:p w14:paraId="59FEF5A3" w14:textId="757048B7" w:rsidR="00C010DB" w:rsidRPr="009F6D51" w:rsidRDefault="00C010DB" w:rsidP="004A7958">
            <w:pPr>
              <w:pStyle w:val="TableText0"/>
              <w:jc w:val="center"/>
              <w:rPr>
                <w:b/>
              </w:rPr>
            </w:pPr>
            <w:r w:rsidRPr="009F6D51">
              <w:rPr>
                <w:b/>
              </w:rPr>
              <w:t>$</w:t>
            </w:r>
            <w:r w:rsidR="00D25BE4" w:rsidRPr="00D25BE4">
              <w:rPr>
                <w:rFonts w:hint="eastAsia"/>
                <w:b/>
                <w:color w:val="000000"/>
                <w:w w:val="33"/>
                <w:shd w:val="solid" w:color="000000" w:fill="000000"/>
                <w:fitText w:val="150" w:id="-1233419767"/>
                <w14:textFill>
                  <w14:solidFill>
                    <w14:srgbClr w14:val="000000">
                      <w14:alpha w14:val="100000"/>
                    </w14:srgbClr>
                  </w14:solidFill>
                </w14:textFill>
              </w:rPr>
              <w:t xml:space="preserve">　</w:t>
            </w:r>
            <w:r w:rsidR="00D25BE4" w:rsidRPr="00D25BE4">
              <w:rPr>
                <w:b/>
                <w:color w:val="000000"/>
                <w:w w:val="33"/>
                <w:shd w:val="solid" w:color="000000" w:fill="000000"/>
                <w:fitText w:val="150" w:id="-1233419767"/>
                <w14:textFill>
                  <w14:solidFill>
                    <w14:srgbClr w14:val="000000">
                      <w14:alpha w14:val="100000"/>
                    </w14:srgbClr>
                  </w14:solidFill>
                </w14:textFill>
              </w:rPr>
              <w:t>|</w:t>
            </w:r>
            <w:r w:rsidR="00D25BE4" w:rsidRPr="00D25BE4">
              <w:rPr>
                <w:rFonts w:hint="eastAsia"/>
                <w:b/>
                <w:color w:val="000000"/>
                <w:spacing w:val="3"/>
                <w:w w:val="33"/>
                <w:shd w:val="solid" w:color="000000" w:fill="000000"/>
                <w:fitText w:val="150" w:id="-1233419767"/>
                <w14:textFill>
                  <w14:solidFill>
                    <w14:srgbClr w14:val="000000">
                      <w14:alpha w14:val="100000"/>
                    </w14:srgbClr>
                  </w14:solidFill>
                </w14:textFill>
              </w:rPr>
              <w:t xml:space="preserve">　</w:t>
            </w:r>
            <w:r w:rsidR="00C70109">
              <w:rPr>
                <w:rFonts w:cs="Arial"/>
                <w:color w:val="000000"/>
                <w:vertAlign w:val="superscript"/>
              </w:rPr>
              <w:t>4</w:t>
            </w:r>
          </w:p>
        </w:tc>
        <w:tc>
          <w:tcPr>
            <w:tcW w:w="586" w:type="pct"/>
            <w:shd w:val="clear" w:color="auto" w:fill="auto"/>
          </w:tcPr>
          <w:p w14:paraId="2522626E" w14:textId="4444C93E" w:rsidR="00C010DB" w:rsidRPr="009F6D51" w:rsidRDefault="00C010DB" w:rsidP="004A7958">
            <w:pPr>
              <w:pStyle w:val="TableText0"/>
              <w:jc w:val="center"/>
              <w:rPr>
                <w:b/>
              </w:rPr>
            </w:pPr>
            <w:r w:rsidRPr="009F6D51">
              <w:rPr>
                <w:b/>
              </w:rPr>
              <w:t>$</w:t>
            </w:r>
            <w:r w:rsidR="00D25BE4" w:rsidRPr="00D25BE4">
              <w:rPr>
                <w:rFonts w:hint="eastAsia"/>
                <w:b/>
                <w:color w:val="000000"/>
                <w:w w:val="33"/>
                <w:shd w:val="solid" w:color="000000" w:fill="000000"/>
                <w:fitText w:val="150" w:id="-1233419766"/>
                <w14:textFill>
                  <w14:solidFill>
                    <w14:srgbClr w14:val="000000">
                      <w14:alpha w14:val="100000"/>
                    </w14:srgbClr>
                  </w14:solidFill>
                </w14:textFill>
              </w:rPr>
              <w:t xml:space="preserve">　</w:t>
            </w:r>
            <w:r w:rsidR="00D25BE4" w:rsidRPr="00D25BE4">
              <w:rPr>
                <w:b/>
                <w:color w:val="000000"/>
                <w:w w:val="33"/>
                <w:shd w:val="solid" w:color="000000" w:fill="000000"/>
                <w:fitText w:val="150" w:id="-1233419766"/>
                <w14:textFill>
                  <w14:solidFill>
                    <w14:srgbClr w14:val="000000">
                      <w14:alpha w14:val="100000"/>
                    </w14:srgbClr>
                  </w14:solidFill>
                </w14:textFill>
              </w:rPr>
              <w:t>|</w:t>
            </w:r>
            <w:r w:rsidR="00D25BE4" w:rsidRPr="00D25BE4">
              <w:rPr>
                <w:rFonts w:hint="eastAsia"/>
                <w:b/>
                <w:color w:val="000000"/>
                <w:spacing w:val="3"/>
                <w:w w:val="33"/>
                <w:shd w:val="solid" w:color="000000" w:fill="000000"/>
                <w:fitText w:val="150" w:id="-1233419766"/>
                <w14:textFill>
                  <w14:solidFill>
                    <w14:srgbClr w14:val="000000">
                      <w14:alpha w14:val="100000"/>
                    </w14:srgbClr>
                  </w14:solidFill>
                </w14:textFill>
              </w:rPr>
              <w:t xml:space="preserve">　</w:t>
            </w:r>
            <w:r w:rsidR="00C70109">
              <w:rPr>
                <w:rFonts w:cs="Arial"/>
                <w:color w:val="000000"/>
                <w:vertAlign w:val="superscript"/>
              </w:rPr>
              <w:t>4</w:t>
            </w:r>
          </w:p>
        </w:tc>
        <w:tc>
          <w:tcPr>
            <w:tcW w:w="586" w:type="pct"/>
            <w:shd w:val="clear" w:color="auto" w:fill="auto"/>
          </w:tcPr>
          <w:p w14:paraId="3326E53C" w14:textId="302570BB" w:rsidR="00C010DB" w:rsidRPr="009F6D51" w:rsidRDefault="00C010DB" w:rsidP="004A7958">
            <w:pPr>
              <w:pStyle w:val="TableText0"/>
              <w:jc w:val="center"/>
              <w:rPr>
                <w:b/>
              </w:rPr>
            </w:pPr>
            <w:r w:rsidRPr="009F6D51">
              <w:rPr>
                <w:b/>
              </w:rPr>
              <w:t>$</w:t>
            </w:r>
            <w:r w:rsidR="00D25BE4" w:rsidRPr="00D25BE4">
              <w:rPr>
                <w:rFonts w:hint="eastAsia"/>
                <w:b/>
                <w:color w:val="000000"/>
                <w:w w:val="33"/>
                <w:shd w:val="solid" w:color="000000" w:fill="000000"/>
                <w:fitText w:val="150" w:id="-1233419765"/>
                <w14:textFill>
                  <w14:solidFill>
                    <w14:srgbClr w14:val="000000">
                      <w14:alpha w14:val="100000"/>
                    </w14:srgbClr>
                  </w14:solidFill>
                </w14:textFill>
              </w:rPr>
              <w:t xml:space="preserve">　</w:t>
            </w:r>
            <w:r w:rsidR="00D25BE4" w:rsidRPr="00D25BE4">
              <w:rPr>
                <w:b/>
                <w:color w:val="000000"/>
                <w:w w:val="33"/>
                <w:shd w:val="solid" w:color="000000" w:fill="000000"/>
                <w:fitText w:val="150" w:id="-1233419765"/>
                <w14:textFill>
                  <w14:solidFill>
                    <w14:srgbClr w14:val="000000">
                      <w14:alpha w14:val="100000"/>
                    </w14:srgbClr>
                  </w14:solidFill>
                </w14:textFill>
              </w:rPr>
              <w:t>|</w:t>
            </w:r>
            <w:r w:rsidR="00D25BE4" w:rsidRPr="00D25BE4">
              <w:rPr>
                <w:rFonts w:hint="eastAsia"/>
                <w:b/>
                <w:color w:val="000000"/>
                <w:spacing w:val="3"/>
                <w:w w:val="33"/>
                <w:shd w:val="solid" w:color="000000" w:fill="000000"/>
                <w:fitText w:val="150" w:id="-1233419765"/>
                <w14:textFill>
                  <w14:solidFill>
                    <w14:srgbClr w14:val="000000">
                      <w14:alpha w14:val="100000"/>
                    </w14:srgbClr>
                  </w14:solidFill>
                </w14:textFill>
              </w:rPr>
              <w:t xml:space="preserve">　</w:t>
            </w:r>
            <w:r w:rsidR="00C70109">
              <w:rPr>
                <w:rFonts w:cs="Arial"/>
                <w:color w:val="000000"/>
                <w:vertAlign w:val="superscript"/>
              </w:rPr>
              <w:t>4</w:t>
            </w:r>
          </w:p>
        </w:tc>
      </w:tr>
    </w:tbl>
    <w:p w14:paraId="35F31502" w14:textId="6BB6F21E" w:rsidR="00850152" w:rsidRPr="00850152" w:rsidRDefault="00C010DB" w:rsidP="004A7958">
      <w:pPr>
        <w:pStyle w:val="TableFooter"/>
        <w:rPr>
          <w:color w:val="000000" w:themeColor="text1"/>
        </w:rPr>
      </w:pPr>
      <w:r w:rsidRPr="00850152">
        <w:t xml:space="preserve">Source: </w:t>
      </w:r>
      <w:r w:rsidR="00092D36" w:rsidRPr="00850152">
        <w:t>T</w:t>
      </w:r>
      <w:r w:rsidRPr="00850152">
        <w:t>abulated during evaluation</w:t>
      </w:r>
      <w:r w:rsidR="00850152" w:rsidRPr="00850152">
        <w:t xml:space="preserve"> from sheets “3b. Impact -proposed (pub), 4b. Impact – affected (pub) and 6. Net changes (SA)</w:t>
      </w:r>
      <w:r w:rsidR="00DF0230">
        <w:t>”</w:t>
      </w:r>
      <w:r w:rsidR="00850152" w:rsidRPr="00850152">
        <w:t xml:space="preserve"> of the “</w:t>
      </w:r>
      <w:r w:rsidR="00850152" w:rsidRPr="00850152">
        <w:rPr>
          <w:color w:val="000000" w:themeColor="text1"/>
        </w:rPr>
        <w:t>FosNTP – Akynzeo IV – Section 4 – Base Case (Final)” workbook included in the submission.</w:t>
      </w:r>
    </w:p>
    <w:p w14:paraId="3236E604" w14:textId="4F5B3D94" w:rsidR="00C010DB" w:rsidRDefault="00C010DB" w:rsidP="004A7958">
      <w:pPr>
        <w:pStyle w:val="TableFooter"/>
      </w:pPr>
      <w:r w:rsidRPr="00E5043C">
        <w:rPr>
          <w:vertAlign w:val="superscript"/>
        </w:rPr>
        <w:t>a</w:t>
      </w:r>
      <w:r w:rsidRPr="00E5043C">
        <w:t xml:space="preserve"> $</w:t>
      </w:r>
      <w:r w:rsidR="00D25BE4" w:rsidRPr="00D25BE4">
        <w:rPr>
          <w:color w:val="000000"/>
          <w:spacing w:val="40"/>
          <w:shd w:val="solid" w:color="000000" w:fill="000000"/>
          <w:fitText w:val="280" w:id="-1233419764"/>
          <w14:textFill>
            <w14:solidFill>
              <w14:srgbClr w14:val="000000">
                <w14:alpha w14:val="100000"/>
              </w14:srgbClr>
            </w14:solidFill>
          </w14:textFill>
        </w:rPr>
        <w:t xml:space="preserve">|  </w:t>
      </w:r>
      <w:r w:rsidR="00D25BE4" w:rsidRPr="00D25BE4">
        <w:rPr>
          <w:color w:val="000000"/>
          <w:spacing w:val="2"/>
          <w:shd w:val="solid" w:color="000000" w:fill="000000"/>
          <w:fitText w:val="280" w:id="-1233419764"/>
          <w14:textFill>
            <w14:solidFill>
              <w14:srgbClr w14:val="000000">
                <w14:alpha w14:val="100000"/>
              </w14:srgbClr>
            </w14:solidFill>
          </w14:textFill>
        </w:rPr>
        <w:t>|</w:t>
      </w:r>
      <w:r w:rsidR="00092D36" w:rsidRPr="00E5043C">
        <w:t xml:space="preserve"> per GE script and</w:t>
      </w:r>
      <w:r w:rsidRPr="00E5043C">
        <w:t xml:space="preserve"> $</w:t>
      </w:r>
      <w:r w:rsidR="00D25BE4" w:rsidRPr="00D25BE4">
        <w:rPr>
          <w:color w:val="000000"/>
          <w:spacing w:val="35"/>
          <w:shd w:val="solid" w:color="000000" w:fill="000000"/>
          <w:fitText w:val="265" w:id="-1233419763"/>
          <w14:textFill>
            <w14:solidFill>
              <w14:srgbClr w14:val="000000">
                <w14:alpha w14:val="100000"/>
              </w14:srgbClr>
            </w14:solidFill>
          </w14:textFill>
        </w:rPr>
        <w:t xml:space="preserve">|  </w:t>
      </w:r>
      <w:r w:rsidR="00D25BE4" w:rsidRPr="00D25BE4">
        <w:rPr>
          <w:color w:val="000000"/>
          <w:spacing w:val="2"/>
          <w:shd w:val="solid" w:color="000000" w:fill="000000"/>
          <w:fitText w:val="265" w:id="-1233419763"/>
          <w14:textFill>
            <w14:solidFill>
              <w14:srgbClr w14:val="000000">
                <w14:alpha w14:val="100000"/>
              </w14:srgbClr>
            </w14:solidFill>
          </w14:textFill>
        </w:rPr>
        <w:t>|</w:t>
      </w:r>
      <w:r w:rsidR="00092D36" w:rsidRPr="00453984">
        <w:t xml:space="preserve"> </w:t>
      </w:r>
      <w:r w:rsidR="00092D36">
        <w:t>per CT script</w:t>
      </w:r>
    </w:p>
    <w:p w14:paraId="7F22F11B" w14:textId="173186B9" w:rsidR="00C010DB" w:rsidRPr="00304BA5" w:rsidRDefault="00C010DB" w:rsidP="004A7958">
      <w:pPr>
        <w:pStyle w:val="TableFooter"/>
      </w:pPr>
      <w:r>
        <w:rPr>
          <w:vertAlign w:val="superscript"/>
        </w:rPr>
        <w:t xml:space="preserve">b </w:t>
      </w:r>
      <w:r w:rsidRPr="00EF045D">
        <w:t>$18.84</w:t>
      </w:r>
      <w:r w:rsidR="00092D36" w:rsidRPr="00EF045D">
        <w:t xml:space="preserve"> per PBS script and</w:t>
      </w:r>
      <w:r w:rsidRPr="00EF045D">
        <w:t xml:space="preserve"> $6.87</w:t>
      </w:r>
      <w:r w:rsidR="00092D36" w:rsidRPr="00EF045D">
        <w:t xml:space="preserve"> per RPBS script. These are applied for each GE script or each original CT script (assumed to be 1/6</w:t>
      </w:r>
      <w:r w:rsidR="00092D36" w:rsidRPr="00EF045D">
        <w:rPr>
          <w:vertAlign w:val="superscript"/>
        </w:rPr>
        <w:t>th</w:t>
      </w:r>
      <w:r w:rsidR="00092D36" w:rsidRPr="00EF045D">
        <w:t xml:space="preserve"> of total CT scripts)</w:t>
      </w:r>
    </w:p>
    <w:p w14:paraId="7A8887D9" w14:textId="6D7C825F" w:rsidR="00C010DB" w:rsidRPr="00C63694" w:rsidRDefault="00C010DB" w:rsidP="004A7958">
      <w:pPr>
        <w:pStyle w:val="TableFooter"/>
      </w:pPr>
      <w:r w:rsidRPr="00C63694">
        <w:rPr>
          <w:vertAlign w:val="superscript"/>
        </w:rPr>
        <w:t xml:space="preserve">c </w:t>
      </w:r>
      <w:r w:rsidRPr="00C63694">
        <w:t>$116.83</w:t>
      </w:r>
      <w:r w:rsidR="00092D36" w:rsidRPr="00C63694">
        <w:t xml:space="preserve"> per GE script and</w:t>
      </w:r>
      <w:r w:rsidRPr="00C63694">
        <w:t xml:space="preserve"> $97.16</w:t>
      </w:r>
      <w:r w:rsidR="00092D36" w:rsidRPr="00C63694">
        <w:t xml:space="preserve"> per CT script</w:t>
      </w:r>
    </w:p>
    <w:p w14:paraId="62D09786" w14:textId="5AE92ACE" w:rsidR="00C010DB" w:rsidRPr="001C3A03" w:rsidRDefault="00C010DB" w:rsidP="004A7958">
      <w:pPr>
        <w:pStyle w:val="TableFooter"/>
      </w:pPr>
      <w:r w:rsidRPr="00C63694">
        <w:rPr>
          <w:vertAlign w:val="superscript"/>
        </w:rPr>
        <w:t xml:space="preserve">d </w:t>
      </w:r>
      <w:r w:rsidRPr="00C63694">
        <w:t>$35.84</w:t>
      </w:r>
      <w:r w:rsidR="00092D36" w:rsidRPr="00C63694">
        <w:t xml:space="preserve"> per GE script and</w:t>
      </w:r>
      <w:r w:rsidRPr="00C63694">
        <w:t xml:space="preserve"> $22.04</w:t>
      </w:r>
      <w:r w:rsidR="00092D36" w:rsidRPr="00C63694">
        <w:t xml:space="preserve"> per CT script</w:t>
      </w:r>
    </w:p>
    <w:p w14:paraId="7751EE15" w14:textId="036602D0" w:rsidR="00C010DB" w:rsidRDefault="00C010DB" w:rsidP="004A7958">
      <w:pPr>
        <w:pStyle w:val="TableFooter"/>
      </w:pPr>
      <w:r>
        <w:rPr>
          <w:vertAlign w:val="superscript"/>
        </w:rPr>
        <w:t xml:space="preserve">e </w:t>
      </w:r>
      <w:r w:rsidR="00092D36" w:rsidRPr="00C63694">
        <w:t xml:space="preserve">18.84 per PBS script and $6.87 per RPBS script. These are applied for each GE or each original CT </w:t>
      </w:r>
      <w:r w:rsidR="00293997" w:rsidRPr="00C63694">
        <w:t xml:space="preserve">Emend IV </w:t>
      </w:r>
      <w:r w:rsidR="00092D36" w:rsidRPr="00C63694">
        <w:t>script (assumed to be 1/6</w:t>
      </w:r>
      <w:r w:rsidR="00092D36" w:rsidRPr="00C63694">
        <w:rPr>
          <w:vertAlign w:val="superscript"/>
        </w:rPr>
        <w:t>th</w:t>
      </w:r>
      <w:r w:rsidR="00092D36" w:rsidRPr="00C63694">
        <w:t xml:space="preserve"> of total CT scripts) and for each palonosetron script.</w:t>
      </w:r>
    </w:p>
    <w:p w14:paraId="1047D219" w14:textId="0113817B" w:rsidR="00C010DB" w:rsidRDefault="00007630" w:rsidP="004A7958">
      <w:pPr>
        <w:pStyle w:val="TableFooter"/>
      </w:pPr>
      <w:r>
        <w:t>CT=chemotherapy; GE=general schedule; IV=intravenous; NEPA=fixed dose combination netupitant/palonosetron; PBS=pharmaceuticals benefits scheme; RPBS=repatriation pharmaceuticals benefits scheme</w:t>
      </w:r>
    </w:p>
    <w:p w14:paraId="10D666C3" w14:textId="77777777" w:rsidR="00E06D6F" w:rsidRPr="009D5888" w:rsidRDefault="00E06D6F" w:rsidP="00E06D6F">
      <w:pPr>
        <w:pStyle w:val="TableFigureFooter"/>
        <w:keepNext/>
        <w:spacing w:after="0"/>
        <w:contextualSpacing w:val="0"/>
        <w:rPr>
          <w:i/>
        </w:rPr>
      </w:pPr>
      <w:r w:rsidRPr="009D5888">
        <w:rPr>
          <w:i/>
        </w:rPr>
        <w:t>The redacted values correspond to the following ranges:</w:t>
      </w:r>
    </w:p>
    <w:p w14:paraId="26B8BA0A" w14:textId="77777777" w:rsidR="00E06D6F" w:rsidRPr="009D5888" w:rsidRDefault="00E06D6F" w:rsidP="00E06D6F">
      <w:pPr>
        <w:pStyle w:val="TableFigureFooter"/>
        <w:keepNext/>
        <w:spacing w:after="0"/>
        <w:contextualSpacing w:val="0"/>
        <w:rPr>
          <w:i/>
          <w:szCs w:val="18"/>
        </w:rPr>
      </w:pPr>
      <w:r w:rsidRPr="009D5888">
        <w:rPr>
          <w:i/>
          <w:szCs w:val="18"/>
          <w:vertAlign w:val="superscript"/>
        </w:rPr>
        <w:t>1</w:t>
      </w:r>
      <w:r w:rsidRPr="009D5888">
        <w:rPr>
          <w:i/>
          <w:szCs w:val="18"/>
        </w:rPr>
        <w:t xml:space="preserve"> 5,000 to &lt; 10,000</w:t>
      </w:r>
    </w:p>
    <w:p w14:paraId="2E02362E" w14:textId="77777777" w:rsidR="00E06D6F" w:rsidRPr="009D5888" w:rsidRDefault="00E06D6F" w:rsidP="00E06D6F">
      <w:pPr>
        <w:pStyle w:val="TableFigureFooter"/>
        <w:keepNext/>
        <w:spacing w:after="0"/>
        <w:contextualSpacing w:val="0"/>
      </w:pPr>
      <w:r w:rsidRPr="009D5888">
        <w:rPr>
          <w:i/>
          <w:szCs w:val="18"/>
          <w:vertAlign w:val="superscript"/>
        </w:rPr>
        <w:t>2</w:t>
      </w:r>
      <w:r w:rsidRPr="009D5888">
        <w:rPr>
          <w:i/>
          <w:szCs w:val="18"/>
        </w:rPr>
        <w:t xml:space="preserve"> 500 &lt;5,000</w:t>
      </w:r>
    </w:p>
    <w:p w14:paraId="274FA693" w14:textId="77777777" w:rsidR="00E06D6F" w:rsidRPr="009D5888" w:rsidRDefault="00E06D6F" w:rsidP="00E06D6F">
      <w:pPr>
        <w:rPr>
          <w:rFonts w:ascii="Arial Narrow" w:hAnsi="Arial Narrow"/>
          <w:i/>
          <w:sz w:val="18"/>
          <w:szCs w:val="18"/>
        </w:rPr>
      </w:pPr>
      <w:r w:rsidRPr="009D5888">
        <w:rPr>
          <w:rFonts w:ascii="Arial Narrow" w:hAnsi="Arial Narrow"/>
          <w:i/>
          <w:sz w:val="18"/>
          <w:szCs w:val="18"/>
          <w:vertAlign w:val="superscript"/>
        </w:rPr>
        <w:t xml:space="preserve">3 </w:t>
      </w:r>
      <w:r w:rsidRPr="009D5888">
        <w:rPr>
          <w:rFonts w:ascii="Arial Narrow" w:hAnsi="Arial Narrow"/>
          <w:i/>
          <w:sz w:val="18"/>
          <w:szCs w:val="18"/>
        </w:rPr>
        <w:t>&lt;500</w:t>
      </w:r>
    </w:p>
    <w:p w14:paraId="7AC628F2" w14:textId="1F1DC633" w:rsidR="0023687B" w:rsidRPr="009D5888" w:rsidRDefault="00E06D6F" w:rsidP="00E06D6F">
      <w:pPr>
        <w:rPr>
          <w:rFonts w:ascii="Arial Narrow" w:hAnsi="Arial Narrow"/>
          <w:i/>
          <w:sz w:val="18"/>
          <w:szCs w:val="18"/>
        </w:rPr>
      </w:pPr>
      <w:r w:rsidRPr="009D5888">
        <w:rPr>
          <w:rFonts w:ascii="Arial Narrow" w:hAnsi="Arial Narrow"/>
          <w:i/>
          <w:sz w:val="18"/>
          <w:szCs w:val="18"/>
          <w:vertAlign w:val="superscript"/>
        </w:rPr>
        <w:t xml:space="preserve">4 </w:t>
      </w:r>
      <w:r w:rsidR="0023687B" w:rsidRPr="009D5888">
        <w:rPr>
          <w:rFonts w:ascii="Arial Narrow" w:hAnsi="Arial Narrow"/>
          <w:i/>
          <w:sz w:val="18"/>
          <w:szCs w:val="18"/>
        </w:rPr>
        <w:t xml:space="preserve">$0 to &lt; $10 million </w:t>
      </w:r>
    </w:p>
    <w:p w14:paraId="1AF71AF2" w14:textId="77777777" w:rsidR="00C70109" w:rsidRPr="009D5888" w:rsidRDefault="00E06D6F" w:rsidP="00E06D6F">
      <w:pPr>
        <w:rPr>
          <w:rFonts w:ascii="Arial Narrow" w:hAnsi="Arial Narrow"/>
          <w:i/>
          <w:sz w:val="18"/>
          <w:szCs w:val="18"/>
        </w:rPr>
      </w:pPr>
      <w:r w:rsidRPr="009D5888">
        <w:rPr>
          <w:rFonts w:ascii="Arial Narrow" w:hAnsi="Arial Narrow"/>
          <w:i/>
          <w:sz w:val="18"/>
          <w:szCs w:val="18"/>
          <w:vertAlign w:val="superscript"/>
        </w:rPr>
        <w:t>5</w:t>
      </w:r>
      <w:r w:rsidRPr="009D5888">
        <w:rPr>
          <w:rFonts w:ascii="Arial Narrow" w:hAnsi="Arial Narrow"/>
          <w:i/>
          <w:sz w:val="18"/>
          <w:szCs w:val="18"/>
        </w:rPr>
        <w:t xml:space="preserve"> </w:t>
      </w:r>
      <w:r w:rsidR="00C70109" w:rsidRPr="009D5888">
        <w:rPr>
          <w:rFonts w:ascii="Arial Narrow" w:hAnsi="Arial Narrow"/>
          <w:i/>
          <w:sz w:val="18"/>
          <w:szCs w:val="18"/>
        </w:rPr>
        <w:t>10,000 to &lt;20,000</w:t>
      </w:r>
    </w:p>
    <w:p w14:paraId="3806DD39" w14:textId="292CFFC2" w:rsidR="00C70109" w:rsidRPr="009D5888" w:rsidRDefault="00E06D6F" w:rsidP="006303CE">
      <w:pPr>
        <w:spacing w:after="120"/>
        <w:rPr>
          <w:rFonts w:ascii="Arial Narrow" w:hAnsi="Arial Narrow"/>
          <w:i/>
          <w:sz w:val="18"/>
          <w:szCs w:val="18"/>
        </w:rPr>
      </w:pPr>
      <w:r w:rsidRPr="009D5888">
        <w:rPr>
          <w:rFonts w:ascii="Arial Narrow" w:hAnsi="Arial Narrow"/>
          <w:i/>
          <w:sz w:val="18"/>
          <w:szCs w:val="18"/>
          <w:vertAlign w:val="superscript"/>
        </w:rPr>
        <w:t xml:space="preserve">6 </w:t>
      </w:r>
      <w:r w:rsidR="00C70109" w:rsidRPr="009D5888">
        <w:rPr>
          <w:rFonts w:ascii="Arial Narrow" w:hAnsi="Arial Narrow"/>
          <w:i/>
          <w:sz w:val="18"/>
          <w:szCs w:val="18"/>
        </w:rPr>
        <w:t>20,000 to &lt;30,000</w:t>
      </w:r>
    </w:p>
    <w:p w14:paraId="2E53B5E4" w14:textId="0BD53016" w:rsidR="00C010DB" w:rsidRPr="00A548DE" w:rsidRDefault="00C010DB" w:rsidP="00C010DB">
      <w:pPr>
        <w:pStyle w:val="3-BodyText"/>
      </w:pPr>
      <w:r w:rsidRPr="00680A2D">
        <w:t xml:space="preserve">The financial estimates also included a reduction in the use and </w:t>
      </w:r>
      <w:r w:rsidR="00754476" w:rsidRPr="00680A2D">
        <w:t xml:space="preserve">MBS </w:t>
      </w:r>
      <w:r w:rsidRPr="00680A2D">
        <w:t>cost of nurs</w:t>
      </w:r>
      <w:r w:rsidR="00754476" w:rsidRPr="00680A2D">
        <w:t>e practitioner attendance</w:t>
      </w:r>
      <w:r w:rsidRPr="00680A2D">
        <w:t xml:space="preserve"> due to a reduction in injection site pain. </w:t>
      </w:r>
      <w:r w:rsidR="002E4F7D" w:rsidRPr="00680A2D">
        <w:t>None of the TRAEs in CONSOLE and CONSOLE-BC led to discontinuation</w:t>
      </w:r>
      <w:r w:rsidRPr="00680A2D">
        <w:t xml:space="preserve"> and so it may not be reasonable to assume a reduction in these costs to the MBS. </w:t>
      </w:r>
      <w:r w:rsidR="00E54EF3" w:rsidRPr="00680A2D">
        <w:t>Additionally, offsets for general practice items should not be included in financial estimations as these costs/savings to Government will not be realised in clinical practice.</w:t>
      </w:r>
      <w:r w:rsidR="004E0AE7">
        <w:t xml:space="preserve"> </w:t>
      </w:r>
    </w:p>
    <w:p w14:paraId="49F70B9D" w14:textId="32F1C9C6" w:rsidR="004E0AE7" w:rsidRPr="00A548DE" w:rsidRDefault="004E0AE7" w:rsidP="00C010DB">
      <w:pPr>
        <w:pStyle w:val="3-BodyText"/>
      </w:pPr>
      <w:r w:rsidRPr="00A548DE">
        <w:t>The ESC considered that if NEPA IV were restricted only to patients who cannot swallow, the utilisation was likely to be lower than estimated, as the population of eligible chemotherapy patients who genuinely cannot use an oral alternative was likely to be small.</w:t>
      </w:r>
    </w:p>
    <w:p w14:paraId="3F2F800F" w14:textId="77777777" w:rsidR="00C010DB" w:rsidRDefault="00C010DB" w:rsidP="009D322D">
      <w:pPr>
        <w:pStyle w:val="Heading2"/>
        <w:spacing w:after="120"/>
      </w:pPr>
      <w:bookmarkStart w:id="60" w:name="_Toc22897648"/>
      <w:bookmarkStart w:id="61" w:name="_Toc124842004"/>
      <w:r w:rsidRPr="00C9624D">
        <w:t>Quality Use of Medicines</w:t>
      </w:r>
      <w:bookmarkEnd w:id="60"/>
      <w:bookmarkEnd w:id="61"/>
    </w:p>
    <w:p w14:paraId="57ABA4DE" w14:textId="798D8BBA" w:rsidR="00C010DB" w:rsidRDefault="00C010DB" w:rsidP="00C010DB">
      <w:pPr>
        <w:pStyle w:val="3-BodyText"/>
        <w:rPr>
          <w:i/>
        </w:rPr>
      </w:pPr>
      <w:r w:rsidRPr="006562AD">
        <w:t xml:space="preserve">The submission noted that NEPA IV contains both an NK1 RA as well as a 5-HT3 RA and thereby circumvents the need for concurrent use of these agents – as is the case with administration of </w:t>
      </w:r>
      <w:r>
        <w:t>Emend</w:t>
      </w:r>
      <w:r w:rsidRPr="006562AD">
        <w:t xml:space="preserve"> IV. </w:t>
      </w:r>
      <w:r>
        <w:t>The sponsor claim</w:t>
      </w:r>
      <w:r w:rsidR="00AE7EE3">
        <w:t>ed</w:t>
      </w:r>
      <w:r>
        <w:t xml:space="preserve"> that the listing of NEPA IV would improve access to anti-emetics/anti-nauseants in patients who would otherwise be unable to take the oral forms of these drugs</w:t>
      </w:r>
      <w:r w:rsidRPr="001E57CF">
        <w:t xml:space="preserve">. </w:t>
      </w:r>
    </w:p>
    <w:p w14:paraId="617238F5" w14:textId="64D3F40F" w:rsidR="00A548DE" w:rsidRPr="009D322D" w:rsidRDefault="00A548DE" w:rsidP="009D322D">
      <w:pPr>
        <w:ind w:firstLine="709"/>
        <w:rPr>
          <w:rFonts w:asciiTheme="minorHAnsi" w:hAnsiTheme="minorHAnsi"/>
          <w:i/>
        </w:rPr>
      </w:pPr>
      <w:r w:rsidRPr="00C33D30">
        <w:rPr>
          <w:rFonts w:asciiTheme="minorHAnsi" w:hAnsiTheme="minorHAnsi"/>
          <w:i/>
        </w:rPr>
        <w:t>For more detail on PBAC’s view, see section 7 PBAC outcome.</w:t>
      </w:r>
    </w:p>
    <w:p w14:paraId="3245D7BA" w14:textId="77777777" w:rsidR="00624403" w:rsidRPr="0090150D" w:rsidRDefault="00624403" w:rsidP="009D322D">
      <w:pPr>
        <w:pStyle w:val="2-SectionHeading"/>
      </w:pPr>
      <w:bookmarkStart w:id="62" w:name="_Hlk76381249"/>
      <w:bookmarkStart w:id="63" w:name="_Hlk76377955"/>
      <w:r w:rsidRPr="0090150D">
        <w:t>PBAC Outcome</w:t>
      </w:r>
    </w:p>
    <w:p w14:paraId="0BB5D159" w14:textId="696861A1" w:rsidR="00624403" w:rsidRPr="00CE42B4" w:rsidRDefault="00624403" w:rsidP="00624403">
      <w:pPr>
        <w:widowControl w:val="0"/>
        <w:numPr>
          <w:ilvl w:val="1"/>
          <w:numId w:val="1"/>
        </w:numPr>
        <w:spacing w:after="120"/>
        <w:rPr>
          <w:rFonts w:asciiTheme="minorHAnsi" w:hAnsiTheme="minorHAnsi"/>
          <w:snapToGrid w:val="0"/>
          <w:lang w:val="en-GB"/>
        </w:rPr>
      </w:pPr>
      <w:r w:rsidRPr="00CE42B4">
        <w:rPr>
          <w:rFonts w:asciiTheme="minorHAnsi" w:hAnsiTheme="minorHAnsi"/>
          <w:snapToGrid w:val="0"/>
          <w:lang w:val="en-GB"/>
        </w:rPr>
        <w:t>The PBAC recommended the</w:t>
      </w:r>
      <w:r w:rsidR="001B72D4">
        <w:rPr>
          <w:rFonts w:asciiTheme="minorHAnsi" w:hAnsiTheme="minorHAnsi"/>
          <w:snapToGrid w:val="0"/>
          <w:lang w:val="en-GB"/>
        </w:rPr>
        <w:t xml:space="preserve"> General Schedule and Section 100 (Efficient Funding of Chemotherapy – Related Benefits)</w:t>
      </w:r>
      <w:r w:rsidRPr="00CE42B4">
        <w:rPr>
          <w:rFonts w:asciiTheme="minorHAnsi" w:hAnsiTheme="minorHAnsi"/>
          <w:snapToGrid w:val="0"/>
          <w:lang w:val="en-GB"/>
        </w:rPr>
        <w:t xml:space="preserve"> listing of </w:t>
      </w:r>
      <w:r w:rsidR="001B72D4">
        <w:rPr>
          <w:rFonts w:asciiTheme="minorHAnsi" w:hAnsiTheme="minorHAnsi"/>
          <w:snapToGrid w:val="0"/>
          <w:lang w:val="en-GB"/>
        </w:rPr>
        <w:t>fosnetupitant</w:t>
      </w:r>
      <w:r w:rsidR="00A16162">
        <w:rPr>
          <w:rFonts w:asciiTheme="minorHAnsi" w:hAnsiTheme="minorHAnsi"/>
          <w:snapToGrid w:val="0"/>
          <w:lang w:val="en-GB"/>
        </w:rPr>
        <w:t xml:space="preserve"> (FosNTP)</w:t>
      </w:r>
      <w:r w:rsidR="001B72D4">
        <w:rPr>
          <w:rFonts w:asciiTheme="minorHAnsi" w:hAnsiTheme="minorHAnsi"/>
          <w:snapToGrid w:val="0"/>
          <w:lang w:val="en-GB"/>
        </w:rPr>
        <w:t xml:space="preserve"> with palonosetron (herein referred to as </w:t>
      </w:r>
      <w:r w:rsidR="00370B60">
        <w:rPr>
          <w:rFonts w:asciiTheme="minorHAnsi" w:hAnsiTheme="minorHAnsi"/>
          <w:snapToGrid w:val="0"/>
          <w:lang w:val="en-GB"/>
        </w:rPr>
        <w:t>NEPA IV</w:t>
      </w:r>
      <w:r w:rsidR="001B72D4">
        <w:rPr>
          <w:rFonts w:asciiTheme="minorHAnsi" w:hAnsiTheme="minorHAnsi"/>
          <w:snapToGrid w:val="0"/>
          <w:lang w:val="en-GB"/>
        </w:rPr>
        <w:t xml:space="preserve">) </w:t>
      </w:r>
      <w:r w:rsidR="001B72D4" w:rsidRPr="00EB09CD">
        <w:t xml:space="preserve">for the </w:t>
      </w:r>
      <w:r w:rsidR="004B27D0">
        <w:t>prophylaxis</w:t>
      </w:r>
      <w:r w:rsidR="001B72D4" w:rsidRPr="00EB09CD">
        <w:t xml:space="preserve"> of nausea and vomiting in patients receiving highly or moderately emetogenic chemotherapy</w:t>
      </w:r>
      <w:r w:rsidR="001B72D4">
        <w:t xml:space="preserve"> (HEC and MEC, respectively), who are unable to swallow or are contraindicated to an oral anti-emetic regimen. The PBAC</w:t>
      </w:r>
      <w:r w:rsidR="00D569B9">
        <w:t>’s</w:t>
      </w:r>
      <w:r w:rsidR="001B72D4">
        <w:t xml:space="preserve"> recommend</w:t>
      </w:r>
      <w:r w:rsidR="00D569B9">
        <w:t>ation for</w:t>
      </w:r>
      <w:r w:rsidR="001B72D4">
        <w:t xml:space="preserve"> listing</w:t>
      </w:r>
      <w:r w:rsidR="001B72D4">
        <w:rPr>
          <w:rFonts w:asciiTheme="minorHAnsi" w:hAnsiTheme="minorHAnsi"/>
          <w:snapToGrid w:val="0"/>
          <w:lang w:val="en-GB"/>
        </w:rPr>
        <w:t xml:space="preserve"> </w:t>
      </w:r>
      <w:r w:rsidR="00D569B9" w:rsidRPr="00D73723">
        <w:t>was based on, among other matters, its a</w:t>
      </w:r>
      <w:r w:rsidR="00D569B9">
        <w:t xml:space="preserve">ssessment, as described above, </w:t>
      </w:r>
      <w:r w:rsidR="00D569B9" w:rsidRPr="00D73723">
        <w:t>that the cost-effectiveness of</w:t>
      </w:r>
      <w:r w:rsidR="00D569B9">
        <w:t xml:space="preserve"> NEPA IV would be a</w:t>
      </w:r>
      <w:r w:rsidR="00D569B9" w:rsidRPr="00D73723">
        <w:t>cceptable if it were cost-minimi</w:t>
      </w:r>
      <w:r w:rsidR="00D569B9">
        <w:t xml:space="preserve">sed to </w:t>
      </w:r>
      <w:r w:rsidR="00C659A8">
        <w:t xml:space="preserve">IV </w:t>
      </w:r>
      <w:r w:rsidR="00D569B9">
        <w:rPr>
          <w:lang w:val="en-GB"/>
        </w:rPr>
        <w:t>fosaprepitant</w:t>
      </w:r>
      <w:r w:rsidR="00A16162">
        <w:rPr>
          <w:lang w:val="en-GB"/>
        </w:rPr>
        <w:t xml:space="preserve"> (FosAPR)</w:t>
      </w:r>
      <w:r w:rsidR="00D569B9">
        <w:rPr>
          <w:lang w:val="en-GB"/>
        </w:rPr>
        <w:t xml:space="preserve"> and </w:t>
      </w:r>
      <w:r w:rsidR="00C659A8">
        <w:rPr>
          <w:lang w:val="en-GB"/>
        </w:rPr>
        <w:t xml:space="preserve">IV </w:t>
      </w:r>
      <w:r w:rsidR="00D569B9">
        <w:rPr>
          <w:rFonts w:asciiTheme="minorHAnsi" w:hAnsiTheme="minorHAnsi"/>
          <w:snapToGrid w:val="0"/>
          <w:lang w:val="en-GB"/>
        </w:rPr>
        <w:t>palonosetron.</w:t>
      </w:r>
      <w:r w:rsidR="001B72D4">
        <w:rPr>
          <w:rFonts w:asciiTheme="minorHAnsi" w:hAnsiTheme="minorHAnsi"/>
          <w:snapToGrid w:val="0"/>
          <w:lang w:val="en-GB"/>
        </w:rPr>
        <w:t xml:space="preserve"> </w:t>
      </w:r>
    </w:p>
    <w:p w14:paraId="02E0EC0B" w14:textId="21C4105F" w:rsidR="00E2549F" w:rsidRDefault="001B72D4" w:rsidP="00E2549F">
      <w:pPr>
        <w:widowControl w:val="0"/>
        <w:numPr>
          <w:ilvl w:val="1"/>
          <w:numId w:val="1"/>
        </w:numPr>
        <w:spacing w:after="120"/>
        <w:rPr>
          <w:rFonts w:asciiTheme="minorHAnsi" w:hAnsiTheme="minorHAnsi"/>
          <w:snapToGrid w:val="0"/>
          <w:lang w:val="en-GB"/>
        </w:rPr>
      </w:pPr>
      <w:bookmarkStart w:id="64" w:name="_Ref130888436"/>
      <w:r>
        <w:rPr>
          <w:rFonts w:asciiTheme="minorHAnsi" w:hAnsiTheme="minorHAnsi"/>
          <w:snapToGrid w:val="0"/>
          <w:lang w:val="en-GB"/>
        </w:rPr>
        <w:t>The PBAC advised the equi-effective doses</w:t>
      </w:r>
      <w:r w:rsidR="00E2549F">
        <w:rPr>
          <w:rFonts w:asciiTheme="minorHAnsi" w:hAnsiTheme="minorHAnsi"/>
          <w:snapToGrid w:val="0"/>
          <w:lang w:val="en-GB"/>
        </w:rPr>
        <w:t xml:space="preserve"> </w:t>
      </w:r>
      <w:r>
        <w:rPr>
          <w:rFonts w:asciiTheme="minorHAnsi" w:hAnsiTheme="minorHAnsi"/>
          <w:snapToGrid w:val="0"/>
          <w:lang w:val="en-GB"/>
        </w:rPr>
        <w:t>were</w:t>
      </w:r>
      <w:r w:rsidR="00E2549F">
        <w:rPr>
          <w:rFonts w:asciiTheme="minorHAnsi" w:hAnsiTheme="minorHAnsi"/>
          <w:snapToGrid w:val="0"/>
          <w:lang w:val="en-GB"/>
        </w:rPr>
        <w:t xml:space="preserve"> as follows:</w:t>
      </w:r>
      <w:bookmarkEnd w:id="64"/>
    </w:p>
    <w:p w14:paraId="6BFEC585" w14:textId="26B0C2FA" w:rsidR="00E2549F" w:rsidRPr="00E2549F" w:rsidRDefault="00E2549F" w:rsidP="00E2549F">
      <w:pPr>
        <w:widowControl w:val="0"/>
        <w:ind w:left="1134" w:hanging="360"/>
        <w:rPr>
          <w:b/>
          <w:bCs/>
          <w:lang w:val="en-GB"/>
        </w:rPr>
      </w:pPr>
      <w:r w:rsidRPr="00E2549F">
        <w:rPr>
          <w:b/>
          <w:bCs/>
          <w:lang w:val="en-GB"/>
        </w:rPr>
        <w:t>For the NK1 antagonist component:</w:t>
      </w:r>
    </w:p>
    <w:p w14:paraId="6634C8A2" w14:textId="47E50D49" w:rsidR="00E2549F" w:rsidRDefault="00E2549F" w:rsidP="00A723BE">
      <w:pPr>
        <w:pStyle w:val="ListParagraph"/>
        <w:widowControl w:val="0"/>
        <w:numPr>
          <w:ilvl w:val="0"/>
          <w:numId w:val="16"/>
        </w:numPr>
        <w:ind w:left="1134"/>
        <w:rPr>
          <w:lang w:val="en-GB"/>
        </w:rPr>
      </w:pPr>
      <w:r>
        <w:rPr>
          <w:lang w:val="en-GB"/>
        </w:rPr>
        <w:t xml:space="preserve">Fosnetupitant 235 </w:t>
      </w:r>
      <w:r w:rsidR="009E2338">
        <w:rPr>
          <w:lang w:val="en-GB"/>
        </w:rPr>
        <w:t> mg</w:t>
      </w:r>
      <w:r>
        <w:rPr>
          <w:lang w:val="en-GB"/>
        </w:rPr>
        <w:t xml:space="preserve"> </w:t>
      </w:r>
      <w:r w:rsidR="003B074F">
        <w:rPr>
          <w:lang w:val="en-GB"/>
        </w:rPr>
        <w:t xml:space="preserve">IV (as part of NEPA IV) </w:t>
      </w:r>
      <w:r>
        <w:rPr>
          <w:lang w:val="en-GB"/>
        </w:rPr>
        <w:t xml:space="preserve">= fosaprepitant 150 </w:t>
      </w:r>
      <w:r w:rsidR="009E2338">
        <w:rPr>
          <w:lang w:val="en-GB"/>
        </w:rPr>
        <w:t> mg</w:t>
      </w:r>
      <w:r w:rsidR="003B074F">
        <w:rPr>
          <w:lang w:val="en-GB"/>
        </w:rPr>
        <w:t xml:space="preserve"> IV</w:t>
      </w:r>
      <w:r w:rsidR="00D730E1">
        <w:rPr>
          <w:lang w:val="en-GB"/>
        </w:rPr>
        <w:t xml:space="preserve">, </w:t>
      </w:r>
      <w:r>
        <w:rPr>
          <w:lang w:val="en-GB"/>
        </w:rPr>
        <w:t>both given once per chemotherapy cycle</w:t>
      </w:r>
      <w:r w:rsidR="00A402C1">
        <w:rPr>
          <w:lang w:val="en-GB"/>
        </w:rPr>
        <w:t>.</w:t>
      </w:r>
    </w:p>
    <w:p w14:paraId="35E65EC3" w14:textId="0DB664A6" w:rsidR="00E2549F" w:rsidRPr="00E2549F" w:rsidRDefault="00E2549F" w:rsidP="00E2549F">
      <w:pPr>
        <w:pStyle w:val="ListParagraph"/>
        <w:widowControl w:val="0"/>
        <w:numPr>
          <w:ilvl w:val="0"/>
          <w:numId w:val="0"/>
        </w:numPr>
        <w:ind w:left="720"/>
        <w:rPr>
          <w:b/>
          <w:bCs/>
          <w:lang w:val="en-GB"/>
        </w:rPr>
      </w:pPr>
      <w:r w:rsidRPr="00E2549F">
        <w:rPr>
          <w:b/>
          <w:bCs/>
          <w:lang w:val="en-GB"/>
        </w:rPr>
        <w:t xml:space="preserve">For the </w:t>
      </w:r>
      <w:r>
        <w:rPr>
          <w:b/>
          <w:bCs/>
          <w:lang w:val="en-GB"/>
        </w:rPr>
        <w:t>5-HT3 RA</w:t>
      </w:r>
      <w:r w:rsidRPr="00E2549F">
        <w:rPr>
          <w:b/>
          <w:bCs/>
          <w:lang w:val="en-GB"/>
        </w:rPr>
        <w:t xml:space="preserve"> component:</w:t>
      </w:r>
    </w:p>
    <w:p w14:paraId="464B4613" w14:textId="2D7DC71C" w:rsidR="00E2549F" w:rsidRPr="00D730E1" w:rsidRDefault="00E2549F" w:rsidP="00803064">
      <w:pPr>
        <w:pStyle w:val="ListParagraph"/>
        <w:widowControl w:val="0"/>
        <w:numPr>
          <w:ilvl w:val="0"/>
          <w:numId w:val="16"/>
        </w:numPr>
        <w:spacing w:after="60"/>
        <w:ind w:left="1134" w:hanging="357"/>
        <w:rPr>
          <w:lang w:val="en-GB"/>
        </w:rPr>
      </w:pPr>
      <w:r w:rsidRPr="00D730E1">
        <w:rPr>
          <w:lang w:val="en-GB"/>
        </w:rPr>
        <w:t xml:space="preserve">Palonosetron 0.25 </w:t>
      </w:r>
      <w:r w:rsidR="009E2338">
        <w:rPr>
          <w:lang w:val="en-GB"/>
        </w:rPr>
        <w:t> mg</w:t>
      </w:r>
      <w:r w:rsidRPr="00D730E1">
        <w:rPr>
          <w:lang w:val="en-GB"/>
        </w:rPr>
        <w:t xml:space="preserve"> IV (as part of </w:t>
      </w:r>
      <w:r w:rsidR="006368D3" w:rsidRPr="00D730E1">
        <w:rPr>
          <w:lang w:val="en-GB"/>
        </w:rPr>
        <w:t>NEPA IV</w:t>
      </w:r>
      <w:r w:rsidRPr="00D730E1">
        <w:rPr>
          <w:lang w:val="en-GB"/>
        </w:rPr>
        <w:t>)</w:t>
      </w:r>
      <w:r w:rsidR="00D730E1" w:rsidRPr="00D730E1">
        <w:rPr>
          <w:lang w:val="en-GB"/>
        </w:rPr>
        <w:t xml:space="preserve"> = </w:t>
      </w:r>
      <w:r w:rsidR="00D730E1">
        <w:rPr>
          <w:lang w:val="en-GB"/>
        </w:rPr>
        <w:t>p</w:t>
      </w:r>
      <w:r w:rsidRPr="00D730E1">
        <w:rPr>
          <w:lang w:val="en-GB"/>
        </w:rPr>
        <w:t xml:space="preserve">alonosetron 0.25 </w:t>
      </w:r>
      <w:r w:rsidR="009E2338">
        <w:rPr>
          <w:lang w:val="en-GB"/>
        </w:rPr>
        <w:t> mg</w:t>
      </w:r>
      <w:r w:rsidRPr="00D730E1">
        <w:rPr>
          <w:lang w:val="en-GB"/>
        </w:rPr>
        <w:t xml:space="preserve"> IV (given concomitantly with an</w:t>
      </w:r>
      <w:r w:rsidR="006368D3" w:rsidRPr="00D730E1">
        <w:rPr>
          <w:lang w:val="en-GB"/>
        </w:rPr>
        <w:t xml:space="preserve"> IV</w:t>
      </w:r>
      <w:r w:rsidRPr="00D730E1">
        <w:rPr>
          <w:lang w:val="en-GB"/>
        </w:rPr>
        <w:t xml:space="preserve"> NK1 antagonist), </w:t>
      </w:r>
      <w:r w:rsidR="00D730E1">
        <w:rPr>
          <w:lang w:val="en-GB"/>
        </w:rPr>
        <w:t xml:space="preserve">both </w:t>
      </w:r>
      <w:r w:rsidRPr="00D730E1">
        <w:rPr>
          <w:lang w:val="en-GB"/>
        </w:rPr>
        <w:t>given once per chemotherapy cycle</w:t>
      </w:r>
      <w:r w:rsidR="001E6B98" w:rsidRPr="00D730E1">
        <w:rPr>
          <w:lang w:val="en-GB"/>
        </w:rPr>
        <w:t>.</w:t>
      </w:r>
    </w:p>
    <w:p w14:paraId="7F22C5EC" w14:textId="0EDC4F10" w:rsidR="00624403" w:rsidRPr="00CE42B4" w:rsidRDefault="00F90CEB" w:rsidP="00624403">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considered there was a low-to-moderate clinical need for additional anti-emetic options </w:t>
      </w:r>
      <w:r w:rsidR="00D730E1">
        <w:rPr>
          <w:rFonts w:asciiTheme="minorHAnsi" w:hAnsiTheme="minorHAnsi"/>
          <w:snapToGrid w:val="0"/>
          <w:lang w:val="en-GB"/>
        </w:rPr>
        <w:t xml:space="preserve">for </w:t>
      </w:r>
      <w:r>
        <w:rPr>
          <w:rFonts w:asciiTheme="minorHAnsi" w:hAnsiTheme="minorHAnsi"/>
          <w:snapToGrid w:val="0"/>
          <w:lang w:val="en-GB"/>
        </w:rPr>
        <w:t xml:space="preserve">patients receiving HEC or MEC who cannot use oral therapies, </w:t>
      </w:r>
      <w:r w:rsidR="00A4438A">
        <w:rPr>
          <w:rFonts w:asciiTheme="minorHAnsi" w:hAnsiTheme="minorHAnsi"/>
          <w:snapToGrid w:val="0"/>
          <w:lang w:val="en-GB"/>
        </w:rPr>
        <w:t xml:space="preserve">noting </w:t>
      </w:r>
      <w:r w:rsidR="0057252D">
        <w:rPr>
          <w:rFonts w:asciiTheme="minorHAnsi" w:hAnsiTheme="minorHAnsi"/>
          <w:snapToGrid w:val="0"/>
          <w:lang w:val="en-GB"/>
        </w:rPr>
        <w:t xml:space="preserve">that </w:t>
      </w:r>
      <w:r w:rsidR="00A4438A">
        <w:rPr>
          <w:rFonts w:asciiTheme="minorHAnsi" w:hAnsiTheme="minorHAnsi"/>
          <w:snapToGrid w:val="0"/>
          <w:lang w:val="en-GB"/>
        </w:rPr>
        <w:t>a</w:t>
      </w:r>
      <w:r>
        <w:rPr>
          <w:rFonts w:asciiTheme="minorHAnsi" w:hAnsiTheme="minorHAnsi"/>
          <w:snapToGrid w:val="0"/>
          <w:lang w:val="en-GB"/>
        </w:rPr>
        <w:t xml:space="preserve"> </w:t>
      </w:r>
      <w:r w:rsidR="0057252D">
        <w:rPr>
          <w:rFonts w:asciiTheme="minorHAnsi" w:hAnsiTheme="minorHAnsi"/>
          <w:snapToGrid w:val="0"/>
          <w:lang w:val="en-GB"/>
        </w:rPr>
        <w:t xml:space="preserve">combination of </w:t>
      </w:r>
      <w:r w:rsidR="000F7738">
        <w:rPr>
          <w:rFonts w:asciiTheme="minorHAnsi" w:hAnsiTheme="minorHAnsi"/>
          <w:snapToGrid w:val="0"/>
          <w:lang w:val="en-GB"/>
        </w:rPr>
        <w:t xml:space="preserve">IV </w:t>
      </w:r>
      <w:r w:rsidR="00A16162">
        <w:rPr>
          <w:rFonts w:asciiTheme="minorHAnsi" w:hAnsiTheme="minorHAnsi"/>
          <w:snapToGrid w:val="0"/>
          <w:lang w:val="en-GB"/>
        </w:rPr>
        <w:t>FosAPR</w:t>
      </w:r>
      <w:r>
        <w:rPr>
          <w:rFonts w:asciiTheme="minorHAnsi" w:hAnsiTheme="minorHAnsi"/>
          <w:snapToGrid w:val="0"/>
          <w:lang w:val="en-GB"/>
        </w:rPr>
        <w:t xml:space="preserve"> </w:t>
      </w:r>
      <w:r w:rsidR="00F30360">
        <w:rPr>
          <w:rFonts w:asciiTheme="minorHAnsi" w:hAnsiTheme="minorHAnsi"/>
          <w:snapToGrid w:val="0"/>
          <w:lang w:val="en-GB"/>
        </w:rPr>
        <w:t xml:space="preserve">with an IV 5-HT3 RA </w:t>
      </w:r>
      <w:r w:rsidR="003B71B6">
        <w:rPr>
          <w:rFonts w:asciiTheme="minorHAnsi" w:hAnsiTheme="minorHAnsi"/>
          <w:snapToGrid w:val="0"/>
          <w:lang w:val="en-GB"/>
        </w:rPr>
        <w:t>and dexamethasone</w:t>
      </w:r>
      <w:r w:rsidR="00934138">
        <w:rPr>
          <w:rFonts w:asciiTheme="minorHAnsi" w:hAnsiTheme="minorHAnsi"/>
          <w:snapToGrid w:val="0"/>
          <w:lang w:val="en-GB"/>
        </w:rPr>
        <w:t xml:space="preserve"> </w:t>
      </w:r>
      <w:r>
        <w:rPr>
          <w:rFonts w:asciiTheme="minorHAnsi" w:hAnsiTheme="minorHAnsi"/>
          <w:snapToGrid w:val="0"/>
          <w:lang w:val="en-GB"/>
        </w:rPr>
        <w:t xml:space="preserve">was the </w:t>
      </w:r>
      <w:r w:rsidR="0057252D">
        <w:rPr>
          <w:rFonts w:asciiTheme="minorHAnsi" w:hAnsiTheme="minorHAnsi"/>
          <w:snapToGrid w:val="0"/>
          <w:lang w:val="en-GB"/>
        </w:rPr>
        <w:t>standard</w:t>
      </w:r>
      <w:r w:rsidR="00682D5B">
        <w:rPr>
          <w:rFonts w:asciiTheme="minorHAnsi" w:hAnsiTheme="minorHAnsi"/>
          <w:snapToGrid w:val="0"/>
          <w:lang w:val="en-GB"/>
        </w:rPr>
        <w:t xml:space="preserve"> </w:t>
      </w:r>
      <w:r>
        <w:rPr>
          <w:rFonts w:asciiTheme="minorHAnsi" w:hAnsiTheme="minorHAnsi"/>
          <w:snapToGrid w:val="0"/>
          <w:lang w:val="en-GB"/>
        </w:rPr>
        <w:t xml:space="preserve">option for these patients. </w:t>
      </w:r>
    </w:p>
    <w:p w14:paraId="2182FC59" w14:textId="29E172BC" w:rsidR="00B61F30" w:rsidRPr="00DF3400" w:rsidRDefault="00B5620E" w:rsidP="00B5620E">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noted the sponsor was willing to accept a </w:t>
      </w:r>
      <w:r w:rsidR="00F90CEB">
        <w:rPr>
          <w:rFonts w:asciiTheme="minorHAnsi" w:hAnsiTheme="minorHAnsi"/>
          <w:snapToGrid w:val="0"/>
          <w:lang w:val="en-GB"/>
        </w:rPr>
        <w:t xml:space="preserve">listing </w:t>
      </w:r>
      <w:r w:rsidR="00D569B9">
        <w:rPr>
          <w:rFonts w:asciiTheme="minorHAnsi" w:hAnsiTheme="minorHAnsi"/>
          <w:snapToGrid w:val="0"/>
          <w:lang w:val="en-GB"/>
        </w:rPr>
        <w:t>for</w:t>
      </w:r>
      <w:r w:rsidR="00F90CEB">
        <w:rPr>
          <w:rFonts w:asciiTheme="minorHAnsi" w:hAnsiTheme="minorHAnsi"/>
          <w:snapToGrid w:val="0"/>
          <w:lang w:val="en-GB"/>
        </w:rPr>
        <w:t xml:space="preserve"> </w:t>
      </w:r>
      <w:r w:rsidR="00370B60">
        <w:rPr>
          <w:rFonts w:asciiTheme="minorHAnsi" w:hAnsiTheme="minorHAnsi"/>
          <w:snapToGrid w:val="0"/>
          <w:lang w:val="en-GB"/>
        </w:rPr>
        <w:t>NEPA IV</w:t>
      </w:r>
      <w:r w:rsidR="00F90CEB">
        <w:rPr>
          <w:rFonts w:asciiTheme="minorHAnsi" w:hAnsiTheme="minorHAnsi"/>
          <w:snapToGrid w:val="0"/>
          <w:lang w:val="en-GB"/>
        </w:rPr>
        <w:t xml:space="preserve"> only for patients who cannot swallow or are contraindicated to oral alternatives, </w:t>
      </w:r>
      <w:r w:rsidR="00D730E1">
        <w:rPr>
          <w:rFonts w:asciiTheme="minorHAnsi" w:hAnsiTheme="minorHAnsi"/>
          <w:snapToGrid w:val="0"/>
          <w:lang w:val="en-GB"/>
        </w:rPr>
        <w:t xml:space="preserve">and </w:t>
      </w:r>
      <w:r w:rsidR="00F90CEB">
        <w:rPr>
          <w:rFonts w:asciiTheme="minorHAnsi" w:hAnsiTheme="minorHAnsi"/>
          <w:snapToGrid w:val="0"/>
          <w:lang w:val="en-GB"/>
        </w:rPr>
        <w:t xml:space="preserve">the PBAC considered </w:t>
      </w:r>
      <w:r w:rsidRPr="00B5620E">
        <w:rPr>
          <w:rFonts w:asciiTheme="minorHAnsi" w:hAnsiTheme="minorHAnsi"/>
          <w:snapToGrid w:val="0"/>
          <w:lang w:val="en-GB"/>
        </w:rPr>
        <w:t>this</w:t>
      </w:r>
      <w:r>
        <w:rPr>
          <w:rFonts w:asciiTheme="minorHAnsi" w:hAnsiTheme="minorHAnsi"/>
          <w:snapToGrid w:val="0"/>
          <w:lang w:val="en-GB"/>
        </w:rPr>
        <w:t xml:space="preserve"> would be reasonable</w:t>
      </w:r>
      <w:r w:rsidR="00F90CEB">
        <w:rPr>
          <w:rFonts w:asciiTheme="minorHAnsi" w:hAnsiTheme="minorHAnsi"/>
          <w:snapToGrid w:val="0"/>
          <w:lang w:val="en-GB"/>
        </w:rPr>
        <w:t xml:space="preserve">. </w:t>
      </w:r>
      <w:r>
        <w:rPr>
          <w:rFonts w:asciiTheme="minorHAnsi" w:hAnsiTheme="minorHAnsi"/>
          <w:snapToGrid w:val="0"/>
          <w:lang w:val="en-GB"/>
        </w:rPr>
        <w:t>However</w:t>
      </w:r>
      <w:r w:rsidR="00F90CEB">
        <w:rPr>
          <w:rFonts w:asciiTheme="minorHAnsi" w:hAnsiTheme="minorHAnsi"/>
          <w:snapToGrid w:val="0"/>
          <w:lang w:val="en-GB"/>
        </w:rPr>
        <w:t>, the PBAC considered the risk of use by patients who are able to take an oral therapy was high, as many patients may find a single IV administration at time of chemotherapy more convenient than daily oral therapy</w:t>
      </w:r>
      <w:r w:rsidR="00B61F30">
        <w:rPr>
          <w:rFonts w:asciiTheme="minorHAnsi" w:hAnsiTheme="minorHAnsi"/>
          <w:snapToGrid w:val="0"/>
          <w:lang w:val="en-GB"/>
        </w:rPr>
        <w:t xml:space="preserve"> (</w:t>
      </w:r>
      <w:r w:rsidR="00B61F30" w:rsidRPr="00DF3400">
        <w:rPr>
          <w:rFonts w:asciiTheme="minorHAnsi" w:hAnsiTheme="minorHAnsi"/>
          <w:snapToGrid w:val="0"/>
          <w:lang w:val="en-GB"/>
        </w:rPr>
        <w:t>paragraph 5.4</w:t>
      </w:r>
      <w:r w:rsidR="00B61F30">
        <w:rPr>
          <w:rFonts w:asciiTheme="minorHAnsi" w:hAnsiTheme="minorHAnsi"/>
          <w:snapToGrid w:val="0"/>
          <w:lang w:val="en-GB"/>
        </w:rPr>
        <w:t xml:space="preserve"> refers)</w:t>
      </w:r>
      <w:r w:rsidR="00F90CEB">
        <w:rPr>
          <w:rFonts w:asciiTheme="minorHAnsi" w:hAnsiTheme="minorHAnsi"/>
          <w:snapToGrid w:val="0"/>
          <w:lang w:val="en-GB"/>
        </w:rPr>
        <w:t>. On that basis, the PBAC</w:t>
      </w:r>
      <w:r w:rsidR="00B61F30">
        <w:rPr>
          <w:rFonts w:asciiTheme="minorHAnsi" w:hAnsiTheme="minorHAnsi"/>
          <w:snapToGrid w:val="0"/>
          <w:lang w:val="en-GB"/>
        </w:rPr>
        <w:t xml:space="preserve"> considered an Authority Required (telephone/electronic) level of authority was appropriate for the listing of </w:t>
      </w:r>
      <w:r w:rsidR="00370B60">
        <w:rPr>
          <w:rFonts w:asciiTheme="minorHAnsi" w:hAnsiTheme="minorHAnsi"/>
          <w:snapToGrid w:val="0"/>
          <w:lang w:val="en-GB"/>
        </w:rPr>
        <w:t>NEPA IV</w:t>
      </w:r>
      <w:r w:rsidR="00B61F30">
        <w:rPr>
          <w:rFonts w:asciiTheme="minorHAnsi" w:hAnsiTheme="minorHAnsi"/>
          <w:snapToGrid w:val="0"/>
          <w:lang w:val="en-GB"/>
        </w:rPr>
        <w:t>. The PBAC also considered changes to the restriction for oral n</w:t>
      </w:r>
      <w:r w:rsidR="00370B60">
        <w:rPr>
          <w:rFonts w:asciiTheme="minorHAnsi" w:hAnsiTheme="minorHAnsi"/>
          <w:snapToGrid w:val="0"/>
          <w:lang w:val="en-GB"/>
        </w:rPr>
        <w:t>e</w:t>
      </w:r>
      <w:r w:rsidR="00B61F30">
        <w:rPr>
          <w:rFonts w:asciiTheme="minorHAnsi" w:hAnsiTheme="minorHAnsi"/>
          <w:snapToGrid w:val="0"/>
          <w:lang w:val="en-GB"/>
        </w:rPr>
        <w:t xml:space="preserve">tupitant/palonosetron (item 6.18, March 2023 PBAC meeting) should be flowed on to the listing of </w:t>
      </w:r>
      <w:r w:rsidR="00370B60">
        <w:rPr>
          <w:rFonts w:asciiTheme="minorHAnsi" w:hAnsiTheme="minorHAnsi"/>
          <w:snapToGrid w:val="0"/>
          <w:lang w:val="en-GB"/>
        </w:rPr>
        <w:t>NEPA IV</w:t>
      </w:r>
      <w:r w:rsidR="00B75295">
        <w:rPr>
          <w:rFonts w:asciiTheme="minorHAnsi" w:hAnsiTheme="minorHAnsi"/>
          <w:snapToGrid w:val="0"/>
          <w:lang w:val="en-GB"/>
        </w:rPr>
        <w:t>.</w:t>
      </w:r>
    </w:p>
    <w:p w14:paraId="38B44F2E" w14:textId="32141BAA" w:rsidR="00624403" w:rsidRPr="00CE42B4" w:rsidRDefault="00B61F30" w:rsidP="00624403">
      <w:pPr>
        <w:widowControl w:val="0"/>
        <w:numPr>
          <w:ilvl w:val="1"/>
          <w:numId w:val="1"/>
        </w:numPr>
        <w:spacing w:after="120"/>
        <w:rPr>
          <w:rFonts w:asciiTheme="minorHAnsi" w:hAnsiTheme="minorHAnsi"/>
          <w:snapToGrid w:val="0"/>
          <w:lang w:val="en-GB"/>
        </w:rPr>
      </w:pPr>
      <w:bookmarkStart w:id="65" w:name="_Ref130888514"/>
      <w:r>
        <w:rPr>
          <w:rFonts w:asciiTheme="minorHAnsi" w:hAnsiTheme="minorHAnsi"/>
          <w:snapToGrid w:val="0"/>
          <w:lang w:val="en-GB"/>
        </w:rPr>
        <w:t xml:space="preserve">The PBAC considered the nominated comparator of </w:t>
      </w:r>
      <w:r w:rsidR="00A16162">
        <w:rPr>
          <w:rFonts w:asciiTheme="minorHAnsi" w:hAnsiTheme="minorHAnsi"/>
          <w:snapToGrid w:val="0"/>
          <w:lang w:val="en-GB"/>
        </w:rPr>
        <w:t>FosAPR</w:t>
      </w:r>
      <w:r>
        <w:rPr>
          <w:rFonts w:asciiTheme="minorHAnsi" w:hAnsiTheme="minorHAnsi"/>
          <w:snapToGrid w:val="0"/>
          <w:lang w:val="en-GB"/>
        </w:rPr>
        <w:t xml:space="preserve"> plus an 5-HT3 RA was </w:t>
      </w:r>
      <w:r w:rsidR="00370B60">
        <w:rPr>
          <w:rFonts w:asciiTheme="minorHAnsi" w:hAnsiTheme="minorHAnsi"/>
          <w:snapToGrid w:val="0"/>
          <w:lang w:val="en-GB"/>
        </w:rPr>
        <w:t>reasonable</w:t>
      </w:r>
      <w:r w:rsidR="00E65E23">
        <w:rPr>
          <w:rFonts w:asciiTheme="minorHAnsi" w:hAnsiTheme="minorHAnsi"/>
          <w:snapToGrid w:val="0"/>
          <w:lang w:val="en-GB"/>
        </w:rPr>
        <w:t xml:space="preserve">. </w:t>
      </w:r>
      <w:r w:rsidR="006368D3">
        <w:rPr>
          <w:rFonts w:asciiTheme="minorHAnsi" w:hAnsiTheme="minorHAnsi"/>
          <w:snapToGrid w:val="0"/>
          <w:lang w:val="en-GB"/>
        </w:rPr>
        <w:t>The Committee advised</w:t>
      </w:r>
      <w:r w:rsidR="00175A91">
        <w:rPr>
          <w:rFonts w:asciiTheme="minorHAnsi" w:hAnsiTheme="minorHAnsi"/>
          <w:snapToGrid w:val="0"/>
          <w:lang w:val="en-GB"/>
        </w:rPr>
        <w:t>, noting</w:t>
      </w:r>
      <w:r w:rsidR="006368D3">
        <w:rPr>
          <w:rFonts w:asciiTheme="minorHAnsi" w:hAnsiTheme="minorHAnsi"/>
          <w:snapToGrid w:val="0"/>
          <w:lang w:val="en-GB"/>
        </w:rPr>
        <w:t xml:space="preserve"> that</w:t>
      </w:r>
      <w:r w:rsidR="00175A91">
        <w:rPr>
          <w:rFonts w:asciiTheme="minorHAnsi" w:hAnsiTheme="minorHAnsi"/>
          <w:snapToGrid w:val="0"/>
          <w:lang w:val="en-GB"/>
        </w:rPr>
        <w:t xml:space="preserve"> </w:t>
      </w:r>
      <w:r w:rsidR="00175A91" w:rsidRPr="00175A91">
        <w:rPr>
          <w:rFonts w:asciiTheme="minorHAnsi" w:hAnsiTheme="minorHAnsi"/>
          <w:snapToGrid w:val="0"/>
          <w:lang w:val="en-GB"/>
        </w:rPr>
        <w:t>use</w:t>
      </w:r>
      <w:r w:rsidR="00175A91">
        <w:rPr>
          <w:rFonts w:asciiTheme="minorHAnsi" w:hAnsiTheme="minorHAnsi"/>
          <w:snapToGrid w:val="0"/>
          <w:lang w:val="en-GB"/>
        </w:rPr>
        <w:t xml:space="preserve"> is to </w:t>
      </w:r>
      <w:r w:rsidR="00175A91" w:rsidRPr="00175A91">
        <w:rPr>
          <w:rFonts w:asciiTheme="minorHAnsi" w:hAnsiTheme="minorHAnsi"/>
          <w:snapToGrid w:val="0"/>
          <w:lang w:val="en-GB"/>
        </w:rPr>
        <w:t>be</w:t>
      </w:r>
      <w:r w:rsidR="006368D3" w:rsidRPr="00175A91">
        <w:rPr>
          <w:rFonts w:asciiTheme="minorHAnsi" w:hAnsiTheme="minorHAnsi"/>
          <w:snapToGrid w:val="0"/>
          <w:lang w:val="en-GB"/>
        </w:rPr>
        <w:t xml:space="preserve"> restricted to</w:t>
      </w:r>
      <w:r w:rsidR="006368D3">
        <w:rPr>
          <w:rFonts w:asciiTheme="minorHAnsi" w:hAnsiTheme="minorHAnsi"/>
          <w:snapToGrid w:val="0"/>
          <w:lang w:val="en-GB"/>
        </w:rPr>
        <w:t xml:space="preserve"> patients who cannot use oral anti-emetics, </w:t>
      </w:r>
      <w:r w:rsidR="00175A91">
        <w:rPr>
          <w:rFonts w:asciiTheme="minorHAnsi" w:hAnsiTheme="minorHAnsi"/>
          <w:snapToGrid w:val="0"/>
          <w:lang w:val="en-GB"/>
        </w:rPr>
        <w:t xml:space="preserve">that </w:t>
      </w:r>
      <w:r w:rsidR="006368D3">
        <w:rPr>
          <w:rFonts w:asciiTheme="minorHAnsi" w:hAnsiTheme="minorHAnsi"/>
          <w:snapToGrid w:val="0"/>
          <w:lang w:val="en-GB"/>
        </w:rPr>
        <w:t>oral</w:t>
      </w:r>
      <w:r w:rsidR="006F5293">
        <w:rPr>
          <w:rFonts w:asciiTheme="minorHAnsi" w:hAnsiTheme="minorHAnsi"/>
          <w:snapToGrid w:val="0"/>
          <w:lang w:val="en-GB"/>
        </w:rPr>
        <w:t xml:space="preserve"> 5-HT3 RA</w:t>
      </w:r>
      <w:r w:rsidR="006368D3">
        <w:rPr>
          <w:rFonts w:asciiTheme="minorHAnsi" w:hAnsiTheme="minorHAnsi"/>
          <w:snapToGrid w:val="0"/>
          <w:lang w:val="en-GB"/>
        </w:rPr>
        <w:t xml:space="preserve"> therapies should not be considered alternatives.</w:t>
      </w:r>
      <w:r>
        <w:rPr>
          <w:rFonts w:asciiTheme="minorHAnsi" w:hAnsiTheme="minorHAnsi"/>
          <w:snapToGrid w:val="0"/>
          <w:lang w:val="en-GB"/>
        </w:rPr>
        <w:t xml:space="preserve"> </w:t>
      </w:r>
      <w:r w:rsidR="00E65E23">
        <w:rPr>
          <w:rFonts w:asciiTheme="minorHAnsi" w:hAnsiTheme="minorHAnsi"/>
          <w:snapToGrid w:val="0"/>
          <w:lang w:val="en-GB"/>
        </w:rPr>
        <w:t xml:space="preserve">Similarly, the PBAC </w:t>
      </w:r>
      <w:r w:rsidR="006F5293">
        <w:rPr>
          <w:rFonts w:asciiTheme="minorHAnsi" w:hAnsiTheme="minorHAnsi"/>
          <w:snapToGrid w:val="0"/>
          <w:lang w:val="en-GB"/>
        </w:rPr>
        <w:t>noted</w:t>
      </w:r>
      <w:r w:rsidR="00D730E1">
        <w:rPr>
          <w:rFonts w:asciiTheme="minorHAnsi" w:hAnsiTheme="minorHAnsi"/>
          <w:snapToGrid w:val="0"/>
          <w:lang w:val="en-GB"/>
        </w:rPr>
        <w:t xml:space="preserve"> that</w:t>
      </w:r>
      <w:r w:rsidR="00E65E23">
        <w:rPr>
          <w:rFonts w:asciiTheme="minorHAnsi" w:hAnsiTheme="minorHAnsi"/>
          <w:snapToGrid w:val="0"/>
          <w:lang w:val="en-GB"/>
        </w:rPr>
        <w:t xml:space="preserve"> the IV forms of granisetron and tropisetron </w:t>
      </w:r>
      <w:r w:rsidR="006F5293">
        <w:rPr>
          <w:rFonts w:asciiTheme="minorHAnsi" w:hAnsiTheme="minorHAnsi"/>
          <w:snapToGrid w:val="0"/>
          <w:lang w:val="en-GB"/>
        </w:rPr>
        <w:t>require,</w:t>
      </w:r>
      <w:r w:rsidR="00E65E23">
        <w:rPr>
          <w:rFonts w:asciiTheme="minorHAnsi" w:hAnsiTheme="minorHAnsi"/>
          <w:snapToGrid w:val="0"/>
          <w:lang w:val="en-GB"/>
        </w:rPr>
        <w:t xml:space="preserve"> at least </w:t>
      </w:r>
      <w:r w:rsidR="00D730E1">
        <w:rPr>
          <w:rFonts w:asciiTheme="minorHAnsi" w:hAnsiTheme="minorHAnsi"/>
          <w:snapToGrid w:val="0"/>
          <w:lang w:val="en-GB"/>
        </w:rPr>
        <w:t xml:space="preserve">for </w:t>
      </w:r>
      <w:r w:rsidR="00E65E23">
        <w:rPr>
          <w:rFonts w:asciiTheme="minorHAnsi" w:hAnsiTheme="minorHAnsi"/>
          <w:snapToGrid w:val="0"/>
          <w:lang w:val="en-GB"/>
        </w:rPr>
        <w:t>a proportion of patient</w:t>
      </w:r>
      <w:r w:rsidR="00D730E1">
        <w:rPr>
          <w:rFonts w:asciiTheme="minorHAnsi" w:hAnsiTheme="minorHAnsi"/>
          <w:snapToGrid w:val="0"/>
          <w:lang w:val="en-GB"/>
        </w:rPr>
        <w:t>s</w:t>
      </w:r>
      <w:r w:rsidR="006F5293">
        <w:rPr>
          <w:rFonts w:asciiTheme="minorHAnsi" w:hAnsiTheme="minorHAnsi"/>
          <w:snapToGrid w:val="0"/>
          <w:lang w:val="en-GB"/>
        </w:rPr>
        <w:t>, subsequent oral therapy and therefore considered they should not be considered alternative therapies</w:t>
      </w:r>
      <w:r w:rsidR="00934138">
        <w:rPr>
          <w:rFonts w:asciiTheme="minorHAnsi" w:hAnsiTheme="minorHAnsi"/>
          <w:snapToGrid w:val="0"/>
          <w:lang w:val="en-GB"/>
        </w:rPr>
        <w:t>, and further noted that in the population who are unable to use oral therapies, additional doses would need to be IV based and would incur further additional costs, including for administration</w:t>
      </w:r>
      <w:r w:rsidR="00E65E23">
        <w:rPr>
          <w:rFonts w:asciiTheme="minorHAnsi" w:hAnsiTheme="minorHAnsi"/>
          <w:snapToGrid w:val="0"/>
          <w:lang w:val="en-GB"/>
        </w:rPr>
        <w:t>.</w:t>
      </w:r>
      <w:r w:rsidR="00D730E1">
        <w:rPr>
          <w:rFonts w:asciiTheme="minorHAnsi" w:hAnsiTheme="minorHAnsi"/>
          <w:snapToGrid w:val="0"/>
          <w:lang w:val="en-GB"/>
        </w:rPr>
        <w:t xml:space="preserve"> The IV form of palonosetron does not require subsequent therapy.</w:t>
      </w:r>
      <w:r w:rsidR="006F5293">
        <w:rPr>
          <w:rFonts w:asciiTheme="minorHAnsi" w:hAnsiTheme="minorHAnsi"/>
          <w:snapToGrid w:val="0"/>
          <w:lang w:val="en-GB"/>
        </w:rPr>
        <w:t xml:space="preserve"> The PBAC therefore considered the comparator to be </w:t>
      </w:r>
      <w:r w:rsidR="00D730E1">
        <w:rPr>
          <w:rFonts w:asciiTheme="minorHAnsi" w:hAnsiTheme="minorHAnsi"/>
          <w:snapToGrid w:val="0"/>
          <w:lang w:val="en-GB"/>
        </w:rPr>
        <w:t>IV</w:t>
      </w:r>
      <w:r w:rsidR="00A16162">
        <w:rPr>
          <w:rFonts w:asciiTheme="minorHAnsi" w:hAnsiTheme="minorHAnsi"/>
          <w:snapToGrid w:val="0"/>
          <w:lang w:val="en-GB"/>
        </w:rPr>
        <w:t xml:space="preserve"> FosAPR</w:t>
      </w:r>
      <w:r w:rsidR="006F5293">
        <w:rPr>
          <w:rFonts w:asciiTheme="minorHAnsi" w:hAnsiTheme="minorHAnsi"/>
          <w:snapToGrid w:val="0"/>
          <w:lang w:val="en-GB"/>
        </w:rPr>
        <w:t xml:space="preserve"> plus</w:t>
      </w:r>
      <w:r w:rsidR="006F5293" w:rsidRPr="006F5293">
        <w:rPr>
          <w:rFonts w:asciiTheme="minorHAnsi" w:hAnsiTheme="minorHAnsi"/>
          <w:snapToGrid w:val="0"/>
          <w:lang w:val="en-GB"/>
        </w:rPr>
        <w:t xml:space="preserve"> </w:t>
      </w:r>
      <w:r w:rsidR="00D730E1">
        <w:rPr>
          <w:rFonts w:asciiTheme="minorHAnsi" w:hAnsiTheme="minorHAnsi"/>
          <w:snapToGrid w:val="0"/>
          <w:lang w:val="en-GB"/>
        </w:rPr>
        <w:t xml:space="preserve">IV </w:t>
      </w:r>
      <w:r w:rsidR="006F5293">
        <w:rPr>
          <w:rFonts w:asciiTheme="minorHAnsi" w:hAnsiTheme="minorHAnsi"/>
          <w:snapToGrid w:val="0"/>
          <w:lang w:val="en-GB"/>
        </w:rPr>
        <w:t xml:space="preserve">palonosetron </w:t>
      </w:r>
      <w:r w:rsidR="00D730E1">
        <w:rPr>
          <w:rFonts w:asciiTheme="minorHAnsi" w:hAnsiTheme="minorHAnsi"/>
          <w:snapToGrid w:val="0"/>
          <w:lang w:val="en-GB"/>
        </w:rPr>
        <w:t>given the</w:t>
      </w:r>
      <w:r w:rsidR="006F5293">
        <w:rPr>
          <w:rFonts w:asciiTheme="minorHAnsi" w:hAnsiTheme="minorHAnsi"/>
          <w:snapToGrid w:val="0"/>
          <w:lang w:val="en-GB"/>
        </w:rPr>
        <w:t xml:space="preserve"> restricted listing for NEPA IV for patients who cannot swallow or are contraindicated to oral </w:t>
      </w:r>
      <w:r w:rsidR="00D730E1">
        <w:rPr>
          <w:rFonts w:asciiTheme="minorHAnsi" w:hAnsiTheme="minorHAnsi"/>
          <w:snapToGrid w:val="0"/>
          <w:lang w:val="en-GB"/>
        </w:rPr>
        <w:t>treatments</w:t>
      </w:r>
      <w:r w:rsidR="006F5293">
        <w:rPr>
          <w:rFonts w:asciiTheme="minorHAnsi" w:hAnsiTheme="minorHAnsi"/>
          <w:snapToGrid w:val="0"/>
          <w:lang w:val="en-GB"/>
        </w:rPr>
        <w:t>.</w:t>
      </w:r>
      <w:bookmarkEnd w:id="65"/>
    </w:p>
    <w:p w14:paraId="743901F6" w14:textId="09ED6B08" w:rsidR="00624403" w:rsidRPr="00CE42B4" w:rsidRDefault="004B40FA" w:rsidP="00624403">
      <w:pPr>
        <w:widowControl w:val="0"/>
        <w:numPr>
          <w:ilvl w:val="1"/>
          <w:numId w:val="1"/>
        </w:numPr>
        <w:spacing w:after="120"/>
        <w:rPr>
          <w:rFonts w:asciiTheme="minorHAnsi" w:hAnsiTheme="minorHAnsi"/>
          <w:snapToGrid w:val="0"/>
          <w:lang w:val="en-GB"/>
        </w:rPr>
      </w:pPr>
      <w:r w:rsidRPr="000062C8">
        <w:rPr>
          <w:rFonts w:asciiTheme="minorHAnsi" w:hAnsiTheme="minorHAnsi"/>
          <w:snapToGrid w:val="0"/>
          <w:lang w:val="en-GB"/>
        </w:rPr>
        <w:t xml:space="preserve">The PBAC noted two randomised, head-to-head clinical trials comparing NEPA IV to </w:t>
      </w:r>
      <w:r w:rsidR="00B20491" w:rsidRPr="000062C8">
        <w:rPr>
          <w:rFonts w:asciiTheme="minorHAnsi" w:hAnsiTheme="minorHAnsi"/>
          <w:snapToGrid w:val="0"/>
          <w:lang w:val="en-GB"/>
        </w:rPr>
        <w:t xml:space="preserve">a regimen of IV </w:t>
      </w:r>
      <w:r w:rsidR="00A16162">
        <w:rPr>
          <w:rFonts w:asciiTheme="minorHAnsi" w:hAnsiTheme="minorHAnsi"/>
          <w:snapToGrid w:val="0"/>
          <w:lang w:val="en-GB"/>
        </w:rPr>
        <w:t>FosAPR</w:t>
      </w:r>
      <w:r w:rsidR="00B20491" w:rsidRPr="000062C8">
        <w:rPr>
          <w:rFonts w:asciiTheme="minorHAnsi" w:hAnsiTheme="minorHAnsi"/>
          <w:snapToGrid w:val="0"/>
          <w:lang w:val="en-GB"/>
        </w:rPr>
        <w:t xml:space="preserve"> + palonosetron (both arms also received dexamethasone), with primary outcomes of effectiveness for one study (CONSOLE) and safety for the other (CONSOLE-BC). </w:t>
      </w:r>
      <w:r w:rsidR="003A7747">
        <w:t>The PBAC noted CONSOLE demonstrated non-inferiority of FosNTP</w:t>
      </w:r>
      <w:r w:rsidR="00D730E1">
        <w:t xml:space="preserve"> + </w:t>
      </w:r>
      <w:r w:rsidR="009341E8" w:rsidRPr="000062C8">
        <w:rPr>
          <w:rFonts w:asciiTheme="minorHAnsi" w:hAnsiTheme="minorHAnsi"/>
          <w:snapToGrid w:val="0"/>
          <w:lang w:val="en-GB"/>
        </w:rPr>
        <w:t xml:space="preserve">palonosetron </w:t>
      </w:r>
      <w:r w:rsidR="003A7747">
        <w:t xml:space="preserve">and FosAPR </w:t>
      </w:r>
      <w:r w:rsidR="009341E8">
        <w:t xml:space="preserve">+ </w:t>
      </w:r>
      <w:r w:rsidR="009341E8" w:rsidRPr="000062C8">
        <w:rPr>
          <w:rFonts w:asciiTheme="minorHAnsi" w:hAnsiTheme="minorHAnsi"/>
          <w:snapToGrid w:val="0"/>
          <w:lang w:val="en-GB"/>
        </w:rPr>
        <w:t xml:space="preserve">palonosetron </w:t>
      </w:r>
      <w:r w:rsidR="003A7747">
        <w:t xml:space="preserve">based on </w:t>
      </w:r>
      <w:r w:rsidR="000062C8">
        <w:t>the outcome of overall complete response (defined as “n</w:t>
      </w:r>
      <w:r w:rsidR="000062C8" w:rsidRPr="00541CED">
        <w:t>o emetic event</w:t>
      </w:r>
      <w:r w:rsidR="000062C8">
        <w:t xml:space="preserve"> and </w:t>
      </w:r>
      <w:r w:rsidR="000062C8" w:rsidRPr="00541CED">
        <w:t>no rescue medication</w:t>
      </w:r>
      <w:r w:rsidR="000062C8">
        <w:t xml:space="preserve">”) with </w:t>
      </w:r>
      <w:r w:rsidR="003A7747">
        <w:t xml:space="preserve">the lower 95% CI for the absolute difference </w:t>
      </w:r>
      <w:r w:rsidR="000062C8">
        <w:t>(</w:t>
      </w:r>
      <w:r w:rsidR="003A7747">
        <w:t>-2.1%</w:t>
      </w:r>
      <w:r w:rsidR="000062C8">
        <w:t xml:space="preserve">) being greater than </w:t>
      </w:r>
      <w:r w:rsidR="003A7747">
        <w:t xml:space="preserve">the </w:t>
      </w:r>
      <w:r w:rsidR="000062C8">
        <w:t>non-inferiority</w:t>
      </w:r>
      <w:r w:rsidR="003A7747">
        <w:t xml:space="preserve"> margin </w:t>
      </w:r>
      <w:r w:rsidR="000062C8">
        <w:t>(</w:t>
      </w:r>
      <w:r w:rsidR="003A7747">
        <w:t>-10%).</w:t>
      </w:r>
      <w:r w:rsidR="000062C8">
        <w:t xml:space="preserve"> The PBAC noted the dose of </w:t>
      </w:r>
      <w:r w:rsidR="000062C8" w:rsidRPr="000062C8">
        <w:rPr>
          <w:rFonts w:asciiTheme="minorHAnsi" w:hAnsiTheme="minorHAnsi"/>
          <w:snapToGrid w:val="0"/>
          <w:lang w:val="en-GB"/>
        </w:rPr>
        <w:t xml:space="preserve">palonosetron used in CONSOLE and CONSOLE-BC was 0.75 </w:t>
      </w:r>
      <w:r w:rsidR="009E2338">
        <w:rPr>
          <w:rFonts w:asciiTheme="minorHAnsi" w:hAnsiTheme="minorHAnsi"/>
          <w:snapToGrid w:val="0"/>
          <w:lang w:val="en-GB"/>
        </w:rPr>
        <w:t> mg</w:t>
      </w:r>
      <w:r w:rsidR="000062C8" w:rsidRPr="000062C8">
        <w:rPr>
          <w:rFonts w:asciiTheme="minorHAnsi" w:hAnsiTheme="minorHAnsi"/>
          <w:snapToGrid w:val="0"/>
          <w:lang w:val="en-GB"/>
        </w:rPr>
        <w:t xml:space="preserve"> </w:t>
      </w:r>
      <w:r w:rsidR="000E628C" w:rsidRPr="000062C8">
        <w:rPr>
          <w:rFonts w:asciiTheme="minorHAnsi" w:hAnsiTheme="minorHAnsi"/>
          <w:snapToGrid w:val="0"/>
          <w:lang w:val="en-GB"/>
        </w:rPr>
        <w:t>whereas</w:t>
      </w:r>
      <w:r w:rsidR="000062C8" w:rsidRPr="000062C8">
        <w:rPr>
          <w:rFonts w:asciiTheme="minorHAnsi" w:hAnsiTheme="minorHAnsi"/>
          <w:snapToGrid w:val="0"/>
          <w:lang w:val="en-GB"/>
        </w:rPr>
        <w:t xml:space="preserve"> the registered dose is 0.25 </w:t>
      </w:r>
      <w:r w:rsidR="009E2338">
        <w:rPr>
          <w:rFonts w:asciiTheme="minorHAnsi" w:hAnsiTheme="minorHAnsi"/>
          <w:snapToGrid w:val="0"/>
          <w:lang w:val="en-GB"/>
        </w:rPr>
        <w:t> mg</w:t>
      </w:r>
      <w:r w:rsidR="009341E8" w:rsidRPr="000062C8">
        <w:rPr>
          <w:rFonts w:asciiTheme="minorHAnsi" w:hAnsiTheme="minorHAnsi"/>
          <w:snapToGrid w:val="0"/>
          <w:lang w:val="en-GB"/>
        </w:rPr>
        <w:t xml:space="preserve"> but</w:t>
      </w:r>
      <w:r w:rsidR="000062C8" w:rsidRPr="000062C8">
        <w:rPr>
          <w:rFonts w:asciiTheme="minorHAnsi" w:hAnsiTheme="minorHAnsi"/>
          <w:snapToGrid w:val="0"/>
          <w:lang w:val="en-GB"/>
        </w:rPr>
        <w:t xml:space="preserve"> considered the </w:t>
      </w:r>
      <w:r w:rsidR="000062C8">
        <w:rPr>
          <w:rFonts w:asciiTheme="minorHAnsi" w:hAnsiTheme="minorHAnsi"/>
          <w:snapToGrid w:val="0"/>
          <w:lang w:val="en-GB"/>
        </w:rPr>
        <w:t xml:space="preserve">presented </w:t>
      </w:r>
      <w:r w:rsidR="000062C8" w:rsidRPr="000062C8">
        <w:rPr>
          <w:rFonts w:asciiTheme="minorHAnsi" w:hAnsiTheme="minorHAnsi"/>
          <w:snapToGrid w:val="0"/>
          <w:lang w:val="en-GB"/>
        </w:rPr>
        <w:t>meta-analysis of eight randomised trials comparing the two doses adequately supported</w:t>
      </w:r>
      <w:r w:rsidR="003A7747" w:rsidRPr="00B83670">
        <w:t xml:space="preserve"> similar efficacy and safety</w:t>
      </w:r>
      <w:r w:rsidR="003A7747">
        <w:t xml:space="preserve">. </w:t>
      </w:r>
      <w:r w:rsidR="002F4E39">
        <w:rPr>
          <w:rFonts w:asciiTheme="minorHAnsi" w:hAnsiTheme="minorHAnsi"/>
          <w:snapToGrid w:val="0"/>
          <w:lang w:val="en-GB"/>
        </w:rPr>
        <w:t xml:space="preserve">Based on the evidence presented, the PBAC was satisfied that </w:t>
      </w:r>
      <w:r w:rsidR="00370B60">
        <w:rPr>
          <w:rFonts w:asciiTheme="minorHAnsi" w:hAnsiTheme="minorHAnsi"/>
          <w:snapToGrid w:val="0"/>
          <w:lang w:val="en-GB"/>
        </w:rPr>
        <w:t>NEPA IV</w:t>
      </w:r>
      <w:r w:rsidR="00CF21F6">
        <w:rPr>
          <w:rFonts w:asciiTheme="minorHAnsi" w:hAnsiTheme="minorHAnsi"/>
          <w:snapToGrid w:val="0"/>
          <w:lang w:val="en-GB"/>
        </w:rPr>
        <w:t xml:space="preserve"> was of non-inferior comparative effectiveness </w:t>
      </w:r>
      <w:r w:rsidR="00370B60">
        <w:rPr>
          <w:rFonts w:asciiTheme="minorHAnsi" w:hAnsiTheme="minorHAnsi"/>
          <w:snapToGrid w:val="0"/>
          <w:lang w:val="en-GB"/>
        </w:rPr>
        <w:t>to</w:t>
      </w:r>
      <w:r w:rsidR="00CF21F6">
        <w:rPr>
          <w:rFonts w:asciiTheme="minorHAnsi" w:hAnsiTheme="minorHAnsi"/>
          <w:snapToGrid w:val="0"/>
          <w:lang w:val="en-GB"/>
        </w:rPr>
        <w:t xml:space="preserve"> </w:t>
      </w:r>
      <w:r w:rsidR="009341E8">
        <w:rPr>
          <w:rFonts w:asciiTheme="minorHAnsi" w:hAnsiTheme="minorHAnsi"/>
          <w:snapToGrid w:val="0"/>
          <w:lang w:val="en-GB"/>
        </w:rPr>
        <w:t xml:space="preserve">IV </w:t>
      </w:r>
      <w:r w:rsidR="00A16162">
        <w:rPr>
          <w:rFonts w:asciiTheme="minorHAnsi" w:hAnsiTheme="minorHAnsi"/>
          <w:snapToGrid w:val="0"/>
          <w:lang w:val="en-GB"/>
        </w:rPr>
        <w:t xml:space="preserve">FosAPR </w:t>
      </w:r>
      <w:r w:rsidR="00CF21F6">
        <w:rPr>
          <w:rFonts w:asciiTheme="minorHAnsi" w:hAnsiTheme="minorHAnsi"/>
          <w:snapToGrid w:val="0"/>
          <w:lang w:val="en-GB"/>
        </w:rPr>
        <w:t>and</w:t>
      </w:r>
      <w:r w:rsidR="00370B60">
        <w:rPr>
          <w:rFonts w:asciiTheme="minorHAnsi" w:hAnsiTheme="minorHAnsi"/>
          <w:snapToGrid w:val="0"/>
          <w:lang w:val="en-GB"/>
        </w:rPr>
        <w:t xml:space="preserve"> </w:t>
      </w:r>
      <w:r w:rsidR="009341E8">
        <w:rPr>
          <w:rFonts w:asciiTheme="minorHAnsi" w:hAnsiTheme="minorHAnsi"/>
          <w:snapToGrid w:val="0"/>
          <w:lang w:val="en-GB"/>
        </w:rPr>
        <w:t xml:space="preserve">IV </w:t>
      </w:r>
      <w:r w:rsidR="000062C8">
        <w:rPr>
          <w:rFonts w:asciiTheme="minorHAnsi" w:hAnsiTheme="minorHAnsi"/>
          <w:snapToGrid w:val="0"/>
          <w:lang w:val="en-GB"/>
        </w:rPr>
        <w:t>palonosetron</w:t>
      </w:r>
      <w:r w:rsidR="002B2504">
        <w:rPr>
          <w:rFonts w:asciiTheme="minorHAnsi" w:hAnsiTheme="minorHAnsi"/>
          <w:snapToGrid w:val="0"/>
          <w:lang w:val="en-GB"/>
        </w:rPr>
        <w:t>.</w:t>
      </w:r>
    </w:p>
    <w:p w14:paraId="4A0D2F7B" w14:textId="0DBB7A3E" w:rsidR="00624403" w:rsidRPr="000E628C" w:rsidRDefault="002B2504" w:rsidP="006C1D40">
      <w:pPr>
        <w:widowControl w:val="0"/>
        <w:numPr>
          <w:ilvl w:val="1"/>
          <w:numId w:val="1"/>
        </w:numPr>
        <w:spacing w:after="120"/>
        <w:rPr>
          <w:rFonts w:asciiTheme="minorHAnsi" w:hAnsiTheme="minorHAnsi"/>
          <w:snapToGrid w:val="0"/>
          <w:lang w:val="en-GB"/>
        </w:rPr>
      </w:pPr>
      <w:r w:rsidRPr="000E628C">
        <w:rPr>
          <w:rFonts w:asciiTheme="minorHAnsi" w:hAnsiTheme="minorHAnsi"/>
          <w:snapToGrid w:val="0"/>
          <w:lang w:val="en-GB"/>
        </w:rPr>
        <w:t>The PBAC noted the submission made a claim of superior comparative safety to a</w:t>
      </w:r>
      <w:r w:rsidR="00370B60" w:rsidRPr="000E628C">
        <w:rPr>
          <w:rFonts w:asciiTheme="minorHAnsi" w:hAnsiTheme="minorHAnsi"/>
          <w:snapToGrid w:val="0"/>
          <w:lang w:val="en-GB"/>
        </w:rPr>
        <w:t xml:space="preserve"> </w:t>
      </w:r>
      <w:r w:rsidR="00A16162">
        <w:rPr>
          <w:rFonts w:asciiTheme="minorHAnsi" w:hAnsiTheme="minorHAnsi"/>
          <w:snapToGrid w:val="0"/>
          <w:lang w:val="en-GB"/>
        </w:rPr>
        <w:t>FosAPR</w:t>
      </w:r>
      <w:r w:rsidR="00370B60" w:rsidRPr="000E628C">
        <w:rPr>
          <w:rFonts w:asciiTheme="minorHAnsi" w:hAnsiTheme="minorHAnsi"/>
          <w:snapToGrid w:val="0"/>
          <w:lang w:val="en-GB"/>
        </w:rPr>
        <w:t>-based regimen, based on</w:t>
      </w:r>
      <w:r w:rsidR="00F17AFB" w:rsidRPr="000E628C">
        <w:rPr>
          <w:rFonts w:asciiTheme="minorHAnsi" w:hAnsiTheme="minorHAnsi"/>
          <w:snapToGrid w:val="0"/>
          <w:lang w:val="en-GB"/>
        </w:rPr>
        <w:t xml:space="preserve"> a reduction in total injection site reactions (ISRs) and injection site pain. </w:t>
      </w:r>
      <w:r w:rsidR="000E628C" w:rsidRPr="000E628C">
        <w:rPr>
          <w:rFonts w:asciiTheme="minorHAnsi" w:hAnsiTheme="minorHAnsi"/>
          <w:snapToGrid w:val="0"/>
          <w:lang w:val="en-GB"/>
        </w:rPr>
        <w:t xml:space="preserve">The PBAC considered the focus on these outcomes was not adequately supported in the context of the sponsor’s survey indicating that the most common ISR perceived by physicians was phlebitis (30% versus 14% for injection site pain), and the higher rate of grade 3 or above treatment related adverse events with NEPA IV compared with </w:t>
      </w:r>
      <w:r w:rsidR="00A16162">
        <w:rPr>
          <w:rFonts w:asciiTheme="minorHAnsi" w:hAnsiTheme="minorHAnsi"/>
          <w:snapToGrid w:val="0"/>
          <w:lang w:val="en-GB"/>
        </w:rPr>
        <w:t>FosAPR</w:t>
      </w:r>
      <w:r w:rsidR="000E628C" w:rsidRPr="000E628C">
        <w:rPr>
          <w:rFonts w:asciiTheme="minorHAnsi" w:hAnsiTheme="minorHAnsi"/>
          <w:snapToGrid w:val="0"/>
          <w:lang w:val="en-GB"/>
        </w:rPr>
        <w:t xml:space="preserve"> plus palonosetron (9.6% vs 0%). </w:t>
      </w:r>
      <w:r w:rsidR="00F17AFB" w:rsidRPr="000E628C">
        <w:rPr>
          <w:rFonts w:asciiTheme="minorHAnsi" w:hAnsiTheme="minorHAnsi"/>
          <w:snapToGrid w:val="0"/>
          <w:lang w:val="en-GB"/>
        </w:rPr>
        <w:t xml:space="preserve">The PBAC </w:t>
      </w:r>
      <w:r w:rsidR="000E628C">
        <w:rPr>
          <w:rFonts w:asciiTheme="minorHAnsi" w:hAnsiTheme="minorHAnsi"/>
          <w:snapToGrid w:val="0"/>
          <w:lang w:val="en-GB"/>
        </w:rPr>
        <w:t xml:space="preserve">further </w:t>
      </w:r>
      <w:r w:rsidR="00F17AFB" w:rsidRPr="000E628C">
        <w:rPr>
          <w:rFonts w:asciiTheme="minorHAnsi" w:hAnsiTheme="minorHAnsi"/>
          <w:snapToGrid w:val="0"/>
          <w:lang w:val="en-GB"/>
        </w:rPr>
        <w:t>considered that the clinical significance of a reduction in ISRs (and their severity) was highly uncertain</w:t>
      </w:r>
      <w:r w:rsidR="00460E89">
        <w:rPr>
          <w:rFonts w:asciiTheme="minorHAnsi" w:hAnsiTheme="minorHAnsi"/>
          <w:snapToGrid w:val="0"/>
          <w:lang w:val="en-GB"/>
        </w:rPr>
        <w:t>,</w:t>
      </w:r>
      <w:r w:rsidR="00F17AFB" w:rsidRPr="000E628C">
        <w:rPr>
          <w:rFonts w:asciiTheme="minorHAnsi" w:hAnsiTheme="minorHAnsi"/>
          <w:snapToGrid w:val="0"/>
          <w:lang w:val="en-GB"/>
        </w:rPr>
        <w:t xml:space="preserve"> </w:t>
      </w:r>
      <w:r w:rsidR="00B75295" w:rsidRPr="000E628C">
        <w:rPr>
          <w:rFonts w:asciiTheme="minorHAnsi" w:hAnsiTheme="minorHAnsi"/>
          <w:snapToGrid w:val="0"/>
          <w:lang w:val="en-GB"/>
        </w:rPr>
        <w:t xml:space="preserve">particularly as they appeared to only require medical intervention </w:t>
      </w:r>
      <w:r w:rsidR="00B75295" w:rsidRPr="007B0C14">
        <w:rPr>
          <w:rFonts w:asciiTheme="minorHAnsi" w:hAnsiTheme="minorHAnsi"/>
          <w:snapToGrid w:val="0"/>
          <w:lang w:val="en-GB"/>
        </w:rPr>
        <w:t xml:space="preserve">infrequently and did not appear to have an impact on treatment discontinuation </w:t>
      </w:r>
      <w:r w:rsidR="00F17AFB" w:rsidRPr="007B0C14">
        <w:rPr>
          <w:rFonts w:asciiTheme="minorHAnsi" w:hAnsiTheme="minorHAnsi"/>
          <w:snapToGrid w:val="0"/>
          <w:lang w:val="en-GB"/>
        </w:rPr>
        <w:t>(paragraph</w:t>
      </w:r>
      <w:r w:rsidR="00B75295" w:rsidRPr="007B0C14">
        <w:rPr>
          <w:rFonts w:asciiTheme="minorHAnsi" w:hAnsiTheme="minorHAnsi"/>
          <w:snapToGrid w:val="0"/>
          <w:lang w:val="en-GB"/>
        </w:rPr>
        <w:t xml:space="preserve">s </w:t>
      </w:r>
      <w:r w:rsidR="00095C0C" w:rsidRPr="007B0C14">
        <w:rPr>
          <w:rFonts w:asciiTheme="minorHAnsi" w:hAnsiTheme="minorHAnsi"/>
          <w:snapToGrid w:val="0"/>
          <w:lang w:val="en-GB"/>
        </w:rPr>
        <w:fldChar w:fldCharType="begin"/>
      </w:r>
      <w:r w:rsidR="00095C0C" w:rsidRPr="007B0C14">
        <w:rPr>
          <w:rFonts w:asciiTheme="minorHAnsi" w:hAnsiTheme="minorHAnsi"/>
          <w:snapToGrid w:val="0"/>
          <w:lang w:val="en-GB"/>
        </w:rPr>
        <w:instrText xml:space="preserve"> REF _Ref130888404 \r \h </w:instrText>
      </w:r>
      <w:r w:rsidR="007B0C14">
        <w:rPr>
          <w:rFonts w:asciiTheme="minorHAnsi" w:hAnsiTheme="minorHAnsi"/>
          <w:snapToGrid w:val="0"/>
          <w:lang w:val="en-GB"/>
        </w:rPr>
        <w:instrText xml:space="preserve"> \* MERGEFORMAT </w:instrText>
      </w:r>
      <w:r w:rsidR="00095C0C" w:rsidRPr="007B0C14">
        <w:rPr>
          <w:rFonts w:asciiTheme="minorHAnsi" w:hAnsiTheme="minorHAnsi"/>
          <w:snapToGrid w:val="0"/>
          <w:lang w:val="en-GB"/>
        </w:rPr>
      </w:r>
      <w:r w:rsidR="00095C0C" w:rsidRPr="007B0C14">
        <w:rPr>
          <w:rFonts w:asciiTheme="minorHAnsi" w:hAnsiTheme="minorHAnsi"/>
          <w:snapToGrid w:val="0"/>
          <w:lang w:val="en-GB"/>
        </w:rPr>
        <w:fldChar w:fldCharType="separate"/>
      </w:r>
      <w:r w:rsidR="00775281">
        <w:rPr>
          <w:rFonts w:asciiTheme="minorHAnsi" w:hAnsiTheme="minorHAnsi"/>
          <w:snapToGrid w:val="0"/>
          <w:lang w:val="en-GB"/>
        </w:rPr>
        <w:t>6.36</w:t>
      </w:r>
      <w:r w:rsidR="00095C0C" w:rsidRPr="007B0C14">
        <w:rPr>
          <w:rFonts w:asciiTheme="minorHAnsi" w:hAnsiTheme="minorHAnsi"/>
          <w:snapToGrid w:val="0"/>
          <w:lang w:val="en-GB"/>
        </w:rPr>
        <w:fldChar w:fldCharType="end"/>
      </w:r>
      <w:r w:rsidR="00B75295" w:rsidRPr="007B0C14">
        <w:rPr>
          <w:rFonts w:asciiTheme="minorHAnsi" w:hAnsiTheme="minorHAnsi"/>
          <w:snapToGrid w:val="0"/>
          <w:lang w:val="en-GB"/>
        </w:rPr>
        <w:t xml:space="preserve"> and </w:t>
      </w:r>
      <w:r w:rsidR="00F17AFB" w:rsidRPr="007B0C14">
        <w:rPr>
          <w:rFonts w:asciiTheme="minorHAnsi" w:hAnsiTheme="minorHAnsi"/>
          <w:snapToGrid w:val="0"/>
          <w:lang w:val="en-GB"/>
        </w:rPr>
        <w:t xml:space="preserve"> </w:t>
      </w:r>
      <w:r w:rsidR="00095C0C" w:rsidRPr="007B0C14">
        <w:rPr>
          <w:rFonts w:asciiTheme="minorHAnsi" w:hAnsiTheme="minorHAnsi"/>
          <w:snapToGrid w:val="0"/>
          <w:lang w:val="en-GB"/>
        </w:rPr>
        <w:fldChar w:fldCharType="begin"/>
      </w:r>
      <w:r w:rsidR="00095C0C" w:rsidRPr="007B0C14">
        <w:rPr>
          <w:rFonts w:asciiTheme="minorHAnsi" w:hAnsiTheme="minorHAnsi"/>
          <w:snapToGrid w:val="0"/>
          <w:lang w:val="en-GB"/>
        </w:rPr>
        <w:instrText xml:space="preserve"> REF _Ref130888415 \r \h </w:instrText>
      </w:r>
      <w:r w:rsidR="007B0C14">
        <w:rPr>
          <w:rFonts w:asciiTheme="minorHAnsi" w:hAnsiTheme="minorHAnsi"/>
          <w:snapToGrid w:val="0"/>
          <w:lang w:val="en-GB"/>
        </w:rPr>
        <w:instrText xml:space="preserve"> \* MERGEFORMAT </w:instrText>
      </w:r>
      <w:r w:rsidR="00095C0C" w:rsidRPr="007B0C14">
        <w:rPr>
          <w:rFonts w:asciiTheme="minorHAnsi" w:hAnsiTheme="minorHAnsi"/>
          <w:snapToGrid w:val="0"/>
          <w:lang w:val="en-GB"/>
        </w:rPr>
      </w:r>
      <w:r w:rsidR="00095C0C" w:rsidRPr="007B0C14">
        <w:rPr>
          <w:rFonts w:asciiTheme="minorHAnsi" w:hAnsiTheme="minorHAnsi"/>
          <w:snapToGrid w:val="0"/>
          <w:lang w:val="en-GB"/>
        </w:rPr>
        <w:fldChar w:fldCharType="separate"/>
      </w:r>
      <w:r w:rsidR="00775281">
        <w:rPr>
          <w:rFonts w:asciiTheme="minorHAnsi" w:hAnsiTheme="minorHAnsi"/>
          <w:snapToGrid w:val="0"/>
          <w:lang w:val="en-GB"/>
        </w:rPr>
        <w:t>6.37</w:t>
      </w:r>
      <w:r w:rsidR="00095C0C" w:rsidRPr="007B0C14">
        <w:rPr>
          <w:rFonts w:asciiTheme="minorHAnsi" w:hAnsiTheme="minorHAnsi"/>
          <w:snapToGrid w:val="0"/>
          <w:lang w:val="en-GB"/>
        </w:rPr>
        <w:fldChar w:fldCharType="end"/>
      </w:r>
      <w:r w:rsidR="00B75295" w:rsidRPr="007B0C14">
        <w:rPr>
          <w:rFonts w:asciiTheme="minorHAnsi" w:hAnsiTheme="minorHAnsi"/>
          <w:snapToGrid w:val="0"/>
          <w:lang w:val="en-GB"/>
        </w:rPr>
        <w:t xml:space="preserve"> refer).</w:t>
      </w:r>
      <w:r w:rsidR="00460E89" w:rsidRPr="007B0C14">
        <w:rPr>
          <w:rFonts w:asciiTheme="minorHAnsi" w:hAnsiTheme="minorHAnsi"/>
          <w:snapToGrid w:val="0"/>
          <w:lang w:val="en-GB"/>
        </w:rPr>
        <w:t>T</w:t>
      </w:r>
      <w:r w:rsidR="00CF21F6" w:rsidRPr="007B0C14">
        <w:rPr>
          <w:rFonts w:asciiTheme="minorHAnsi" w:hAnsiTheme="minorHAnsi"/>
          <w:snapToGrid w:val="0"/>
          <w:lang w:val="en-GB"/>
        </w:rPr>
        <w:t>he</w:t>
      </w:r>
      <w:r w:rsidR="00CF21F6" w:rsidRPr="000E628C">
        <w:rPr>
          <w:rFonts w:asciiTheme="minorHAnsi" w:hAnsiTheme="minorHAnsi"/>
          <w:snapToGrid w:val="0"/>
          <w:lang w:val="en-GB"/>
        </w:rPr>
        <w:t xml:space="preserve"> PBAC </w:t>
      </w:r>
      <w:r w:rsidR="00460E89">
        <w:rPr>
          <w:rFonts w:asciiTheme="minorHAnsi" w:hAnsiTheme="minorHAnsi"/>
          <w:snapToGrid w:val="0"/>
          <w:lang w:val="en-GB"/>
        </w:rPr>
        <w:t>also noted</w:t>
      </w:r>
      <w:r w:rsidR="00460E89" w:rsidRPr="000E628C">
        <w:rPr>
          <w:rFonts w:asciiTheme="minorHAnsi" w:hAnsiTheme="minorHAnsi"/>
          <w:snapToGrid w:val="0"/>
          <w:lang w:val="en-GB"/>
        </w:rPr>
        <w:t xml:space="preserve"> </w:t>
      </w:r>
      <w:r w:rsidR="00CF21F6" w:rsidRPr="000E628C">
        <w:rPr>
          <w:rFonts w:asciiTheme="minorHAnsi" w:hAnsiTheme="minorHAnsi"/>
          <w:snapToGrid w:val="0"/>
          <w:lang w:val="en-GB"/>
        </w:rPr>
        <w:t>a substantial number of patients receiving HEC or MEC would likely have a central IV line in place, further reducing the risk of localised ISRs in the proposed population</w:t>
      </w:r>
      <w:r w:rsidR="003A279A" w:rsidRPr="000E628C">
        <w:rPr>
          <w:rFonts w:asciiTheme="minorHAnsi" w:hAnsiTheme="minorHAnsi"/>
          <w:snapToGrid w:val="0"/>
          <w:lang w:val="en-GB"/>
        </w:rPr>
        <w:t>.</w:t>
      </w:r>
      <w:r w:rsidR="00460E89">
        <w:rPr>
          <w:rFonts w:asciiTheme="minorHAnsi" w:hAnsiTheme="minorHAnsi"/>
          <w:snapToGrid w:val="0"/>
          <w:lang w:val="en-GB"/>
        </w:rPr>
        <w:t xml:space="preserve"> The PBAC considered the</w:t>
      </w:r>
      <w:r w:rsidR="00460E89" w:rsidRPr="000E628C">
        <w:rPr>
          <w:rFonts w:asciiTheme="minorHAnsi" w:hAnsiTheme="minorHAnsi"/>
          <w:snapToGrid w:val="0"/>
          <w:lang w:val="en-GB"/>
        </w:rPr>
        <w:t xml:space="preserve"> claim of superior safety</w:t>
      </w:r>
      <w:r w:rsidR="00460E89">
        <w:rPr>
          <w:rFonts w:asciiTheme="minorHAnsi" w:hAnsiTheme="minorHAnsi"/>
          <w:snapToGrid w:val="0"/>
          <w:lang w:val="en-GB"/>
        </w:rPr>
        <w:t xml:space="preserve"> was not adequately supported </w:t>
      </w:r>
      <w:r w:rsidR="00460E89">
        <w:rPr>
          <w:rFonts w:asciiTheme="minorHAnsi" w:hAnsiTheme="minorHAnsi"/>
          <w:snapToGrid w:val="0"/>
          <w:szCs w:val="20"/>
        </w:rPr>
        <w:t>however, a claim of non-inferior comparative safety would be reasonable.</w:t>
      </w:r>
    </w:p>
    <w:p w14:paraId="76E357EC" w14:textId="6C172C46" w:rsidR="00624403" w:rsidRPr="00CE42B4" w:rsidRDefault="00420D81" w:rsidP="00624403">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considered the methodology for the cost minimisation approach used in the </w:t>
      </w:r>
      <w:r w:rsidRPr="00460E89">
        <w:rPr>
          <w:rFonts w:asciiTheme="minorHAnsi" w:hAnsiTheme="minorHAnsi"/>
          <w:snapToGrid w:val="0"/>
          <w:lang w:val="en-GB"/>
        </w:rPr>
        <w:t xml:space="preserve">submission was </w:t>
      </w:r>
      <w:r w:rsidR="00460E89" w:rsidRPr="00460E89">
        <w:rPr>
          <w:rFonts w:asciiTheme="minorHAnsi" w:hAnsiTheme="minorHAnsi"/>
          <w:snapToGrid w:val="0"/>
          <w:lang w:val="en-GB"/>
        </w:rPr>
        <w:t>reasonable</w:t>
      </w:r>
      <w:r w:rsidRPr="00460E89">
        <w:rPr>
          <w:rFonts w:asciiTheme="minorHAnsi" w:hAnsiTheme="minorHAnsi"/>
          <w:snapToGrid w:val="0"/>
          <w:lang w:val="en-GB"/>
        </w:rPr>
        <w:t xml:space="preserve">, however agreed with the ESC that offsets for the management of ISRs were not </w:t>
      </w:r>
      <w:r>
        <w:rPr>
          <w:rFonts w:asciiTheme="minorHAnsi" w:hAnsiTheme="minorHAnsi"/>
          <w:snapToGrid w:val="0"/>
          <w:lang w:val="en-GB"/>
        </w:rPr>
        <w:t>justified</w:t>
      </w:r>
      <w:r w:rsidR="00460E89">
        <w:rPr>
          <w:rFonts w:asciiTheme="minorHAnsi" w:hAnsiTheme="minorHAnsi"/>
          <w:snapToGrid w:val="0"/>
          <w:lang w:val="en-GB"/>
        </w:rPr>
        <w:t xml:space="preserve"> as noted in the above paragraph</w:t>
      </w:r>
      <w:r>
        <w:rPr>
          <w:rFonts w:asciiTheme="minorHAnsi" w:hAnsiTheme="minorHAnsi"/>
          <w:snapToGrid w:val="0"/>
          <w:lang w:val="en-GB"/>
        </w:rPr>
        <w:t xml:space="preserve">. The PBAC therefore considered the cost minimisation approach should be based on direct drug costs, </w:t>
      </w:r>
      <w:r w:rsidR="00F4334D">
        <w:rPr>
          <w:rFonts w:asciiTheme="minorHAnsi" w:hAnsiTheme="minorHAnsi"/>
          <w:snapToGrid w:val="0"/>
          <w:lang w:val="en-GB"/>
        </w:rPr>
        <w:t>using</w:t>
      </w:r>
      <w:r>
        <w:rPr>
          <w:rFonts w:asciiTheme="minorHAnsi" w:hAnsiTheme="minorHAnsi"/>
          <w:snapToGrid w:val="0"/>
          <w:lang w:val="en-GB"/>
        </w:rPr>
        <w:t xml:space="preserve"> the equi-effective doses </w:t>
      </w:r>
      <w:r w:rsidRPr="007B0C14">
        <w:rPr>
          <w:rFonts w:asciiTheme="minorHAnsi" w:hAnsiTheme="minorHAnsi"/>
          <w:snapToGrid w:val="0"/>
          <w:lang w:val="en-GB"/>
        </w:rPr>
        <w:t>described in paragrap</w:t>
      </w:r>
      <w:r w:rsidR="00EF2BF5" w:rsidRPr="007B0C14">
        <w:rPr>
          <w:rFonts w:asciiTheme="minorHAnsi" w:hAnsiTheme="minorHAnsi"/>
          <w:snapToGrid w:val="0"/>
          <w:lang w:val="en-GB"/>
        </w:rPr>
        <w:t>h</w:t>
      </w:r>
      <w:r w:rsidRPr="007B0C14">
        <w:rPr>
          <w:rFonts w:asciiTheme="minorHAnsi" w:hAnsiTheme="minorHAnsi"/>
          <w:snapToGrid w:val="0"/>
          <w:lang w:val="en-GB"/>
        </w:rPr>
        <w:t xml:space="preserve"> </w:t>
      </w:r>
      <w:r w:rsidR="00A16162" w:rsidRPr="007B0C14">
        <w:rPr>
          <w:rFonts w:asciiTheme="minorHAnsi" w:hAnsiTheme="minorHAnsi"/>
          <w:snapToGrid w:val="0"/>
          <w:lang w:val="en-GB"/>
        </w:rPr>
        <w:fldChar w:fldCharType="begin"/>
      </w:r>
      <w:r w:rsidR="00A16162" w:rsidRPr="007B0C14">
        <w:rPr>
          <w:rFonts w:asciiTheme="minorHAnsi" w:hAnsiTheme="minorHAnsi"/>
          <w:snapToGrid w:val="0"/>
          <w:lang w:val="en-GB"/>
        </w:rPr>
        <w:instrText xml:space="preserve"> REF _Ref130888436 \r \h </w:instrText>
      </w:r>
      <w:r w:rsidR="007B0C14">
        <w:rPr>
          <w:rFonts w:asciiTheme="minorHAnsi" w:hAnsiTheme="minorHAnsi"/>
          <w:snapToGrid w:val="0"/>
          <w:lang w:val="en-GB"/>
        </w:rPr>
        <w:instrText xml:space="preserve"> \* MERGEFORMAT </w:instrText>
      </w:r>
      <w:r w:rsidR="00A16162" w:rsidRPr="007B0C14">
        <w:rPr>
          <w:rFonts w:asciiTheme="minorHAnsi" w:hAnsiTheme="minorHAnsi"/>
          <w:snapToGrid w:val="0"/>
          <w:lang w:val="en-GB"/>
        </w:rPr>
      </w:r>
      <w:r w:rsidR="00A16162" w:rsidRPr="007B0C14">
        <w:rPr>
          <w:rFonts w:asciiTheme="minorHAnsi" w:hAnsiTheme="minorHAnsi"/>
          <w:snapToGrid w:val="0"/>
          <w:lang w:val="en-GB"/>
        </w:rPr>
        <w:fldChar w:fldCharType="separate"/>
      </w:r>
      <w:r w:rsidR="00775281">
        <w:rPr>
          <w:rFonts w:asciiTheme="minorHAnsi" w:hAnsiTheme="minorHAnsi"/>
          <w:snapToGrid w:val="0"/>
          <w:lang w:val="en-GB"/>
        </w:rPr>
        <w:t>7.2</w:t>
      </w:r>
      <w:r w:rsidR="00A16162" w:rsidRPr="007B0C14">
        <w:rPr>
          <w:rFonts w:asciiTheme="minorHAnsi" w:hAnsiTheme="minorHAnsi"/>
          <w:snapToGrid w:val="0"/>
          <w:lang w:val="en-GB"/>
        </w:rPr>
        <w:fldChar w:fldCharType="end"/>
      </w:r>
      <w:r w:rsidRPr="007B0C14">
        <w:rPr>
          <w:rFonts w:asciiTheme="minorHAnsi" w:hAnsiTheme="minorHAnsi"/>
          <w:snapToGrid w:val="0"/>
          <w:lang w:val="en-GB"/>
        </w:rPr>
        <w:t>.</w:t>
      </w:r>
    </w:p>
    <w:p w14:paraId="53706610" w14:textId="042CD18B" w:rsidR="00857708" w:rsidRDefault="00857708" w:rsidP="00733242">
      <w:pPr>
        <w:pStyle w:val="3-BodyText"/>
        <w:widowControl w:val="0"/>
      </w:pPr>
      <w:r w:rsidRPr="008F625F">
        <w:t xml:space="preserve">The </w:t>
      </w:r>
      <w:r>
        <w:t xml:space="preserve">PBAC noted </w:t>
      </w:r>
      <w:r w:rsidR="00490433">
        <w:t xml:space="preserve">the submission </w:t>
      </w:r>
      <w:r>
        <w:t>estimate</w:t>
      </w:r>
      <w:r w:rsidR="00490433">
        <w:t>d</w:t>
      </w:r>
      <w:r>
        <w:t xml:space="preserve"> the financial implications </w:t>
      </w:r>
      <w:r w:rsidR="00490433">
        <w:t>using</w:t>
      </w:r>
      <w:r w:rsidRPr="008F625F">
        <w:t xml:space="preserve"> a market share approach that assumed NEPA IV </w:t>
      </w:r>
      <w:r>
        <w:t>would</w:t>
      </w:r>
      <w:r w:rsidRPr="008F625F">
        <w:t xml:space="preserve"> only </w:t>
      </w:r>
      <w:r w:rsidR="009E64B4">
        <w:t>replace</w:t>
      </w:r>
      <w:r w:rsidRPr="008F625F">
        <w:t xml:space="preserve"> </w:t>
      </w:r>
      <w:r w:rsidR="00C659A8">
        <w:t xml:space="preserve">IV </w:t>
      </w:r>
      <w:r w:rsidR="00A16162">
        <w:rPr>
          <w:lang w:val="en-GB"/>
        </w:rPr>
        <w:t>FosAPR</w:t>
      </w:r>
      <w:r w:rsidR="00C659A8" w:rsidRPr="008F625F">
        <w:t xml:space="preserve"> </w:t>
      </w:r>
      <w:r w:rsidRPr="008F625F">
        <w:t xml:space="preserve">for the prevention of CINV. </w:t>
      </w:r>
      <w:r w:rsidR="00C659A8">
        <w:t>The PBAC considered this reasonable</w:t>
      </w:r>
      <w:r w:rsidR="00C659A8" w:rsidRPr="00C659A8">
        <w:rPr>
          <w:lang w:val="en-GB"/>
        </w:rPr>
        <w:t xml:space="preserve"> on the basis of a restricted listing for NEPA IV for patients who cannot swallow or are contraindicated to oral alternatives. However, the PBAC considered that the annual market growth of </w:t>
      </w:r>
      <w:r w:rsidR="00D25BE4" w:rsidRPr="00775281">
        <w:rPr>
          <w:color w:val="000000"/>
          <w:w w:val="15"/>
          <w:shd w:val="solid" w:color="000000" w:fill="000000"/>
          <w:fitText w:val="-20" w:id="-1233419762"/>
          <w:lang w:val="en-GB"/>
          <w14:textFill>
            <w14:solidFill>
              <w14:srgbClr w14:val="000000">
                <w14:alpha w14:val="100000"/>
              </w14:srgbClr>
            </w14:solidFill>
          </w14:textFill>
        </w:rPr>
        <w:t xml:space="preserve">|  </w:t>
      </w:r>
      <w:r w:rsidR="00D25BE4" w:rsidRPr="00775281">
        <w:rPr>
          <w:color w:val="000000"/>
          <w:spacing w:val="-69"/>
          <w:w w:val="15"/>
          <w:shd w:val="solid" w:color="000000" w:fill="000000"/>
          <w:fitText w:val="-20" w:id="-1233419762"/>
          <w:lang w:val="en-GB"/>
          <w14:textFill>
            <w14:solidFill>
              <w14:srgbClr w14:val="000000">
                <w14:alpha w14:val="100000"/>
              </w14:srgbClr>
            </w14:solidFill>
          </w14:textFill>
        </w:rPr>
        <w:t>|</w:t>
      </w:r>
      <w:r w:rsidR="00C659A8" w:rsidRPr="00875D2F">
        <w:rPr>
          <w:lang w:val="en-GB"/>
        </w:rPr>
        <w:t>%</w:t>
      </w:r>
      <w:r w:rsidR="00C659A8" w:rsidRPr="00C659A8">
        <w:rPr>
          <w:lang w:val="en-GB"/>
        </w:rPr>
        <w:t xml:space="preserve"> was overestimated, noting this increased the market by nearly 3-fold over the 6 year period of the estimates, and the uptake was potentially underestimated in the context of the additional convenience of a single infusion but likely overestimated in the context of a restricted listing for patients unable to use oral therapies.  Overall given the cost-minimisation approach</w:t>
      </w:r>
      <w:r w:rsidR="007F7211">
        <w:rPr>
          <w:lang w:val="en-GB"/>
        </w:rPr>
        <w:t>,</w:t>
      </w:r>
      <w:r w:rsidR="00C659A8" w:rsidRPr="00C659A8">
        <w:rPr>
          <w:lang w:val="en-GB"/>
        </w:rPr>
        <w:t xml:space="preserve"> the PBAC noted the net cost to the PBS/RPBS would be small and </w:t>
      </w:r>
      <w:r w:rsidR="00C659A8">
        <w:t xml:space="preserve">due to </w:t>
      </w:r>
      <w:r w:rsidRPr="00680A2D">
        <w:t xml:space="preserve">a reduction in patient co-payments </w:t>
      </w:r>
      <w:r w:rsidR="00C659A8">
        <w:t>with</w:t>
      </w:r>
      <w:r w:rsidRPr="00680A2D">
        <w:t xml:space="preserve"> one per script for NEPA IV compared to two co-payments per script for </w:t>
      </w:r>
      <w:r w:rsidR="00A16162">
        <w:rPr>
          <w:lang w:val="en-GB"/>
        </w:rPr>
        <w:t xml:space="preserve">FosAPR </w:t>
      </w:r>
      <w:r w:rsidR="00C659A8" w:rsidRPr="00C659A8">
        <w:rPr>
          <w:lang w:val="en-GB"/>
        </w:rPr>
        <w:t>and palonosetron</w:t>
      </w:r>
      <w:r w:rsidRPr="00680A2D">
        <w:t xml:space="preserve">. </w:t>
      </w:r>
      <w:r w:rsidR="003F1B6E" w:rsidRPr="00680A2D">
        <w:t xml:space="preserve">The </w:t>
      </w:r>
      <w:r w:rsidR="003F1B6E">
        <w:t xml:space="preserve">PBAC considered the assumed </w:t>
      </w:r>
      <w:r w:rsidR="003F1B6E" w:rsidRPr="00680A2D">
        <w:t>reduction in MBS cost</w:t>
      </w:r>
      <w:r w:rsidR="003F1B6E">
        <w:t>s for</w:t>
      </w:r>
      <w:r w:rsidR="003F1B6E" w:rsidRPr="00680A2D">
        <w:t xml:space="preserve"> nurse practitioner attendance due to a reduction in injection site pain</w:t>
      </w:r>
      <w:r w:rsidR="003F1B6E">
        <w:t xml:space="preserve"> was unreliable and should be removed from the estimates.</w:t>
      </w:r>
    </w:p>
    <w:p w14:paraId="1EBCA668" w14:textId="1925AE20" w:rsidR="00DA309B" w:rsidRPr="00CE42B4" w:rsidRDefault="00DA309B" w:rsidP="00733242">
      <w:pPr>
        <w:pStyle w:val="3-BodyText"/>
        <w:widowControl w:val="0"/>
      </w:pPr>
      <w:bookmarkStart w:id="66" w:name="_Hlk130887772"/>
      <w:r>
        <w:t xml:space="preserve">The PBAC requested the Drug Utilisation Sub-Committee (DUSC) undertake a review of the uptake and use of NEPA IV to assess whether the utilisation </w:t>
      </w:r>
      <w:r w:rsidR="007F7211">
        <w:t>i</w:t>
      </w:r>
      <w:r>
        <w:t>s consistent with estimates of the population who cannot use oral therapies 24 months following its listing on the PBS</w:t>
      </w:r>
      <w:bookmarkEnd w:id="66"/>
      <w:r>
        <w:t>.</w:t>
      </w:r>
    </w:p>
    <w:p w14:paraId="7EB74F91" w14:textId="4860C479" w:rsidR="00624403" w:rsidRPr="002B2504" w:rsidRDefault="00624403" w:rsidP="002B2504">
      <w:pPr>
        <w:widowControl w:val="0"/>
        <w:numPr>
          <w:ilvl w:val="1"/>
          <w:numId w:val="1"/>
        </w:numPr>
        <w:spacing w:after="120"/>
        <w:rPr>
          <w:rFonts w:asciiTheme="minorHAnsi" w:hAnsiTheme="minorHAnsi"/>
          <w:bCs/>
          <w:snapToGrid w:val="0"/>
          <w:lang w:val="en-GB"/>
        </w:rPr>
      </w:pPr>
      <w:r w:rsidRPr="002B2504">
        <w:rPr>
          <w:rFonts w:asciiTheme="minorHAnsi" w:hAnsiTheme="minorHAnsi"/>
          <w:bCs/>
          <w:snapToGrid w:val="0"/>
          <w:lang w:val="en-GB"/>
        </w:rPr>
        <w:t xml:space="preserve">The PBAC </w:t>
      </w:r>
      <w:r w:rsidR="002B2504">
        <w:rPr>
          <w:rFonts w:asciiTheme="minorHAnsi" w:hAnsiTheme="minorHAnsi"/>
          <w:bCs/>
          <w:snapToGrid w:val="0"/>
          <w:lang w:val="en-GB"/>
        </w:rPr>
        <w:t xml:space="preserve">advised that the combination drug </w:t>
      </w:r>
      <w:r w:rsidR="00A16162">
        <w:rPr>
          <w:rFonts w:asciiTheme="minorHAnsi" w:hAnsiTheme="minorHAnsi"/>
          <w:bCs/>
          <w:snapToGrid w:val="0"/>
          <w:lang w:val="en-GB"/>
        </w:rPr>
        <w:t xml:space="preserve">FosNTP </w:t>
      </w:r>
      <w:r w:rsidR="002B2504">
        <w:rPr>
          <w:rFonts w:asciiTheme="minorHAnsi" w:hAnsiTheme="minorHAnsi"/>
          <w:bCs/>
          <w:snapToGrid w:val="0"/>
          <w:lang w:val="en-GB"/>
        </w:rPr>
        <w:t>with palonosetron should be treated as interchangeable on</w:t>
      </w:r>
      <w:r w:rsidRPr="002B2504">
        <w:rPr>
          <w:rFonts w:asciiTheme="minorHAnsi" w:hAnsiTheme="minorHAnsi"/>
          <w:bCs/>
          <w:snapToGrid w:val="0"/>
          <w:lang w:val="en-GB"/>
        </w:rPr>
        <w:t xml:space="preserve"> an individual patient basis with</w:t>
      </w:r>
      <w:r w:rsidR="00A16162">
        <w:rPr>
          <w:rFonts w:asciiTheme="minorHAnsi" w:hAnsiTheme="minorHAnsi"/>
          <w:bCs/>
          <w:snapToGrid w:val="0"/>
          <w:lang w:val="en-GB"/>
        </w:rPr>
        <w:t xml:space="preserve"> FosAPR</w:t>
      </w:r>
      <w:r w:rsidR="002B2504">
        <w:rPr>
          <w:rFonts w:asciiTheme="minorHAnsi" w:hAnsiTheme="minorHAnsi"/>
          <w:bCs/>
          <w:snapToGrid w:val="0"/>
          <w:lang w:val="en-GB"/>
        </w:rPr>
        <w:t xml:space="preserve"> plus a 5-HT3 RA. </w:t>
      </w:r>
    </w:p>
    <w:p w14:paraId="1FB7687B" w14:textId="2BAC2E15" w:rsidR="00624403" w:rsidRPr="00525B39" w:rsidRDefault="00624403" w:rsidP="00624403">
      <w:pPr>
        <w:widowControl w:val="0"/>
        <w:numPr>
          <w:ilvl w:val="1"/>
          <w:numId w:val="1"/>
        </w:numPr>
        <w:spacing w:after="120"/>
        <w:rPr>
          <w:rFonts w:asciiTheme="minorHAnsi" w:hAnsiTheme="minorHAnsi"/>
          <w:bCs/>
          <w:snapToGrid w:val="0"/>
          <w:lang w:val="en-GB"/>
        </w:rPr>
      </w:pPr>
      <w:r w:rsidRPr="00525B39">
        <w:rPr>
          <w:rFonts w:asciiTheme="minorHAnsi" w:hAnsiTheme="minorHAnsi"/>
          <w:bCs/>
          <w:snapToGrid w:val="0"/>
          <w:lang w:val="en-GB"/>
        </w:rPr>
        <w:t xml:space="preserve">The PBAC advised that </w:t>
      </w:r>
      <w:r w:rsidR="003C3CED">
        <w:rPr>
          <w:rFonts w:asciiTheme="minorHAnsi" w:hAnsiTheme="minorHAnsi"/>
          <w:bCs/>
          <w:snapToGrid w:val="0"/>
          <w:lang w:val="en-GB"/>
        </w:rPr>
        <w:t xml:space="preserve">nurse practitioner prescribing arrangements for </w:t>
      </w:r>
      <w:r w:rsidR="00B75295">
        <w:rPr>
          <w:rFonts w:asciiTheme="minorHAnsi" w:hAnsiTheme="minorHAnsi"/>
          <w:bCs/>
          <w:snapToGrid w:val="0"/>
          <w:lang w:val="en-GB"/>
        </w:rPr>
        <w:t>NEPA IV</w:t>
      </w:r>
      <w:r w:rsidR="003C3CED">
        <w:rPr>
          <w:rFonts w:asciiTheme="minorHAnsi" w:hAnsiTheme="minorHAnsi"/>
          <w:bCs/>
          <w:snapToGrid w:val="0"/>
          <w:lang w:val="en-GB"/>
        </w:rPr>
        <w:t xml:space="preserve"> should be consistent with the listings of </w:t>
      </w:r>
      <w:r w:rsidR="00A16162">
        <w:rPr>
          <w:rFonts w:asciiTheme="minorHAnsi" w:hAnsiTheme="minorHAnsi"/>
          <w:bCs/>
          <w:snapToGrid w:val="0"/>
          <w:lang w:val="en-GB"/>
        </w:rPr>
        <w:t>FosAPR</w:t>
      </w:r>
      <w:r w:rsidR="00B75295">
        <w:rPr>
          <w:rFonts w:asciiTheme="minorHAnsi" w:hAnsiTheme="minorHAnsi"/>
          <w:bCs/>
          <w:snapToGrid w:val="0"/>
          <w:lang w:val="en-GB"/>
        </w:rPr>
        <w:t>,</w:t>
      </w:r>
      <w:r w:rsidR="003C3CED">
        <w:rPr>
          <w:rFonts w:asciiTheme="minorHAnsi" w:hAnsiTheme="minorHAnsi"/>
          <w:bCs/>
          <w:snapToGrid w:val="0"/>
          <w:lang w:val="en-GB"/>
        </w:rPr>
        <w:t xml:space="preserve"> i.e.</w:t>
      </w:r>
      <w:r w:rsidR="00F26213">
        <w:rPr>
          <w:rFonts w:asciiTheme="minorHAnsi" w:hAnsiTheme="minorHAnsi"/>
          <w:bCs/>
          <w:snapToGrid w:val="0"/>
          <w:lang w:val="en-GB"/>
        </w:rPr>
        <w:t>,</w:t>
      </w:r>
      <w:r w:rsidR="003C3CED">
        <w:rPr>
          <w:rFonts w:asciiTheme="minorHAnsi" w:hAnsiTheme="minorHAnsi"/>
          <w:bCs/>
          <w:snapToGrid w:val="0"/>
          <w:lang w:val="en-GB"/>
        </w:rPr>
        <w:t xml:space="preserve"> </w:t>
      </w:r>
      <w:r w:rsidR="003C3CED" w:rsidRPr="00AE7EE3">
        <w:rPr>
          <w:bCs/>
          <w:iCs/>
        </w:rPr>
        <w:t>permitted for the General Schedule listings, but not for the Section 100 (CT) listings.</w:t>
      </w:r>
    </w:p>
    <w:p w14:paraId="5A2FE7C3" w14:textId="5B9AEAA2" w:rsidR="00624403" w:rsidRPr="00525B39" w:rsidRDefault="00624403" w:rsidP="00624403">
      <w:pPr>
        <w:widowControl w:val="0"/>
        <w:numPr>
          <w:ilvl w:val="1"/>
          <w:numId w:val="1"/>
        </w:numPr>
        <w:spacing w:after="120"/>
        <w:rPr>
          <w:rFonts w:asciiTheme="minorHAnsi" w:hAnsiTheme="minorHAnsi"/>
          <w:bCs/>
          <w:snapToGrid w:val="0"/>
          <w:lang w:val="en-GB"/>
        </w:rPr>
      </w:pPr>
      <w:r w:rsidRPr="00525B39">
        <w:rPr>
          <w:rFonts w:asciiTheme="minorHAnsi" w:hAnsiTheme="minorHAnsi"/>
          <w:bCs/>
          <w:snapToGrid w:val="0"/>
          <w:lang w:val="en-GB"/>
        </w:rPr>
        <w:t>The PBAC recommended that the Early Supply Rule should not apply</w:t>
      </w:r>
      <w:r w:rsidR="0090056F">
        <w:rPr>
          <w:rFonts w:asciiTheme="minorHAnsi" w:hAnsiTheme="minorHAnsi"/>
          <w:bCs/>
          <w:snapToGrid w:val="0"/>
          <w:lang w:val="en-GB"/>
        </w:rPr>
        <w:t xml:space="preserve">, similar to current listings for </w:t>
      </w:r>
      <w:r w:rsidR="00A16162">
        <w:rPr>
          <w:rFonts w:asciiTheme="minorHAnsi" w:hAnsiTheme="minorHAnsi"/>
          <w:bCs/>
          <w:snapToGrid w:val="0"/>
          <w:lang w:val="en-GB"/>
        </w:rPr>
        <w:t>FosAPR</w:t>
      </w:r>
      <w:r w:rsidR="0090056F">
        <w:rPr>
          <w:rFonts w:asciiTheme="minorHAnsi" w:hAnsiTheme="minorHAnsi"/>
          <w:bCs/>
          <w:snapToGrid w:val="0"/>
          <w:lang w:val="en-GB"/>
        </w:rPr>
        <w:t>.</w:t>
      </w:r>
    </w:p>
    <w:p w14:paraId="558FA0E1" w14:textId="15D396C5" w:rsidR="006368D3" w:rsidRPr="00EF2BF5" w:rsidRDefault="00624403" w:rsidP="00EF2BF5">
      <w:pPr>
        <w:widowControl w:val="0"/>
        <w:numPr>
          <w:ilvl w:val="1"/>
          <w:numId w:val="1"/>
        </w:numPr>
        <w:spacing w:after="120"/>
        <w:rPr>
          <w:rFonts w:asciiTheme="minorHAnsi" w:hAnsiTheme="minorHAnsi"/>
          <w:snapToGrid w:val="0"/>
          <w:lang w:val="en-GB"/>
        </w:rPr>
      </w:pPr>
      <w:r w:rsidRPr="003C3CED">
        <w:rPr>
          <w:rFonts w:asciiTheme="minorHAnsi" w:hAnsiTheme="minorHAnsi"/>
          <w:snapToGrid w:val="0"/>
          <w:lang w:val="en-GB"/>
        </w:rPr>
        <w:t xml:space="preserve">The PBAC noted that its recommendation was on a cost-minimisation basis and advised that, because </w:t>
      </w:r>
      <w:r w:rsidR="00B75295">
        <w:rPr>
          <w:rFonts w:asciiTheme="minorHAnsi" w:hAnsiTheme="minorHAnsi"/>
          <w:snapToGrid w:val="0"/>
          <w:lang w:val="en-GB"/>
        </w:rPr>
        <w:t>NEPA IV</w:t>
      </w:r>
      <w:r w:rsidR="003C3CED" w:rsidRPr="003C3CED">
        <w:rPr>
          <w:rFonts w:asciiTheme="minorHAnsi" w:hAnsiTheme="minorHAnsi"/>
          <w:snapToGrid w:val="0"/>
          <w:lang w:val="en-GB"/>
        </w:rPr>
        <w:t xml:space="preserve"> </w:t>
      </w:r>
      <w:r w:rsidRPr="003C3CED">
        <w:rPr>
          <w:rFonts w:asciiTheme="minorHAnsi" w:hAnsiTheme="minorHAnsi"/>
          <w:snapToGrid w:val="0"/>
          <w:lang w:val="en-GB"/>
        </w:rPr>
        <w:t xml:space="preserve">is not expected to provide a substantial and clinically relevant improvement in efficacy, or reduction of toxicity, over </w:t>
      </w:r>
      <w:r w:rsidR="003C3CED" w:rsidRPr="003C3CED">
        <w:rPr>
          <w:rFonts w:asciiTheme="minorHAnsi" w:hAnsiTheme="minorHAnsi"/>
          <w:snapToGrid w:val="0"/>
          <w:lang w:val="en-GB"/>
        </w:rPr>
        <w:t>an alternative IV NK1 antagonist + IV 5-HT3 RA</w:t>
      </w:r>
      <w:r w:rsidRPr="003C3CED">
        <w:rPr>
          <w:rFonts w:asciiTheme="minorHAnsi" w:hAnsiTheme="minorHAnsi"/>
          <w:snapToGrid w:val="0"/>
          <w:lang w:val="en-GB"/>
        </w:rPr>
        <w:t>, or not expected to address a high and urgent unmet clinical need given the presence of an alternative therapy, the criteria prescribed by the National Health (Pharmaceuticals and Vaccines – Cost Recovery) Regulations 2022 for Pricing Pathway A were not met.</w:t>
      </w:r>
    </w:p>
    <w:p w14:paraId="45D4A61D" w14:textId="3ED124EB" w:rsidR="003C3CED" w:rsidRPr="003C3CED" w:rsidRDefault="00624403" w:rsidP="003C3CED">
      <w:pPr>
        <w:widowControl w:val="0"/>
        <w:numPr>
          <w:ilvl w:val="1"/>
          <w:numId w:val="1"/>
        </w:numPr>
        <w:spacing w:after="120"/>
        <w:rPr>
          <w:rFonts w:asciiTheme="minorHAnsi" w:hAnsiTheme="minorHAnsi"/>
          <w:snapToGrid w:val="0"/>
          <w:lang w:val="en-GB"/>
        </w:rPr>
      </w:pPr>
      <w:r w:rsidRPr="003C3CED">
        <w:rPr>
          <w:rFonts w:asciiTheme="minorHAnsi" w:hAnsiTheme="minorHAnsi"/>
          <w:snapToGrid w:val="0"/>
          <w:lang w:val="en-GB"/>
        </w:rPr>
        <w:t>The PBAC noted that this submission is not eligible for an Independent Review</w:t>
      </w:r>
      <w:r w:rsidR="003C3CED" w:rsidRPr="003C3CED">
        <w:rPr>
          <w:rFonts w:asciiTheme="minorHAnsi" w:hAnsiTheme="minorHAnsi"/>
          <w:snapToGrid w:val="0"/>
          <w:lang w:val="en-GB"/>
        </w:rPr>
        <w:t xml:space="preserve"> as it received a positive recommendation</w:t>
      </w:r>
      <w:r w:rsidRPr="003C3CED">
        <w:rPr>
          <w:rFonts w:asciiTheme="minorHAnsi" w:hAnsiTheme="minorHAnsi"/>
          <w:snapToGrid w:val="0"/>
          <w:lang w:val="en-GB"/>
        </w:rPr>
        <w:t>.</w:t>
      </w:r>
    </w:p>
    <w:p w14:paraId="667856C7" w14:textId="09F57164" w:rsidR="00624403" w:rsidRPr="00525B39" w:rsidRDefault="00624403" w:rsidP="009D322D">
      <w:pPr>
        <w:keepNext/>
        <w:widowControl w:val="0"/>
        <w:spacing w:after="120"/>
        <w:rPr>
          <w:rFonts w:asciiTheme="minorHAnsi" w:hAnsiTheme="minorHAnsi"/>
          <w:b/>
          <w:bCs/>
          <w:snapToGrid w:val="0"/>
          <w:lang w:val="en-GB"/>
        </w:rPr>
      </w:pPr>
      <w:r w:rsidRPr="00525B39">
        <w:rPr>
          <w:rFonts w:asciiTheme="minorHAnsi" w:hAnsiTheme="minorHAnsi"/>
          <w:b/>
          <w:bCs/>
          <w:snapToGrid w:val="0"/>
          <w:lang w:val="en-GB"/>
        </w:rPr>
        <w:t>Outcome:</w:t>
      </w:r>
    </w:p>
    <w:p w14:paraId="46C5F87F" w14:textId="080545D3" w:rsidR="00624403" w:rsidRPr="009D322D" w:rsidRDefault="00624403" w:rsidP="009D322D">
      <w:pPr>
        <w:keepNext/>
        <w:rPr>
          <w:rFonts w:asciiTheme="minorHAnsi" w:hAnsiTheme="minorHAnsi"/>
          <w:bCs/>
          <w:snapToGrid w:val="0"/>
          <w:lang w:val="en-GB"/>
        </w:rPr>
      </w:pPr>
      <w:r w:rsidRPr="00525B39">
        <w:rPr>
          <w:rFonts w:asciiTheme="minorHAnsi" w:hAnsiTheme="minorHAnsi"/>
          <w:bCs/>
          <w:snapToGrid w:val="0"/>
          <w:lang w:val="en-GB"/>
        </w:rPr>
        <w:t xml:space="preserve">Recommended </w:t>
      </w:r>
    </w:p>
    <w:bookmarkEnd w:id="62"/>
    <w:p w14:paraId="19A993F3" w14:textId="42FCE282" w:rsidR="00624403" w:rsidRPr="00F237A4" w:rsidRDefault="00624403" w:rsidP="009D322D">
      <w:pPr>
        <w:pStyle w:val="2-SectionHeading"/>
        <w:rPr>
          <w:b w:val="0"/>
          <w:iCs/>
          <w:lang w:val="en-GB"/>
        </w:rPr>
      </w:pPr>
      <w:r w:rsidRPr="009D322D">
        <w:t>Recommended</w:t>
      </w:r>
      <w:r w:rsidRPr="00525B39">
        <w:rPr>
          <w:lang w:val="en-GB"/>
        </w:rPr>
        <w:t xml:space="preserve"> listing</w:t>
      </w:r>
    </w:p>
    <w:bookmarkEnd w:id="63"/>
    <w:p w14:paraId="7E388618" w14:textId="7BC24313" w:rsidR="00F20472" w:rsidRPr="00C12510" w:rsidRDefault="00F20472" w:rsidP="00F20472">
      <w:pPr>
        <w:widowControl w:val="0"/>
        <w:numPr>
          <w:ilvl w:val="1"/>
          <w:numId w:val="1"/>
        </w:numPr>
        <w:spacing w:after="120"/>
        <w:contextualSpacing/>
        <w:rPr>
          <w:rFonts w:asciiTheme="minorHAnsi" w:hAnsiTheme="minorHAnsi"/>
          <w:b/>
          <w:bCs/>
          <w:snapToGrid w:val="0"/>
        </w:rPr>
      </w:pPr>
      <w:r w:rsidRPr="00C12510">
        <w:rPr>
          <w:rFonts w:asciiTheme="minorHAnsi" w:hAnsiTheme="minorHAnsi" w:cstheme="minorHAnsi"/>
          <w:iCs/>
        </w:rPr>
        <w:t>Add new item/s as follows:</w:t>
      </w:r>
    </w:p>
    <w:p w14:paraId="597D42B9" w14:textId="77777777" w:rsidR="00F20472" w:rsidRPr="00667C9C" w:rsidRDefault="00F20472" w:rsidP="00F20472">
      <w:pPr>
        <w:spacing w:after="120"/>
        <w:rPr>
          <w:rFonts w:ascii="Arial Narrow" w:hAnsi="Arial Narrow" w:cstheme="minorHAnsi"/>
          <w:sz w:val="18"/>
          <w:szCs w:val="18"/>
        </w:rPr>
      </w:pP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1275"/>
        <w:gridCol w:w="851"/>
        <w:gridCol w:w="850"/>
        <w:gridCol w:w="709"/>
        <w:gridCol w:w="1134"/>
        <w:gridCol w:w="1417"/>
      </w:tblGrid>
      <w:tr w:rsidR="00F20472" w:rsidRPr="009A610D" w14:paraId="143883FF" w14:textId="77777777" w:rsidTr="00F26213">
        <w:trPr>
          <w:cantSplit/>
          <w:trHeight w:val="471"/>
        </w:trPr>
        <w:tc>
          <w:tcPr>
            <w:tcW w:w="2689" w:type="dxa"/>
          </w:tcPr>
          <w:p w14:paraId="3575A4B9" w14:textId="77777777" w:rsidR="00F20472" w:rsidRPr="009A610D" w:rsidRDefault="00F20472" w:rsidP="00F26213">
            <w:pPr>
              <w:keepNext/>
              <w:ind w:left="-108"/>
              <w:rPr>
                <w:rFonts w:ascii="Arial Narrow" w:hAnsi="Arial Narrow"/>
                <w:b/>
                <w:sz w:val="18"/>
                <w:szCs w:val="18"/>
              </w:rPr>
            </w:pPr>
            <w:r w:rsidRPr="009A610D">
              <w:rPr>
                <w:rFonts w:ascii="Arial Narrow" w:hAnsi="Arial Narrow"/>
                <w:b/>
                <w:sz w:val="18"/>
                <w:szCs w:val="18"/>
              </w:rPr>
              <w:t>Name, Restriction,</w:t>
            </w:r>
          </w:p>
          <w:p w14:paraId="7D3D2E29" w14:textId="77777777" w:rsidR="00F20472" w:rsidRPr="009A610D" w:rsidRDefault="00F20472" w:rsidP="00F26213">
            <w:pPr>
              <w:keepNext/>
              <w:ind w:left="-108"/>
              <w:rPr>
                <w:rFonts w:ascii="Arial Narrow" w:hAnsi="Arial Narrow"/>
                <w:b/>
                <w:sz w:val="18"/>
                <w:szCs w:val="18"/>
              </w:rPr>
            </w:pPr>
            <w:r w:rsidRPr="009A610D">
              <w:rPr>
                <w:rFonts w:ascii="Arial Narrow" w:hAnsi="Arial Narrow"/>
                <w:b/>
                <w:sz w:val="18"/>
                <w:szCs w:val="18"/>
              </w:rPr>
              <w:t>Manner of administration and form</w:t>
            </w:r>
          </w:p>
        </w:tc>
        <w:tc>
          <w:tcPr>
            <w:tcW w:w="1275" w:type="dxa"/>
          </w:tcPr>
          <w:p w14:paraId="2F20DCBF" w14:textId="77777777" w:rsidR="00F20472" w:rsidRPr="009A610D" w:rsidRDefault="00F20472" w:rsidP="00F26213">
            <w:pPr>
              <w:keepNext/>
              <w:ind w:left="-108"/>
              <w:jc w:val="center"/>
              <w:rPr>
                <w:rFonts w:ascii="Arial Narrow" w:hAnsi="Arial Narrow"/>
                <w:b/>
                <w:sz w:val="18"/>
                <w:szCs w:val="18"/>
              </w:rPr>
            </w:pPr>
            <w:r>
              <w:rPr>
                <w:rFonts w:ascii="Arial Narrow" w:hAnsi="Arial Narrow"/>
                <w:b/>
                <w:sz w:val="18"/>
                <w:szCs w:val="18"/>
              </w:rPr>
              <w:t>PBS item code</w:t>
            </w:r>
          </w:p>
        </w:tc>
        <w:tc>
          <w:tcPr>
            <w:tcW w:w="851" w:type="dxa"/>
          </w:tcPr>
          <w:p w14:paraId="1AC15CFC" w14:textId="77777777" w:rsidR="00F20472" w:rsidRPr="009A610D" w:rsidRDefault="00F20472" w:rsidP="00F26213">
            <w:pPr>
              <w:keepNext/>
              <w:ind w:left="-108"/>
              <w:jc w:val="center"/>
              <w:rPr>
                <w:rFonts w:ascii="Arial Narrow" w:hAnsi="Arial Narrow"/>
                <w:b/>
                <w:sz w:val="18"/>
                <w:szCs w:val="18"/>
              </w:rPr>
            </w:pPr>
            <w:r w:rsidRPr="009A610D">
              <w:rPr>
                <w:rFonts w:ascii="Arial Narrow" w:hAnsi="Arial Narrow"/>
                <w:b/>
                <w:sz w:val="18"/>
                <w:szCs w:val="18"/>
              </w:rPr>
              <w:t>Max.</w:t>
            </w:r>
            <w:r>
              <w:rPr>
                <w:rFonts w:ascii="Arial Narrow" w:hAnsi="Arial Narrow"/>
                <w:b/>
                <w:sz w:val="18"/>
                <w:szCs w:val="18"/>
              </w:rPr>
              <w:t xml:space="preserve"> q</w:t>
            </w:r>
            <w:r w:rsidRPr="009A610D">
              <w:rPr>
                <w:rFonts w:ascii="Arial Narrow" w:hAnsi="Arial Narrow"/>
                <w:b/>
                <w:sz w:val="18"/>
                <w:szCs w:val="18"/>
              </w:rPr>
              <w:t>ty</w:t>
            </w:r>
            <w:r>
              <w:rPr>
                <w:rFonts w:ascii="Arial Narrow" w:hAnsi="Arial Narrow"/>
                <w:b/>
                <w:sz w:val="18"/>
                <w:szCs w:val="18"/>
              </w:rPr>
              <w:t xml:space="preserve"> packs</w:t>
            </w:r>
          </w:p>
        </w:tc>
        <w:tc>
          <w:tcPr>
            <w:tcW w:w="850" w:type="dxa"/>
          </w:tcPr>
          <w:p w14:paraId="071901F9" w14:textId="77777777" w:rsidR="00F20472" w:rsidRPr="009A610D" w:rsidRDefault="00F20472" w:rsidP="00F26213">
            <w:pPr>
              <w:keepNext/>
              <w:ind w:left="-108"/>
              <w:jc w:val="center"/>
              <w:rPr>
                <w:rFonts w:ascii="Arial Narrow" w:hAnsi="Arial Narrow"/>
                <w:b/>
                <w:sz w:val="18"/>
                <w:szCs w:val="18"/>
              </w:rPr>
            </w:pPr>
            <w:r>
              <w:rPr>
                <w:rFonts w:ascii="Arial Narrow" w:hAnsi="Arial Narrow"/>
                <w:b/>
                <w:sz w:val="18"/>
                <w:szCs w:val="18"/>
              </w:rPr>
              <w:t>Max. qty units</w:t>
            </w:r>
          </w:p>
        </w:tc>
        <w:tc>
          <w:tcPr>
            <w:tcW w:w="709" w:type="dxa"/>
          </w:tcPr>
          <w:p w14:paraId="656D5970" w14:textId="77777777" w:rsidR="00F20472" w:rsidRPr="009A610D" w:rsidRDefault="00F20472" w:rsidP="00F26213">
            <w:pPr>
              <w:keepNext/>
              <w:ind w:left="-108"/>
              <w:jc w:val="center"/>
              <w:rPr>
                <w:rFonts w:ascii="Arial Narrow" w:hAnsi="Arial Narrow"/>
                <w:b/>
                <w:sz w:val="18"/>
                <w:szCs w:val="18"/>
              </w:rPr>
            </w:pPr>
            <w:r w:rsidRPr="009A610D">
              <w:rPr>
                <w:rFonts w:ascii="Arial Narrow" w:hAnsi="Arial Narrow"/>
                <w:b/>
                <w:sz w:val="18"/>
                <w:szCs w:val="18"/>
              </w:rPr>
              <w:t>№.of</w:t>
            </w:r>
          </w:p>
          <w:p w14:paraId="2F0D0F6E" w14:textId="77777777" w:rsidR="00F20472" w:rsidRPr="009A610D" w:rsidRDefault="00F20472" w:rsidP="00F26213">
            <w:pPr>
              <w:keepNext/>
              <w:ind w:left="-108"/>
              <w:jc w:val="center"/>
              <w:rPr>
                <w:rFonts w:ascii="Arial Narrow" w:hAnsi="Arial Narrow"/>
                <w:b/>
                <w:sz w:val="18"/>
                <w:szCs w:val="18"/>
              </w:rPr>
            </w:pPr>
            <w:r w:rsidRPr="009A610D">
              <w:rPr>
                <w:rFonts w:ascii="Arial Narrow" w:hAnsi="Arial Narrow"/>
                <w:b/>
                <w:sz w:val="18"/>
                <w:szCs w:val="18"/>
              </w:rPr>
              <w:t>Rpts</w:t>
            </w:r>
          </w:p>
        </w:tc>
        <w:tc>
          <w:tcPr>
            <w:tcW w:w="2551" w:type="dxa"/>
            <w:gridSpan w:val="2"/>
          </w:tcPr>
          <w:p w14:paraId="2315BE76" w14:textId="77777777" w:rsidR="00F20472" w:rsidRPr="009A610D" w:rsidRDefault="00F20472" w:rsidP="00F26213">
            <w:pPr>
              <w:keepNext/>
              <w:rPr>
                <w:rFonts w:ascii="Arial Narrow" w:hAnsi="Arial Narrow"/>
                <w:b/>
                <w:sz w:val="18"/>
                <w:szCs w:val="18"/>
                <w:lang w:val="fr-FR"/>
              </w:rPr>
            </w:pPr>
            <w:r w:rsidRPr="009A610D">
              <w:rPr>
                <w:rFonts w:ascii="Arial Narrow" w:hAnsi="Arial Narrow"/>
                <w:b/>
                <w:sz w:val="18"/>
                <w:szCs w:val="18"/>
              </w:rPr>
              <w:t>Proprietary Name and Manufacturer</w:t>
            </w:r>
          </w:p>
        </w:tc>
      </w:tr>
      <w:tr w:rsidR="00F20472" w:rsidRPr="009A610D" w14:paraId="7AC78E94" w14:textId="77777777" w:rsidTr="00F26213">
        <w:trPr>
          <w:cantSplit/>
          <w:trHeight w:val="761"/>
        </w:trPr>
        <w:tc>
          <w:tcPr>
            <w:tcW w:w="2689" w:type="dxa"/>
          </w:tcPr>
          <w:p w14:paraId="572C79EB" w14:textId="77777777" w:rsidR="00F20472" w:rsidRPr="00120A12" w:rsidRDefault="00F20472" w:rsidP="00F26213">
            <w:pPr>
              <w:keepNext/>
              <w:ind w:left="-108"/>
              <w:rPr>
                <w:rFonts w:ascii="Arial Narrow" w:hAnsi="Arial Narrow"/>
                <w:sz w:val="18"/>
                <w:szCs w:val="18"/>
              </w:rPr>
            </w:pPr>
            <w:r>
              <w:rPr>
                <w:rFonts w:ascii="Arial Narrow" w:hAnsi="Arial Narrow"/>
                <w:sz w:val="18"/>
                <w:szCs w:val="18"/>
              </w:rPr>
              <w:t>FOSNETUPITANT with PALONOSETRON</w:t>
            </w:r>
          </w:p>
          <w:p w14:paraId="604E139F" w14:textId="77777777" w:rsidR="00F20472" w:rsidRDefault="00F20472" w:rsidP="00F26213">
            <w:pPr>
              <w:keepNext/>
              <w:ind w:left="-108"/>
              <w:rPr>
                <w:rFonts w:ascii="Arial Narrow" w:hAnsi="Arial Narrow"/>
                <w:sz w:val="18"/>
                <w:szCs w:val="18"/>
              </w:rPr>
            </w:pPr>
          </w:p>
          <w:p w14:paraId="2E53A024" w14:textId="172CD500" w:rsidR="00F20472" w:rsidRPr="003803A0" w:rsidRDefault="00F20472" w:rsidP="00F26213">
            <w:pPr>
              <w:keepNext/>
              <w:ind w:left="-108"/>
              <w:rPr>
                <w:rFonts w:ascii="Arial Narrow" w:hAnsi="Arial Narrow"/>
                <w:sz w:val="18"/>
                <w:szCs w:val="18"/>
              </w:rPr>
            </w:pPr>
            <w:r w:rsidRPr="00647154">
              <w:rPr>
                <w:rFonts w:ascii="Arial Narrow" w:hAnsi="Arial Narrow"/>
                <w:sz w:val="18"/>
                <w:szCs w:val="18"/>
              </w:rPr>
              <w:t xml:space="preserve">Fosnetupitant 235 </w:t>
            </w:r>
            <w:r w:rsidR="009E2338">
              <w:rPr>
                <w:rFonts w:ascii="Arial Narrow" w:hAnsi="Arial Narrow"/>
                <w:sz w:val="18"/>
                <w:szCs w:val="18"/>
              </w:rPr>
              <w:t> mg</w:t>
            </w:r>
            <w:r w:rsidRPr="00647154">
              <w:rPr>
                <w:rFonts w:ascii="Arial Narrow" w:hAnsi="Arial Narrow"/>
                <w:sz w:val="18"/>
                <w:szCs w:val="18"/>
              </w:rPr>
              <w:t xml:space="preserve"> plus palonosetron 250 microgram powder for IV infusion, vial</w:t>
            </w:r>
          </w:p>
        </w:tc>
        <w:tc>
          <w:tcPr>
            <w:tcW w:w="1275" w:type="dxa"/>
          </w:tcPr>
          <w:p w14:paraId="593355B3" w14:textId="77777777" w:rsidR="00F20472" w:rsidRDefault="00F20472" w:rsidP="00F26213">
            <w:pPr>
              <w:keepNext/>
              <w:ind w:left="-108"/>
              <w:jc w:val="center"/>
              <w:rPr>
                <w:rFonts w:ascii="Arial Narrow" w:hAnsi="Arial Narrow"/>
                <w:sz w:val="18"/>
                <w:szCs w:val="18"/>
              </w:rPr>
            </w:pPr>
          </w:p>
          <w:p w14:paraId="216B9EF4" w14:textId="77777777" w:rsidR="00F20472" w:rsidRDefault="00F20472" w:rsidP="00F26213">
            <w:pPr>
              <w:keepNext/>
              <w:ind w:left="-108"/>
              <w:jc w:val="center"/>
              <w:rPr>
                <w:rFonts w:ascii="Arial Narrow" w:hAnsi="Arial Narrow"/>
                <w:sz w:val="18"/>
                <w:szCs w:val="18"/>
              </w:rPr>
            </w:pPr>
          </w:p>
          <w:p w14:paraId="38BDB1D6" w14:textId="77777777" w:rsidR="00F20472" w:rsidRPr="009A610D" w:rsidRDefault="00F20472" w:rsidP="00F26213">
            <w:pPr>
              <w:keepNext/>
              <w:ind w:left="-108"/>
              <w:jc w:val="center"/>
              <w:rPr>
                <w:rFonts w:ascii="Arial Narrow" w:hAnsi="Arial Narrow"/>
                <w:sz w:val="18"/>
                <w:szCs w:val="18"/>
              </w:rPr>
            </w:pPr>
            <w:r>
              <w:rPr>
                <w:rFonts w:ascii="Arial Narrow" w:hAnsi="Arial Narrow"/>
                <w:sz w:val="18"/>
                <w:szCs w:val="18"/>
              </w:rPr>
              <w:t>NEW</w:t>
            </w:r>
          </w:p>
        </w:tc>
        <w:tc>
          <w:tcPr>
            <w:tcW w:w="851" w:type="dxa"/>
          </w:tcPr>
          <w:p w14:paraId="605C2540" w14:textId="77777777" w:rsidR="00F20472" w:rsidRDefault="00F20472" w:rsidP="00F26213">
            <w:pPr>
              <w:keepNext/>
              <w:jc w:val="center"/>
              <w:rPr>
                <w:rFonts w:ascii="Arial Narrow" w:hAnsi="Arial Narrow"/>
                <w:sz w:val="18"/>
                <w:szCs w:val="18"/>
              </w:rPr>
            </w:pPr>
          </w:p>
          <w:p w14:paraId="4A0DDF2B" w14:textId="77777777" w:rsidR="00F20472" w:rsidRDefault="00F20472" w:rsidP="00F26213">
            <w:pPr>
              <w:keepNext/>
              <w:ind w:left="-108"/>
              <w:jc w:val="center"/>
              <w:rPr>
                <w:rFonts w:ascii="Arial Narrow" w:hAnsi="Arial Narrow"/>
                <w:sz w:val="18"/>
                <w:szCs w:val="18"/>
              </w:rPr>
            </w:pPr>
          </w:p>
          <w:p w14:paraId="11374313" w14:textId="77777777" w:rsidR="00F20472" w:rsidRPr="009A610D" w:rsidRDefault="00F20472" w:rsidP="00F26213">
            <w:pPr>
              <w:keepNext/>
              <w:jc w:val="center"/>
              <w:rPr>
                <w:rFonts w:ascii="Arial Narrow" w:hAnsi="Arial Narrow"/>
                <w:sz w:val="18"/>
                <w:szCs w:val="18"/>
              </w:rPr>
            </w:pPr>
            <w:r w:rsidRPr="009A610D">
              <w:rPr>
                <w:rFonts w:ascii="Arial Narrow" w:hAnsi="Arial Narrow"/>
                <w:sz w:val="18"/>
                <w:szCs w:val="18"/>
              </w:rPr>
              <w:t>1</w:t>
            </w:r>
          </w:p>
        </w:tc>
        <w:tc>
          <w:tcPr>
            <w:tcW w:w="850" w:type="dxa"/>
          </w:tcPr>
          <w:p w14:paraId="1014EA33" w14:textId="77777777" w:rsidR="00F20472" w:rsidRDefault="00F20472" w:rsidP="00F26213">
            <w:pPr>
              <w:keepNext/>
              <w:ind w:left="-108"/>
              <w:jc w:val="center"/>
              <w:rPr>
                <w:rFonts w:ascii="Arial Narrow" w:hAnsi="Arial Narrow"/>
                <w:sz w:val="18"/>
                <w:szCs w:val="18"/>
              </w:rPr>
            </w:pPr>
          </w:p>
          <w:p w14:paraId="0D696625" w14:textId="77777777" w:rsidR="00F20472" w:rsidRDefault="00F20472" w:rsidP="00F26213">
            <w:pPr>
              <w:keepNext/>
              <w:rPr>
                <w:rFonts w:ascii="Arial Narrow" w:hAnsi="Arial Narrow"/>
                <w:sz w:val="18"/>
                <w:szCs w:val="18"/>
              </w:rPr>
            </w:pPr>
          </w:p>
          <w:p w14:paraId="1F805516" w14:textId="77777777" w:rsidR="00F20472" w:rsidRPr="009A610D" w:rsidRDefault="00F20472" w:rsidP="00F26213">
            <w:pPr>
              <w:keepNext/>
              <w:ind w:left="-108"/>
              <w:jc w:val="center"/>
              <w:rPr>
                <w:rFonts w:ascii="Arial Narrow" w:hAnsi="Arial Narrow"/>
                <w:sz w:val="18"/>
                <w:szCs w:val="18"/>
              </w:rPr>
            </w:pPr>
            <w:r>
              <w:rPr>
                <w:rFonts w:ascii="Arial Narrow" w:hAnsi="Arial Narrow"/>
                <w:sz w:val="18"/>
                <w:szCs w:val="18"/>
              </w:rPr>
              <w:t>1</w:t>
            </w:r>
          </w:p>
        </w:tc>
        <w:tc>
          <w:tcPr>
            <w:tcW w:w="709" w:type="dxa"/>
          </w:tcPr>
          <w:p w14:paraId="194CF6F3" w14:textId="77777777" w:rsidR="00F20472" w:rsidRPr="009A610D" w:rsidRDefault="00F20472" w:rsidP="00F26213">
            <w:pPr>
              <w:keepNext/>
              <w:ind w:left="-108"/>
              <w:jc w:val="center"/>
              <w:rPr>
                <w:rFonts w:ascii="Arial Narrow" w:hAnsi="Arial Narrow"/>
                <w:sz w:val="18"/>
                <w:szCs w:val="18"/>
              </w:rPr>
            </w:pPr>
          </w:p>
          <w:p w14:paraId="38AA8678" w14:textId="77777777" w:rsidR="00F20472" w:rsidRDefault="00F20472" w:rsidP="00F26213">
            <w:pPr>
              <w:keepNext/>
              <w:ind w:left="-108"/>
              <w:jc w:val="center"/>
              <w:rPr>
                <w:rFonts w:ascii="Arial Narrow" w:hAnsi="Arial Narrow"/>
                <w:sz w:val="18"/>
                <w:szCs w:val="18"/>
              </w:rPr>
            </w:pPr>
          </w:p>
          <w:p w14:paraId="00F57A4C" w14:textId="77777777" w:rsidR="00F20472" w:rsidRPr="009A610D" w:rsidRDefault="00F20472" w:rsidP="00F26213">
            <w:pPr>
              <w:keepNext/>
              <w:ind w:left="-108"/>
              <w:jc w:val="center"/>
              <w:rPr>
                <w:rFonts w:ascii="Arial Narrow" w:hAnsi="Arial Narrow"/>
                <w:sz w:val="18"/>
                <w:szCs w:val="18"/>
              </w:rPr>
            </w:pPr>
            <w:r>
              <w:rPr>
                <w:rFonts w:ascii="Arial Narrow" w:hAnsi="Arial Narrow"/>
                <w:sz w:val="18"/>
                <w:szCs w:val="18"/>
              </w:rPr>
              <w:t>5</w:t>
            </w:r>
          </w:p>
          <w:p w14:paraId="64615AC6" w14:textId="77777777" w:rsidR="00F20472" w:rsidRPr="009A610D" w:rsidRDefault="00F20472" w:rsidP="00F26213">
            <w:pPr>
              <w:keepNext/>
              <w:rPr>
                <w:rFonts w:ascii="Arial Narrow" w:hAnsi="Arial Narrow"/>
                <w:sz w:val="18"/>
                <w:szCs w:val="18"/>
              </w:rPr>
            </w:pPr>
          </w:p>
        </w:tc>
        <w:tc>
          <w:tcPr>
            <w:tcW w:w="1134" w:type="dxa"/>
          </w:tcPr>
          <w:p w14:paraId="05E43B5F" w14:textId="77777777" w:rsidR="00F20472" w:rsidRDefault="00F20472" w:rsidP="00F26213">
            <w:pPr>
              <w:keepNext/>
              <w:rPr>
                <w:rFonts w:ascii="Arial Narrow" w:hAnsi="Arial Narrow"/>
                <w:sz w:val="18"/>
                <w:szCs w:val="18"/>
              </w:rPr>
            </w:pPr>
          </w:p>
          <w:p w14:paraId="1FC6577F" w14:textId="77777777" w:rsidR="00F20472" w:rsidRDefault="00F20472" w:rsidP="00F26213">
            <w:pPr>
              <w:keepNext/>
              <w:rPr>
                <w:rFonts w:ascii="Arial Narrow" w:hAnsi="Arial Narrow"/>
                <w:sz w:val="18"/>
                <w:szCs w:val="18"/>
              </w:rPr>
            </w:pPr>
          </w:p>
          <w:p w14:paraId="17176E84" w14:textId="77777777" w:rsidR="00F20472" w:rsidRPr="009A610D" w:rsidRDefault="00F20472" w:rsidP="00F26213">
            <w:pPr>
              <w:keepNext/>
              <w:rPr>
                <w:rFonts w:ascii="Arial Narrow" w:hAnsi="Arial Narrow"/>
                <w:sz w:val="18"/>
                <w:szCs w:val="18"/>
              </w:rPr>
            </w:pPr>
            <w:r>
              <w:rPr>
                <w:rFonts w:ascii="Arial Narrow" w:hAnsi="Arial Narrow"/>
                <w:sz w:val="18"/>
                <w:szCs w:val="18"/>
              </w:rPr>
              <w:t>Akynzeo IV</w:t>
            </w:r>
            <w:r w:rsidRPr="009A610D">
              <w:rPr>
                <w:rFonts w:ascii="Arial Narrow" w:hAnsi="Arial Narrow"/>
                <w:sz w:val="18"/>
                <w:szCs w:val="18"/>
                <w:vertAlign w:val="superscript"/>
              </w:rPr>
              <w:t>®</w:t>
            </w:r>
          </w:p>
        </w:tc>
        <w:tc>
          <w:tcPr>
            <w:tcW w:w="1417" w:type="dxa"/>
          </w:tcPr>
          <w:p w14:paraId="78F78D73" w14:textId="77777777" w:rsidR="00F20472" w:rsidRDefault="00F20472" w:rsidP="00F26213">
            <w:pPr>
              <w:keepNext/>
              <w:rPr>
                <w:rFonts w:ascii="Arial Narrow" w:hAnsi="Arial Narrow"/>
                <w:sz w:val="18"/>
                <w:szCs w:val="18"/>
              </w:rPr>
            </w:pPr>
          </w:p>
          <w:p w14:paraId="4BFA6A44" w14:textId="77777777" w:rsidR="00F20472" w:rsidRDefault="00F20472" w:rsidP="00F26213">
            <w:pPr>
              <w:keepNext/>
              <w:rPr>
                <w:rFonts w:ascii="Arial Narrow" w:hAnsi="Arial Narrow"/>
                <w:sz w:val="18"/>
                <w:szCs w:val="18"/>
              </w:rPr>
            </w:pPr>
          </w:p>
          <w:p w14:paraId="60CB8559" w14:textId="77777777" w:rsidR="00F20472" w:rsidRPr="009A610D" w:rsidRDefault="00F20472" w:rsidP="00F26213">
            <w:pPr>
              <w:keepNext/>
              <w:rPr>
                <w:rFonts w:ascii="Arial Narrow" w:hAnsi="Arial Narrow"/>
                <w:sz w:val="18"/>
                <w:szCs w:val="18"/>
              </w:rPr>
            </w:pPr>
            <w:r>
              <w:rPr>
                <w:rFonts w:ascii="Arial Narrow" w:hAnsi="Arial Narrow"/>
                <w:sz w:val="18"/>
                <w:szCs w:val="18"/>
              </w:rPr>
              <w:t>Juniper Biologics Pty Ltd</w:t>
            </w:r>
          </w:p>
        </w:tc>
      </w:tr>
    </w:tbl>
    <w:p w14:paraId="54B5CF82" w14:textId="328DDA3C" w:rsidR="00F20472" w:rsidRDefault="00F20472" w:rsidP="00F20472"/>
    <w:p w14:paraId="5D017C69" w14:textId="77777777" w:rsidR="00BA2C24" w:rsidRPr="00485F5C" w:rsidRDefault="00BA2C24" w:rsidP="00BA2C24">
      <w:pPr>
        <w:rPr>
          <w:rFonts w:ascii="Arial Narrow" w:hAnsi="Arial Narrow"/>
          <w:b/>
          <w:sz w:val="18"/>
          <w:szCs w:val="18"/>
          <w:lang w:val="en-GB"/>
        </w:rPr>
      </w:pPr>
      <w:r w:rsidRPr="00507253">
        <w:rPr>
          <w:rFonts w:ascii="Arial Narrow" w:hAnsi="Arial Narrow"/>
          <w:b/>
          <w:sz w:val="18"/>
          <w:szCs w:val="18"/>
          <w:lang w:val="en-GB"/>
        </w:rPr>
        <w:t>Restriction Summary</w:t>
      </w:r>
      <w:r>
        <w:rPr>
          <w:rFonts w:ascii="Arial Narrow" w:hAnsi="Arial Narrow"/>
          <w:b/>
          <w:sz w:val="18"/>
          <w:szCs w:val="18"/>
          <w:lang w:val="en-GB"/>
        </w:rPr>
        <w:t>: variant of 6886</w:t>
      </w:r>
      <w:r w:rsidRPr="00507253">
        <w:rPr>
          <w:rFonts w:ascii="Arial Narrow" w:hAnsi="Arial Narrow"/>
          <w:b/>
          <w:sz w:val="18"/>
          <w:szCs w:val="18"/>
          <w:lang w:val="en-GB"/>
        </w:rPr>
        <w:t xml:space="preserve"> / Treatment of Concept:</w:t>
      </w:r>
      <w:r>
        <w:rPr>
          <w:rFonts w:ascii="Arial Narrow" w:hAnsi="Arial Narrow"/>
          <w:b/>
          <w:sz w:val="18"/>
          <w:szCs w:val="18"/>
          <w:lang w:val="en-GB"/>
        </w:rPr>
        <w:t xml:space="preserve"> variant of</w:t>
      </w:r>
      <w:r w:rsidRPr="00507253">
        <w:rPr>
          <w:rFonts w:ascii="Arial Narrow" w:hAnsi="Arial Narrow"/>
          <w:b/>
          <w:sz w:val="18"/>
          <w:szCs w:val="18"/>
          <w:lang w:val="en-GB"/>
        </w:rPr>
        <w:t xml:space="preserve"> </w:t>
      </w:r>
      <w:r>
        <w:rPr>
          <w:rFonts w:ascii="Arial Narrow" w:hAnsi="Arial Narrow"/>
          <w:b/>
          <w:sz w:val="18"/>
          <w:szCs w:val="18"/>
          <w:lang w:val="en-GB"/>
        </w:rPr>
        <w:t>6886</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7"/>
        <w:gridCol w:w="7940"/>
      </w:tblGrid>
      <w:tr w:rsidR="00BA2C24" w:rsidRPr="00120A12" w14:paraId="605B6319" w14:textId="77777777" w:rsidTr="005457B9">
        <w:tc>
          <w:tcPr>
            <w:tcW w:w="553" w:type="pct"/>
            <w:tcBorders>
              <w:top w:val="single" w:sz="4" w:space="0" w:color="auto"/>
              <w:left w:val="single" w:sz="4" w:space="0" w:color="auto"/>
              <w:bottom w:val="single" w:sz="4" w:space="0" w:color="auto"/>
              <w:right w:val="single" w:sz="4" w:space="0" w:color="auto"/>
            </w:tcBorders>
          </w:tcPr>
          <w:p w14:paraId="1D0E9FE3" w14:textId="77777777" w:rsidR="00BA2C24" w:rsidRPr="00507253" w:rsidRDefault="00BA2C24" w:rsidP="005457B9">
            <w:pPr>
              <w:jc w:val="center"/>
              <w:rPr>
                <w:rFonts w:ascii="Arial Narrow" w:hAnsi="Arial Narrow"/>
                <w:b/>
                <w:sz w:val="18"/>
                <w:szCs w:val="18"/>
              </w:rPr>
            </w:pPr>
            <w:r w:rsidRPr="00507253">
              <w:rPr>
                <w:rFonts w:ascii="Arial Narrow" w:hAnsi="Arial Narrow"/>
                <w:b/>
                <w:sz w:val="18"/>
                <w:szCs w:val="18"/>
              </w:rPr>
              <w:t>Concept ID</w:t>
            </w:r>
          </w:p>
        </w:tc>
        <w:tc>
          <w:tcPr>
            <w:tcW w:w="4447" w:type="pct"/>
            <w:tcBorders>
              <w:top w:val="single" w:sz="4" w:space="0" w:color="auto"/>
              <w:left w:val="single" w:sz="4" w:space="0" w:color="auto"/>
              <w:bottom w:val="single" w:sz="4" w:space="0" w:color="auto"/>
              <w:right w:val="single" w:sz="4" w:space="0" w:color="auto"/>
            </w:tcBorders>
          </w:tcPr>
          <w:p w14:paraId="551895D7" w14:textId="77777777" w:rsidR="00BA2C24" w:rsidRDefault="00BA2C24" w:rsidP="005457B9">
            <w:pPr>
              <w:rPr>
                <w:rFonts w:ascii="Arial Narrow" w:hAnsi="Arial Narrow"/>
                <w:b/>
                <w:sz w:val="18"/>
                <w:szCs w:val="18"/>
              </w:rPr>
            </w:pPr>
            <w:r w:rsidRPr="0020649C">
              <w:rPr>
                <w:rFonts w:ascii="Arial Narrow" w:hAnsi="Arial Narrow"/>
                <w:b/>
                <w:sz w:val="18"/>
                <w:szCs w:val="18"/>
              </w:rPr>
              <w:t>Category / Program:</w:t>
            </w:r>
            <w:r>
              <w:rPr>
                <w:rFonts w:ascii="Arial Narrow" w:hAnsi="Arial Narrow"/>
                <w:b/>
                <w:sz w:val="18"/>
                <w:szCs w:val="18"/>
              </w:rPr>
              <w:t xml:space="preserve">   </w:t>
            </w:r>
          </w:p>
          <w:p w14:paraId="2B3932CC" w14:textId="77777777" w:rsidR="00BA2C24" w:rsidRDefault="00BA2C24" w:rsidP="005457B9">
            <w:pPr>
              <w:rPr>
                <w:rFonts w:ascii="Arial Narrow" w:hAnsi="Arial Narrow"/>
                <w:sz w:val="18"/>
                <w:szCs w:val="18"/>
              </w:rPr>
            </w:pPr>
            <w:r w:rsidRPr="00485F5C">
              <w:rPr>
                <w:rFonts w:ascii="Arial Narrow" w:hAnsi="Arial Narrow"/>
                <w:sz w:val="18"/>
                <w:szCs w:val="18"/>
              </w:rPr>
              <w:t>GENERAL – General Schedule (Code GE)</w:t>
            </w:r>
          </w:p>
          <w:p w14:paraId="4C5E7FD8" w14:textId="77777777" w:rsidR="00BA2C24" w:rsidRPr="00120A12" w:rsidRDefault="00BA2C24" w:rsidP="005457B9">
            <w:pPr>
              <w:rPr>
                <w:rFonts w:ascii="Arial Narrow" w:hAnsi="Arial Narrow"/>
                <w:sz w:val="18"/>
                <w:szCs w:val="18"/>
              </w:rPr>
            </w:pPr>
            <w:r w:rsidRPr="003D201F">
              <w:rPr>
                <w:rFonts w:ascii="Arial Narrow" w:hAnsi="Arial Narrow"/>
                <w:sz w:val="18"/>
                <w:szCs w:val="18"/>
              </w:rPr>
              <w:t xml:space="preserve">Section 100 – Efficient Funding of Chemotherapy {Related Benefits}     </w:t>
            </w:r>
          </w:p>
        </w:tc>
      </w:tr>
      <w:tr w:rsidR="00BA2C24" w:rsidRPr="00120A12" w14:paraId="6469513B" w14:textId="77777777" w:rsidTr="005457B9">
        <w:trPr>
          <w:trHeight w:val="45"/>
        </w:trPr>
        <w:tc>
          <w:tcPr>
            <w:tcW w:w="553" w:type="pct"/>
            <w:tcBorders>
              <w:top w:val="single" w:sz="4" w:space="0" w:color="auto"/>
              <w:left w:val="single" w:sz="4" w:space="0" w:color="auto"/>
              <w:bottom w:val="single" w:sz="4" w:space="0" w:color="auto"/>
              <w:right w:val="single" w:sz="4" w:space="0" w:color="auto"/>
            </w:tcBorders>
          </w:tcPr>
          <w:p w14:paraId="2CF5A9EC" w14:textId="77777777" w:rsidR="00BA2C24" w:rsidRPr="0020649C" w:rsidRDefault="00BA2C24" w:rsidP="005457B9">
            <w:pPr>
              <w:rPr>
                <w:rFonts w:ascii="Arial Narrow" w:hAnsi="Arial Narrow"/>
                <w:sz w:val="18"/>
                <w:szCs w:val="18"/>
              </w:rPr>
            </w:pPr>
          </w:p>
        </w:tc>
        <w:tc>
          <w:tcPr>
            <w:tcW w:w="4447" w:type="pct"/>
            <w:tcBorders>
              <w:top w:val="single" w:sz="4" w:space="0" w:color="auto"/>
              <w:left w:val="single" w:sz="4" w:space="0" w:color="auto"/>
              <w:bottom w:val="single" w:sz="4" w:space="0" w:color="auto"/>
              <w:right w:val="single" w:sz="4" w:space="0" w:color="auto"/>
            </w:tcBorders>
          </w:tcPr>
          <w:p w14:paraId="67849587" w14:textId="77777777" w:rsidR="00BA2C24" w:rsidRPr="00120A12" w:rsidRDefault="00BA2C24" w:rsidP="005457B9">
            <w:pPr>
              <w:rPr>
                <w:rFonts w:ascii="Arial Narrow" w:hAnsi="Arial Narrow"/>
                <w:sz w:val="18"/>
                <w:szCs w:val="18"/>
              </w:rPr>
            </w:pPr>
            <w:r w:rsidRPr="00120A12">
              <w:rPr>
                <w:rFonts w:ascii="Arial Narrow" w:hAnsi="Arial Narrow"/>
                <w:b/>
                <w:sz w:val="18"/>
                <w:szCs w:val="18"/>
              </w:rPr>
              <w:t>Prescriber type:</w:t>
            </w:r>
            <w:r>
              <w:rPr>
                <w:rFonts w:ascii="Arial Narrow" w:hAnsi="Arial Narrow"/>
                <w:b/>
                <w:sz w:val="18"/>
                <w:szCs w:val="18"/>
              </w:rPr>
              <w:t xml:space="preserve"> </w:t>
            </w:r>
            <w:r>
              <w:rPr>
                <w:rFonts w:ascii="Arial Narrow" w:hAnsi="Arial Narrow"/>
                <w:sz w:val="18"/>
                <w:szCs w:val="18"/>
              </w:rPr>
              <w:fldChar w:fldCharType="begin">
                <w:ffData>
                  <w:name w:val=""/>
                  <w:enabled/>
                  <w:calcOnExit w:val="0"/>
                  <w:checkBox>
                    <w:sizeAuto/>
                    <w:default w:val="1"/>
                  </w:checkBox>
                </w:ffData>
              </w:fldChar>
            </w:r>
            <w:r>
              <w:rPr>
                <w:rFonts w:ascii="Arial Narrow" w:hAnsi="Arial Narrow"/>
                <w:sz w:val="18"/>
                <w:szCs w:val="18"/>
              </w:rPr>
              <w:instrText xml:space="preserve"> FORMCHECKBOX </w:instrText>
            </w:r>
            <w:r w:rsidR="00775281">
              <w:rPr>
                <w:rFonts w:ascii="Arial Narrow" w:hAnsi="Arial Narrow"/>
                <w:sz w:val="18"/>
                <w:szCs w:val="18"/>
              </w:rPr>
            </w:r>
            <w:r w:rsidR="00775281">
              <w:rPr>
                <w:rFonts w:ascii="Arial Narrow" w:hAnsi="Arial Narrow"/>
                <w:sz w:val="18"/>
                <w:szCs w:val="18"/>
              </w:rPr>
              <w:fldChar w:fldCharType="separate"/>
            </w:r>
            <w:r>
              <w:rPr>
                <w:rFonts w:ascii="Arial Narrow" w:hAnsi="Arial Narrow"/>
                <w:sz w:val="18"/>
                <w:szCs w:val="18"/>
              </w:rPr>
              <w:fldChar w:fldCharType="end"/>
            </w:r>
            <w:r w:rsidRPr="00120A12">
              <w:rPr>
                <w:rFonts w:ascii="Arial Narrow" w:hAnsi="Arial Narrow"/>
                <w:sz w:val="18"/>
                <w:szCs w:val="18"/>
              </w:rPr>
              <w:t xml:space="preserve">Medical Practitioners  </w:t>
            </w:r>
            <w:r>
              <w:rPr>
                <w:rFonts w:ascii="Arial Narrow" w:hAnsi="Arial Narrow"/>
                <w:sz w:val="18"/>
                <w:szCs w:val="18"/>
              </w:rPr>
              <w:fldChar w:fldCharType="begin">
                <w:ffData>
                  <w:name w:val="Check3"/>
                  <w:enabled/>
                  <w:calcOnExit w:val="0"/>
                  <w:checkBox>
                    <w:sizeAuto/>
                    <w:default w:val="1"/>
                  </w:checkBox>
                </w:ffData>
              </w:fldChar>
            </w:r>
            <w:r>
              <w:rPr>
                <w:rFonts w:ascii="Arial Narrow" w:hAnsi="Arial Narrow"/>
                <w:sz w:val="18"/>
                <w:szCs w:val="18"/>
              </w:rPr>
              <w:instrText xml:space="preserve"> FORMCHECKBOX </w:instrText>
            </w:r>
            <w:r w:rsidR="00775281">
              <w:rPr>
                <w:rFonts w:ascii="Arial Narrow" w:hAnsi="Arial Narrow"/>
                <w:sz w:val="18"/>
                <w:szCs w:val="18"/>
              </w:rPr>
            </w:r>
            <w:r w:rsidR="00775281">
              <w:rPr>
                <w:rFonts w:ascii="Arial Narrow" w:hAnsi="Arial Narrow"/>
                <w:sz w:val="18"/>
                <w:szCs w:val="18"/>
              </w:rPr>
              <w:fldChar w:fldCharType="separate"/>
            </w:r>
            <w:r>
              <w:rPr>
                <w:rFonts w:ascii="Arial Narrow" w:hAnsi="Arial Narrow"/>
                <w:sz w:val="18"/>
                <w:szCs w:val="18"/>
              </w:rPr>
              <w:fldChar w:fldCharType="end"/>
            </w:r>
            <w:r w:rsidRPr="00120A12">
              <w:rPr>
                <w:rFonts w:ascii="Arial Narrow" w:hAnsi="Arial Narrow"/>
                <w:sz w:val="18"/>
                <w:szCs w:val="18"/>
              </w:rPr>
              <w:t xml:space="preserve">Nurse practitioners </w:t>
            </w:r>
            <w:r w:rsidRPr="008408DF">
              <w:rPr>
                <w:rFonts w:ascii="Arial Narrow" w:hAnsi="Arial Narrow"/>
                <w:i/>
                <w:iCs/>
                <w:sz w:val="18"/>
                <w:szCs w:val="18"/>
              </w:rPr>
              <w:t>(G</w:t>
            </w:r>
            <w:r>
              <w:rPr>
                <w:rFonts w:ascii="Arial Narrow" w:hAnsi="Arial Narrow"/>
                <w:i/>
                <w:iCs/>
                <w:sz w:val="18"/>
                <w:szCs w:val="18"/>
              </w:rPr>
              <w:t>E</w:t>
            </w:r>
            <w:r w:rsidRPr="008408DF">
              <w:rPr>
                <w:rFonts w:ascii="Arial Narrow" w:hAnsi="Arial Narrow"/>
                <w:i/>
                <w:iCs/>
                <w:sz w:val="18"/>
                <w:szCs w:val="18"/>
              </w:rPr>
              <w:t xml:space="preserve"> listings only)</w:t>
            </w:r>
          </w:p>
        </w:tc>
      </w:tr>
      <w:tr w:rsidR="00BA2C24" w:rsidRPr="00120A12" w14:paraId="5A55D1C6" w14:textId="77777777" w:rsidTr="005457B9">
        <w:tc>
          <w:tcPr>
            <w:tcW w:w="553" w:type="pct"/>
            <w:tcBorders>
              <w:top w:val="single" w:sz="4" w:space="0" w:color="auto"/>
              <w:left w:val="single" w:sz="4" w:space="0" w:color="auto"/>
              <w:bottom w:val="single" w:sz="4" w:space="0" w:color="auto"/>
              <w:right w:val="single" w:sz="4" w:space="0" w:color="auto"/>
            </w:tcBorders>
          </w:tcPr>
          <w:p w14:paraId="375E2192" w14:textId="77777777" w:rsidR="00BA2C24" w:rsidRPr="00120A12" w:rsidRDefault="00BA2C24" w:rsidP="005457B9">
            <w:pPr>
              <w:rPr>
                <w:rFonts w:ascii="Arial Narrow" w:hAnsi="Arial Narrow"/>
                <w:i/>
                <w:sz w:val="18"/>
                <w:szCs w:val="18"/>
              </w:rPr>
            </w:pPr>
          </w:p>
          <w:p w14:paraId="313AAF6A" w14:textId="77777777" w:rsidR="00BA2C24" w:rsidRPr="00120A12" w:rsidRDefault="00BA2C24" w:rsidP="005457B9">
            <w:pPr>
              <w:rPr>
                <w:rFonts w:ascii="Arial Narrow" w:hAnsi="Arial Narrow"/>
                <w:i/>
                <w:sz w:val="18"/>
                <w:szCs w:val="18"/>
              </w:rPr>
            </w:pPr>
          </w:p>
          <w:p w14:paraId="33683306" w14:textId="77777777" w:rsidR="00BA2C24" w:rsidRPr="0020649C" w:rsidRDefault="00BA2C24" w:rsidP="005457B9">
            <w:pPr>
              <w:rPr>
                <w:rFonts w:ascii="Arial Narrow" w:hAnsi="Arial Narrow"/>
                <w:sz w:val="18"/>
                <w:szCs w:val="18"/>
              </w:rPr>
            </w:pPr>
          </w:p>
        </w:tc>
        <w:tc>
          <w:tcPr>
            <w:tcW w:w="4447" w:type="pct"/>
            <w:tcBorders>
              <w:top w:val="single" w:sz="4" w:space="0" w:color="auto"/>
              <w:left w:val="single" w:sz="4" w:space="0" w:color="auto"/>
              <w:bottom w:val="single" w:sz="4" w:space="0" w:color="auto"/>
              <w:right w:val="single" w:sz="4" w:space="0" w:color="auto"/>
            </w:tcBorders>
          </w:tcPr>
          <w:p w14:paraId="3F7A4BE4" w14:textId="77777777" w:rsidR="00BA2C24" w:rsidRPr="0020649C" w:rsidRDefault="00BA2C24" w:rsidP="005457B9">
            <w:pPr>
              <w:rPr>
                <w:rFonts w:ascii="Arial Narrow" w:hAnsi="Arial Narrow"/>
                <w:b/>
                <w:sz w:val="18"/>
                <w:szCs w:val="18"/>
              </w:rPr>
            </w:pPr>
            <w:r w:rsidRPr="0020649C">
              <w:rPr>
                <w:rFonts w:ascii="Arial Narrow" w:hAnsi="Arial Narrow"/>
                <w:b/>
                <w:sz w:val="18"/>
                <w:szCs w:val="18"/>
              </w:rPr>
              <w:t>Restriction Level / Method:</w:t>
            </w:r>
          </w:p>
          <w:p w14:paraId="51BE3415" w14:textId="77777777" w:rsidR="00BA2C24" w:rsidRDefault="00BA2C24" w:rsidP="005457B9">
            <w:pPr>
              <w:rPr>
                <w:rFonts w:ascii="Arial Narrow" w:hAnsi="Arial Narrow"/>
                <w:sz w:val="18"/>
                <w:szCs w:val="18"/>
              </w:rPr>
            </w:pPr>
            <w:r w:rsidRPr="00120A12">
              <w:rPr>
                <w:rFonts w:ascii="Arial Narrow" w:hAnsi="Arial Narrow"/>
                <w:sz w:val="18"/>
                <w:szCs w:val="18"/>
              </w:rPr>
              <w:fldChar w:fldCharType="begin">
                <w:ffData>
                  <w:name w:val="Check1"/>
                  <w:enabled/>
                  <w:calcOnExit w:val="0"/>
                  <w:checkBox>
                    <w:sizeAuto/>
                    <w:default w:val="0"/>
                  </w:checkBox>
                </w:ffData>
              </w:fldChar>
            </w:r>
            <w:r w:rsidRPr="00120A12">
              <w:rPr>
                <w:rFonts w:ascii="Arial Narrow" w:hAnsi="Arial Narrow"/>
                <w:sz w:val="18"/>
                <w:szCs w:val="18"/>
              </w:rPr>
              <w:instrText xml:space="preserve"> FORMCHECKBOX </w:instrText>
            </w:r>
            <w:r w:rsidR="00775281">
              <w:rPr>
                <w:rFonts w:ascii="Arial Narrow" w:hAnsi="Arial Narrow"/>
                <w:sz w:val="18"/>
                <w:szCs w:val="18"/>
              </w:rPr>
            </w:r>
            <w:r w:rsidR="00775281">
              <w:rPr>
                <w:rFonts w:ascii="Arial Narrow" w:hAnsi="Arial Narrow"/>
                <w:sz w:val="18"/>
                <w:szCs w:val="18"/>
              </w:rPr>
              <w:fldChar w:fldCharType="separate"/>
            </w:r>
            <w:r w:rsidRPr="00120A12">
              <w:rPr>
                <w:rFonts w:ascii="Arial Narrow" w:hAnsi="Arial Narrow"/>
                <w:sz w:val="18"/>
                <w:szCs w:val="18"/>
              </w:rPr>
              <w:fldChar w:fldCharType="end"/>
            </w:r>
            <w:r>
              <w:rPr>
                <w:rFonts w:ascii="Arial Narrow" w:hAnsi="Arial Narrow"/>
                <w:sz w:val="18"/>
                <w:szCs w:val="18"/>
              </w:rPr>
              <w:t>Unr</w:t>
            </w:r>
            <w:r w:rsidRPr="00120A12">
              <w:rPr>
                <w:rFonts w:ascii="Arial Narrow" w:hAnsi="Arial Narrow"/>
                <w:sz w:val="18"/>
                <w:szCs w:val="18"/>
              </w:rPr>
              <w:t>estricted benefit</w:t>
            </w:r>
          </w:p>
          <w:p w14:paraId="08E0E3B2" w14:textId="77777777" w:rsidR="00BA2C24" w:rsidRPr="00120A12" w:rsidRDefault="00BA2C24" w:rsidP="005457B9">
            <w:pPr>
              <w:rPr>
                <w:rFonts w:ascii="Arial Narrow" w:hAnsi="Arial Narrow"/>
                <w:sz w:val="18"/>
                <w:szCs w:val="18"/>
              </w:rPr>
            </w:pPr>
            <w:r w:rsidRPr="00120A12">
              <w:rPr>
                <w:rFonts w:ascii="Arial Narrow" w:hAnsi="Arial Narrow"/>
                <w:sz w:val="18"/>
                <w:szCs w:val="18"/>
              </w:rPr>
              <w:fldChar w:fldCharType="begin">
                <w:ffData>
                  <w:name w:val="Check1"/>
                  <w:enabled/>
                  <w:calcOnExit w:val="0"/>
                  <w:checkBox>
                    <w:sizeAuto/>
                    <w:default w:val="0"/>
                  </w:checkBox>
                </w:ffData>
              </w:fldChar>
            </w:r>
            <w:r w:rsidRPr="00120A12">
              <w:rPr>
                <w:rFonts w:ascii="Arial Narrow" w:hAnsi="Arial Narrow"/>
                <w:sz w:val="18"/>
                <w:szCs w:val="18"/>
              </w:rPr>
              <w:instrText xml:space="preserve"> FORMCHECKBOX </w:instrText>
            </w:r>
            <w:r w:rsidR="00775281">
              <w:rPr>
                <w:rFonts w:ascii="Arial Narrow" w:hAnsi="Arial Narrow"/>
                <w:sz w:val="18"/>
                <w:szCs w:val="18"/>
              </w:rPr>
            </w:r>
            <w:r w:rsidR="00775281">
              <w:rPr>
                <w:rFonts w:ascii="Arial Narrow" w:hAnsi="Arial Narrow"/>
                <w:sz w:val="18"/>
                <w:szCs w:val="18"/>
              </w:rPr>
              <w:fldChar w:fldCharType="separate"/>
            </w:r>
            <w:r w:rsidRPr="00120A12">
              <w:rPr>
                <w:rFonts w:ascii="Arial Narrow" w:hAnsi="Arial Narrow"/>
                <w:sz w:val="18"/>
                <w:szCs w:val="18"/>
              </w:rPr>
              <w:fldChar w:fldCharType="end"/>
            </w:r>
            <w:r w:rsidRPr="00120A12">
              <w:rPr>
                <w:rFonts w:ascii="Arial Narrow" w:hAnsi="Arial Narrow"/>
                <w:sz w:val="18"/>
                <w:szCs w:val="18"/>
              </w:rPr>
              <w:t>Restricted benefit</w:t>
            </w:r>
          </w:p>
          <w:p w14:paraId="368BE3E1" w14:textId="77777777" w:rsidR="00BA2C24" w:rsidRPr="00120A12" w:rsidRDefault="00BA2C24" w:rsidP="005457B9">
            <w:pPr>
              <w:rPr>
                <w:rFonts w:ascii="Arial Narrow" w:hAnsi="Arial Narrow"/>
                <w:sz w:val="18"/>
                <w:szCs w:val="18"/>
              </w:rPr>
            </w:pPr>
            <w:r w:rsidRPr="00120A12">
              <w:rPr>
                <w:rFonts w:ascii="Arial Narrow" w:hAnsi="Arial Narrow"/>
                <w:sz w:val="18"/>
                <w:szCs w:val="18"/>
              </w:rPr>
              <w:fldChar w:fldCharType="begin">
                <w:ffData>
                  <w:name w:val=""/>
                  <w:enabled/>
                  <w:calcOnExit w:val="0"/>
                  <w:checkBox>
                    <w:sizeAuto/>
                    <w:default w:val="0"/>
                  </w:checkBox>
                </w:ffData>
              </w:fldChar>
            </w:r>
            <w:r w:rsidRPr="00120A12">
              <w:rPr>
                <w:rFonts w:ascii="Arial Narrow" w:hAnsi="Arial Narrow"/>
                <w:sz w:val="18"/>
                <w:szCs w:val="18"/>
              </w:rPr>
              <w:instrText xml:space="preserve"> FORMCHECKBOX </w:instrText>
            </w:r>
            <w:r w:rsidR="00775281">
              <w:rPr>
                <w:rFonts w:ascii="Arial Narrow" w:hAnsi="Arial Narrow"/>
                <w:sz w:val="18"/>
                <w:szCs w:val="18"/>
              </w:rPr>
            </w:r>
            <w:r w:rsidR="00775281">
              <w:rPr>
                <w:rFonts w:ascii="Arial Narrow" w:hAnsi="Arial Narrow"/>
                <w:sz w:val="18"/>
                <w:szCs w:val="18"/>
              </w:rPr>
              <w:fldChar w:fldCharType="separate"/>
            </w:r>
            <w:r w:rsidRPr="00120A12">
              <w:rPr>
                <w:rFonts w:ascii="Arial Narrow" w:hAnsi="Arial Narrow"/>
                <w:sz w:val="18"/>
                <w:szCs w:val="18"/>
              </w:rPr>
              <w:fldChar w:fldCharType="end"/>
            </w:r>
            <w:r w:rsidRPr="00120A12">
              <w:rPr>
                <w:rFonts w:ascii="Arial Narrow" w:hAnsi="Arial Narrow"/>
                <w:sz w:val="18"/>
                <w:szCs w:val="18"/>
              </w:rPr>
              <w:t>Authority Required – In Writing</w:t>
            </w:r>
          </w:p>
          <w:p w14:paraId="2FB1FBC4" w14:textId="77777777" w:rsidR="00BA2C24" w:rsidRPr="00120A12" w:rsidRDefault="00BA2C24" w:rsidP="005457B9">
            <w:pPr>
              <w:rPr>
                <w:rFonts w:ascii="Arial Narrow" w:hAnsi="Arial Narrow"/>
                <w:sz w:val="18"/>
                <w:szCs w:val="18"/>
              </w:rPr>
            </w:pPr>
            <w:r>
              <w:rPr>
                <w:rFonts w:ascii="Arial Narrow" w:hAnsi="Arial Narrow"/>
                <w:sz w:val="18"/>
                <w:szCs w:val="18"/>
              </w:rPr>
              <w:fldChar w:fldCharType="begin">
                <w:ffData>
                  <w:name w:val=""/>
                  <w:enabled/>
                  <w:calcOnExit w:val="0"/>
                  <w:checkBox>
                    <w:sizeAuto/>
                    <w:default w:val="1"/>
                  </w:checkBox>
                </w:ffData>
              </w:fldChar>
            </w:r>
            <w:r>
              <w:rPr>
                <w:rFonts w:ascii="Arial Narrow" w:hAnsi="Arial Narrow"/>
                <w:sz w:val="18"/>
                <w:szCs w:val="18"/>
              </w:rPr>
              <w:instrText xml:space="preserve"> FORMCHECKBOX </w:instrText>
            </w:r>
            <w:r w:rsidR="00775281">
              <w:rPr>
                <w:rFonts w:ascii="Arial Narrow" w:hAnsi="Arial Narrow"/>
                <w:sz w:val="18"/>
                <w:szCs w:val="18"/>
              </w:rPr>
            </w:r>
            <w:r w:rsidR="00775281">
              <w:rPr>
                <w:rFonts w:ascii="Arial Narrow" w:hAnsi="Arial Narrow"/>
                <w:sz w:val="18"/>
                <w:szCs w:val="18"/>
              </w:rPr>
              <w:fldChar w:fldCharType="separate"/>
            </w:r>
            <w:r>
              <w:rPr>
                <w:rFonts w:ascii="Arial Narrow" w:hAnsi="Arial Narrow"/>
                <w:sz w:val="18"/>
                <w:szCs w:val="18"/>
              </w:rPr>
              <w:fldChar w:fldCharType="end"/>
            </w:r>
            <w:r w:rsidRPr="00120A12">
              <w:rPr>
                <w:rFonts w:ascii="Arial Narrow" w:hAnsi="Arial Narrow"/>
                <w:sz w:val="18"/>
                <w:szCs w:val="18"/>
              </w:rPr>
              <w:t>Authority Required – Telephone/Electronic/Emergency</w:t>
            </w:r>
          </w:p>
          <w:p w14:paraId="5A145D8D" w14:textId="77777777" w:rsidR="00BA2C24" w:rsidRPr="00120A12" w:rsidRDefault="00BA2C24" w:rsidP="005457B9">
            <w:pPr>
              <w:rPr>
                <w:rFonts w:ascii="Arial Narrow" w:hAnsi="Arial Narrow"/>
                <w:sz w:val="18"/>
                <w:szCs w:val="18"/>
              </w:rPr>
            </w:pPr>
            <w:r>
              <w:rPr>
                <w:rFonts w:ascii="Arial Narrow" w:hAnsi="Arial Narrow"/>
                <w:sz w:val="18"/>
                <w:szCs w:val="18"/>
              </w:rPr>
              <w:fldChar w:fldCharType="begin">
                <w:ffData>
                  <w:name w:val=""/>
                  <w:enabled/>
                  <w:calcOnExit w:val="0"/>
                  <w:checkBox>
                    <w:sizeAuto/>
                    <w:default w:val="0"/>
                  </w:checkBox>
                </w:ffData>
              </w:fldChar>
            </w:r>
            <w:r>
              <w:rPr>
                <w:rFonts w:ascii="Arial Narrow" w:hAnsi="Arial Narrow"/>
                <w:sz w:val="18"/>
                <w:szCs w:val="18"/>
              </w:rPr>
              <w:instrText xml:space="preserve"> FORMCHECKBOX </w:instrText>
            </w:r>
            <w:r w:rsidR="00775281">
              <w:rPr>
                <w:rFonts w:ascii="Arial Narrow" w:hAnsi="Arial Narrow"/>
                <w:sz w:val="18"/>
                <w:szCs w:val="18"/>
              </w:rPr>
            </w:r>
            <w:r w:rsidR="00775281">
              <w:rPr>
                <w:rFonts w:ascii="Arial Narrow" w:hAnsi="Arial Narrow"/>
                <w:sz w:val="18"/>
                <w:szCs w:val="18"/>
              </w:rPr>
              <w:fldChar w:fldCharType="separate"/>
            </w:r>
            <w:r>
              <w:rPr>
                <w:rFonts w:ascii="Arial Narrow" w:hAnsi="Arial Narrow"/>
                <w:sz w:val="18"/>
                <w:szCs w:val="18"/>
              </w:rPr>
              <w:fldChar w:fldCharType="end"/>
            </w:r>
            <w:r>
              <w:rPr>
                <w:rFonts w:ascii="Arial Narrow" w:hAnsi="Arial Narrow"/>
                <w:sz w:val="18"/>
                <w:szCs w:val="18"/>
              </w:rPr>
              <w:t xml:space="preserve">Authority Required – </w:t>
            </w:r>
            <w:r w:rsidRPr="00120A12">
              <w:rPr>
                <w:rFonts w:ascii="Arial Narrow" w:hAnsi="Arial Narrow"/>
                <w:sz w:val="18"/>
                <w:szCs w:val="18"/>
              </w:rPr>
              <w:t>Streamlined</w:t>
            </w:r>
          </w:p>
        </w:tc>
      </w:tr>
      <w:tr w:rsidR="00BA2C24" w:rsidRPr="00120A12" w14:paraId="4FC3E505" w14:textId="77777777" w:rsidTr="005457B9">
        <w:tc>
          <w:tcPr>
            <w:tcW w:w="553" w:type="pct"/>
            <w:vAlign w:val="center"/>
          </w:tcPr>
          <w:p w14:paraId="295D73D2" w14:textId="77777777" w:rsidR="00BA2C24" w:rsidRDefault="00BA2C24" w:rsidP="005457B9">
            <w:pPr>
              <w:jc w:val="center"/>
              <w:rPr>
                <w:rFonts w:ascii="Arial Narrow" w:hAnsi="Arial Narrow"/>
                <w:color w:val="333333"/>
                <w:sz w:val="18"/>
                <w:szCs w:val="18"/>
              </w:rPr>
            </w:pPr>
          </w:p>
        </w:tc>
        <w:tc>
          <w:tcPr>
            <w:tcW w:w="4447" w:type="pct"/>
            <w:vAlign w:val="center"/>
          </w:tcPr>
          <w:p w14:paraId="0130FF6F" w14:textId="77777777" w:rsidR="00BA2C24" w:rsidRPr="00120A12" w:rsidRDefault="00BA2C24" w:rsidP="005457B9">
            <w:pPr>
              <w:rPr>
                <w:rFonts w:ascii="Arial Narrow" w:hAnsi="Arial Narrow"/>
                <w:b/>
                <w:bCs/>
                <w:color w:val="333333"/>
                <w:sz w:val="18"/>
                <w:szCs w:val="18"/>
              </w:rPr>
            </w:pPr>
            <w:r>
              <w:rPr>
                <w:rFonts w:ascii="Arial Narrow" w:hAnsi="Arial Narrow"/>
                <w:b/>
                <w:bCs/>
                <w:color w:val="333333"/>
                <w:sz w:val="18"/>
                <w:szCs w:val="18"/>
              </w:rPr>
              <w:t xml:space="preserve">Condition: </w:t>
            </w:r>
            <w:r w:rsidRPr="00485F5C">
              <w:rPr>
                <w:rFonts w:ascii="Arial Narrow" w:hAnsi="Arial Narrow"/>
                <w:bCs/>
                <w:color w:val="333333"/>
                <w:sz w:val="18"/>
                <w:szCs w:val="18"/>
              </w:rPr>
              <w:t>Nausea and vomiting</w:t>
            </w:r>
          </w:p>
        </w:tc>
      </w:tr>
      <w:tr w:rsidR="00BA2C24" w:rsidRPr="00120A12" w14:paraId="475D5649" w14:textId="77777777" w:rsidTr="00AE39FF">
        <w:tc>
          <w:tcPr>
            <w:tcW w:w="553" w:type="pct"/>
            <w:vAlign w:val="center"/>
          </w:tcPr>
          <w:p w14:paraId="2935C44A" w14:textId="777D317D" w:rsidR="00BA2C24" w:rsidRPr="00120A12" w:rsidRDefault="00BA2C24" w:rsidP="005457B9">
            <w:pPr>
              <w:jc w:val="center"/>
              <w:rPr>
                <w:rFonts w:ascii="Arial Narrow" w:hAnsi="Arial Narrow"/>
                <w:color w:val="333333"/>
                <w:sz w:val="18"/>
                <w:szCs w:val="18"/>
              </w:rPr>
            </w:pPr>
          </w:p>
        </w:tc>
        <w:tc>
          <w:tcPr>
            <w:tcW w:w="4447" w:type="pct"/>
            <w:vAlign w:val="center"/>
            <w:hideMark/>
          </w:tcPr>
          <w:p w14:paraId="0EB8172A" w14:textId="77777777" w:rsidR="00BA2C24" w:rsidRPr="00120A12" w:rsidRDefault="00BA2C24" w:rsidP="005457B9">
            <w:pPr>
              <w:rPr>
                <w:rFonts w:ascii="Arial Narrow" w:hAnsi="Arial Narrow"/>
                <w:color w:val="333333"/>
                <w:sz w:val="18"/>
                <w:szCs w:val="18"/>
              </w:rPr>
            </w:pPr>
            <w:r w:rsidRPr="00120A12">
              <w:rPr>
                <w:rFonts w:ascii="Arial Narrow" w:hAnsi="Arial Narrow"/>
                <w:b/>
                <w:bCs/>
                <w:color w:val="333333"/>
                <w:sz w:val="18"/>
                <w:szCs w:val="18"/>
              </w:rPr>
              <w:t>Indication:</w:t>
            </w:r>
            <w:r>
              <w:rPr>
                <w:rFonts w:ascii="Arial Narrow" w:hAnsi="Arial Narrow"/>
                <w:color w:val="333333"/>
                <w:sz w:val="18"/>
                <w:szCs w:val="18"/>
              </w:rPr>
              <w:t xml:space="preserve"> </w:t>
            </w:r>
            <w:r w:rsidRPr="00485F5C">
              <w:rPr>
                <w:rFonts w:ascii="Arial Narrow" w:hAnsi="Arial Narrow"/>
                <w:color w:val="333333"/>
                <w:sz w:val="18"/>
                <w:szCs w:val="18"/>
              </w:rPr>
              <w:t>Nausea and vomiting</w:t>
            </w:r>
          </w:p>
        </w:tc>
      </w:tr>
      <w:tr w:rsidR="00BA2C24" w:rsidRPr="00120A12" w14:paraId="575872F2" w14:textId="77777777" w:rsidTr="005457B9">
        <w:tc>
          <w:tcPr>
            <w:tcW w:w="553" w:type="pct"/>
            <w:vAlign w:val="center"/>
          </w:tcPr>
          <w:p w14:paraId="62C418EA" w14:textId="77777777" w:rsidR="00BA2C24" w:rsidRPr="00120A12" w:rsidRDefault="00BA2C24" w:rsidP="005457B9">
            <w:pPr>
              <w:jc w:val="center"/>
              <w:rPr>
                <w:rFonts w:ascii="Arial Narrow" w:hAnsi="Arial Narrow"/>
                <w:color w:val="333333"/>
                <w:sz w:val="18"/>
                <w:szCs w:val="18"/>
              </w:rPr>
            </w:pPr>
          </w:p>
        </w:tc>
        <w:tc>
          <w:tcPr>
            <w:tcW w:w="4447" w:type="pct"/>
            <w:vAlign w:val="center"/>
          </w:tcPr>
          <w:p w14:paraId="17FCC684" w14:textId="77777777" w:rsidR="00BA2C24" w:rsidRPr="00AE5754" w:rsidDel="00AE5754" w:rsidRDefault="00BA2C24" w:rsidP="005457B9">
            <w:pPr>
              <w:rPr>
                <w:rFonts w:ascii="Arial Narrow" w:hAnsi="Arial Narrow"/>
                <w:b/>
                <w:bCs/>
                <w:i/>
                <w:iCs/>
                <w:color w:val="333333"/>
                <w:sz w:val="18"/>
                <w:szCs w:val="18"/>
              </w:rPr>
            </w:pPr>
            <w:r w:rsidRPr="00AE5754">
              <w:rPr>
                <w:rFonts w:ascii="Arial Narrow" w:hAnsi="Arial Narrow"/>
                <w:b/>
                <w:bCs/>
                <w:i/>
                <w:iCs/>
                <w:color w:val="333333"/>
                <w:sz w:val="18"/>
                <w:szCs w:val="18"/>
              </w:rPr>
              <w:t>Clinical Criteria</w:t>
            </w:r>
          </w:p>
        </w:tc>
      </w:tr>
      <w:tr w:rsidR="00BA2C24" w:rsidRPr="00120A12" w14:paraId="4DCB0480" w14:textId="77777777" w:rsidTr="005457B9">
        <w:tc>
          <w:tcPr>
            <w:tcW w:w="553" w:type="pct"/>
            <w:vAlign w:val="center"/>
          </w:tcPr>
          <w:p w14:paraId="773E8235" w14:textId="18E077C2" w:rsidR="00BA2C24" w:rsidRPr="00BA2C24" w:rsidRDefault="00BA2C24" w:rsidP="005457B9">
            <w:pPr>
              <w:jc w:val="center"/>
              <w:rPr>
                <w:rFonts w:ascii="Arial Narrow" w:hAnsi="Arial Narrow"/>
                <w:color w:val="333333"/>
                <w:sz w:val="18"/>
                <w:szCs w:val="18"/>
              </w:rPr>
            </w:pPr>
          </w:p>
        </w:tc>
        <w:tc>
          <w:tcPr>
            <w:tcW w:w="4447" w:type="pct"/>
            <w:vAlign w:val="center"/>
          </w:tcPr>
          <w:p w14:paraId="3416125B" w14:textId="099A5234" w:rsidR="00BA2C24" w:rsidRPr="00BA2C24" w:rsidDel="00AE5754" w:rsidRDefault="00934138" w:rsidP="005457B9">
            <w:pPr>
              <w:rPr>
                <w:rFonts w:ascii="Arial Narrow" w:hAnsi="Arial Narrow"/>
                <w:b/>
                <w:bCs/>
                <w:color w:val="333333"/>
                <w:sz w:val="18"/>
                <w:szCs w:val="18"/>
              </w:rPr>
            </w:pPr>
            <w:r w:rsidRPr="00934138">
              <w:rPr>
                <w:rFonts w:ascii="Arial Narrow" w:hAnsi="Arial Narrow"/>
                <w:sz w:val="18"/>
                <w:szCs w:val="18"/>
              </w:rPr>
              <w:t>Treatment must be for prevention of nausea and vomiting associated with moderate to highly emetogenic anti-cancer therapy</w:t>
            </w:r>
          </w:p>
        </w:tc>
      </w:tr>
      <w:tr w:rsidR="00934138" w:rsidRPr="00120A12" w14:paraId="242F64E9" w14:textId="77777777" w:rsidTr="005457B9">
        <w:tc>
          <w:tcPr>
            <w:tcW w:w="553" w:type="pct"/>
            <w:vAlign w:val="center"/>
          </w:tcPr>
          <w:p w14:paraId="23036C4D" w14:textId="77777777" w:rsidR="00934138" w:rsidRPr="00BA2C24" w:rsidRDefault="00934138" w:rsidP="005457B9">
            <w:pPr>
              <w:jc w:val="center"/>
              <w:rPr>
                <w:rFonts w:ascii="Arial Narrow" w:hAnsi="Arial Narrow"/>
                <w:color w:val="333333"/>
                <w:sz w:val="18"/>
                <w:szCs w:val="18"/>
              </w:rPr>
            </w:pPr>
          </w:p>
        </w:tc>
        <w:tc>
          <w:tcPr>
            <w:tcW w:w="4447" w:type="pct"/>
            <w:vAlign w:val="center"/>
          </w:tcPr>
          <w:p w14:paraId="555E7806" w14:textId="0742BE94" w:rsidR="00934138" w:rsidRPr="00934138" w:rsidRDefault="00934138" w:rsidP="005457B9">
            <w:pPr>
              <w:rPr>
                <w:rFonts w:ascii="Arial Narrow" w:hAnsi="Arial Narrow"/>
                <w:b/>
                <w:bCs/>
                <w:sz w:val="18"/>
                <w:szCs w:val="18"/>
              </w:rPr>
            </w:pPr>
            <w:r>
              <w:rPr>
                <w:rFonts w:ascii="Arial Narrow" w:hAnsi="Arial Narrow"/>
                <w:b/>
                <w:bCs/>
                <w:sz w:val="18"/>
                <w:szCs w:val="18"/>
              </w:rPr>
              <w:t>AND</w:t>
            </w:r>
          </w:p>
        </w:tc>
      </w:tr>
      <w:tr w:rsidR="00BA2C24" w:rsidRPr="00120A12" w14:paraId="54600DF1" w14:textId="77777777" w:rsidTr="005457B9">
        <w:tc>
          <w:tcPr>
            <w:tcW w:w="553" w:type="pct"/>
            <w:vAlign w:val="center"/>
          </w:tcPr>
          <w:p w14:paraId="5E809A2A" w14:textId="765EFDF4" w:rsidR="00BA2C24" w:rsidRPr="00120A12" w:rsidRDefault="00BA2C24" w:rsidP="005457B9">
            <w:pPr>
              <w:jc w:val="center"/>
              <w:rPr>
                <w:rFonts w:ascii="Arial Narrow" w:hAnsi="Arial Narrow"/>
                <w:color w:val="333333"/>
                <w:sz w:val="18"/>
                <w:szCs w:val="18"/>
              </w:rPr>
            </w:pPr>
          </w:p>
        </w:tc>
        <w:tc>
          <w:tcPr>
            <w:tcW w:w="4447" w:type="pct"/>
            <w:vAlign w:val="center"/>
            <w:hideMark/>
          </w:tcPr>
          <w:p w14:paraId="06A71F15" w14:textId="77777777" w:rsidR="00BA2C24" w:rsidRPr="00120A12" w:rsidRDefault="00BA2C24" w:rsidP="005457B9">
            <w:pPr>
              <w:rPr>
                <w:rFonts w:ascii="Arial Narrow" w:hAnsi="Arial Narrow"/>
                <w:color w:val="333333"/>
                <w:sz w:val="18"/>
                <w:szCs w:val="18"/>
              </w:rPr>
            </w:pPr>
            <w:r w:rsidRPr="00120A12">
              <w:rPr>
                <w:rFonts w:ascii="Arial Narrow" w:hAnsi="Arial Narrow"/>
                <w:b/>
                <w:bCs/>
                <w:color w:val="333333"/>
                <w:sz w:val="18"/>
                <w:szCs w:val="18"/>
              </w:rPr>
              <w:t>Clinical criteria:</w:t>
            </w:r>
          </w:p>
        </w:tc>
      </w:tr>
      <w:tr w:rsidR="00BA2C24" w:rsidRPr="00120A12" w14:paraId="10ECA9CF" w14:textId="77777777" w:rsidTr="005457B9">
        <w:tc>
          <w:tcPr>
            <w:tcW w:w="553" w:type="pct"/>
            <w:vAlign w:val="center"/>
          </w:tcPr>
          <w:p w14:paraId="0403C1ED" w14:textId="3541677D" w:rsidR="00BA2C24" w:rsidRPr="00120A12" w:rsidRDefault="00BA2C24" w:rsidP="005457B9">
            <w:pPr>
              <w:jc w:val="center"/>
              <w:rPr>
                <w:rFonts w:ascii="Arial Narrow" w:hAnsi="Arial Narrow"/>
                <w:color w:val="333333"/>
                <w:sz w:val="18"/>
                <w:szCs w:val="18"/>
              </w:rPr>
            </w:pPr>
          </w:p>
        </w:tc>
        <w:tc>
          <w:tcPr>
            <w:tcW w:w="4447" w:type="pct"/>
            <w:vAlign w:val="center"/>
            <w:hideMark/>
          </w:tcPr>
          <w:p w14:paraId="1F335FBD" w14:textId="4C2E7DAE" w:rsidR="00BA2C24" w:rsidRPr="00120A12" w:rsidRDefault="00BA2C24" w:rsidP="005457B9">
            <w:pPr>
              <w:rPr>
                <w:rFonts w:ascii="Arial Narrow" w:hAnsi="Arial Narrow"/>
                <w:color w:val="333333"/>
                <w:sz w:val="18"/>
                <w:szCs w:val="18"/>
              </w:rPr>
            </w:pPr>
            <w:r w:rsidRPr="00485F5C">
              <w:rPr>
                <w:rFonts w:ascii="Arial Narrow" w:hAnsi="Arial Narrow"/>
                <w:color w:val="333333"/>
                <w:sz w:val="18"/>
                <w:szCs w:val="18"/>
              </w:rPr>
              <w:t>The treatment must be in combination with dexamethasone</w:t>
            </w:r>
            <w:r w:rsidR="00934138">
              <w:rPr>
                <w:rFonts w:ascii="Arial Narrow" w:hAnsi="Arial Narrow"/>
                <w:color w:val="333333"/>
                <w:sz w:val="18"/>
                <w:szCs w:val="18"/>
              </w:rPr>
              <w:t>, unless contraindicated</w:t>
            </w:r>
          </w:p>
        </w:tc>
      </w:tr>
      <w:tr w:rsidR="00BA2C24" w:rsidRPr="00120A12" w14:paraId="3FC0D9B1" w14:textId="77777777" w:rsidTr="005457B9">
        <w:tc>
          <w:tcPr>
            <w:tcW w:w="553" w:type="pct"/>
            <w:vAlign w:val="center"/>
          </w:tcPr>
          <w:p w14:paraId="623B1D00" w14:textId="77777777" w:rsidR="00BA2C24" w:rsidRDefault="00BA2C24" w:rsidP="005457B9">
            <w:pPr>
              <w:jc w:val="center"/>
              <w:rPr>
                <w:rFonts w:ascii="Arial Narrow" w:hAnsi="Arial Narrow"/>
                <w:color w:val="333333"/>
                <w:sz w:val="18"/>
                <w:szCs w:val="18"/>
              </w:rPr>
            </w:pPr>
          </w:p>
        </w:tc>
        <w:tc>
          <w:tcPr>
            <w:tcW w:w="4447" w:type="pct"/>
            <w:vAlign w:val="center"/>
          </w:tcPr>
          <w:p w14:paraId="10D468B0" w14:textId="77777777" w:rsidR="00BA2C24" w:rsidRPr="001F1970" w:rsidRDefault="00BA2C24" w:rsidP="005457B9">
            <w:pPr>
              <w:rPr>
                <w:rFonts w:ascii="Arial Narrow" w:hAnsi="Arial Narrow"/>
                <w:b/>
                <w:bCs/>
                <w:color w:val="333333"/>
                <w:sz w:val="18"/>
                <w:szCs w:val="18"/>
              </w:rPr>
            </w:pPr>
            <w:r>
              <w:rPr>
                <w:rFonts w:ascii="Arial Narrow" w:hAnsi="Arial Narrow"/>
                <w:b/>
                <w:bCs/>
                <w:color w:val="333333"/>
                <w:sz w:val="18"/>
                <w:szCs w:val="18"/>
              </w:rPr>
              <w:t>AND</w:t>
            </w:r>
          </w:p>
        </w:tc>
      </w:tr>
      <w:tr w:rsidR="00BA2C24" w:rsidRPr="00120A12" w14:paraId="44DF2002" w14:textId="77777777" w:rsidTr="005457B9">
        <w:tc>
          <w:tcPr>
            <w:tcW w:w="553" w:type="pct"/>
            <w:vAlign w:val="center"/>
          </w:tcPr>
          <w:p w14:paraId="646C2627" w14:textId="77777777" w:rsidR="00BA2C24" w:rsidRDefault="00BA2C24" w:rsidP="005457B9">
            <w:pPr>
              <w:jc w:val="center"/>
              <w:rPr>
                <w:rFonts w:ascii="Arial Narrow" w:hAnsi="Arial Narrow"/>
                <w:color w:val="333333"/>
                <w:sz w:val="18"/>
                <w:szCs w:val="18"/>
              </w:rPr>
            </w:pPr>
          </w:p>
        </w:tc>
        <w:tc>
          <w:tcPr>
            <w:tcW w:w="4447" w:type="pct"/>
            <w:vAlign w:val="center"/>
          </w:tcPr>
          <w:p w14:paraId="2400919E" w14:textId="77777777" w:rsidR="00BA2C24" w:rsidRPr="001F1970" w:rsidRDefault="00BA2C24" w:rsidP="005457B9">
            <w:pPr>
              <w:rPr>
                <w:rFonts w:ascii="Arial Narrow" w:hAnsi="Arial Narrow"/>
                <w:b/>
                <w:bCs/>
                <w:color w:val="333333"/>
                <w:sz w:val="18"/>
                <w:szCs w:val="18"/>
              </w:rPr>
            </w:pPr>
            <w:r>
              <w:rPr>
                <w:rFonts w:ascii="Arial Narrow" w:hAnsi="Arial Narrow"/>
                <w:b/>
                <w:bCs/>
                <w:color w:val="333333"/>
                <w:sz w:val="18"/>
                <w:szCs w:val="18"/>
              </w:rPr>
              <w:t>Clinical criteria:</w:t>
            </w:r>
          </w:p>
        </w:tc>
      </w:tr>
      <w:tr w:rsidR="00BA2C24" w:rsidRPr="00120A12" w14:paraId="090F59E0" w14:textId="77777777" w:rsidTr="005457B9">
        <w:tc>
          <w:tcPr>
            <w:tcW w:w="553" w:type="pct"/>
            <w:vAlign w:val="center"/>
          </w:tcPr>
          <w:p w14:paraId="3EDBBCC0" w14:textId="292BE4FA" w:rsidR="00BA2C24" w:rsidRDefault="00BA2C24" w:rsidP="005457B9">
            <w:pPr>
              <w:jc w:val="center"/>
              <w:rPr>
                <w:rFonts w:ascii="Arial Narrow" w:hAnsi="Arial Narrow"/>
                <w:color w:val="333333"/>
                <w:sz w:val="18"/>
                <w:szCs w:val="18"/>
              </w:rPr>
            </w:pPr>
          </w:p>
        </w:tc>
        <w:tc>
          <w:tcPr>
            <w:tcW w:w="4447" w:type="pct"/>
            <w:vAlign w:val="center"/>
          </w:tcPr>
          <w:p w14:paraId="0EE4EB4B" w14:textId="77777777" w:rsidR="00BA2C24" w:rsidRDefault="00BA2C24" w:rsidP="005457B9">
            <w:pPr>
              <w:rPr>
                <w:rFonts w:ascii="Arial Narrow" w:hAnsi="Arial Narrow"/>
                <w:color w:val="333333"/>
                <w:sz w:val="18"/>
                <w:szCs w:val="18"/>
              </w:rPr>
            </w:pPr>
            <w:r>
              <w:rPr>
                <w:rFonts w:ascii="Arial Narrow" w:hAnsi="Arial Narrow"/>
                <w:color w:val="333333"/>
                <w:sz w:val="18"/>
                <w:szCs w:val="18"/>
              </w:rPr>
              <w:t xml:space="preserve">Patient must be unable to swallow; </w:t>
            </w:r>
            <w:r w:rsidRPr="0001281C">
              <w:rPr>
                <w:rFonts w:ascii="Arial Narrow" w:hAnsi="Arial Narrow"/>
                <w:i/>
                <w:iCs/>
                <w:color w:val="333333"/>
                <w:sz w:val="18"/>
                <w:szCs w:val="18"/>
              </w:rPr>
              <w:t xml:space="preserve">or </w:t>
            </w:r>
          </w:p>
          <w:p w14:paraId="7F23520B" w14:textId="77777777" w:rsidR="00BA2C24" w:rsidRPr="00485F5C" w:rsidRDefault="00BA2C24" w:rsidP="005457B9">
            <w:pPr>
              <w:rPr>
                <w:rFonts w:ascii="Arial Narrow" w:hAnsi="Arial Narrow"/>
                <w:color w:val="333333"/>
                <w:sz w:val="18"/>
                <w:szCs w:val="18"/>
              </w:rPr>
            </w:pPr>
          </w:p>
        </w:tc>
      </w:tr>
      <w:tr w:rsidR="00BA2C24" w:rsidRPr="00120A12" w14:paraId="089C5211" w14:textId="77777777" w:rsidTr="005457B9">
        <w:tc>
          <w:tcPr>
            <w:tcW w:w="553" w:type="pct"/>
            <w:vAlign w:val="center"/>
          </w:tcPr>
          <w:p w14:paraId="2CF78CD1" w14:textId="13FC1800" w:rsidR="00BA2C24" w:rsidRDefault="00BA2C24" w:rsidP="005457B9">
            <w:pPr>
              <w:jc w:val="center"/>
              <w:rPr>
                <w:rFonts w:ascii="Arial Narrow" w:hAnsi="Arial Narrow"/>
                <w:color w:val="333333"/>
                <w:sz w:val="18"/>
                <w:szCs w:val="18"/>
              </w:rPr>
            </w:pPr>
          </w:p>
        </w:tc>
        <w:tc>
          <w:tcPr>
            <w:tcW w:w="4447" w:type="pct"/>
            <w:vAlign w:val="center"/>
          </w:tcPr>
          <w:p w14:paraId="2FE1E85F" w14:textId="77777777" w:rsidR="00BA2C24" w:rsidRPr="00BA2C24" w:rsidRDefault="00BA2C24" w:rsidP="005457B9">
            <w:pPr>
              <w:rPr>
                <w:rFonts w:ascii="Arial Narrow" w:hAnsi="Arial Narrow"/>
                <w:color w:val="333333"/>
                <w:sz w:val="18"/>
                <w:szCs w:val="18"/>
              </w:rPr>
            </w:pPr>
            <w:r w:rsidRPr="00BA2C24">
              <w:rPr>
                <w:rFonts w:ascii="Arial Narrow" w:hAnsi="Arial Narrow"/>
                <w:color w:val="333333"/>
                <w:sz w:val="18"/>
                <w:szCs w:val="18"/>
              </w:rPr>
              <w:t>Patient must be contraindicated to oral anti-emetics.</w:t>
            </w:r>
          </w:p>
        </w:tc>
      </w:tr>
      <w:tr w:rsidR="00BA2C24" w:rsidRPr="00120A12" w14:paraId="0A3C022F" w14:textId="77777777" w:rsidTr="00AE39FF">
        <w:tc>
          <w:tcPr>
            <w:tcW w:w="553" w:type="pct"/>
            <w:vAlign w:val="center"/>
          </w:tcPr>
          <w:p w14:paraId="70050993" w14:textId="49316EEC" w:rsidR="00BA2C24" w:rsidRPr="00120A12" w:rsidRDefault="00BA2C24" w:rsidP="005457B9">
            <w:pPr>
              <w:jc w:val="center"/>
              <w:rPr>
                <w:rFonts w:ascii="Arial Narrow" w:hAnsi="Arial Narrow"/>
                <w:color w:val="333333"/>
                <w:sz w:val="18"/>
                <w:szCs w:val="18"/>
              </w:rPr>
            </w:pPr>
          </w:p>
        </w:tc>
        <w:tc>
          <w:tcPr>
            <w:tcW w:w="4447" w:type="pct"/>
            <w:vAlign w:val="center"/>
            <w:hideMark/>
          </w:tcPr>
          <w:p w14:paraId="0C4D3D79" w14:textId="0C264B6E" w:rsidR="00BA2C24" w:rsidRPr="00120A12" w:rsidRDefault="00BA2C24" w:rsidP="005457B9">
            <w:pPr>
              <w:rPr>
                <w:rFonts w:ascii="Arial Narrow" w:hAnsi="Arial Narrow"/>
                <w:color w:val="333333"/>
                <w:sz w:val="18"/>
                <w:szCs w:val="18"/>
              </w:rPr>
            </w:pPr>
            <w:r w:rsidRPr="00120A12">
              <w:rPr>
                <w:rFonts w:ascii="Arial Narrow" w:hAnsi="Arial Narrow"/>
                <w:b/>
                <w:bCs/>
                <w:color w:val="333333"/>
                <w:sz w:val="18"/>
                <w:szCs w:val="18"/>
              </w:rPr>
              <w:t>Prescribing Instructions:</w:t>
            </w:r>
            <w:r>
              <w:rPr>
                <w:rFonts w:ascii="Arial Narrow" w:hAnsi="Arial Narrow"/>
                <w:b/>
                <w:bCs/>
                <w:color w:val="333333"/>
                <w:sz w:val="18"/>
                <w:szCs w:val="18"/>
              </w:rPr>
              <w:t xml:space="preserve"> </w:t>
            </w:r>
            <w:r w:rsidRPr="00485F5C">
              <w:rPr>
                <w:rFonts w:ascii="Arial Narrow" w:hAnsi="Arial Narrow"/>
                <w:bCs/>
                <w:color w:val="333333"/>
                <w:sz w:val="18"/>
                <w:szCs w:val="18"/>
              </w:rPr>
              <w:t>No more than 1 vial of fos</w:t>
            </w:r>
            <w:r>
              <w:rPr>
                <w:rFonts w:ascii="Arial Narrow" w:hAnsi="Arial Narrow"/>
                <w:bCs/>
                <w:color w:val="333333"/>
                <w:sz w:val="18"/>
                <w:szCs w:val="18"/>
              </w:rPr>
              <w:t>netupitant</w:t>
            </w:r>
            <w:r w:rsidRPr="00485F5C">
              <w:rPr>
                <w:rFonts w:ascii="Arial Narrow" w:hAnsi="Arial Narrow"/>
                <w:bCs/>
                <w:color w:val="333333"/>
                <w:sz w:val="18"/>
                <w:szCs w:val="18"/>
              </w:rPr>
              <w:t xml:space="preserve"> 235 </w:t>
            </w:r>
            <w:r w:rsidR="009E2338">
              <w:rPr>
                <w:rFonts w:ascii="Arial Narrow" w:hAnsi="Arial Narrow"/>
                <w:bCs/>
                <w:color w:val="333333"/>
                <w:sz w:val="18"/>
                <w:szCs w:val="18"/>
              </w:rPr>
              <w:t> mg</w:t>
            </w:r>
            <w:r w:rsidRPr="00485F5C">
              <w:rPr>
                <w:rFonts w:ascii="Arial Narrow" w:hAnsi="Arial Narrow"/>
                <w:bCs/>
                <w:color w:val="333333"/>
                <w:sz w:val="18"/>
                <w:szCs w:val="18"/>
              </w:rPr>
              <w:t xml:space="preserve"> plus palonosetron 250 microgram injection will be authorised per cycle of cytotoxic chemotherapy.</w:t>
            </w:r>
          </w:p>
        </w:tc>
      </w:tr>
      <w:tr w:rsidR="00BA2C24" w:rsidRPr="00120A12" w14:paraId="768495E7" w14:textId="77777777" w:rsidTr="00AE39FF">
        <w:tc>
          <w:tcPr>
            <w:tcW w:w="553" w:type="pct"/>
            <w:vAlign w:val="center"/>
          </w:tcPr>
          <w:p w14:paraId="3B2C7388" w14:textId="0879330C" w:rsidR="00BA2C24" w:rsidRPr="00120A12" w:rsidRDefault="00BA2C24" w:rsidP="005457B9">
            <w:pPr>
              <w:jc w:val="center"/>
              <w:rPr>
                <w:rFonts w:ascii="Arial Narrow" w:hAnsi="Arial Narrow"/>
                <w:color w:val="333333"/>
                <w:sz w:val="18"/>
                <w:szCs w:val="18"/>
              </w:rPr>
            </w:pPr>
          </w:p>
        </w:tc>
        <w:tc>
          <w:tcPr>
            <w:tcW w:w="4447" w:type="pct"/>
            <w:vAlign w:val="center"/>
            <w:hideMark/>
          </w:tcPr>
          <w:p w14:paraId="3358F38F" w14:textId="77777777" w:rsidR="00BA2C24" w:rsidRPr="001F1970" w:rsidRDefault="00BA2C24" w:rsidP="005457B9">
            <w:pPr>
              <w:rPr>
                <w:rFonts w:ascii="Arial Narrow" w:hAnsi="Arial Narrow"/>
                <w:color w:val="333333"/>
                <w:sz w:val="18"/>
                <w:szCs w:val="18"/>
              </w:rPr>
            </w:pPr>
            <w:r w:rsidRPr="001F1970">
              <w:rPr>
                <w:rFonts w:ascii="Arial Narrow" w:hAnsi="Arial Narrow"/>
                <w:b/>
                <w:bCs/>
                <w:color w:val="333333"/>
                <w:sz w:val="18"/>
                <w:szCs w:val="18"/>
              </w:rPr>
              <w:t>Administrative Advice:</w:t>
            </w:r>
            <w:r w:rsidRPr="001F1970">
              <w:rPr>
                <w:rFonts w:ascii="Arial Narrow" w:hAnsi="Arial Narrow"/>
                <w:bCs/>
                <w:color w:val="333333"/>
                <w:sz w:val="18"/>
                <w:szCs w:val="18"/>
              </w:rPr>
              <w:t xml:space="preserve"> This medicine is not PBS-subsidised for nausea and vomiting associated with radiotherapy being used to treat malignancy.</w:t>
            </w:r>
          </w:p>
        </w:tc>
      </w:tr>
      <w:tr w:rsidR="00BA2C24" w:rsidRPr="00120A12" w14:paraId="182478AF" w14:textId="77777777" w:rsidTr="00AE39FF">
        <w:tc>
          <w:tcPr>
            <w:tcW w:w="553" w:type="pct"/>
            <w:vAlign w:val="center"/>
          </w:tcPr>
          <w:p w14:paraId="5777C0C5" w14:textId="2CA808A3" w:rsidR="00BA2C24" w:rsidRPr="00120A12" w:rsidRDefault="00BA2C24" w:rsidP="005457B9">
            <w:pPr>
              <w:jc w:val="center"/>
              <w:rPr>
                <w:rFonts w:ascii="Arial Narrow" w:hAnsi="Arial Narrow"/>
                <w:color w:val="333333"/>
                <w:sz w:val="18"/>
                <w:szCs w:val="18"/>
              </w:rPr>
            </w:pPr>
          </w:p>
        </w:tc>
        <w:tc>
          <w:tcPr>
            <w:tcW w:w="4447" w:type="pct"/>
            <w:vAlign w:val="center"/>
            <w:hideMark/>
          </w:tcPr>
          <w:p w14:paraId="282B172A" w14:textId="77777777" w:rsidR="00BA2C24" w:rsidRPr="001F1970" w:rsidRDefault="00BA2C24" w:rsidP="005457B9">
            <w:pPr>
              <w:rPr>
                <w:rFonts w:ascii="Arial Narrow" w:hAnsi="Arial Narrow"/>
                <w:color w:val="333333"/>
                <w:sz w:val="18"/>
                <w:szCs w:val="18"/>
              </w:rPr>
            </w:pPr>
            <w:r w:rsidRPr="001F1970">
              <w:rPr>
                <w:rFonts w:ascii="Arial Narrow" w:hAnsi="Arial Narrow"/>
                <w:b/>
                <w:bCs/>
                <w:color w:val="333333"/>
                <w:sz w:val="18"/>
                <w:szCs w:val="18"/>
              </w:rPr>
              <w:t xml:space="preserve">Administrative Advice: </w:t>
            </w:r>
            <w:r w:rsidRPr="001F1970">
              <w:rPr>
                <w:rFonts w:ascii="Arial Narrow" w:hAnsi="Arial Narrow"/>
                <w:bCs/>
                <w:color w:val="333333"/>
                <w:sz w:val="18"/>
                <w:szCs w:val="18"/>
              </w:rPr>
              <w:t>No increase in the maximum quantity or number of units may be authorised.</w:t>
            </w:r>
          </w:p>
        </w:tc>
      </w:tr>
      <w:tr w:rsidR="00BA2C24" w:rsidRPr="00120A12" w14:paraId="4D0F4004" w14:textId="77777777" w:rsidTr="005457B9">
        <w:tc>
          <w:tcPr>
            <w:tcW w:w="553" w:type="pct"/>
            <w:vAlign w:val="center"/>
          </w:tcPr>
          <w:p w14:paraId="4A367D8F" w14:textId="45600E4F" w:rsidR="00BA2C24" w:rsidRDefault="00BA2C24" w:rsidP="005457B9">
            <w:pPr>
              <w:jc w:val="center"/>
              <w:rPr>
                <w:rFonts w:ascii="Arial Narrow" w:hAnsi="Arial Narrow"/>
                <w:color w:val="333333"/>
                <w:sz w:val="18"/>
                <w:szCs w:val="18"/>
              </w:rPr>
            </w:pPr>
          </w:p>
        </w:tc>
        <w:tc>
          <w:tcPr>
            <w:tcW w:w="4447" w:type="pct"/>
            <w:vAlign w:val="center"/>
          </w:tcPr>
          <w:p w14:paraId="277BA254" w14:textId="77777777" w:rsidR="00BA2C24" w:rsidRPr="001F1970" w:rsidRDefault="00BA2C24" w:rsidP="005457B9">
            <w:pPr>
              <w:rPr>
                <w:rFonts w:ascii="Arial Narrow" w:hAnsi="Arial Narrow"/>
                <w:color w:val="333333"/>
                <w:sz w:val="18"/>
                <w:szCs w:val="18"/>
              </w:rPr>
            </w:pPr>
            <w:r w:rsidRPr="001F1970">
              <w:rPr>
                <w:rFonts w:ascii="Arial Narrow" w:hAnsi="Arial Narrow"/>
                <w:b/>
                <w:bCs/>
                <w:color w:val="333333"/>
                <w:sz w:val="18"/>
                <w:szCs w:val="18"/>
              </w:rPr>
              <w:t xml:space="preserve">Administrative Advice: </w:t>
            </w:r>
            <w:r w:rsidRPr="001F1970">
              <w:rPr>
                <w:rFonts w:ascii="Arial Narrow" w:hAnsi="Arial Narrow"/>
                <w:bCs/>
                <w:color w:val="333333"/>
                <w:sz w:val="18"/>
                <w:szCs w:val="18"/>
              </w:rPr>
              <w:t>No increase in the maximum number of repeats may be authorised.</w:t>
            </w:r>
          </w:p>
        </w:tc>
      </w:tr>
      <w:tr w:rsidR="00BA2C24" w:rsidRPr="00120A12" w14:paraId="0CDE4DE8" w14:textId="77777777" w:rsidTr="00BA2C24">
        <w:trPr>
          <w:trHeight w:val="510"/>
        </w:trPr>
        <w:tc>
          <w:tcPr>
            <w:tcW w:w="553" w:type="pct"/>
            <w:vAlign w:val="center"/>
          </w:tcPr>
          <w:p w14:paraId="6FAB0869" w14:textId="1111D647" w:rsidR="00BA2C24" w:rsidRPr="00BA2C24" w:rsidRDefault="00BA2C24" w:rsidP="005457B9">
            <w:pPr>
              <w:jc w:val="center"/>
              <w:rPr>
                <w:rFonts w:ascii="Arial Narrow" w:hAnsi="Arial Narrow"/>
                <w:color w:val="333333"/>
                <w:sz w:val="18"/>
                <w:szCs w:val="18"/>
              </w:rPr>
            </w:pPr>
          </w:p>
        </w:tc>
        <w:tc>
          <w:tcPr>
            <w:tcW w:w="4447" w:type="pct"/>
            <w:vAlign w:val="center"/>
          </w:tcPr>
          <w:p w14:paraId="0F6E8B66" w14:textId="77777777" w:rsidR="00BA2C24" w:rsidRPr="00BA2C24" w:rsidRDefault="00BA2C24" w:rsidP="005457B9">
            <w:pPr>
              <w:rPr>
                <w:rFonts w:ascii="Arial Narrow" w:hAnsi="Arial Narrow"/>
                <w:b/>
                <w:bCs/>
                <w:color w:val="333333"/>
                <w:sz w:val="18"/>
                <w:szCs w:val="18"/>
              </w:rPr>
            </w:pPr>
            <w:r w:rsidRPr="00BA2C24">
              <w:rPr>
                <w:rFonts w:ascii="Arial Narrow" w:hAnsi="Arial Narrow"/>
                <w:b/>
                <w:bCs/>
                <w:color w:val="333333"/>
                <w:sz w:val="18"/>
                <w:szCs w:val="18"/>
              </w:rPr>
              <w:t>Administrative advice:</w:t>
            </w:r>
          </w:p>
          <w:p w14:paraId="1EE68739" w14:textId="77777777" w:rsidR="00BA2C24" w:rsidRPr="00BA2C24" w:rsidRDefault="00BA2C24" w:rsidP="005457B9">
            <w:pPr>
              <w:rPr>
                <w:rFonts w:ascii="Arial Narrow" w:hAnsi="Arial Narrow"/>
                <w:b/>
                <w:bCs/>
                <w:color w:val="333333"/>
                <w:sz w:val="18"/>
                <w:szCs w:val="18"/>
              </w:rPr>
            </w:pPr>
            <w:r w:rsidRPr="00BA2C24">
              <w:rPr>
                <w:rFonts w:ascii="Arial Narrow" w:hAnsi="Arial Narrow"/>
                <w:color w:val="333333"/>
                <w:sz w:val="18"/>
                <w:szCs w:val="18"/>
              </w:rPr>
              <w:t>Various sources of information outline the emetic risk associated with cancer treatment. Examples include the National Comprehensive Cancer Network guidelines (USA), eviQ guidelines and approved Product Information of individual drugs. These examples are not a comprehensive list of which anti-cancer drugs that have moderate to high emesis risk.</w:t>
            </w:r>
          </w:p>
        </w:tc>
      </w:tr>
    </w:tbl>
    <w:p w14:paraId="675773E7" w14:textId="3B5C3838" w:rsidR="00C12510" w:rsidRDefault="00C12510" w:rsidP="0002340D">
      <w:pPr>
        <w:jc w:val="left"/>
        <w:rPr>
          <w:b/>
          <w:caps/>
          <w:sz w:val="32"/>
        </w:rPr>
      </w:pPr>
    </w:p>
    <w:p w14:paraId="5BE59369" w14:textId="62799154" w:rsidR="009D322D" w:rsidRDefault="009D322D" w:rsidP="0002340D">
      <w:pPr>
        <w:jc w:val="left"/>
        <w:rPr>
          <w:rFonts w:asciiTheme="minorHAnsi" w:hAnsiTheme="minorHAnsi"/>
          <w:szCs w:val="22"/>
        </w:rPr>
      </w:pPr>
      <w:r w:rsidRPr="00BB6D30">
        <w:rPr>
          <w:rFonts w:asciiTheme="minorHAnsi" w:hAnsiTheme="minorHAnsi"/>
          <w:b/>
          <w:bCs/>
          <w:i/>
          <w:szCs w:val="22"/>
        </w:rPr>
        <w:t>This restriction may be subject to further review. Should there be any changes made to the restriction the sponsor will be informed</w:t>
      </w:r>
      <w:r w:rsidRPr="007F262A">
        <w:rPr>
          <w:rFonts w:asciiTheme="minorHAnsi" w:hAnsiTheme="minorHAnsi"/>
          <w:szCs w:val="22"/>
        </w:rPr>
        <w:t>.</w:t>
      </w:r>
    </w:p>
    <w:p w14:paraId="6CC93302" w14:textId="7DB6B85A" w:rsidR="00AE39FF" w:rsidRDefault="00AE39FF" w:rsidP="0002340D">
      <w:pPr>
        <w:jc w:val="left"/>
        <w:rPr>
          <w:rFonts w:asciiTheme="minorHAnsi" w:hAnsiTheme="minorHAnsi"/>
          <w:szCs w:val="22"/>
        </w:rPr>
      </w:pPr>
    </w:p>
    <w:p w14:paraId="443450EC" w14:textId="77777777" w:rsidR="00AE39FF" w:rsidRPr="00936A7A" w:rsidRDefault="00AE39FF" w:rsidP="00AE39FF">
      <w:pPr>
        <w:pStyle w:val="2-SectionHeading"/>
      </w:pPr>
      <w:r w:rsidRPr="00936A7A">
        <w:t>Context for Decision</w:t>
      </w:r>
    </w:p>
    <w:p w14:paraId="26114E65" w14:textId="77777777" w:rsidR="00AE39FF" w:rsidRDefault="00AE39FF" w:rsidP="00AE39FF">
      <w:pPr>
        <w:spacing w:after="120"/>
        <w:ind w:left="720"/>
        <w:rPr>
          <w:rFonts w:asciiTheme="minorHAnsi" w:hAnsiTheme="minorHAnsi"/>
          <w:bCs/>
          <w:lang w:val="en-GB"/>
        </w:rPr>
      </w:pPr>
      <w:r w:rsidRPr="00303E9C">
        <w:rPr>
          <w:rFonts w:asciiTheme="minorHAnsi" w:hAnsiTheme="minorHAnsi"/>
          <w:snapToGrid w:val="0"/>
        </w:rPr>
        <w:t>The PBAC helps</w:t>
      </w:r>
      <w:r w:rsidRPr="007129F2">
        <w:rPr>
          <w:rFonts w:asciiTheme="minorHAnsi" w:hAnsiTheme="minorHAnsi"/>
          <w:bCs/>
          <w:lang w:val="en-GB"/>
        </w:rPr>
        <w:t xml:space="preserve">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r>
        <w:rPr>
          <w:rFonts w:asciiTheme="minorHAnsi" w:hAnsiTheme="minorHAnsi"/>
          <w:bCs/>
          <w:lang w:val="en-GB"/>
        </w:rPr>
        <w:t xml:space="preserve"> </w:t>
      </w:r>
    </w:p>
    <w:p w14:paraId="00F9384F" w14:textId="77777777" w:rsidR="00AE39FF" w:rsidRPr="00936A7A" w:rsidRDefault="00AE39FF" w:rsidP="00AE39FF">
      <w:pPr>
        <w:pStyle w:val="2-SectionHeading"/>
      </w:pPr>
      <w:r w:rsidRPr="00936A7A">
        <w:t>Sponsor’s Comment</w:t>
      </w:r>
    </w:p>
    <w:p w14:paraId="22B7FBED" w14:textId="77777777" w:rsidR="00AE39FF" w:rsidRPr="001179AC" w:rsidRDefault="00AE39FF" w:rsidP="00AE39FF">
      <w:pPr>
        <w:spacing w:after="120"/>
        <w:ind w:left="426" w:firstLine="294"/>
        <w:rPr>
          <w:rFonts w:asciiTheme="minorHAnsi" w:hAnsiTheme="minorHAnsi"/>
          <w:bCs/>
        </w:rPr>
      </w:pPr>
      <w:r w:rsidRPr="00C07617">
        <w:rPr>
          <w:rFonts w:asciiTheme="minorHAnsi" w:hAnsiTheme="minorHAnsi"/>
          <w:bCs/>
        </w:rPr>
        <w:t>The sponsor had no comment.</w:t>
      </w:r>
    </w:p>
    <w:p w14:paraId="07487CE8" w14:textId="77777777" w:rsidR="00AE39FF" w:rsidRPr="000C48F9" w:rsidRDefault="00AE39FF" w:rsidP="00AE39FF">
      <w:pPr>
        <w:jc w:val="left"/>
        <w:rPr>
          <w:rFonts w:asciiTheme="minorHAnsi" w:hAnsiTheme="minorHAnsi"/>
          <w:b/>
          <w:snapToGrid w:val="0"/>
          <w:sz w:val="32"/>
          <w:szCs w:val="32"/>
        </w:rPr>
      </w:pPr>
    </w:p>
    <w:sectPr w:rsidR="00AE39FF" w:rsidRPr="000C48F9" w:rsidSect="00251006">
      <w:headerReference w:type="even" r:id="rId13"/>
      <w:headerReference w:type="default" r:id="rId14"/>
      <w:footerReference w:type="even" r:id="rId15"/>
      <w:footerReference w:type="default" r:id="rId16"/>
      <w:headerReference w:type="first" r:id="rId17"/>
      <w:footerReference w:type="first" r:id="rId18"/>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97F5F" w14:textId="77777777" w:rsidR="006B764D" w:rsidRDefault="006B764D" w:rsidP="00124A51">
      <w:r>
        <w:separator/>
      </w:r>
    </w:p>
    <w:p w14:paraId="0FD826C6" w14:textId="77777777" w:rsidR="006B764D" w:rsidRDefault="006B764D"/>
  </w:endnote>
  <w:endnote w:type="continuationSeparator" w:id="0">
    <w:p w14:paraId="20E071A8" w14:textId="77777777" w:rsidR="006B764D" w:rsidRDefault="006B764D" w:rsidP="00124A51">
      <w:r>
        <w:continuationSeparator/>
      </w:r>
    </w:p>
    <w:p w14:paraId="5D74F825" w14:textId="77777777" w:rsidR="006B764D" w:rsidRDefault="006B76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13352" w14:textId="77777777" w:rsidR="00D25BE4" w:rsidRDefault="00D25B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8153C" w14:textId="77777777" w:rsidR="00F26213" w:rsidRDefault="00F26213" w:rsidP="00753B29">
    <w:pPr>
      <w:pStyle w:val="Footer"/>
      <w:jc w:val="center"/>
    </w:pPr>
  </w:p>
  <w:bookmarkStart w:id="68" w:name="_Hlk76375156"/>
  <w:p w14:paraId="74CD6F95" w14:textId="77777777" w:rsidR="00F26213" w:rsidRPr="00F90A91" w:rsidRDefault="00F26213" w:rsidP="00A548DE">
    <w:pPr>
      <w:pStyle w:val="Footer"/>
      <w:keepNext/>
      <w:ind w:left="360"/>
      <w:jc w:val="center"/>
      <w:rPr>
        <w:rFonts w:asciiTheme="minorHAnsi" w:hAnsiTheme="minorHAnsi"/>
      </w:rPr>
    </w:pPr>
    <w:r w:rsidRPr="00836F75">
      <w:rPr>
        <w:b/>
      </w:rPr>
      <w:fldChar w:fldCharType="begin"/>
    </w:r>
    <w:r w:rsidRPr="00836F75">
      <w:rPr>
        <w:b/>
      </w:rPr>
      <w:instrText xml:space="preserve"> PAGE   \* MERGEFORMAT </w:instrText>
    </w:r>
    <w:r w:rsidRPr="00836F75">
      <w:rPr>
        <w:b/>
      </w:rPr>
      <w:fldChar w:fldCharType="separate"/>
    </w:r>
    <w:r w:rsidRPr="00836F75">
      <w:rPr>
        <w:b/>
        <w:noProof/>
      </w:rPr>
      <w:t>1</w:t>
    </w:r>
    <w:r w:rsidRPr="00836F75">
      <w:rPr>
        <w:b/>
        <w:noProof/>
      </w:rPr>
      <w:fldChar w:fldCharType="end"/>
    </w:r>
    <w:r>
      <w:rPr>
        <w:b/>
        <w:noProof/>
      </w:rPr>
      <w:t xml:space="preserve"> </w:t>
    </w:r>
    <w:bookmarkEnd w:id="68"/>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5DA5F" w14:textId="77777777" w:rsidR="00D25BE4" w:rsidRDefault="00D25B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451AC" w14:textId="77777777" w:rsidR="006B764D" w:rsidRDefault="006B764D" w:rsidP="00124A51">
      <w:r>
        <w:separator/>
      </w:r>
    </w:p>
    <w:p w14:paraId="1FCDFE7D" w14:textId="77777777" w:rsidR="006B764D" w:rsidRDefault="006B764D"/>
  </w:footnote>
  <w:footnote w:type="continuationSeparator" w:id="0">
    <w:p w14:paraId="33EA63B1" w14:textId="77777777" w:rsidR="006B764D" w:rsidRDefault="006B764D" w:rsidP="00124A51">
      <w:r>
        <w:continuationSeparator/>
      </w:r>
    </w:p>
    <w:p w14:paraId="41FF4E13" w14:textId="77777777" w:rsidR="006B764D" w:rsidRDefault="006B764D"/>
  </w:footnote>
  <w:footnote w:id="1">
    <w:p w14:paraId="06581A3B" w14:textId="77777777" w:rsidR="00F26213" w:rsidRDefault="00F26213">
      <w:pPr>
        <w:pStyle w:val="FootnoteText"/>
      </w:pPr>
      <w:r>
        <w:rPr>
          <w:rStyle w:val="FootnoteReference"/>
        </w:rPr>
        <w:footnoteRef/>
      </w:r>
      <w:r>
        <w:t xml:space="preserve"> </w:t>
      </w:r>
      <w:r w:rsidRPr="00653509">
        <w:t>“AINV” (</w:t>
      </w:r>
      <w:hyperlink r:id="rId1" w:tooltip="Learn more about Antineoplastic drug from ScienceDirect's AI-generated Topic Pages" w:history="1">
        <w:r w:rsidRPr="00653509">
          <w:t>Antineoplastic drug</w:t>
        </w:r>
      </w:hyperlink>
      <w:r w:rsidRPr="00653509">
        <w:t xml:space="preserve"> induced nausea and vomiting) is the updated term </w:t>
      </w:r>
      <w:r>
        <w:t xml:space="preserve">in the literature </w:t>
      </w:r>
      <w:r w:rsidRPr="00653509">
        <w:t>but “CINV” is consistent with the product information terminology</w:t>
      </w:r>
      <w:r>
        <w:t xml:space="preserve"> for NEPA IV.</w:t>
      </w:r>
    </w:p>
  </w:footnote>
  <w:footnote w:id="2">
    <w:p w14:paraId="7CF307B2" w14:textId="77777777" w:rsidR="00F26213" w:rsidRDefault="00F26213">
      <w:pPr>
        <w:pStyle w:val="FootnoteText"/>
      </w:pPr>
      <w:r>
        <w:rPr>
          <w:rStyle w:val="FootnoteReference"/>
        </w:rPr>
        <w:footnoteRef/>
      </w:r>
      <w:r w:rsidRPr="00FC7AF4">
        <w:t>https://www.eviq.org.au/clinical-resources/side-effect-and-toxicity-management/gastrointestinal/7-prevention-of-anti-cancer-therapy-induced-nausea#classification-of-emetogenic-potential-of-anti-can</w:t>
      </w:r>
    </w:p>
  </w:footnote>
  <w:footnote w:id="3">
    <w:p w14:paraId="70D83FEB" w14:textId="77777777" w:rsidR="00F26213" w:rsidRDefault="00F26213" w:rsidP="000A2486">
      <w:pPr>
        <w:pStyle w:val="FootnoteText"/>
      </w:pPr>
      <w:r>
        <w:rPr>
          <w:rStyle w:val="FootnoteReference"/>
        </w:rPr>
        <w:footnoteRef/>
      </w:r>
      <w:r w:rsidRPr="00FC7AF4">
        <w:t>https://www.eviq.org.au/clinical-resources/side-effect-and-toxicity-management/gastrointestinal/7-prevention-of-anti-cancer-therapy-induced-nausea#classification-of-emetogenic-potential-of-anti-can</w:t>
      </w:r>
    </w:p>
  </w:footnote>
  <w:footnote w:id="4">
    <w:p w14:paraId="127B35B2" w14:textId="77777777" w:rsidR="00F26213" w:rsidRPr="00680130" w:rsidRDefault="00F26213" w:rsidP="00FF6AF8">
      <w:pPr>
        <w:pStyle w:val="PBACFooter"/>
        <w:jc w:val="left"/>
        <w:rPr>
          <w:b w:val="0"/>
        </w:rPr>
      </w:pPr>
      <w:r w:rsidRPr="00AE50CC">
        <w:rPr>
          <w:rStyle w:val="FootnoteReference"/>
          <w:b w:val="0"/>
          <w:sz w:val="16"/>
        </w:rPr>
        <w:footnoteRef/>
      </w:r>
      <w:r w:rsidRPr="00680130">
        <w:rPr>
          <w:b w:val="0"/>
          <w:sz w:val="16"/>
        </w:rPr>
        <w:t xml:space="preserve"> </w:t>
      </w:r>
      <w:hyperlink r:id="rId2" w:history="1">
        <w:r w:rsidRPr="00680130">
          <w:rPr>
            <w:rStyle w:val="Hyperlink"/>
            <w:b w:val="0"/>
            <w:sz w:val="16"/>
          </w:rPr>
          <w:t>https://www.eviq.org.au/clinical-resources/side-effect-and-toxicity-management/gastrointestinal/7-prevention-of-antineoplastic-induced-nausea-and</w:t>
        </w:r>
      </w:hyperlink>
    </w:p>
  </w:footnote>
  <w:footnote w:id="5">
    <w:p w14:paraId="55704065" w14:textId="4924B75A" w:rsidR="00F26213" w:rsidRDefault="00F26213">
      <w:pPr>
        <w:pStyle w:val="FootnoteText"/>
      </w:pPr>
      <w:r>
        <w:rPr>
          <w:rStyle w:val="FootnoteReference"/>
        </w:rPr>
        <w:footnoteRef/>
      </w:r>
      <w:r>
        <w:t xml:space="preserve"> </w:t>
      </w:r>
      <w:r w:rsidRPr="001D0A6E">
        <w:rPr>
          <w:i/>
        </w:rPr>
        <w:t xml:space="preserve">The response rate of total </w:t>
      </w:r>
      <w:r>
        <w:rPr>
          <w:i/>
        </w:rPr>
        <w:t>medical oncologists (</w:t>
      </w:r>
      <w:r w:rsidRPr="001D0A6E">
        <w:rPr>
          <w:i/>
        </w:rPr>
        <w:t>MOs</w:t>
      </w:r>
      <w:r>
        <w:rPr>
          <w:i/>
        </w:rPr>
        <w:t>)</w:t>
      </w:r>
      <w:r w:rsidRPr="001D0A6E">
        <w:rPr>
          <w:i/>
        </w:rPr>
        <w:t xml:space="preserve"> approached was 5.1% and that of “willing” MOs (oncologists who indicated they were willing to participate) was 37%. The response rate of total nurses approached was 1.7% and that of willing nurses was 37.9%.</w:t>
      </w:r>
    </w:p>
  </w:footnote>
  <w:footnote w:id="6">
    <w:p w14:paraId="2AAFEFF4" w14:textId="5D389E58" w:rsidR="00F26213" w:rsidRDefault="00F26213" w:rsidP="00393AF2">
      <w:pPr>
        <w:pStyle w:val="FootnoteText"/>
      </w:pPr>
      <w:r>
        <w:rPr>
          <w:rStyle w:val="FootnoteReference"/>
        </w:rPr>
        <w:footnoteRef/>
      </w:r>
      <w:r>
        <w:t xml:space="preserve"> I</w:t>
      </w:r>
      <w:r w:rsidRPr="005A6DDE">
        <w:t xml:space="preserve">n the fosnetupitant </w:t>
      </w:r>
      <w:r>
        <w:t>arm</w:t>
      </w:r>
      <w:r w:rsidRPr="005A6DDE">
        <w:t xml:space="preserve">, fosnetupitant 235 </w:t>
      </w:r>
      <w:r w:rsidR="009E2338">
        <w:t> mg</w:t>
      </w:r>
      <w:r w:rsidRPr="005A6DDE">
        <w:t xml:space="preserve">, PALO 0.75 </w:t>
      </w:r>
      <w:r w:rsidR="009E2338">
        <w:t> mg</w:t>
      </w:r>
      <w:r w:rsidRPr="005A6DDE">
        <w:t xml:space="preserve">, and DEX 9.9 </w:t>
      </w:r>
      <w:r w:rsidR="009E2338">
        <w:t> mg</w:t>
      </w:r>
      <w:r w:rsidRPr="005A6DDE">
        <w:t xml:space="preserve"> were mixed together and infused for 30 min, starting 1 h</w:t>
      </w:r>
      <w:r>
        <w:t>our</w:t>
      </w:r>
      <w:r w:rsidRPr="005A6DDE">
        <w:t xml:space="preserve"> before the start of cisplatin administration</w:t>
      </w:r>
      <w:r>
        <w:t>.</w:t>
      </w:r>
    </w:p>
  </w:footnote>
  <w:footnote w:id="7">
    <w:p w14:paraId="0FE36B0B" w14:textId="2CAA455D" w:rsidR="00F26213" w:rsidRDefault="00F26213">
      <w:pPr>
        <w:pStyle w:val="FootnoteText"/>
      </w:pPr>
      <w:r w:rsidRPr="00680091">
        <w:rPr>
          <w:rStyle w:val="FootnoteReference"/>
        </w:rPr>
        <w:footnoteRef/>
      </w:r>
      <w:r w:rsidRPr="00680091">
        <w:t xml:space="preserve"> Guyatt GH, Oxman AD, Kunz R, Brozek J, Alonso-Coello P, Rind D, et al. GRADE guidelines 6. Rating the quality of evidence—imprecision. </w:t>
      </w:r>
      <w:r w:rsidRPr="00680091">
        <w:rPr>
          <w:i/>
          <w:iCs/>
        </w:rPr>
        <w:t>Journal of clinical epidemiology</w:t>
      </w:r>
      <w:r w:rsidRPr="00680091">
        <w:t>. 2011;64(12):1283-93</w:t>
      </w:r>
      <w:r>
        <w:t>.</w:t>
      </w:r>
    </w:p>
  </w:footnote>
  <w:footnote w:id="8">
    <w:p w14:paraId="08897314" w14:textId="4497F8D8" w:rsidR="00F26213" w:rsidRDefault="00F26213">
      <w:pPr>
        <w:pStyle w:val="FootnoteText"/>
      </w:pPr>
      <w:r>
        <w:rPr>
          <w:rStyle w:val="FootnoteReference"/>
        </w:rPr>
        <w:footnoteRef/>
      </w:r>
      <w:r>
        <w:t xml:space="preserve"> </w:t>
      </w:r>
      <w:r w:rsidRPr="00680091">
        <w:t xml:space="preserve">Bria E, Lesser M, Raftopoulos H. Using two meta-analysis methods to determine whether common dose differences affect efficacy with the serotonin antagonist (5-HT) palonosetron: an individual patient data (IPD) meta-analysis and an abstracted data (AD) meta-analysis of 1947 patients entered into the 8 double-blinded randomized clinical trials (RCTs). </w:t>
      </w:r>
      <w:r w:rsidRPr="00680091">
        <w:rPr>
          <w:i/>
          <w:iCs/>
        </w:rPr>
        <w:t>Support Care Cancer</w:t>
      </w:r>
      <w:r w:rsidRPr="00680091">
        <w:t>. 2009;17(872):02-007</w:t>
      </w:r>
    </w:p>
  </w:footnote>
  <w:footnote w:id="9">
    <w:p w14:paraId="2D577854" w14:textId="65A59803" w:rsidR="00F26213" w:rsidRDefault="00F26213">
      <w:pPr>
        <w:pStyle w:val="FootnoteText"/>
      </w:pPr>
      <w:r>
        <w:rPr>
          <w:rStyle w:val="FootnoteReference"/>
        </w:rPr>
        <w:footnoteRef/>
      </w:r>
      <w:r>
        <w:t xml:space="preserve"> </w:t>
      </w:r>
      <w:r w:rsidRPr="00680091">
        <w:t xml:space="preserve">Likun Z, Xiang J, Yi B, Xin D, Tao ZL. A systematic review and meta‐analysis of intravenous palonosetron in the prevention of chemotherapy‐induced nausea and vomiting in adults. </w:t>
      </w:r>
      <w:r w:rsidRPr="00680091">
        <w:rPr>
          <w:i/>
          <w:iCs/>
        </w:rPr>
        <w:t>The Oncologist</w:t>
      </w:r>
      <w:r w:rsidRPr="00680091">
        <w:t>. 2011;16(2):207-16</w:t>
      </w:r>
    </w:p>
  </w:footnote>
  <w:footnote w:id="10">
    <w:p w14:paraId="418D0740" w14:textId="77777777" w:rsidR="00F26213" w:rsidRDefault="00F26213" w:rsidP="00FF097C">
      <w:pPr>
        <w:pStyle w:val="FootnoteText"/>
      </w:pPr>
      <w:r>
        <w:rPr>
          <w:rStyle w:val="FootnoteReference"/>
        </w:rPr>
        <w:footnoteRef/>
      </w:r>
      <w:r>
        <w:t xml:space="preserve"> Using the formula NNT = 1/RD, see </w:t>
      </w:r>
      <w:hyperlink r:id="rId3" w:anchor="_Ref529393759" w:history="1">
        <w:r w:rsidRPr="00C55D6D">
          <w:rPr>
            <w:rStyle w:val="Hyperlink"/>
          </w:rPr>
          <w:t>https://training.cochrane.org/handbook/current/chapter-15#_Ref529393759</w:t>
        </w:r>
      </w:hyperlink>
    </w:p>
  </w:footnote>
  <w:footnote w:id="11">
    <w:p w14:paraId="5A5C095A" w14:textId="77777777" w:rsidR="00F26213" w:rsidRPr="00426E14" w:rsidRDefault="00F26213" w:rsidP="00FF097C">
      <w:pPr>
        <w:rPr>
          <w:sz w:val="20"/>
          <w:szCs w:val="20"/>
        </w:rPr>
      </w:pPr>
      <w:r w:rsidRPr="00426E14">
        <w:rPr>
          <w:rStyle w:val="FootnoteReference"/>
          <w:sz w:val="20"/>
          <w:szCs w:val="20"/>
        </w:rPr>
        <w:footnoteRef/>
      </w:r>
      <w:r w:rsidRPr="00426E14">
        <w:rPr>
          <w:sz w:val="20"/>
          <w:szCs w:val="20"/>
        </w:rPr>
        <w:t xml:space="preserve"> Using the formula NNT = 1/(ACR x (1-RR)) with ACR = assumed comparator risk, which is the weighted risk of TREA ISR in the comparator arms of CONSOLE and CONSOLE-BC, see </w:t>
      </w:r>
      <w:hyperlink r:id="rId4" w:anchor="_Ref529393759" w:history="1">
        <w:r w:rsidRPr="00426E14">
          <w:rPr>
            <w:rStyle w:val="Hyperlink"/>
            <w:sz w:val="20"/>
            <w:szCs w:val="20"/>
          </w:rPr>
          <w:t>https://training.cochrane.org/handbook/current/chapter-15#_Ref529393759</w:t>
        </w:r>
      </w:hyperlink>
    </w:p>
  </w:footnote>
  <w:footnote w:id="12">
    <w:p w14:paraId="4AAD2CB7" w14:textId="15E5FC2E" w:rsidR="00F26213" w:rsidRDefault="00F26213">
      <w:pPr>
        <w:pStyle w:val="FootnoteText"/>
      </w:pPr>
      <w:r>
        <w:rPr>
          <w:rStyle w:val="FootnoteReference"/>
        </w:rPr>
        <w:footnoteRef/>
      </w:r>
      <w:r>
        <w:t xml:space="preserve"> </w:t>
      </w:r>
      <w:r w:rsidRPr="00FB5E38">
        <w:t>Sato, Y., M. Kondo, A. Inagaki, H. Komatsu, C. Okada, K. Naruse, T. Sahashi, J. Kuroda, H. Ogura, S. Uegaki, T. Yoshida, Y. Mori, H. Sawada, S. Watanabe, H. Sugiura, Y. Endo, N. Yoshimoto, T. Toyama, S. Iida, K. Yamada, K. Kimura and A. Wakita (2014). "Highly Frequent and Enhanced Injection Site Reaction Induced by Peripheral Venous Injection of Fosaprepitant in Anthracycline-Treated Patients." Journal of Cancer 5(5): 390-397.</w:t>
      </w:r>
    </w:p>
  </w:footnote>
  <w:footnote w:id="13">
    <w:p w14:paraId="643BE850" w14:textId="0F5519C9" w:rsidR="00F26213" w:rsidRDefault="00F26213">
      <w:pPr>
        <w:pStyle w:val="FootnoteText"/>
      </w:pPr>
      <w:r>
        <w:rPr>
          <w:rStyle w:val="FootnoteReference"/>
        </w:rPr>
        <w:footnoteRef/>
      </w:r>
      <w:r>
        <w:t xml:space="preserve"> </w:t>
      </w:r>
      <w:r>
        <w:fldChar w:fldCharType="begin"/>
      </w:r>
      <w:r>
        <w:instrText xml:space="preserve"> ADDIN EN.CITE &lt;EndNote&gt;&lt;Cite&gt;&lt;Author&gt;Australian Institute of Health Welfare&lt;/Author&gt;&lt;Year&gt;2022&lt;/Year&gt;&lt;RecNum&gt;4&lt;/RecNum&gt;&lt;DisplayText&gt;1.&amp;#x9;Australian Institute of Health Welfare. Cancer data in Australia. Canberra: AIHW2022.&lt;/DisplayText&gt;&lt;record&gt;&lt;rec-number&gt;4&lt;/rec-number&gt;&lt;foreign-keys&gt;&lt;key app="EN" db-id="r009r5tx50s9z7eadtqxpv95wr9ews2e009s" timestamp="1672968847"&gt;4&lt;/key&gt;&lt;/foreign-keys&gt;&lt;ref-type name="Report"&gt;27&lt;/ref-type&gt;&lt;contributors&gt;&lt;authors&gt;&lt;author&gt;Australian Institute of Health Welfare,&lt;/author&gt;&lt;/authors&gt;&lt;/contributors&gt;&lt;titles&gt;&lt;title&gt;Cancer data in Australia&lt;/title&gt;&lt;/titles&gt;&lt;dates&gt;&lt;year&gt;2022&lt;/year&gt;&lt;/dates&gt;&lt;pub-location&gt;Canberra&lt;/pub-location&gt;&lt;publisher&gt;AIHW&lt;/publisher&gt;&lt;urls&gt;&lt;related-urls&gt;&lt;url&gt;https://www.aihw.gov.au/reports/cancer/cancer-data-in-australia&lt;/url&gt;&lt;/related-urls&gt;&lt;/urls&gt;&lt;/record&gt;&lt;/Cite&gt;&lt;/EndNote&gt;</w:instrText>
      </w:r>
      <w:r>
        <w:fldChar w:fldCharType="separate"/>
      </w:r>
      <w:r>
        <w:rPr>
          <w:noProof/>
        </w:rPr>
        <w:t>Australian Institute of Health Welfare. Cancer data in Australia. Canberra: AIHW2022.</w:t>
      </w:r>
      <w: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2D62A" w14:textId="77777777" w:rsidR="00D25BE4" w:rsidRDefault="00D25B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DB0A8" w14:textId="7400797D" w:rsidR="00F26213" w:rsidRPr="00056684" w:rsidRDefault="00911C42" w:rsidP="00A548DE">
    <w:pPr>
      <w:pStyle w:val="Header"/>
      <w:ind w:left="360"/>
      <w:rPr>
        <w:rFonts w:asciiTheme="minorHAnsi" w:hAnsiTheme="minorHAnsi"/>
        <w:i/>
        <w:color w:val="808080"/>
      </w:rPr>
    </w:pPr>
    <w:bookmarkStart w:id="67" w:name="_Hlk76375146"/>
    <w:r>
      <w:rPr>
        <w:rFonts w:asciiTheme="minorHAnsi" w:hAnsiTheme="minorHAnsi"/>
        <w:i/>
        <w:color w:val="808080"/>
      </w:rPr>
      <w:t>Public Summary Document</w:t>
    </w:r>
    <w:r w:rsidR="00F26213" w:rsidRPr="00056684">
      <w:rPr>
        <w:rFonts w:asciiTheme="minorHAnsi" w:hAnsiTheme="minorHAnsi"/>
        <w:i/>
        <w:color w:val="808080"/>
      </w:rPr>
      <w:t xml:space="preserve"> – </w:t>
    </w:r>
    <w:r w:rsidR="00F26213">
      <w:rPr>
        <w:rFonts w:asciiTheme="minorHAnsi" w:hAnsiTheme="minorHAnsi"/>
        <w:i/>
        <w:color w:val="808080"/>
      </w:rPr>
      <w:t>March 2023</w:t>
    </w:r>
    <w:r w:rsidR="00F26213" w:rsidRPr="00056684">
      <w:rPr>
        <w:rFonts w:asciiTheme="minorHAnsi" w:hAnsiTheme="minorHAnsi"/>
        <w:i/>
        <w:color w:val="808080"/>
      </w:rPr>
      <w:t xml:space="preserve"> PBAC Meeting</w:t>
    </w:r>
  </w:p>
  <w:bookmarkEnd w:id="67"/>
  <w:p w14:paraId="1633E5B4" w14:textId="77777777" w:rsidR="00F26213" w:rsidRPr="008C7ECB" w:rsidRDefault="00F262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7B321" w14:textId="77777777" w:rsidR="00D25BE4" w:rsidRDefault="00D25B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18E6C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55E6FCD"/>
    <w:multiLevelType w:val="hybridMultilevel"/>
    <w:tmpl w:val="A6AC847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19E6471B"/>
    <w:multiLevelType w:val="hybridMultilevel"/>
    <w:tmpl w:val="41CC90F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1FB219F8"/>
    <w:multiLevelType w:val="hybridMultilevel"/>
    <w:tmpl w:val="37EE29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096517D"/>
    <w:multiLevelType w:val="hybridMultilevel"/>
    <w:tmpl w:val="0FB84E96"/>
    <w:lvl w:ilvl="0" w:tplc="36DC12AE">
      <w:start w:val="1"/>
      <w:numFmt w:val="bullet"/>
      <w:pStyle w:val="KMC16-BulletLis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23B6274A"/>
    <w:multiLevelType w:val="hybridMultilevel"/>
    <w:tmpl w:val="E07A47CC"/>
    <w:lvl w:ilvl="0" w:tplc="E1B6BF4A">
      <w:start w:val="1"/>
      <w:numFmt w:val="decimal"/>
      <w:lvlText w:val="%1."/>
      <w:lvlJc w:val="left"/>
      <w:pPr>
        <w:ind w:left="1778" w:hanging="360"/>
      </w:pPr>
      <w:rPr>
        <w:rFonts w:hint="default"/>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0314B8D"/>
    <w:multiLevelType w:val="hybridMultilevel"/>
    <w:tmpl w:val="6E9CD5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8D67A6"/>
    <w:multiLevelType w:val="hybridMultilevel"/>
    <w:tmpl w:val="51CA1480"/>
    <w:lvl w:ilvl="0" w:tplc="04090001">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4"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E0C34BE"/>
    <w:multiLevelType w:val="hybridMultilevel"/>
    <w:tmpl w:val="A58EDD0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7" w15:restartNumberingAfterBreak="0">
    <w:nsid w:val="63883492"/>
    <w:multiLevelType w:val="hybridMultilevel"/>
    <w:tmpl w:val="FB160AF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9" w15:restartNumberingAfterBreak="0">
    <w:nsid w:val="65000903"/>
    <w:multiLevelType w:val="hybridMultilevel"/>
    <w:tmpl w:val="DC46F70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682D6338"/>
    <w:multiLevelType w:val="hybridMultilevel"/>
    <w:tmpl w:val="4EB4CBD2"/>
    <w:lvl w:ilvl="0" w:tplc="39FA884C">
      <w:start w:val="3"/>
      <w:numFmt w:val="bullet"/>
      <w:lvlText w:val="-"/>
      <w:lvlJc w:val="left"/>
      <w:pPr>
        <w:ind w:left="720" w:hanging="360"/>
      </w:pPr>
      <w:rPr>
        <w:rFonts w:ascii="Arial Narrow" w:eastAsiaTheme="majorEastAsia" w:hAnsi="Arial Narrow" w:cstheme="maj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9762887"/>
    <w:multiLevelType w:val="hybridMultilevel"/>
    <w:tmpl w:val="2402DD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AF22442"/>
    <w:multiLevelType w:val="hybridMultilevel"/>
    <w:tmpl w:val="9BA0DDB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CD74568"/>
    <w:multiLevelType w:val="hybridMultilevel"/>
    <w:tmpl w:val="E6F60BB6"/>
    <w:lvl w:ilvl="0" w:tplc="A246D0A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D9F46C3"/>
    <w:multiLevelType w:val="hybridMultilevel"/>
    <w:tmpl w:val="AF4C771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F53672A"/>
    <w:multiLevelType w:val="hybridMultilevel"/>
    <w:tmpl w:val="A4B43658"/>
    <w:lvl w:ilvl="0" w:tplc="1788446E">
      <w:start w:val="1"/>
      <w:numFmt w:val="decimal"/>
      <w:lvlText w:val="%1."/>
      <w:lvlJc w:val="left"/>
      <w:pPr>
        <w:ind w:left="829" w:hanging="360"/>
      </w:pPr>
      <w:rPr>
        <w:i/>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num w:numId="1">
    <w:abstractNumId w:val="26"/>
  </w:num>
  <w:num w:numId="2">
    <w:abstractNumId w:val="11"/>
  </w:num>
  <w:num w:numId="3">
    <w:abstractNumId w:val="12"/>
  </w:num>
  <w:num w:numId="4">
    <w:abstractNumId w:val="0"/>
  </w:num>
  <w:num w:numId="5">
    <w:abstractNumId w:val="5"/>
  </w:num>
  <w:num w:numId="6">
    <w:abstractNumId w:val="18"/>
  </w:num>
  <w:num w:numId="7">
    <w:abstractNumId w:val="23"/>
  </w:num>
  <w:num w:numId="8">
    <w:abstractNumId w:val="6"/>
  </w:num>
  <w:num w:numId="9">
    <w:abstractNumId w:val="15"/>
  </w:num>
  <w:num w:numId="10">
    <w:abstractNumId w:val="19"/>
  </w:num>
  <w:num w:numId="11">
    <w:abstractNumId w:val="17"/>
  </w:num>
  <w:num w:numId="12">
    <w:abstractNumId w:val="3"/>
  </w:num>
  <w:num w:numId="13">
    <w:abstractNumId w:val="4"/>
  </w:num>
  <w:num w:numId="14">
    <w:abstractNumId w:val="25"/>
  </w:num>
  <w:num w:numId="15">
    <w:abstractNumId w:val="10"/>
  </w:num>
  <w:num w:numId="16">
    <w:abstractNumId w:val="21"/>
  </w:num>
  <w:num w:numId="17">
    <w:abstractNumId w:val="20"/>
  </w:num>
  <w:num w:numId="18">
    <w:abstractNumId w:val="8"/>
  </w:num>
  <w:num w:numId="19">
    <w:abstractNumId w:val="27"/>
  </w:num>
  <w:num w:numId="20">
    <w:abstractNumId w:val="22"/>
  </w:num>
  <w:num w:numId="21">
    <w:abstractNumId w:val="13"/>
  </w:num>
  <w:num w:numId="22">
    <w:abstractNumId w:val="14"/>
  </w:num>
  <w:num w:numId="23">
    <w:abstractNumId w:val="2"/>
  </w:num>
  <w:num w:numId="24">
    <w:abstractNumId w:val="1"/>
  </w:num>
  <w:num w:numId="25">
    <w:abstractNumId w:val="9"/>
  </w:num>
  <w:num w:numId="26">
    <w:abstractNumId w:val="7"/>
  </w:num>
  <w:num w:numId="27">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2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 modifi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009r5tx50s9z7eadtqxpv95wr9ews2e009s&quot;&gt;NEPA IV&lt;record-ids&gt;&lt;item&gt;1&lt;/item&gt;&lt;item&gt;2&lt;/item&gt;&lt;item&gt;4&lt;/item&gt;&lt;item&gt;5&lt;/item&gt;&lt;item&gt;6&lt;/item&gt;&lt;item&gt;7&lt;/item&gt;&lt;item&gt;8&lt;/item&gt;&lt;item&gt;9&lt;/item&gt;&lt;item&gt;10&lt;/item&gt;&lt;item&gt;11&lt;/item&gt;&lt;item&gt;12&lt;/item&gt;&lt;item&gt;13&lt;/item&gt;&lt;/record-ids&gt;&lt;/item&gt;&lt;/Libraries&gt;"/>
  </w:docVars>
  <w:rsids>
    <w:rsidRoot w:val="00E65E79"/>
    <w:rsid w:val="000005FB"/>
    <w:rsid w:val="00000692"/>
    <w:rsid w:val="00000790"/>
    <w:rsid w:val="0000110B"/>
    <w:rsid w:val="00003499"/>
    <w:rsid w:val="00003773"/>
    <w:rsid w:val="000039B7"/>
    <w:rsid w:val="00003E55"/>
    <w:rsid w:val="00003E75"/>
    <w:rsid w:val="000056B9"/>
    <w:rsid w:val="00005920"/>
    <w:rsid w:val="000062C8"/>
    <w:rsid w:val="0000639A"/>
    <w:rsid w:val="00007630"/>
    <w:rsid w:val="00010718"/>
    <w:rsid w:val="000107FC"/>
    <w:rsid w:val="00011452"/>
    <w:rsid w:val="000117D9"/>
    <w:rsid w:val="0001227A"/>
    <w:rsid w:val="000122C4"/>
    <w:rsid w:val="0001291E"/>
    <w:rsid w:val="00013247"/>
    <w:rsid w:val="000146B4"/>
    <w:rsid w:val="00015886"/>
    <w:rsid w:val="00016089"/>
    <w:rsid w:val="000162EF"/>
    <w:rsid w:val="0001632A"/>
    <w:rsid w:val="00016418"/>
    <w:rsid w:val="000207C9"/>
    <w:rsid w:val="00022249"/>
    <w:rsid w:val="0002225F"/>
    <w:rsid w:val="0002245A"/>
    <w:rsid w:val="0002328F"/>
    <w:rsid w:val="0002340D"/>
    <w:rsid w:val="00023519"/>
    <w:rsid w:val="00023763"/>
    <w:rsid w:val="00023B72"/>
    <w:rsid w:val="00024EB5"/>
    <w:rsid w:val="000274B8"/>
    <w:rsid w:val="00033863"/>
    <w:rsid w:val="00034CDB"/>
    <w:rsid w:val="00035DC0"/>
    <w:rsid w:val="00036829"/>
    <w:rsid w:val="00040895"/>
    <w:rsid w:val="00041015"/>
    <w:rsid w:val="000410A0"/>
    <w:rsid w:val="00042071"/>
    <w:rsid w:val="0004237E"/>
    <w:rsid w:val="000435EE"/>
    <w:rsid w:val="00043C37"/>
    <w:rsid w:val="00045017"/>
    <w:rsid w:val="00045A2B"/>
    <w:rsid w:val="00045B1E"/>
    <w:rsid w:val="0004698F"/>
    <w:rsid w:val="00046D64"/>
    <w:rsid w:val="00046FE7"/>
    <w:rsid w:val="00047F32"/>
    <w:rsid w:val="000508C2"/>
    <w:rsid w:val="00051037"/>
    <w:rsid w:val="00051D31"/>
    <w:rsid w:val="0005201C"/>
    <w:rsid w:val="000539D0"/>
    <w:rsid w:val="00054621"/>
    <w:rsid w:val="000546D7"/>
    <w:rsid w:val="00054A8D"/>
    <w:rsid w:val="00055FC2"/>
    <w:rsid w:val="000568C2"/>
    <w:rsid w:val="00056ECF"/>
    <w:rsid w:val="000604DF"/>
    <w:rsid w:val="00060A5A"/>
    <w:rsid w:val="00060DE3"/>
    <w:rsid w:val="00062324"/>
    <w:rsid w:val="000626B9"/>
    <w:rsid w:val="0006372D"/>
    <w:rsid w:val="000638E4"/>
    <w:rsid w:val="00065327"/>
    <w:rsid w:val="000653B5"/>
    <w:rsid w:val="00066360"/>
    <w:rsid w:val="00066AF8"/>
    <w:rsid w:val="00071248"/>
    <w:rsid w:val="000717FA"/>
    <w:rsid w:val="00071CA0"/>
    <w:rsid w:val="000720B9"/>
    <w:rsid w:val="000727E8"/>
    <w:rsid w:val="000737F7"/>
    <w:rsid w:val="00075344"/>
    <w:rsid w:val="000756DA"/>
    <w:rsid w:val="0007672F"/>
    <w:rsid w:val="00076B54"/>
    <w:rsid w:val="00077083"/>
    <w:rsid w:val="000774EE"/>
    <w:rsid w:val="000774F0"/>
    <w:rsid w:val="0007798F"/>
    <w:rsid w:val="00077B9E"/>
    <w:rsid w:val="00080909"/>
    <w:rsid w:val="000812CA"/>
    <w:rsid w:val="00081E63"/>
    <w:rsid w:val="0008258D"/>
    <w:rsid w:val="000828B6"/>
    <w:rsid w:val="00083E99"/>
    <w:rsid w:val="00083F4D"/>
    <w:rsid w:val="00083FDA"/>
    <w:rsid w:val="00084FA8"/>
    <w:rsid w:val="000856C5"/>
    <w:rsid w:val="00085C31"/>
    <w:rsid w:val="0008716C"/>
    <w:rsid w:val="000902D9"/>
    <w:rsid w:val="00090C7E"/>
    <w:rsid w:val="000911AC"/>
    <w:rsid w:val="00092600"/>
    <w:rsid w:val="0009262B"/>
    <w:rsid w:val="00092D36"/>
    <w:rsid w:val="00093310"/>
    <w:rsid w:val="000939EA"/>
    <w:rsid w:val="0009445C"/>
    <w:rsid w:val="0009497F"/>
    <w:rsid w:val="00094D21"/>
    <w:rsid w:val="00095200"/>
    <w:rsid w:val="00095C0C"/>
    <w:rsid w:val="00095FE5"/>
    <w:rsid w:val="00096284"/>
    <w:rsid w:val="000A1BC0"/>
    <w:rsid w:val="000A2486"/>
    <w:rsid w:val="000A2D04"/>
    <w:rsid w:val="000A2F9E"/>
    <w:rsid w:val="000A384E"/>
    <w:rsid w:val="000A3E47"/>
    <w:rsid w:val="000A46AC"/>
    <w:rsid w:val="000A4EBE"/>
    <w:rsid w:val="000A522B"/>
    <w:rsid w:val="000A5F2D"/>
    <w:rsid w:val="000A6039"/>
    <w:rsid w:val="000A7453"/>
    <w:rsid w:val="000A7D08"/>
    <w:rsid w:val="000B0121"/>
    <w:rsid w:val="000B0670"/>
    <w:rsid w:val="000B0E75"/>
    <w:rsid w:val="000B2DCB"/>
    <w:rsid w:val="000B52BE"/>
    <w:rsid w:val="000B5CE0"/>
    <w:rsid w:val="000B5F9F"/>
    <w:rsid w:val="000B611B"/>
    <w:rsid w:val="000B6CAC"/>
    <w:rsid w:val="000B7612"/>
    <w:rsid w:val="000B78AE"/>
    <w:rsid w:val="000C3DF9"/>
    <w:rsid w:val="000C4CF2"/>
    <w:rsid w:val="000C6713"/>
    <w:rsid w:val="000D1BFC"/>
    <w:rsid w:val="000D1D5D"/>
    <w:rsid w:val="000D2790"/>
    <w:rsid w:val="000D281A"/>
    <w:rsid w:val="000D2848"/>
    <w:rsid w:val="000D326A"/>
    <w:rsid w:val="000D51FB"/>
    <w:rsid w:val="000D7F31"/>
    <w:rsid w:val="000E0640"/>
    <w:rsid w:val="000E08E6"/>
    <w:rsid w:val="000E135D"/>
    <w:rsid w:val="000E628C"/>
    <w:rsid w:val="000E6E66"/>
    <w:rsid w:val="000F00BA"/>
    <w:rsid w:val="000F13F9"/>
    <w:rsid w:val="000F316A"/>
    <w:rsid w:val="000F36F9"/>
    <w:rsid w:val="000F3C74"/>
    <w:rsid w:val="000F47B8"/>
    <w:rsid w:val="000F4BB8"/>
    <w:rsid w:val="000F4FA9"/>
    <w:rsid w:val="000F53FB"/>
    <w:rsid w:val="000F5CF1"/>
    <w:rsid w:val="000F65EC"/>
    <w:rsid w:val="000F7127"/>
    <w:rsid w:val="000F7738"/>
    <w:rsid w:val="000F7B54"/>
    <w:rsid w:val="001000B3"/>
    <w:rsid w:val="00100F8A"/>
    <w:rsid w:val="00104181"/>
    <w:rsid w:val="0010452E"/>
    <w:rsid w:val="001045C0"/>
    <w:rsid w:val="00105AE2"/>
    <w:rsid w:val="00105B18"/>
    <w:rsid w:val="001060C6"/>
    <w:rsid w:val="00106B80"/>
    <w:rsid w:val="0011032E"/>
    <w:rsid w:val="0011348B"/>
    <w:rsid w:val="001149D6"/>
    <w:rsid w:val="00115982"/>
    <w:rsid w:val="00116C53"/>
    <w:rsid w:val="0012026A"/>
    <w:rsid w:val="00120FE3"/>
    <w:rsid w:val="0012174C"/>
    <w:rsid w:val="00121799"/>
    <w:rsid w:val="00121885"/>
    <w:rsid w:val="001222FC"/>
    <w:rsid w:val="00123902"/>
    <w:rsid w:val="00123CD7"/>
    <w:rsid w:val="00124A51"/>
    <w:rsid w:val="00125B91"/>
    <w:rsid w:val="0012630D"/>
    <w:rsid w:val="00126621"/>
    <w:rsid w:val="00126B1D"/>
    <w:rsid w:val="00127BEC"/>
    <w:rsid w:val="001301E9"/>
    <w:rsid w:val="0013101C"/>
    <w:rsid w:val="00131D82"/>
    <w:rsid w:val="001320E1"/>
    <w:rsid w:val="00132B22"/>
    <w:rsid w:val="00133D36"/>
    <w:rsid w:val="00134114"/>
    <w:rsid w:val="001356A6"/>
    <w:rsid w:val="00135E76"/>
    <w:rsid w:val="001368B7"/>
    <w:rsid w:val="00137645"/>
    <w:rsid w:val="0014015A"/>
    <w:rsid w:val="00140744"/>
    <w:rsid w:val="00140E99"/>
    <w:rsid w:val="001417E2"/>
    <w:rsid w:val="00143E61"/>
    <w:rsid w:val="00143F67"/>
    <w:rsid w:val="001442C6"/>
    <w:rsid w:val="00145234"/>
    <w:rsid w:val="00145540"/>
    <w:rsid w:val="001456B0"/>
    <w:rsid w:val="0014617B"/>
    <w:rsid w:val="00152388"/>
    <w:rsid w:val="0015295B"/>
    <w:rsid w:val="001547AB"/>
    <w:rsid w:val="00156251"/>
    <w:rsid w:val="00156F8F"/>
    <w:rsid w:val="00157130"/>
    <w:rsid w:val="001571D2"/>
    <w:rsid w:val="001576B1"/>
    <w:rsid w:val="0016047B"/>
    <w:rsid w:val="00160A4C"/>
    <w:rsid w:val="00162884"/>
    <w:rsid w:val="00162913"/>
    <w:rsid w:val="00163EFF"/>
    <w:rsid w:val="00163F66"/>
    <w:rsid w:val="001645BC"/>
    <w:rsid w:val="0016478E"/>
    <w:rsid w:val="00165EC4"/>
    <w:rsid w:val="001661FB"/>
    <w:rsid w:val="001668AA"/>
    <w:rsid w:val="001671A0"/>
    <w:rsid w:val="0016767F"/>
    <w:rsid w:val="0017062D"/>
    <w:rsid w:val="00171609"/>
    <w:rsid w:val="00172EEE"/>
    <w:rsid w:val="00173248"/>
    <w:rsid w:val="00173565"/>
    <w:rsid w:val="00173B07"/>
    <w:rsid w:val="0017480A"/>
    <w:rsid w:val="001751FA"/>
    <w:rsid w:val="00175A91"/>
    <w:rsid w:val="00177B12"/>
    <w:rsid w:val="00181C10"/>
    <w:rsid w:val="00181D9C"/>
    <w:rsid w:val="0018256D"/>
    <w:rsid w:val="001837FF"/>
    <w:rsid w:val="00184B0E"/>
    <w:rsid w:val="0018507F"/>
    <w:rsid w:val="00186756"/>
    <w:rsid w:val="0018752F"/>
    <w:rsid w:val="00190379"/>
    <w:rsid w:val="00193838"/>
    <w:rsid w:val="00194AD8"/>
    <w:rsid w:val="00194B7E"/>
    <w:rsid w:val="0019520A"/>
    <w:rsid w:val="00195222"/>
    <w:rsid w:val="00195452"/>
    <w:rsid w:val="001975D8"/>
    <w:rsid w:val="00197C83"/>
    <w:rsid w:val="001A178E"/>
    <w:rsid w:val="001A1991"/>
    <w:rsid w:val="001A1D44"/>
    <w:rsid w:val="001A2463"/>
    <w:rsid w:val="001A43FA"/>
    <w:rsid w:val="001A47C5"/>
    <w:rsid w:val="001A59FB"/>
    <w:rsid w:val="001A5E9E"/>
    <w:rsid w:val="001A6354"/>
    <w:rsid w:val="001A6366"/>
    <w:rsid w:val="001A69E0"/>
    <w:rsid w:val="001A6A19"/>
    <w:rsid w:val="001A7AE8"/>
    <w:rsid w:val="001B0677"/>
    <w:rsid w:val="001B1BAF"/>
    <w:rsid w:val="001B204E"/>
    <w:rsid w:val="001B2372"/>
    <w:rsid w:val="001B3443"/>
    <w:rsid w:val="001B344C"/>
    <w:rsid w:val="001B347F"/>
    <w:rsid w:val="001B4D20"/>
    <w:rsid w:val="001B617D"/>
    <w:rsid w:val="001B72D4"/>
    <w:rsid w:val="001B7DEA"/>
    <w:rsid w:val="001B7F84"/>
    <w:rsid w:val="001C1FEB"/>
    <w:rsid w:val="001C2A9B"/>
    <w:rsid w:val="001C3A03"/>
    <w:rsid w:val="001C3DD6"/>
    <w:rsid w:val="001C4299"/>
    <w:rsid w:val="001C4874"/>
    <w:rsid w:val="001C5375"/>
    <w:rsid w:val="001C5F94"/>
    <w:rsid w:val="001C6E66"/>
    <w:rsid w:val="001D09A5"/>
    <w:rsid w:val="001D0A6E"/>
    <w:rsid w:val="001D1100"/>
    <w:rsid w:val="001D12BA"/>
    <w:rsid w:val="001D1391"/>
    <w:rsid w:val="001D23FC"/>
    <w:rsid w:val="001D25D7"/>
    <w:rsid w:val="001D2B97"/>
    <w:rsid w:val="001D3498"/>
    <w:rsid w:val="001D3771"/>
    <w:rsid w:val="001D50B2"/>
    <w:rsid w:val="001D50CC"/>
    <w:rsid w:val="001D6D67"/>
    <w:rsid w:val="001D71F4"/>
    <w:rsid w:val="001D7645"/>
    <w:rsid w:val="001E117C"/>
    <w:rsid w:val="001E1E86"/>
    <w:rsid w:val="001E238E"/>
    <w:rsid w:val="001E2483"/>
    <w:rsid w:val="001E2B1E"/>
    <w:rsid w:val="001E2CFF"/>
    <w:rsid w:val="001E2F24"/>
    <w:rsid w:val="001E30D4"/>
    <w:rsid w:val="001E34DF"/>
    <w:rsid w:val="001E3CE0"/>
    <w:rsid w:val="001E50B6"/>
    <w:rsid w:val="001E52EB"/>
    <w:rsid w:val="001E57CF"/>
    <w:rsid w:val="001E61D2"/>
    <w:rsid w:val="001E6B98"/>
    <w:rsid w:val="001E740C"/>
    <w:rsid w:val="001F0432"/>
    <w:rsid w:val="001F1235"/>
    <w:rsid w:val="001F1970"/>
    <w:rsid w:val="001F1CB3"/>
    <w:rsid w:val="001F38B5"/>
    <w:rsid w:val="001F4081"/>
    <w:rsid w:val="001F449B"/>
    <w:rsid w:val="001F7361"/>
    <w:rsid w:val="001F7608"/>
    <w:rsid w:val="001F78DB"/>
    <w:rsid w:val="00200506"/>
    <w:rsid w:val="002011B0"/>
    <w:rsid w:val="00202199"/>
    <w:rsid w:val="00203181"/>
    <w:rsid w:val="00203783"/>
    <w:rsid w:val="0020385F"/>
    <w:rsid w:val="00206894"/>
    <w:rsid w:val="002068A0"/>
    <w:rsid w:val="0020695C"/>
    <w:rsid w:val="00207021"/>
    <w:rsid w:val="0020732F"/>
    <w:rsid w:val="00207887"/>
    <w:rsid w:val="00207D00"/>
    <w:rsid w:val="0021044A"/>
    <w:rsid w:val="002105C1"/>
    <w:rsid w:val="00211163"/>
    <w:rsid w:val="002116FD"/>
    <w:rsid w:val="00211E84"/>
    <w:rsid w:val="0021392A"/>
    <w:rsid w:val="00213EF5"/>
    <w:rsid w:val="00216BF5"/>
    <w:rsid w:val="00222C88"/>
    <w:rsid w:val="00223583"/>
    <w:rsid w:val="002236E3"/>
    <w:rsid w:val="00223B49"/>
    <w:rsid w:val="00223D5A"/>
    <w:rsid w:val="00224DD4"/>
    <w:rsid w:val="00225895"/>
    <w:rsid w:val="002278A0"/>
    <w:rsid w:val="002309CC"/>
    <w:rsid w:val="00231BA9"/>
    <w:rsid w:val="0023209F"/>
    <w:rsid w:val="00233575"/>
    <w:rsid w:val="00233674"/>
    <w:rsid w:val="00233C01"/>
    <w:rsid w:val="0023413C"/>
    <w:rsid w:val="002346F0"/>
    <w:rsid w:val="00234B32"/>
    <w:rsid w:val="00234EC8"/>
    <w:rsid w:val="0023629D"/>
    <w:rsid w:val="0023687B"/>
    <w:rsid w:val="00236BC7"/>
    <w:rsid w:val="00237255"/>
    <w:rsid w:val="00237E0F"/>
    <w:rsid w:val="0024102E"/>
    <w:rsid w:val="00241E91"/>
    <w:rsid w:val="002424AF"/>
    <w:rsid w:val="00243887"/>
    <w:rsid w:val="002439DC"/>
    <w:rsid w:val="0024413F"/>
    <w:rsid w:val="002441D2"/>
    <w:rsid w:val="00244A71"/>
    <w:rsid w:val="00244DC8"/>
    <w:rsid w:val="002458BA"/>
    <w:rsid w:val="00245CE9"/>
    <w:rsid w:val="00245E22"/>
    <w:rsid w:val="0024636C"/>
    <w:rsid w:val="00246574"/>
    <w:rsid w:val="00247925"/>
    <w:rsid w:val="00251006"/>
    <w:rsid w:val="002516F0"/>
    <w:rsid w:val="00251B78"/>
    <w:rsid w:val="002524D5"/>
    <w:rsid w:val="00252F41"/>
    <w:rsid w:val="00253B1D"/>
    <w:rsid w:val="00253E5A"/>
    <w:rsid w:val="00254DCF"/>
    <w:rsid w:val="0025534B"/>
    <w:rsid w:val="00255BB7"/>
    <w:rsid w:val="00256BB0"/>
    <w:rsid w:val="00257541"/>
    <w:rsid w:val="00257A39"/>
    <w:rsid w:val="00257AC4"/>
    <w:rsid w:val="00257BBE"/>
    <w:rsid w:val="00257DC2"/>
    <w:rsid w:val="00261EEF"/>
    <w:rsid w:val="00262A1A"/>
    <w:rsid w:val="00262A87"/>
    <w:rsid w:val="002633CA"/>
    <w:rsid w:val="00263887"/>
    <w:rsid w:val="002639A6"/>
    <w:rsid w:val="0026474F"/>
    <w:rsid w:val="00264D26"/>
    <w:rsid w:val="00266D06"/>
    <w:rsid w:val="00266FB7"/>
    <w:rsid w:val="002673C7"/>
    <w:rsid w:val="00267642"/>
    <w:rsid w:val="00267AEA"/>
    <w:rsid w:val="00267C88"/>
    <w:rsid w:val="002700E6"/>
    <w:rsid w:val="002710E3"/>
    <w:rsid w:val="002712CF"/>
    <w:rsid w:val="00271840"/>
    <w:rsid w:val="002720E6"/>
    <w:rsid w:val="00272102"/>
    <w:rsid w:val="0027294B"/>
    <w:rsid w:val="00273BA1"/>
    <w:rsid w:val="00273EB4"/>
    <w:rsid w:val="00274682"/>
    <w:rsid w:val="00274D5A"/>
    <w:rsid w:val="00275158"/>
    <w:rsid w:val="00275C5A"/>
    <w:rsid w:val="00281014"/>
    <w:rsid w:val="00282571"/>
    <w:rsid w:val="00282E14"/>
    <w:rsid w:val="00285B7A"/>
    <w:rsid w:val="00285BCE"/>
    <w:rsid w:val="0028664B"/>
    <w:rsid w:val="0028665D"/>
    <w:rsid w:val="0028666F"/>
    <w:rsid w:val="00286B2A"/>
    <w:rsid w:val="00287352"/>
    <w:rsid w:val="0029121C"/>
    <w:rsid w:val="00293997"/>
    <w:rsid w:val="002942A1"/>
    <w:rsid w:val="0029663E"/>
    <w:rsid w:val="002A0242"/>
    <w:rsid w:val="002A06E6"/>
    <w:rsid w:val="002A14AB"/>
    <w:rsid w:val="002A21DA"/>
    <w:rsid w:val="002A2ADE"/>
    <w:rsid w:val="002A2F50"/>
    <w:rsid w:val="002A347F"/>
    <w:rsid w:val="002A4CD8"/>
    <w:rsid w:val="002A7943"/>
    <w:rsid w:val="002B05A1"/>
    <w:rsid w:val="002B09A4"/>
    <w:rsid w:val="002B1C1F"/>
    <w:rsid w:val="002B2504"/>
    <w:rsid w:val="002B432F"/>
    <w:rsid w:val="002B62B3"/>
    <w:rsid w:val="002B6754"/>
    <w:rsid w:val="002B6CCE"/>
    <w:rsid w:val="002B7B50"/>
    <w:rsid w:val="002C2510"/>
    <w:rsid w:val="002C2775"/>
    <w:rsid w:val="002C27C1"/>
    <w:rsid w:val="002C3026"/>
    <w:rsid w:val="002C33F1"/>
    <w:rsid w:val="002C36E3"/>
    <w:rsid w:val="002C5099"/>
    <w:rsid w:val="002C5889"/>
    <w:rsid w:val="002C5AF7"/>
    <w:rsid w:val="002C71CE"/>
    <w:rsid w:val="002D08F8"/>
    <w:rsid w:val="002D14ED"/>
    <w:rsid w:val="002D2E2E"/>
    <w:rsid w:val="002D32D6"/>
    <w:rsid w:val="002D37E4"/>
    <w:rsid w:val="002D4EC2"/>
    <w:rsid w:val="002D577C"/>
    <w:rsid w:val="002D7832"/>
    <w:rsid w:val="002E0CA0"/>
    <w:rsid w:val="002E0E30"/>
    <w:rsid w:val="002E1071"/>
    <w:rsid w:val="002E15B9"/>
    <w:rsid w:val="002E2158"/>
    <w:rsid w:val="002E2180"/>
    <w:rsid w:val="002E2701"/>
    <w:rsid w:val="002E36C0"/>
    <w:rsid w:val="002E4F02"/>
    <w:rsid w:val="002E4F7D"/>
    <w:rsid w:val="002E7722"/>
    <w:rsid w:val="002E7954"/>
    <w:rsid w:val="002F031E"/>
    <w:rsid w:val="002F07BA"/>
    <w:rsid w:val="002F0DA9"/>
    <w:rsid w:val="002F1014"/>
    <w:rsid w:val="002F16DF"/>
    <w:rsid w:val="002F1E3B"/>
    <w:rsid w:val="002F258C"/>
    <w:rsid w:val="002F3B4D"/>
    <w:rsid w:val="002F3D59"/>
    <w:rsid w:val="002F482B"/>
    <w:rsid w:val="002F4E39"/>
    <w:rsid w:val="002F5EC3"/>
    <w:rsid w:val="002F643C"/>
    <w:rsid w:val="002F71C0"/>
    <w:rsid w:val="002F74F1"/>
    <w:rsid w:val="0030044F"/>
    <w:rsid w:val="00300E7F"/>
    <w:rsid w:val="00301017"/>
    <w:rsid w:val="0030155F"/>
    <w:rsid w:val="0030193D"/>
    <w:rsid w:val="00302F8E"/>
    <w:rsid w:val="00304BA5"/>
    <w:rsid w:val="0030525F"/>
    <w:rsid w:val="0030587B"/>
    <w:rsid w:val="003062D6"/>
    <w:rsid w:val="003068F8"/>
    <w:rsid w:val="00306D98"/>
    <w:rsid w:val="0030786C"/>
    <w:rsid w:val="0031031A"/>
    <w:rsid w:val="00310367"/>
    <w:rsid w:val="003104B8"/>
    <w:rsid w:val="00310981"/>
    <w:rsid w:val="00311D9B"/>
    <w:rsid w:val="003124D9"/>
    <w:rsid w:val="00312594"/>
    <w:rsid w:val="003126FF"/>
    <w:rsid w:val="00312E22"/>
    <w:rsid w:val="003151A9"/>
    <w:rsid w:val="00315498"/>
    <w:rsid w:val="00316474"/>
    <w:rsid w:val="003203FC"/>
    <w:rsid w:val="00320F73"/>
    <w:rsid w:val="00322107"/>
    <w:rsid w:val="00322355"/>
    <w:rsid w:val="00322846"/>
    <w:rsid w:val="00323C8A"/>
    <w:rsid w:val="003269A7"/>
    <w:rsid w:val="00326DA7"/>
    <w:rsid w:val="003270E4"/>
    <w:rsid w:val="00327FCB"/>
    <w:rsid w:val="00330DAA"/>
    <w:rsid w:val="00330F5C"/>
    <w:rsid w:val="0033433A"/>
    <w:rsid w:val="003366C9"/>
    <w:rsid w:val="003371B0"/>
    <w:rsid w:val="003377EE"/>
    <w:rsid w:val="00340DF1"/>
    <w:rsid w:val="00346DA1"/>
    <w:rsid w:val="0034717A"/>
    <w:rsid w:val="00347D9A"/>
    <w:rsid w:val="00350D93"/>
    <w:rsid w:val="0035112F"/>
    <w:rsid w:val="003517F9"/>
    <w:rsid w:val="00351BA9"/>
    <w:rsid w:val="00353A1D"/>
    <w:rsid w:val="00354F64"/>
    <w:rsid w:val="00355C55"/>
    <w:rsid w:val="0035620E"/>
    <w:rsid w:val="003575BE"/>
    <w:rsid w:val="00360345"/>
    <w:rsid w:val="00360CA7"/>
    <w:rsid w:val="00361A05"/>
    <w:rsid w:val="003624C4"/>
    <w:rsid w:val="0036329E"/>
    <w:rsid w:val="00363B00"/>
    <w:rsid w:val="003654AC"/>
    <w:rsid w:val="003707C4"/>
    <w:rsid w:val="00370B60"/>
    <w:rsid w:val="003710CF"/>
    <w:rsid w:val="00372438"/>
    <w:rsid w:val="0037358A"/>
    <w:rsid w:val="00373B03"/>
    <w:rsid w:val="00374184"/>
    <w:rsid w:val="003750F6"/>
    <w:rsid w:val="003757FA"/>
    <w:rsid w:val="003760FC"/>
    <w:rsid w:val="003776BD"/>
    <w:rsid w:val="00382B8B"/>
    <w:rsid w:val="0038365C"/>
    <w:rsid w:val="0038369B"/>
    <w:rsid w:val="00383A9B"/>
    <w:rsid w:val="00383B78"/>
    <w:rsid w:val="0038436D"/>
    <w:rsid w:val="00385A9D"/>
    <w:rsid w:val="0038669F"/>
    <w:rsid w:val="00386B94"/>
    <w:rsid w:val="00387121"/>
    <w:rsid w:val="0038727C"/>
    <w:rsid w:val="00387882"/>
    <w:rsid w:val="00387F27"/>
    <w:rsid w:val="003902B1"/>
    <w:rsid w:val="00390DEE"/>
    <w:rsid w:val="0039179C"/>
    <w:rsid w:val="00391A61"/>
    <w:rsid w:val="00392513"/>
    <w:rsid w:val="00393236"/>
    <w:rsid w:val="00393AF2"/>
    <w:rsid w:val="00396896"/>
    <w:rsid w:val="00396FD0"/>
    <w:rsid w:val="003A13DC"/>
    <w:rsid w:val="003A1A7A"/>
    <w:rsid w:val="003A2392"/>
    <w:rsid w:val="003A26C9"/>
    <w:rsid w:val="003A279A"/>
    <w:rsid w:val="003A2831"/>
    <w:rsid w:val="003A3CB6"/>
    <w:rsid w:val="003A3ED1"/>
    <w:rsid w:val="003A44DB"/>
    <w:rsid w:val="003A4C14"/>
    <w:rsid w:val="003A53A2"/>
    <w:rsid w:val="003A5703"/>
    <w:rsid w:val="003A5738"/>
    <w:rsid w:val="003A6B47"/>
    <w:rsid w:val="003A7154"/>
    <w:rsid w:val="003A7747"/>
    <w:rsid w:val="003B0629"/>
    <w:rsid w:val="003B074F"/>
    <w:rsid w:val="003B3971"/>
    <w:rsid w:val="003B55B6"/>
    <w:rsid w:val="003B55D1"/>
    <w:rsid w:val="003B5A8E"/>
    <w:rsid w:val="003B5B61"/>
    <w:rsid w:val="003B71B6"/>
    <w:rsid w:val="003C0771"/>
    <w:rsid w:val="003C1654"/>
    <w:rsid w:val="003C3ADC"/>
    <w:rsid w:val="003C3CED"/>
    <w:rsid w:val="003C5542"/>
    <w:rsid w:val="003C61D4"/>
    <w:rsid w:val="003C669F"/>
    <w:rsid w:val="003C698A"/>
    <w:rsid w:val="003C7ABB"/>
    <w:rsid w:val="003C7C15"/>
    <w:rsid w:val="003C7D19"/>
    <w:rsid w:val="003C7D2F"/>
    <w:rsid w:val="003D0A86"/>
    <w:rsid w:val="003D0C5A"/>
    <w:rsid w:val="003D1828"/>
    <w:rsid w:val="003D1DE4"/>
    <w:rsid w:val="003D1E9A"/>
    <w:rsid w:val="003D2422"/>
    <w:rsid w:val="003D39A1"/>
    <w:rsid w:val="003D3FBF"/>
    <w:rsid w:val="003D4A30"/>
    <w:rsid w:val="003D560B"/>
    <w:rsid w:val="003D7452"/>
    <w:rsid w:val="003D74A5"/>
    <w:rsid w:val="003D79BB"/>
    <w:rsid w:val="003D7C98"/>
    <w:rsid w:val="003D7D9D"/>
    <w:rsid w:val="003E0543"/>
    <w:rsid w:val="003E5603"/>
    <w:rsid w:val="003E6C89"/>
    <w:rsid w:val="003E749E"/>
    <w:rsid w:val="003E7CF5"/>
    <w:rsid w:val="003F1B6E"/>
    <w:rsid w:val="003F205C"/>
    <w:rsid w:val="003F4156"/>
    <w:rsid w:val="003F5ADF"/>
    <w:rsid w:val="003F5BE8"/>
    <w:rsid w:val="00400B29"/>
    <w:rsid w:val="00402812"/>
    <w:rsid w:val="0040504B"/>
    <w:rsid w:val="004059F4"/>
    <w:rsid w:val="00407FE5"/>
    <w:rsid w:val="004101B0"/>
    <w:rsid w:val="00410326"/>
    <w:rsid w:val="00410708"/>
    <w:rsid w:val="00410EC7"/>
    <w:rsid w:val="00411B39"/>
    <w:rsid w:val="004127A7"/>
    <w:rsid w:val="00412D27"/>
    <w:rsid w:val="00413070"/>
    <w:rsid w:val="004134FA"/>
    <w:rsid w:val="00413A1E"/>
    <w:rsid w:val="00414476"/>
    <w:rsid w:val="00414C2E"/>
    <w:rsid w:val="004151CF"/>
    <w:rsid w:val="00415262"/>
    <w:rsid w:val="00415A51"/>
    <w:rsid w:val="00416364"/>
    <w:rsid w:val="004200A3"/>
    <w:rsid w:val="0042047F"/>
    <w:rsid w:val="004207EA"/>
    <w:rsid w:val="00420AA6"/>
    <w:rsid w:val="00420B9F"/>
    <w:rsid w:val="00420D81"/>
    <w:rsid w:val="004215DE"/>
    <w:rsid w:val="0042192C"/>
    <w:rsid w:val="00422260"/>
    <w:rsid w:val="00422AE4"/>
    <w:rsid w:val="00423DB3"/>
    <w:rsid w:val="0042413F"/>
    <w:rsid w:val="00424C78"/>
    <w:rsid w:val="00426B10"/>
    <w:rsid w:val="00427363"/>
    <w:rsid w:val="00430A9D"/>
    <w:rsid w:val="004319F8"/>
    <w:rsid w:val="00431E55"/>
    <w:rsid w:val="004320CC"/>
    <w:rsid w:val="004321F6"/>
    <w:rsid w:val="00432E87"/>
    <w:rsid w:val="00433044"/>
    <w:rsid w:val="00434088"/>
    <w:rsid w:val="00434F0A"/>
    <w:rsid w:val="00435CCC"/>
    <w:rsid w:val="004375B9"/>
    <w:rsid w:val="004379CD"/>
    <w:rsid w:val="0044037A"/>
    <w:rsid w:val="004415AB"/>
    <w:rsid w:val="004422E4"/>
    <w:rsid w:val="004426A5"/>
    <w:rsid w:val="004428D0"/>
    <w:rsid w:val="00443EC4"/>
    <w:rsid w:val="00444185"/>
    <w:rsid w:val="004443A7"/>
    <w:rsid w:val="0044442C"/>
    <w:rsid w:val="004444CC"/>
    <w:rsid w:val="00444C86"/>
    <w:rsid w:val="00445941"/>
    <w:rsid w:val="004464EB"/>
    <w:rsid w:val="00447D26"/>
    <w:rsid w:val="00447DFC"/>
    <w:rsid w:val="00451ACB"/>
    <w:rsid w:val="004531C4"/>
    <w:rsid w:val="00453984"/>
    <w:rsid w:val="004547ED"/>
    <w:rsid w:val="00455D45"/>
    <w:rsid w:val="004603F5"/>
    <w:rsid w:val="00460D8F"/>
    <w:rsid w:val="00460E89"/>
    <w:rsid w:val="00463351"/>
    <w:rsid w:val="00464595"/>
    <w:rsid w:val="004658B5"/>
    <w:rsid w:val="004676DC"/>
    <w:rsid w:val="00470D65"/>
    <w:rsid w:val="00471EA5"/>
    <w:rsid w:val="00472A79"/>
    <w:rsid w:val="00472EEA"/>
    <w:rsid w:val="0047396D"/>
    <w:rsid w:val="00473F19"/>
    <w:rsid w:val="00474238"/>
    <w:rsid w:val="00475E22"/>
    <w:rsid w:val="00476328"/>
    <w:rsid w:val="004771F9"/>
    <w:rsid w:val="0048088E"/>
    <w:rsid w:val="00480C6B"/>
    <w:rsid w:val="00480F2B"/>
    <w:rsid w:val="00482720"/>
    <w:rsid w:val="0048294B"/>
    <w:rsid w:val="004835E7"/>
    <w:rsid w:val="004842EB"/>
    <w:rsid w:val="004859E1"/>
    <w:rsid w:val="00485AFF"/>
    <w:rsid w:val="00486038"/>
    <w:rsid w:val="004867E2"/>
    <w:rsid w:val="004868C7"/>
    <w:rsid w:val="00487ACF"/>
    <w:rsid w:val="00490026"/>
    <w:rsid w:val="00490433"/>
    <w:rsid w:val="0049082E"/>
    <w:rsid w:val="00490B17"/>
    <w:rsid w:val="00490EBB"/>
    <w:rsid w:val="00491B3A"/>
    <w:rsid w:val="00492CFD"/>
    <w:rsid w:val="00494207"/>
    <w:rsid w:val="00494DD5"/>
    <w:rsid w:val="004962D2"/>
    <w:rsid w:val="004974E2"/>
    <w:rsid w:val="004A0DA1"/>
    <w:rsid w:val="004A13D6"/>
    <w:rsid w:val="004A13F9"/>
    <w:rsid w:val="004A4EBA"/>
    <w:rsid w:val="004A52E9"/>
    <w:rsid w:val="004A6040"/>
    <w:rsid w:val="004A6597"/>
    <w:rsid w:val="004A7848"/>
    <w:rsid w:val="004A793B"/>
    <w:rsid w:val="004A7958"/>
    <w:rsid w:val="004B1CB4"/>
    <w:rsid w:val="004B212A"/>
    <w:rsid w:val="004B27D0"/>
    <w:rsid w:val="004B2F18"/>
    <w:rsid w:val="004B3DDB"/>
    <w:rsid w:val="004B40FA"/>
    <w:rsid w:val="004B44FD"/>
    <w:rsid w:val="004B566B"/>
    <w:rsid w:val="004B5CFC"/>
    <w:rsid w:val="004B5F11"/>
    <w:rsid w:val="004B6F79"/>
    <w:rsid w:val="004B774D"/>
    <w:rsid w:val="004C0BC1"/>
    <w:rsid w:val="004C18CE"/>
    <w:rsid w:val="004C1A2C"/>
    <w:rsid w:val="004C22D5"/>
    <w:rsid w:val="004C23F6"/>
    <w:rsid w:val="004C2AC2"/>
    <w:rsid w:val="004C33CE"/>
    <w:rsid w:val="004C4AED"/>
    <w:rsid w:val="004C6A82"/>
    <w:rsid w:val="004D22E8"/>
    <w:rsid w:val="004D2C2D"/>
    <w:rsid w:val="004D37CB"/>
    <w:rsid w:val="004D4C5B"/>
    <w:rsid w:val="004D507B"/>
    <w:rsid w:val="004D69B5"/>
    <w:rsid w:val="004D7227"/>
    <w:rsid w:val="004D7B5E"/>
    <w:rsid w:val="004E0AE7"/>
    <w:rsid w:val="004E0E7F"/>
    <w:rsid w:val="004E0EB8"/>
    <w:rsid w:val="004E18E9"/>
    <w:rsid w:val="004E1FF8"/>
    <w:rsid w:val="004E2ADC"/>
    <w:rsid w:val="004E43B2"/>
    <w:rsid w:val="004E5E22"/>
    <w:rsid w:val="004E64C3"/>
    <w:rsid w:val="004E651F"/>
    <w:rsid w:val="004E786E"/>
    <w:rsid w:val="004E7B3D"/>
    <w:rsid w:val="004F1D02"/>
    <w:rsid w:val="004F1FF1"/>
    <w:rsid w:val="004F2679"/>
    <w:rsid w:val="004F2A19"/>
    <w:rsid w:val="004F2F21"/>
    <w:rsid w:val="004F39BA"/>
    <w:rsid w:val="004F3DE5"/>
    <w:rsid w:val="004F5B0C"/>
    <w:rsid w:val="004F6913"/>
    <w:rsid w:val="004F6F25"/>
    <w:rsid w:val="004F7865"/>
    <w:rsid w:val="0050174E"/>
    <w:rsid w:val="00501854"/>
    <w:rsid w:val="0050219B"/>
    <w:rsid w:val="00502864"/>
    <w:rsid w:val="00502AFA"/>
    <w:rsid w:val="00503171"/>
    <w:rsid w:val="00503F17"/>
    <w:rsid w:val="00503F3A"/>
    <w:rsid w:val="00505231"/>
    <w:rsid w:val="00506928"/>
    <w:rsid w:val="005077EF"/>
    <w:rsid w:val="00507ADC"/>
    <w:rsid w:val="005104C6"/>
    <w:rsid w:val="005105E7"/>
    <w:rsid w:val="00511691"/>
    <w:rsid w:val="00511AD5"/>
    <w:rsid w:val="00511DC7"/>
    <w:rsid w:val="00512870"/>
    <w:rsid w:val="00513F4F"/>
    <w:rsid w:val="005142C5"/>
    <w:rsid w:val="00514FCE"/>
    <w:rsid w:val="0051501B"/>
    <w:rsid w:val="005152B5"/>
    <w:rsid w:val="00515886"/>
    <w:rsid w:val="00515E72"/>
    <w:rsid w:val="0052123C"/>
    <w:rsid w:val="00521319"/>
    <w:rsid w:val="00521623"/>
    <w:rsid w:val="005218BC"/>
    <w:rsid w:val="005222F0"/>
    <w:rsid w:val="005223BE"/>
    <w:rsid w:val="00522BC8"/>
    <w:rsid w:val="00523521"/>
    <w:rsid w:val="00523870"/>
    <w:rsid w:val="00523C28"/>
    <w:rsid w:val="00527E71"/>
    <w:rsid w:val="00530DEE"/>
    <w:rsid w:val="0053176B"/>
    <w:rsid w:val="00531F1F"/>
    <w:rsid w:val="0053353E"/>
    <w:rsid w:val="00533938"/>
    <w:rsid w:val="005341B3"/>
    <w:rsid w:val="005363C0"/>
    <w:rsid w:val="00536F42"/>
    <w:rsid w:val="00537182"/>
    <w:rsid w:val="00537FEB"/>
    <w:rsid w:val="00541CED"/>
    <w:rsid w:val="00541EDD"/>
    <w:rsid w:val="00542743"/>
    <w:rsid w:val="00542C2D"/>
    <w:rsid w:val="00546ED6"/>
    <w:rsid w:val="005478BD"/>
    <w:rsid w:val="005479E3"/>
    <w:rsid w:val="005506E2"/>
    <w:rsid w:val="0055106D"/>
    <w:rsid w:val="00551081"/>
    <w:rsid w:val="005515D5"/>
    <w:rsid w:val="00551985"/>
    <w:rsid w:val="00552785"/>
    <w:rsid w:val="00552BD3"/>
    <w:rsid w:val="00552E87"/>
    <w:rsid w:val="005532A0"/>
    <w:rsid w:val="00555109"/>
    <w:rsid w:val="005551A8"/>
    <w:rsid w:val="00556B35"/>
    <w:rsid w:val="0055741A"/>
    <w:rsid w:val="005611B7"/>
    <w:rsid w:val="005618D4"/>
    <w:rsid w:val="00564867"/>
    <w:rsid w:val="005655C6"/>
    <w:rsid w:val="00565C79"/>
    <w:rsid w:val="00565DF0"/>
    <w:rsid w:val="00566203"/>
    <w:rsid w:val="0056696F"/>
    <w:rsid w:val="00570B21"/>
    <w:rsid w:val="00572269"/>
    <w:rsid w:val="0057244A"/>
    <w:rsid w:val="0057252D"/>
    <w:rsid w:val="00572F26"/>
    <w:rsid w:val="00573547"/>
    <w:rsid w:val="005740C5"/>
    <w:rsid w:val="005750C5"/>
    <w:rsid w:val="005752DE"/>
    <w:rsid w:val="00575A23"/>
    <w:rsid w:val="00575AA1"/>
    <w:rsid w:val="00575D60"/>
    <w:rsid w:val="00575D8D"/>
    <w:rsid w:val="00576972"/>
    <w:rsid w:val="00577248"/>
    <w:rsid w:val="005812C9"/>
    <w:rsid w:val="00583699"/>
    <w:rsid w:val="00584E52"/>
    <w:rsid w:val="00585CDD"/>
    <w:rsid w:val="005863A8"/>
    <w:rsid w:val="00587058"/>
    <w:rsid w:val="00587BE5"/>
    <w:rsid w:val="0059023C"/>
    <w:rsid w:val="00591957"/>
    <w:rsid w:val="005927E8"/>
    <w:rsid w:val="00593791"/>
    <w:rsid w:val="00594B35"/>
    <w:rsid w:val="00597BF9"/>
    <w:rsid w:val="005A0221"/>
    <w:rsid w:val="005A0C11"/>
    <w:rsid w:val="005A3000"/>
    <w:rsid w:val="005A309A"/>
    <w:rsid w:val="005A373D"/>
    <w:rsid w:val="005A52AA"/>
    <w:rsid w:val="005A5635"/>
    <w:rsid w:val="005A68BF"/>
    <w:rsid w:val="005A6DDE"/>
    <w:rsid w:val="005A7590"/>
    <w:rsid w:val="005B00FC"/>
    <w:rsid w:val="005B077D"/>
    <w:rsid w:val="005B0B58"/>
    <w:rsid w:val="005B19FB"/>
    <w:rsid w:val="005B47F6"/>
    <w:rsid w:val="005B4E53"/>
    <w:rsid w:val="005B5857"/>
    <w:rsid w:val="005C19C4"/>
    <w:rsid w:val="005C1B83"/>
    <w:rsid w:val="005C25FF"/>
    <w:rsid w:val="005C2D55"/>
    <w:rsid w:val="005C346B"/>
    <w:rsid w:val="005C4F6E"/>
    <w:rsid w:val="005C5ABC"/>
    <w:rsid w:val="005C5F1C"/>
    <w:rsid w:val="005D044D"/>
    <w:rsid w:val="005D0ABD"/>
    <w:rsid w:val="005D18AD"/>
    <w:rsid w:val="005D20AC"/>
    <w:rsid w:val="005D26B4"/>
    <w:rsid w:val="005D380C"/>
    <w:rsid w:val="005D6C2D"/>
    <w:rsid w:val="005D7F59"/>
    <w:rsid w:val="005E1995"/>
    <w:rsid w:val="005E264D"/>
    <w:rsid w:val="005E4FEB"/>
    <w:rsid w:val="005E5E11"/>
    <w:rsid w:val="005E669A"/>
    <w:rsid w:val="005E6CBC"/>
    <w:rsid w:val="005E72FF"/>
    <w:rsid w:val="005E73C0"/>
    <w:rsid w:val="005F07ED"/>
    <w:rsid w:val="005F21AB"/>
    <w:rsid w:val="005F2706"/>
    <w:rsid w:val="005F41CB"/>
    <w:rsid w:val="005F5CC3"/>
    <w:rsid w:val="005F6A8F"/>
    <w:rsid w:val="005F6BB7"/>
    <w:rsid w:val="005F7588"/>
    <w:rsid w:val="00603DB9"/>
    <w:rsid w:val="006058E0"/>
    <w:rsid w:val="006064D8"/>
    <w:rsid w:val="00606FBA"/>
    <w:rsid w:val="00607669"/>
    <w:rsid w:val="006076F4"/>
    <w:rsid w:val="00607AFD"/>
    <w:rsid w:val="006100EC"/>
    <w:rsid w:val="00611B12"/>
    <w:rsid w:val="00612F97"/>
    <w:rsid w:val="00612FD8"/>
    <w:rsid w:val="0061345D"/>
    <w:rsid w:val="0061549B"/>
    <w:rsid w:val="00616802"/>
    <w:rsid w:val="006171B3"/>
    <w:rsid w:val="00617E12"/>
    <w:rsid w:val="006204B2"/>
    <w:rsid w:val="00620C25"/>
    <w:rsid w:val="00621477"/>
    <w:rsid w:val="00621ADA"/>
    <w:rsid w:val="00622055"/>
    <w:rsid w:val="00623F7B"/>
    <w:rsid w:val="00624403"/>
    <w:rsid w:val="00624989"/>
    <w:rsid w:val="00624BD4"/>
    <w:rsid w:val="00624F35"/>
    <w:rsid w:val="00625930"/>
    <w:rsid w:val="00627571"/>
    <w:rsid w:val="00627764"/>
    <w:rsid w:val="00627D9E"/>
    <w:rsid w:val="006303CE"/>
    <w:rsid w:val="00630929"/>
    <w:rsid w:val="0063158F"/>
    <w:rsid w:val="00631D6B"/>
    <w:rsid w:val="00632183"/>
    <w:rsid w:val="006330A1"/>
    <w:rsid w:val="0063479F"/>
    <w:rsid w:val="00634FF2"/>
    <w:rsid w:val="006353F0"/>
    <w:rsid w:val="00635614"/>
    <w:rsid w:val="006357B5"/>
    <w:rsid w:val="006364A1"/>
    <w:rsid w:val="0063678E"/>
    <w:rsid w:val="006368D3"/>
    <w:rsid w:val="00637BFD"/>
    <w:rsid w:val="00637C5C"/>
    <w:rsid w:val="006415CF"/>
    <w:rsid w:val="00641C4E"/>
    <w:rsid w:val="00641FB3"/>
    <w:rsid w:val="006426D6"/>
    <w:rsid w:val="0064434C"/>
    <w:rsid w:val="006471CC"/>
    <w:rsid w:val="006472FE"/>
    <w:rsid w:val="00647A29"/>
    <w:rsid w:val="0065079F"/>
    <w:rsid w:val="00650D1D"/>
    <w:rsid w:val="00650E00"/>
    <w:rsid w:val="00651891"/>
    <w:rsid w:val="00652A28"/>
    <w:rsid w:val="00653133"/>
    <w:rsid w:val="006534C1"/>
    <w:rsid w:val="00653509"/>
    <w:rsid w:val="0065379F"/>
    <w:rsid w:val="00653B39"/>
    <w:rsid w:val="00656188"/>
    <w:rsid w:val="006562AD"/>
    <w:rsid w:val="00656A90"/>
    <w:rsid w:val="0065715A"/>
    <w:rsid w:val="006610F1"/>
    <w:rsid w:val="00661C6B"/>
    <w:rsid w:val="00662D3E"/>
    <w:rsid w:val="00663050"/>
    <w:rsid w:val="00665A77"/>
    <w:rsid w:val="00667BE3"/>
    <w:rsid w:val="00671004"/>
    <w:rsid w:val="00672646"/>
    <w:rsid w:val="00672AC9"/>
    <w:rsid w:val="0067426D"/>
    <w:rsid w:val="00674E42"/>
    <w:rsid w:val="00676563"/>
    <w:rsid w:val="00677A8F"/>
    <w:rsid w:val="00677FEE"/>
    <w:rsid w:val="00680091"/>
    <w:rsid w:val="00680163"/>
    <w:rsid w:val="00680A2D"/>
    <w:rsid w:val="00680ADA"/>
    <w:rsid w:val="006813F8"/>
    <w:rsid w:val="00682112"/>
    <w:rsid w:val="00682BA6"/>
    <w:rsid w:val="00682D5B"/>
    <w:rsid w:val="0068484C"/>
    <w:rsid w:val="00684A5C"/>
    <w:rsid w:val="0068581E"/>
    <w:rsid w:val="006862D6"/>
    <w:rsid w:val="0068666A"/>
    <w:rsid w:val="00686957"/>
    <w:rsid w:val="006872BA"/>
    <w:rsid w:val="00687F35"/>
    <w:rsid w:val="00690795"/>
    <w:rsid w:val="00691648"/>
    <w:rsid w:val="006917D7"/>
    <w:rsid w:val="006927E8"/>
    <w:rsid w:val="00693410"/>
    <w:rsid w:val="0069434C"/>
    <w:rsid w:val="00694F44"/>
    <w:rsid w:val="00696BC8"/>
    <w:rsid w:val="00696EF9"/>
    <w:rsid w:val="00696F51"/>
    <w:rsid w:val="006979A5"/>
    <w:rsid w:val="006A016F"/>
    <w:rsid w:val="006A0DF7"/>
    <w:rsid w:val="006A2454"/>
    <w:rsid w:val="006A42A9"/>
    <w:rsid w:val="006A4321"/>
    <w:rsid w:val="006A43D9"/>
    <w:rsid w:val="006A4BD5"/>
    <w:rsid w:val="006A6202"/>
    <w:rsid w:val="006A6B99"/>
    <w:rsid w:val="006A7E5F"/>
    <w:rsid w:val="006B261B"/>
    <w:rsid w:val="006B2C90"/>
    <w:rsid w:val="006B35E6"/>
    <w:rsid w:val="006B465A"/>
    <w:rsid w:val="006B62AC"/>
    <w:rsid w:val="006B640F"/>
    <w:rsid w:val="006B6DD0"/>
    <w:rsid w:val="006B764D"/>
    <w:rsid w:val="006B7AEA"/>
    <w:rsid w:val="006B7CB0"/>
    <w:rsid w:val="006C0399"/>
    <w:rsid w:val="006C05CA"/>
    <w:rsid w:val="006C2A8E"/>
    <w:rsid w:val="006C3255"/>
    <w:rsid w:val="006C3A8A"/>
    <w:rsid w:val="006C3AB0"/>
    <w:rsid w:val="006C3F26"/>
    <w:rsid w:val="006C4EA5"/>
    <w:rsid w:val="006C56DA"/>
    <w:rsid w:val="006C754D"/>
    <w:rsid w:val="006D013F"/>
    <w:rsid w:val="006D04A0"/>
    <w:rsid w:val="006D0D17"/>
    <w:rsid w:val="006D190E"/>
    <w:rsid w:val="006D1A00"/>
    <w:rsid w:val="006D3C7D"/>
    <w:rsid w:val="006D4659"/>
    <w:rsid w:val="006D4FB6"/>
    <w:rsid w:val="006D515B"/>
    <w:rsid w:val="006D5D5F"/>
    <w:rsid w:val="006D68FB"/>
    <w:rsid w:val="006E2868"/>
    <w:rsid w:val="006E2E14"/>
    <w:rsid w:val="006E6340"/>
    <w:rsid w:val="006E6F5F"/>
    <w:rsid w:val="006F1A6C"/>
    <w:rsid w:val="006F23A7"/>
    <w:rsid w:val="006F2C8E"/>
    <w:rsid w:val="006F306C"/>
    <w:rsid w:val="006F5293"/>
    <w:rsid w:val="006F5B17"/>
    <w:rsid w:val="006F5B7A"/>
    <w:rsid w:val="006F63A5"/>
    <w:rsid w:val="006F7471"/>
    <w:rsid w:val="006F755E"/>
    <w:rsid w:val="006F7C6C"/>
    <w:rsid w:val="007009F7"/>
    <w:rsid w:val="0070142B"/>
    <w:rsid w:val="00701475"/>
    <w:rsid w:val="007020FF"/>
    <w:rsid w:val="0070276E"/>
    <w:rsid w:val="00702F8F"/>
    <w:rsid w:val="007079FC"/>
    <w:rsid w:val="00707E75"/>
    <w:rsid w:val="00710482"/>
    <w:rsid w:val="00711A36"/>
    <w:rsid w:val="007125D3"/>
    <w:rsid w:val="00714C26"/>
    <w:rsid w:val="0071529C"/>
    <w:rsid w:val="00715E14"/>
    <w:rsid w:val="007170DA"/>
    <w:rsid w:val="007172AD"/>
    <w:rsid w:val="00717546"/>
    <w:rsid w:val="0072051C"/>
    <w:rsid w:val="00720801"/>
    <w:rsid w:val="00721454"/>
    <w:rsid w:val="00722B1B"/>
    <w:rsid w:val="0072402D"/>
    <w:rsid w:val="0072416F"/>
    <w:rsid w:val="00727C94"/>
    <w:rsid w:val="00727DF1"/>
    <w:rsid w:val="00731B0A"/>
    <w:rsid w:val="00731EAE"/>
    <w:rsid w:val="00731FF2"/>
    <w:rsid w:val="00733073"/>
    <w:rsid w:val="00735033"/>
    <w:rsid w:val="00735258"/>
    <w:rsid w:val="00735328"/>
    <w:rsid w:val="00735900"/>
    <w:rsid w:val="0073685B"/>
    <w:rsid w:val="007377EA"/>
    <w:rsid w:val="007449BF"/>
    <w:rsid w:val="007463FE"/>
    <w:rsid w:val="00746BC0"/>
    <w:rsid w:val="00747572"/>
    <w:rsid w:val="00747D5F"/>
    <w:rsid w:val="007501A4"/>
    <w:rsid w:val="0075027F"/>
    <w:rsid w:val="007510B4"/>
    <w:rsid w:val="00752142"/>
    <w:rsid w:val="007523F9"/>
    <w:rsid w:val="0075357E"/>
    <w:rsid w:val="00753B29"/>
    <w:rsid w:val="00753EC7"/>
    <w:rsid w:val="00754476"/>
    <w:rsid w:val="00755140"/>
    <w:rsid w:val="0075679A"/>
    <w:rsid w:val="00756861"/>
    <w:rsid w:val="00757323"/>
    <w:rsid w:val="007573E8"/>
    <w:rsid w:val="00760588"/>
    <w:rsid w:val="00760C4E"/>
    <w:rsid w:val="00760F9E"/>
    <w:rsid w:val="007616E6"/>
    <w:rsid w:val="007627BE"/>
    <w:rsid w:val="00764F03"/>
    <w:rsid w:val="00765B1A"/>
    <w:rsid w:val="00765DC1"/>
    <w:rsid w:val="00766C7C"/>
    <w:rsid w:val="007677EA"/>
    <w:rsid w:val="00767C3A"/>
    <w:rsid w:val="00770DB2"/>
    <w:rsid w:val="00771152"/>
    <w:rsid w:val="007712A6"/>
    <w:rsid w:val="00773D5D"/>
    <w:rsid w:val="00775281"/>
    <w:rsid w:val="00777335"/>
    <w:rsid w:val="00777A23"/>
    <w:rsid w:val="00781AE1"/>
    <w:rsid w:val="00781BFE"/>
    <w:rsid w:val="007843F2"/>
    <w:rsid w:val="007846FA"/>
    <w:rsid w:val="007849A8"/>
    <w:rsid w:val="00785A9F"/>
    <w:rsid w:val="00786720"/>
    <w:rsid w:val="00787805"/>
    <w:rsid w:val="00787A48"/>
    <w:rsid w:val="00787B56"/>
    <w:rsid w:val="007925DF"/>
    <w:rsid w:val="007A08AA"/>
    <w:rsid w:val="007A0A12"/>
    <w:rsid w:val="007A132D"/>
    <w:rsid w:val="007A1345"/>
    <w:rsid w:val="007A2DDB"/>
    <w:rsid w:val="007A326F"/>
    <w:rsid w:val="007A70BA"/>
    <w:rsid w:val="007B0C14"/>
    <w:rsid w:val="007B0D68"/>
    <w:rsid w:val="007B251D"/>
    <w:rsid w:val="007B3533"/>
    <w:rsid w:val="007B38BF"/>
    <w:rsid w:val="007B3DC5"/>
    <w:rsid w:val="007B3F1A"/>
    <w:rsid w:val="007B4F58"/>
    <w:rsid w:val="007B528D"/>
    <w:rsid w:val="007B52DA"/>
    <w:rsid w:val="007B63CA"/>
    <w:rsid w:val="007B6416"/>
    <w:rsid w:val="007B77D1"/>
    <w:rsid w:val="007C07C7"/>
    <w:rsid w:val="007C1CD9"/>
    <w:rsid w:val="007C32EF"/>
    <w:rsid w:val="007C361D"/>
    <w:rsid w:val="007C4B84"/>
    <w:rsid w:val="007C501F"/>
    <w:rsid w:val="007C660F"/>
    <w:rsid w:val="007C6D59"/>
    <w:rsid w:val="007C70FF"/>
    <w:rsid w:val="007C7C25"/>
    <w:rsid w:val="007D004F"/>
    <w:rsid w:val="007D035F"/>
    <w:rsid w:val="007D06B2"/>
    <w:rsid w:val="007D0B38"/>
    <w:rsid w:val="007D4827"/>
    <w:rsid w:val="007D5440"/>
    <w:rsid w:val="007D56AC"/>
    <w:rsid w:val="007D69EB"/>
    <w:rsid w:val="007D76CF"/>
    <w:rsid w:val="007E0212"/>
    <w:rsid w:val="007E09EC"/>
    <w:rsid w:val="007E128F"/>
    <w:rsid w:val="007E5474"/>
    <w:rsid w:val="007E600E"/>
    <w:rsid w:val="007E657E"/>
    <w:rsid w:val="007F01A8"/>
    <w:rsid w:val="007F09AB"/>
    <w:rsid w:val="007F1017"/>
    <w:rsid w:val="007F21F6"/>
    <w:rsid w:val="007F3820"/>
    <w:rsid w:val="007F4A3F"/>
    <w:rsid w:val="007F4A61"/>
    <w:rsid w:val="007F5255"/>
    <w:rsid w:val="007F56CC"/>
    <w:rsid w:val="007F61C2"/>
    <w:rsid w:val="007F7211"/>
    <w:rsid w:val="008032CC"/>
    <w:rsid w:val="00805142"/>
    <w:rsid w:val="00805147"/>
    <w:rsid w:val="00805FCE"/>
    <w:rsid w:val="008060D9"/>
    <w:rsid w:val="00806177"/>
    <w:rsid w:val="0080758F"/>
    <w:rsid w:val="00807A8B"/>
    <w:rsid w:val="0081073B"/>
    <w:rsid w:val="00811383"/>
    <w:rsid w:val="00811CA0"/>
    <w:rsid w:val="00812149"/>
    <w:rsid w:val="00812CAC"/>
    <w:rsid w:val="00814D4B"/>
    <w:rsid w:val="00816361"/>
    <w:rsid w:val="008166EF"/>
    <w:rsid w:val="00816FEF"/>
    <w:rsid w:val="00817C42"/>
    <w:rsid w:val="00817E84"/>
    <w:rsid w:val="00820A8C"/>
    <w:rsid w:val="008215FB"/>
    <w:rsid w:val="008216C6"/>
    <w:rsid w:val="00821C38"/>
    <w:rsid w:val="008220CC"/>
    <w:rsid w:val="00823174"/>
    <w:rsid w:val="008234CD"/>
    <w:rsid w:val="00825751"/>
    <w:rsid w:val="008264EB"/>
    <w:rsid w:val="008268CE"/>
    <w:rsid w:val="00827C23"/>
    <w:rsid w:val="008306A9"/>
    <w:rsid w:val="00833B05"/>
    <w:rsid w:val="0083521C"/>
    <w:rsid w:val="008362B4"/>
    <w:rsid w:val="00837E7C"/>
    <w:rsid w:val="00837F06"/>
    <w:rsid w:val="00840019"/>
    <w:rsid w:val="00840326"/>
    <w:rsid w:val="00840CA2"/>
    <w:rsid w:val="00840F94"/>
    <w:rsid w:val="0084374F"/>
    <w:rsid w:val="00844198"/>
    <w:rsid w:val="00844A22"/>
    <w:rsid w:val="0084687D"/>
    <w:rsid w:val="00847703"/>
    <w:rsid w:val="00847DF5"/>
    <w:rsid w:val="00850152"/>
    <w:rsid w:val="00850EDD"/>
    <w:rsid w:val="0085119B"/>
    <w:rsid w:val="00851EEF"/>
    <w:rsid w:val="00852923"/>
    <w:rsid w:val="0085309D"/>
    <w:rsid w:val="008552E2"/>
    <w:rsid w:val="00855BB4"/>
    <w:rsid w:val="00856897"/>
    <w:rsid w:val="00856E9A"/>
    <w:rsid w:val="00857708"/>
    <w:rsid w:val="0086075D"/>
    <w:rsid w:val="00860BCF"/>
    <w:rsid w:val="00860D9F"/>
    <w:rsid w:val="00862502"/>
    <w:rsid w:val="0086255F"/>
    <w:rsid w:val="00862CC1"/>
    <w:rsid w:val="00863E89"/>
    <w:rsid w:val="008642A7"/>
    <w:rsid w:val="0086509C"/>
    <w:rsid w:val="008660D4"/>
    <w:rsid w:val="0086645E"/>
    <w:rsid w:val="00871DE1"/>
    <w:rsid w:val="00871FA9"/>
    <w:rsid w:val="008728E9"/>
    <w:rsid w:val="00875D2F"/>
    <w:rsid w:val="00876B7A"/>
    <w:rsid w:val="00882874"/>
    <w:rsid w:val="00882E3C"/>
    <w:rsid w:val="0088308A"/>
    <w:rsid w:val="00883456"/>
    <w:rsid w:val="00883787"/>
    <w:rsid w:val="00884D4D"/>
    <w:rsid w:val="00884D75"/>
    <w:rsid w:val="008855E4"/>
    <w:rsid w:val="008867F1"/>
    <w:rsid w:val="00886CD2"/>
    <w:rsid w:val="008907EC"/>
    <w:rsid w:val="00891B63"/>
    <w:rsid w:val="00891E6F"/>
    <w:rsid w:val="00892350"/>
    <w:rsid w:val="008923F8"/>
    <w:rsid w:val="00892713"/>
    <w:rsid w:val="0089275D"/>
    <w:rsid w:val="00892A36"/>
    <w:rsid w:val="00892E69"/>
    <w:rsid w:val="00893239"/>
    <w:rsid w:val="00894489"/>
    <w:rsid w:val="00894CD6"/>
    <w:rsid w:val="00895016"/>
    <w:rsid w:val="00895395"/>
    <w:rsid w:val="0089596E"/>
    <w:rsid w:val="008963A5"/>
    <w:rsid w:val="00896576"/>
    <w:rsid w:val="00896D5D"/>
    <w:rsid w:val="008A06FA"/>
    <w:rsid w:val="008A3158"/>
    <w:rsid w:val="008A3363"/>
    <w:rsid w:val="008A3371"/>
    <w:rsid w:val="008A3C3E"/>
    <w:rsid w:val="008A6257"/>
    <w:rsid w:val="008A79DE"/>
    <w:rsid w:val="008B03CD"/>
    <w:rsid w:val="008B1757"/>
    <w:rsid w:val="008B1C33"/>
    <w:rsid w:val="008B303C"/>
    <w:rsid w:val="008B327B"/>
    <w:rsid w:val="008B4B6F"/>
    <w:rsid w:val="008B774C"/>
    <w:rsid w:val="008B7992"/>
    <w:rsid w:val="008B7D7E"/>
    <w:rsid w:val="008C0241"/>
    <w:rsid w:val="008C06E5"/>
    <w:rsid w:val="008C0CB3"/>
    <w:rsid w:val="008C193F"/>
    <w:rsid w:val="008C1DF4"/>
    <w:rsid w:val="008C43CC"/>
    <w:rsid w:val="008C511B"/>
    <w:rsid w:val="008C5610"/>
    <w:rsid w:val="008C5739"/>
    <w:rsid w:val="008C7282"/>
    <w:rsid w:val="008C7ECB"/>
    <w:rsid w:val="008D0FE4"/>
    <w:rsid w:val="008D3B86"/>
    <w:rsid w:val="008D43FD"/>
    <w:rsid w:val="008D4755"/>
    <w:rsid w:val="008D4C3D"/>
    <w:rsid w:val="008D522B"/>
    <w:rsid w:val="008D5E0B"/>
    <w:rsid w:val="008D743C"/>
    <w:rsid w:val="008E0D3C"/>
    <w:rsid w:val="008E1597"/>
    <w:rsid w:val="008E1B9E"/>
    <w:rsid w:val="008E2E0C"/>
    <w:rsid w:val="008E377D"/>
    <w:rsid w:val="008E4765"/>
    <w:rsid w:val="008E5590"/>
    <w:rsid w:val="008E55AB"/>
    <w:rsid w:val="008E71E8"/>
    <w:rsid w:val="008E74BE"/>
    <w:rsid w:val="008F0726"/>
    <w:rsid w:val="008F120A"/>
    <w:rsid w:val="008F27E0"/>
    <w:rsid w:val="008F48EB"/>
    <w:rsid w:val="008F4F0B"/>
    <w:rsid w:val="008F59D7"/>
    <w:rsid w:val="008F5DC4"/>
    <w:rsid w:val="008F625F"/>
    <w:rsid w:val="0090056F"/>
    <w:rsid w:val="009005E4"/>
    <w:rsid w:val="0090165C"/>
    <w:rsid w:val="00902B34"/>
    <w:rsid w:val="0090374A"/>
    <w:rsid w:val="009046C4"/>
    <w:rsid w:val="0090513C"/>
    <w:rsid w:val="009062A5"/>
    <w:rsid w:val="00907699"/>
    <w:rsid w:val="00910FA7"/>
    <w:rsid w:val="00911272"/>
    <w:rsid w:val="00911339"/>
    <w:rsid w:val="00911C42"/>
    <w:rsid w:val="009135D6"/>
    <w:rsid w:val="0091470F"/>
    <w:rsid w:val="00914C77"/>
    <w:rsid w:val="00921ACB"/>
    <w:rsid w:val="0092245B"/>
    <w:rsid w:val="0092369B"/>
    <w:rsid w:val="00923E6B"/>
    <w:rsid w:val="0092466A"/>
    <w:rsid w:val="00924D72"/>
    <w:rsid w:val="00925060"/>
    <w:rsid w:val="00925286"/>
    <w:rsid w:val="00931E22"/>
    <w:rsid w:val="00932812"/>
    <w:rsid w:val="009333C9"/>
    <w:rsid w:val="00934138"/>
    <w:rsid w:val="009341E8"/>
    <w:rsid w:val="00934988"/>
    <w:rsid w:val="00937089"/>
    <w:rsid w:val="0094115F"/>
    <w:rsid w:val="009423C2"/>
    <w:rsid w:val="009430FE"/>
    <w:rsid w:val="00944F8A"/>
    <w:rsid w:val="00945929"/>
    <w:rsid w:val="00946DF6"/>
    <w:rsid w:val="009510A2"/>
    <w:rsid w:val="00951AFE"/>
    <w:rsid w:val="00953257"/>
    <w:rsid w:val="0095474C"/>
    <w:rsid w:val="00955238"/>
    <w:rsid w:val="009567BF"/>
    <w:rsid w:val="00957D92"/>
    <w:rsid w:val="00962237"/>
    <w:rsid w:val="00962685"/>
    <w:rsid w:val="00962CB9"/>
    <w:rsid w:val="00964312"/>
    <w:rsid w:val="00964FBB"/>
    <w:rsid w:val="00965B8A"/>
    <w:rsid w:val="009669CF"/>
    <w:rsid w:val="00966A17"/>
    <w:rsid w:val="00966F38"/>
    <w:rsid w:val="0097071F"/>
    <w:rsid w:val="00970CAB"/>
    <w:rsid w:val="009717AC"/>
    <w:rsid w:val="009751C1"/>
    <w:rsid w:val="00980827"/>
    <w:rsid w:val="009811F1"/>
    <w:rsid w:val="00983E57"/>
    <w:rsid w:val="00985DE2"/>
    <w:rsid w:val="0098675D"/>
    <w:rsid w:val="00987BA4"/>
    <w:rsid w:val="0099020B"/>
    <w:rsid w:val="009903A4"/>
    <w:rsid w:val="00991C63"/>
    <w:rsid w:val="009920CA"/>
    <w:rsid w:val="009924E8"/>
    <w:rsid w:val="009926E0"/>
    <w:rsid w:val="00993C91"/>
    <w:rsid w:val="0099451E"/>
    <w:rsid w:val="0099593F"/>
    <w:rsid w:val="00995C0D"/>
    <w:rsid w:val="00995D6E"/>
    <w:rsid w:val="00996B1A"/>
    <w:rsid w:val="009971D4"/>
    <w:rsid w:val="009A18F6"/>
    <w:rsid w:val="009A2639"/>
    <w:rsid w:val="009A2DCC"/>
    <w:rsid w:val="009A3956"/>
    <w:rsid w:val="009A5ABC"/>
    <w:rsid w:val="009A7F10"/>
    <w:rsid w:val="009B0741"/>
    <w:rsid w:val="009B3E26"/>
    <w:rsid w:val="009B4F0D"/>
    <w:rsid w:val="009B57CE"/>
    <w:rsid w:val="009B6A22"/>
    <w:rsid w:val="009B6B4E"/>
    <w:rsid w:val="009B6CCE"/>
    <w:rsid w:val="009B731D"/>
    <w:rsid w:val="009C053B"/>
    <w:rsid w:val="009C1271"/>
    <w:rsid w:val="009C3706"/>
    <w:rsid w:val="009C3A3A"/>
    <w:rsid w:val="009C4C56"/>
    <w:rsid w:val="009C57E5"/>
    <w:rsid w:val="009C5939"/>
    <w:rsid w:val="009C6CEA"/>
    <w:rsid w:val="009C7B70"/>
    <w:rsid w:val="009C7B85"/>
    <w:rsid w:val="009C7F3C"/>
    <w:rsid w:val="009D0254"/>
    <w:rsid w:val="009D0848"/>
    <w:rsid w:val="009D12D9"/>
    <w:rsid w:val="009D1A64"/>
    <w:rsid w:val="009D305B"/>
    <w:rsid w:val="009D322D"/>
    <w:rsid w:val="009D3922"/>
    <w:rsid w:val="009D48BD"/>
    <w:rsid w:val="009D5888"/>
    <w:rsid w:val="009D589A"/>
    <w:rsid w:val="009D5B91"/>
    <w:rsid w:val="009D70E5"/>
    <w:rsid w:val="009D792E"/>
    <w:rsid w:val="009D79A2"/>
    <w:rsid w:val="009E0DFE"/>
    <w:rsid w:val="009E2338"/>
    <w:rsid w:val="009E31F6"/>
    <w:rsid w:val="009E3783"/>
    <w:rsid w:val="009E491C"/>
    <w:rsid w:val="009E4C07"/>
    <w:rsid w:val="009E64B4"/>
    <w:rsid w:val="009E777F"/>
    <w:rsid w:val="009F3F87"/>
    <w:rsid w:val="009F519A"/>
    <w:rsid w:val="009F6120"/>
    <w:rsid w:val="009F6EEF"/>
    <w:rsid w:val="009F6F11"/>
    <w:rsid w:val="009F7354"/>
    <w:rsid w:val="00A00D76"/>
    <w:rsid w:val="00A00E14"/>
    <w:rsid w:val="00A01184"/>
    <w:rsid w:val="00A01449"/>
    <w:rsid w:val="00A02D3A"/>
    <w:rsid w:val="00A037C2"/>
    <w:rsid w:val="00A03D43"/>
    <w:rsid w:val="00A04380"/>
    <w:rsid w:val="00A04786"/>
    <w:rsid w:val="00A05472"/>
    <w:rsid w:val="00A05C32"/>
    <w:rsid w:val="00A0653F"/>
    <w:rsid w:val="00A067FA"/>
    <w:rsid w:val="00A07D28"/>
    <w:rsid w:val="00A107D8"/>
    <w:rsid w:val="00A11CD0"/>
    <w:rsid w:val="00A13948"/>
    <w:rsid w:val="00A14FC2"/>
    <w:rsid w:val="00A1555B"/>
    <w:rsid w:val="00A155C5"/>
    <w:rsid w:val="00A160C7"/>
    <w:rsid w:val="00A16162"/>
    <w:rsid w:val="00A16AD8"/>
    <w:rsid w:val="00A170BD"/>
    <w:rsid w:val="00A17F28"/>
    <w:rsid w:val="00A2021E"/>
    <w:rsid w:val="00A21791"/>
    <w:rsid w:val="00A21A67"/>
    <w:rsid w:val="00A21C95"/>
    <w:rsid w:val="00A21CF3"/>
    <w:rsid w:val="00A228C7"/>
    <w:rsid w:val="00A233FF"/>
    <w:rsid w:val="00A24813"/>
    <w:rsid w:val="00A2490F"/>
    <w:rsid w:val="00A27AEC"/>
    <w:rsid w:val="00A301D4"/>
    <w:rsid w:val="00A31FAE"/>
    <w:rsid w:val="00A320DB"/>
    <w:rsid w:val="00A35D16"/>
    <w:rsid w:val="00A368C1"/>
    <w:rsid w:val="00A37BCD"/>
    <w:rsid w:val="00A37F3F"/>
    <w:rsid w:val="00A402C1"/>
    <w:rsid w:val="00A41689"/>
    <w:rsid w:val="00A42592"/>
    <w:rsid w:val="00A42D90"/>
    <w:rsid w:val="00A43730"/>
    <w:rsid w:val="00A43C59"/>
    <w:rsid w:val="00A4438A"/>
    <w:rsid w:val="00A50C2B"/>
    <w:rsid w:val="00A50ECD"/>
    <w:rsid w:val="00A518F3"/>
    <w:rsid w:val="00A521AF"/>
    <w:rsid w:val="00A52729"/>
    <w:rsid w:val="00A53675"/>
    <w:rsid w:val="00A548DE"/>
    <w:rsid w:val="00A54AA6"/>
    <w:rsid w:val="00A55176"/>
    <w:rsid w:val="00A564D7"/>
    <w:rsid w:val="00A56B6A"/>
    <w:rsid w:val="00A574CB"/>
    <w:rsid w:val="00A578DC"/>
    <w:rsid w:val="00A60008"/>
    <w:rsid w:val="00A610B9"/>
    <w:rsid w:val="00A61C27"/>
    <w:rsid w:val="00A62CA3"/>
    <w:rsid w:val="00A640E2"/>
    <w:rsid w:val="00A64D65"/>
    <w:rsid w:val="00A65772"/>
    <w:rsid w:val="00A6725B"/>
    <w:rsid w:val="00A67307"/>
    <w:rsid w:val="00A70605"/>
    <w:rsid w:val="00A71237"/>
    <w:rsid w:val="00A723BE"/>
    <w:rsid w:val="00A73134"/>
    <w:rsid w:val="00A7365A"/>
    <w:rsid w:val="00A76001"/>
    <w:rsid w:val="00A777B2"/>
    <w:rsid w:val="00A77DD2"/>
    <w:rsid w:val="00A77FA8"/>
    <w:rsid w:val="00A81195"/>
    <w:rsid w:val="00A81AEC"/>
    <w:rsid w:val="00A825D4"/>
    <w:rsid w:val="00A828F6"/>
    <w:rsid w:val="00A82B73"/>
    <w:rsid w:val="00A8342D"/>
    <w:rsid w:val="00A84930"/>
    <w:rsid w:val="00A8510C"/>
    <w:rsid w:val="00A862F9"/>
    <w:rsid w:val="00A86E8B"/>
    <w:rsid w:val="00A87164"/>
    <w:rsid w:val="00A871A9"/>
    <w:rsid w:val="00A872B2"/>
    <w:rsid w:val="00A8794C"/>
    <w:rsid w:val="00A91700"/>
    <w:rsid w:val="00A91FC0"/>
    <w:rsid w:val="00A93072"/>
    <w:rsid w:val="00A938BD"/>
    <w:rsid w:val="00A93953"/>
    <w:rsid w:val="00A9402C"/>
    <w:rsid w:val="00A959D8"/>
    <w:rsid w:val="00A96F3E"/>
    <w:rsid w:val="00AA01C2"/>
    <w:rsid w:val="00AA113D"/>
    <w:rsid w:val="00AA2816"/>
    <w:rsid w:val="00AA3145"/>
    <w:rsid w:val="00AA4797"/>
    <w:rsid w:val="00AA5D06"/>
    <w:rsid w:val="00AA6B8E"/>
    <w:rsid w:val="00AA6BD5"/>
    <w:rsid w:val="00AA6BD8"/>
    <w:rsid w:val="00AA6C7D"/>
    <w:rsid w:val="00AA70EE"/>
    <w:rsid w:val="00AA74AA"/>
    <w:rsid w:val="00AA7FD6"/>
    <w:rsid w:val="00AB042A"/>
    <w:rsid w:val="00AB11AD"/>
    <w:rsid w:val="00AB19EF"/>
    <w:rsid w:val="00AB1CED"/>
    <w:rsid w:val="00AB2495"/>
    <w:rsid w:val="00AB26A4"/>
    <w:rsid w:val="00AB2D34"/>
    <w:rsid w:val="00AB3430"/>
    <w:rsid w:val="00AB37B9"/>
    <w:rsid w:val="00AB411D"/>
    <w:rsid w:val="00AB4AD1"/>
    <w:rsid w:val="00AB5DDE"/>
    <w:rsid w:val="00AB5E07"/>
    <w:rsid w:val="00AB793D"/>
    <w:rsid w:val="00AB7CFA"/>
    <w:rsid w:val="00AC07DA"/>
    <w:rsid w:val="00AC2DA6"/>
    <w:rsid w:val="00AC35F4"/>
    <w:rsid w:val="00AC5267"/>
    <w:rsid w:val="00AC5B42"/>
    <w:rsid w:val="00AC5B48"/>
    <w:rsid w:val="00AC6AEF"/>
    <w:rsid w:val="00AC7A5A"/>
    <w:rsid w:val="00AD07E4"/>
    <w:rsid w:val="00AD1450"/>
    <w:rsid w:val="00AD15E8"/>
    <w:rsid w:val="00AD2BE0"/>
    <w:rsid w:val="00AD356D"/>
    <w:rsid w:val="00AD37B2"/>
    <w:rsid w:val="00AD3DBD"/>
    <w:rsid w:val="00AD6502"/>
    <w:rsid w:val="00AD69DE"/>
    <w:rsid w:val="00AD784E"/>
    <w:rsid w:val="00AE0582"/>
    <w:rsid w:val="00AE0695"/>
    <w:rsid w:val="00AE39FF"/>
    <w:rsid w:val="00AE3E7E"/>
    <w:rsid w:val="00AE7E53"/>
    <w:rsid w:val="00AE7EE3"/>
    <w:rsid w:val="00AF1315"/>
    <w:rsid w:val="00AF19BF"/>
    <w:rsid w:val="00AF2115"/>
    <w:rsid w:val="00AF2C3C"/>
    <w:rsid w:val="00AF2DC3"/>
    <w:rsid w:val="00AF4610"/>
    <w:rsid w:val="00AF7733"/>
    <w:rsid w:val="00AF776F"/>
    <w:rsid w:val="00B0263D"/>
    <w:rsid w:val="00B033E5"/>
    <w:rsid w:val="00B03A63"/>
    <w:rsid w:val="00B05241"/>
    <w:rsid w:val="00B06503"/>
    <w:rsid w:val="00B12505"/>
    <w:rsid w:val="00B129A4"/>
    <w:rsid w:val="00B12ACF"/>
    <w:rsid w:val="00B1397F"/>
    <w:rsid w:val="00B151BB"/>
    <w:rsid w:val="00B165FC"/>
    <w:rsid w:val="00B17827"/>
    <w:rsid w:val="00B17AAF"/>
    <w:rsid w:val="00B201A4"/>
    <w:rsid w:val="00B201D1"/>
    <w:rsid w:val="00B20491"/>
    <w:rsid w:val="00B213A6"/>
    <w:rsid w:val="00B235B0"/>
    <w:rsid w:val="00B237C6"/>
    <w:rsid w:val="00B24465"/>
    <w:rsid w:val="00B24BA5"/>
    <w:rsid w:val="00B24DF6"/>
    <w:rsid w:val="00B27666"/>
    <w:rsid w:val="00B27A61"/>
    <w:rsid w:val="00B34FE2"/>
    <w:rsid w:val="00B35166"/>
    <w:rsid w:val="00B357D8"/>
    <w:rsid w:val="00B360F4"/>
    <w:rsid w:val="00B36A00"/>
    <w:rsid w:val="00B3792B"/>
    <w:rsid w:val="00B37BFC"/>
    <w:rsid w:val="00B40358"/>
    <w:rsid w:val="00B40417"/>
    <w:rsid w:val="00B41614"/>
    <w:rsid w:val="00B42851"/>
    <w:rsid w:val="00B42F80"/>
    <w:rsid w:val="00B435CB"/>
    <w:rsid w:val="00B465EC"/>
    <w:rsid w:val="00B47AEB"/>
    <w:rsid w:val="00B505C8"/>
    <w:rsid w:val="00B50DB8"/>
    <w:rsid w:val="00B51500"/>
    <w:rsid w:val="00B51DD1"/>
    <w:rsid w:val="00B52BB4"/>
    <w:rsid w:val="00B52F66"/>
    <w:rsid w:val="00B53654"/>
    <w:rsid w:val="00B53905"/>
    <w:rsid w:val="00B546DB"/>
    <w:rsid w:val="00B54B5B"/>
    <w:rsid w:val="00B55417"/>
    <w:rsid w:val="00B5562E"/>
    <w:rsid w:val="00B55862"/>
    <w:rsid w:val="00B55B4E"/>
    <w:rsid w:val="00B55D65"/>
    <w:rsid w:val="00B5620E"/>
    <w:rsid w:val="00B56305"/>
    <w:rsid w:val="00B56B7C"/>
    <w:rsid w:val="00B57000"/>
    <w:rsid w:val="00B60939"/>
    <w:rsid w:val="00B60AFD"/>
    <w:rsid w:val="00B61F30"/>
    <w:rsid w:val="00B62715"/>
    <w:rsid w:val="00B64774"/>
    <w:rsid w:val="00B65611"/>
    <w:rsid w:val="00B65ECE"/>
    <w:rsid w:val="00B6740C"/>
    <w:rsid w:val="00B7089A"/>
    <w:rsid w:val="00B70D5D"/>
    <w:rsid w:val="00B70E8E"/>
    <w:rsid w:val="00B71F7A"/>
    <w:rsid w:val="00B7216C"/>
    <w:rsid w:val="00B74D2B"/>
    <w:rsid w:val="00B75295"/>
    <w:rsid w:val="00B76C92"/>
    <w:rsid w:val="00B774B8"/>
    <w:rsid w:val="00B77859"/>
    <w:rsid w:val="00B80EFD"/>
    <w:rsid w:val="00B81371"/>
    <w:rsid w:val="00B818A4"/>
    <w:rsid w:val="00B82D67"/>
    <w:rsid w:val="00B83670"/>
    <w:rsid w:val="00B83739"/>
    <w:rsid w:val="00B839DB"/>
    <w:rsid w:val="00B84117"/>
    <w:rsid w:val="00B858F0"/>
    <w:rsid w:val="00B85AA2"/>
    <w:rsid w:val="00B85F6D"/>
    <w:rsid w:val="00B8649C"/>
    <w:rsid w:val="00B8695D"/>
    <w:rsid w:val="00B87F0A"/>
    <w:rsid w:val="00B91ABE"/>
    <w:rsid w:val="00B92C12"/>
    <w:rsid w:val="00B92D0B"/>
    <w:rsid w:val="00B939E7"/>
    <w:rsid w:val="00B93E36"/>
    <w:rsid w:val="00B94945"/>
    <w:rsid w:val="00B94961"/>
    <w:rsid w:val="00B94A4E"/>
    <w:rsid w:val="00B94DD6"/>
    <w:rsid w:val="00B95D47"/>
    <w:rsid w:val="00B968D3"/>
    <w:rsid w:val="00B96C48"/>
    <w:rsid w:val="00B9719D"/>
    <w:rsid w:val="00B97AFA"/>
    <w:rsid w:val="00BA0076"/>
    <w:rsid w:val="00BA163F"/>
    <w:rsid w:val="00BA1F3A"/>
    <w:rsid w:val="00BA1FF4"/>
    <w:rsid w:val="00BA2C24"/>
    <w:rsid w:val="00BA3013"/>
    <w:rsid w:val="00BA322D"/>
    <w:rsid w:val="00BA5157"/>
    <w:rsid w:val="00BA5594"/>
    <w:rsid w:val="00BA63FA"/>
    <w:rsid w:val="00BB00B3"/>
    <w:rsid w:val="00BB0472"/>
    <w:rsid w:val="00BB0BDD"/>
    <w:rsid w:val="00BB176C"/>
    <w:rsid w:val="00BB2A73"/>
    <w:rsid w:val="00BB2F85"/>
    <w:rsid w:val="00BB3A45"/>
    <w:rsid w:val="00BB4ACC"/>
    <w:rsid w:val="00BB6E3C"/>
    <w:rsid w:val="00BB703E"/>
    <w:rsid w:val="00BB711B"/>
    <w:rsid w:val="00BB732D"/>
    <w:rsid w:val="00BB7405"/>
    <w:rsid w:val="00BB7880"/>
    <w:rsid w:val="00BB7A88"/>
    <w:rsid w:val="00BC0017"/>
    <w:rsid w:val="00BC0F46"/>
    <w:rsid w:val="00BC2B7D"/>
    <w:rsid w:val="00BC3022"/>
    <w:rsid w:val="00BC3631"/>
    <w:rsid w:val="00BC4559"/>
    <w:rsid w:val="00BC584B"/>
    <w:rsid w:val="00BC591F"/>
    <w:rsid w:val="00BC7D6D"/>
    <w:rsid w:val="00BD2108"/>
    <w:rsid w:val="00BD2F19"/>
    <w:rsid w:val="00BD580A"/>
    <w:rsid w:val="00BD68A3"/>
    <w:rsid w:val="00BD6938"/>
    <w:rsid w:val="00BD6CF3"/>
    <w:rsid w:val="00BD7150"/>
    <w:rsid w:val="00BD7794"/>
    <w:rsid w:val="00BD7F72"/>
    <w:rsid w:val="00BE0ECA"/>
    <w:rsid w:val="00BE2180"/>
    <w:rsid w:val="00BE21F2"/>
    <w:rsid w:val="00BE2693"/>
    <w:rsid w:val="00BE2D28"/>
    <w:rsid w:val="00BE3200"/>
    <w:rsid w:val="00BE4275"/>
    <w:rsid w:val="00BF020A"/>
    <w:rsid w:val="00BF06AE"/>
    <w:rsid w:val="00BF089B"/>
    <w:rsid w:val="00BF0F95"/>
    <w:rsid w:val="00BF169E"/>
    <w:rsid w:val="00BF240A"/>
    <w:rsid w:val="00BF2433"/>
    <w:rsid w:val="00BF2E6E"/>
    <w:rsid w:val="00BF3293"/>
    <w:rsid w:val="00BF491D"/>
    <w:rsid w:val="00BF61C9"/>
    <w:rsid w:val="00BF6C94"/>
    <w:rsid w:val="00C00424"/>
    <w:rsid w:val="00C00BB0"/>
    <w:rsid w:val="00C010DB"/>
    <w:rsid w:val="00C036D8"/>
    <w:rsid w:val="00C05761"/>
    <w:rsid w:val="00C05AF6"/>
    <w:rsid w:val="00C1179F"/>
    <w:rsid w:val="00C12510"/>
    <w:rsid w:val="00C127B9"/>
    <w:rsid w:val="00C128FA"/>
    <w:rsid w:val="00C12A67"/>
    <w:rsid w:val="00C12C14"/>
    <w:rsid w:val="00C15F04"/>
    <w:rsid w:val="00C179B3"/>
    <w:rsid w:val="00C17E3F"/>
    <w:rsid w:val="00C200AA"/>
    <w:rsid w:val="00C2026C"/>
    <w:rsid w:val="00C2121C"/>
    <w:rsid w:val="00C2127E"/>
    <w:rsid w:val="00C21375"/>
    <w:rsid w:val="00C215DC"/>
    <w:rsid w:val="00C21A8E"/>
    <w:rsid w:val="00C237ED"/>
    <w:rsid w:val="00C23F5E"/>
    <w:rsid w:val="00C24632"/>
    <w:rsid w:val="00C24DDA"/>
    <w:rsid w:val="00C25418"/>
    <w:rsid w:val="00C25D9C"/>
    <w:rsid w:val="00C2612C"/>
    <w:rsid w:val="00C2616A"/>
    <w:rsid w:val="00C2778B"/>
    <w:rsid w:val="00C31649"/>
    <w:rsid w:val="00C334F4"/>
    <w:rsid w:val="00C33974"/>
    <w:rsid w:val="00C3434C"/>
    <w:rsid w:val="00C363FB"/>
    <w:rsid w:val="00C37DA7"/>
    <w:rsid w:val="00C40385"/>
    <w:rsid w:val="00C41768"/>
    <w:rsid w:val="00C42DB1"/>
    <w:rsid w:val="00C44294"/>
    <w:rsid w:val="00C45E59"/>
    <w:rsid w:val="00C475AA"/>
    <w:rsid w:val="00C5018E"/>
    <w:rsid w:val="00C5195D"/>
    <w:rsid w:val="00C527C7"/>
    <w:rsid w:val="00C53C98"/>
    <w:rsid w:val="00C56B46"/>
    <w:rsid w:val="00C56FCF"/>
    <w:rsid w:val="00C57B6C"/>
    <w:rsid w:val="00C61A59"/>
    <w:rsid w:val="00C628A6"/>
    <w:rsid w:val="00C63683"/>
    <w:rsid w:val="00C63694"/>
    <w:rsid w:val="00C6376F"/>
    <w:rsid w:val="00C63942"/>
    <w:rsid w:val="00C64344"/>
    <w:rsid w:val="00C65108"/>
    <w:rsid w:val="00C65576"/>
    <w:rsid w:val="00C656E0"/>
    <w:rsid w:val="00C659A8"/>
    <w:rsid w:val="00C65CA7"/>
    <w:rsid w:val="00C66165"/>
    <w:rsid w:val="00C70109"/>
    <w:rsid w:val="00C7060A"/>
    <w:rsid w:val="00C708A4"/>
    <w:rsid w:val="00C70D3B"/>
    <w:rsid w:val="00C7151A"/>
    <w:rsid w:val="00C717E3"/>
    <w:rsid w:val="00C71A1D"/>
    <w:rsid w:val="00C71F60"/>
    <w:rsid w:val="00C7209B"/>
    <w:rsid w:val="00C72241"/>
    <w:rsid w:val="00C74F86"/>
    <w:rsid w:val="00C750C8"/>
    <w:rsid w:val="00C7560F"/>
    <w:rsid w:val="00C757E4"/>
    <w:rsid w:val="00C767BB"/>
    <w:rsid w:val="00C80A0E"/>
    <w:rsid w:val="00C81CFA"/>
    <w:rsid w:val="00C8213F"/>
    <w:rsid w:val="00C8303F"/>
    <w:rsid w:val="00C83071"/>
    <w:rsid w:val="00C85154"/>
    <w:rsid w:val="00C856B2"/>
    <w:rsid w:val="00C85A70"/>
    <w:rsid w:val="00C863F4"/>
    <w:rsid w:val="00C8797A"/>
    <w:rsid w:val="00C900B8"/>
    <w:rsid w:val="00C90197"/>
    <w:rsid w:val="00C90C71"/>
    <w:rsid w:val="00C91FD1"/>
    <w:rsid w:val="00C92BE9"/>
    <w:rsid w:val="00C931CF"/>
    <w:rsid w:val="00C938CF"/>
    <w:rsid w:val="00C94053"/>
    <w:rsid w:val="00C9624D"/>
    <w:rsid w:val="00C969DA"/>
    <w:rsid w:val="00C971EC"/>
    <w:rsid w:val="00CA1117"/>
    <w:rsid w:val="00CA2220"/>
    <w:rsid w:val="00CA256D"/>
    <w:rsid w:val="00CA2C77"/>
    <w:rsid w:val="00CA43BA"/>
    <w:rsid w:val="00CA444F"/>
    <w:rsid w:val="00CA5245"/>
    <w:rsid w:val="00CA71F4"/>
    <w:rsid w:val="00CA7B09"/>
    <w:rsid w:val="00CA7C25"/>
    <w:rsid w:val="00CB019C"/>
    <w:rsid w:val="00CB052E"/>
    <w:rsid w:val="00CB12A5"/>
    <w:rsid w:val="00CB1CAC"/>
    <w:rsid w:val="00CB2453"/>
    <w:rsid w:val="00CB2E75"/>
    <w:rsid w:val="00CB2F2A"/>
    <w:rsid w:val="00CB5441"/>
    <w:rsid w:val="00CB54B0"/>
    <w:rsid w:val="00CB5576"/>
    <w:rsid w:val="00CB5B1A"/>
    <w:rsid w:val="00CB6B22"/>
    <w:rsid w:val="00CB704F"/>
    <w:rsid w:val="00CB7E3E"/>
    <w:rsid w:val="00CB7F5F"/>
    <w:rsid w:val="00CC1B39"/>
    <w:rsid w:val="00CC1BFA"/>
    <w:rsid w:val="00CC2E9F"/>
    <w:rsid w:val="00CC35EA"/>
    <w:rsid w:val="00CC3848"/>
    <w:rsid w:val="00CC4424"/>
    <w:rsid w:val="00CC5843"/>
    <w:rsid w:val="00CC5D0C"/>
    <w:rsid w:val="00CC6D5E"/>
    <w:rsid w:val="00CC7077"/>
    <w:rsid w:val="00CC7DB5"/>
    <w:rsid w:val="00CD0200"/>
    <w:rsid w:val="00CD1255"/>
    <w:rsid w:val="00CD2F7A"/>
    <w:rsid w:val="00CD3F77"/>
    <w:rsid w:val="00CD5BA6"/>
    <w:rsid w:val="00CD6ADC"/>
    <w:rsid w:val="00CD7193"/>
    <w:rsid w:val="00CE055C"/>
    <w:rsid w:val="00CE3226"/>
    <w:rsid w:val="00CE33F6"/>
    <w:rsid w:val="00CE38C8"/>
    <w:rsid w:val="00CE524F"/>
    <w:rsid w:val="00CE56F9"/>
    <w:rsid w:val="00CE58CC"/>
    <w:rsid w:val="00CE6274"/>
    <w:rsid w:val="00CE77B6"/>
    <w:rsid w:val="00CF02D4"/>
    <w:rsid w:val="00CF1B1E"/>
    <w:rsid w:val="00CF21F6"/>
    <w:rsid w:val="00CF2B8D"/>
    <w:rsid w:val="00CF3A1B"/>
    <w:rsid w:val="00CF456B"/>
    <w:rsid w:val="00CF4F6D"/>
    <w:rsid w:val="00CF5A22"/>
    <w:rsid w:val="00CF6037"/>
    <w:rsid w:val="00CF63AA"/>
    <w:rsid w:val="00CF644E"/>
    <w:rsid w:val="00D004D5"/>
    <w:rsid w:val="00D01511"/>
    <w:rsid w:val="00D0262E"/>
    <w:rsid w:val="00D0267C"/>
    <w:rsid w:val="00D03679"/>
    <w:rsid w:val="00D04AF5"/>
    <w:rsid w:val="00D059C9"/>
    <w:rsid w:val="00D05E3D"/>
    <w:rsid w:val="00D06139"/>
    <w:rsid w:val="00D110BD"/>
    <w:rsid w:val="00D1113C"/>
    <w:rsid w:val="00D11AE9"/>
    <w:rsid w:val="00D13675"/>
    <w:rsid w:val="00D141E1"/>
    <w:rsid w:val="00D14759"/>
    <w:rsid w:val="00D15314"/>
    <w:rsid w:val="00D156B1"/>
    <w:rsid w:val="00D15B48"/>
    <w:rsid w:val="00D17D6C"/>
    <w:rsid w:val="00D2155B"/>
    <w:rsid w:val="00D239AF"/>
    <w:rsid w:val="00D23D11"/>
    <w:rsid w:val="00D244B6"/>
    <w:rsid w:val="00D24D25"/>
    <w:rsid w:val="00D25BE4"/>
    <w:rsid w:val="00D25F51"/>
    <w:rsid w:val="00D26487"/>
    <w:rsid w:val="00D2754D"/>
    <w:rsid w:val="00D2796E"/>
    <w:rsid w:val="00D27B27"/>
    <w:rsid w:val="00D30D5B"/>
    <w:rsid w:val="00D310D6"/>
    <w:rsid w:val="00D33BE9"/>
    <w:rsid w:val="00D33F93"/>
    <w:rsid w:val="00D357FF"/>
    <w:rsid w:val="00D37AB5"/>
    <w:rsid w:val="00D424C7"/>
    <w:rsid w:val="00D43B2A"/>
    <w:rsid w:val="00D43CF1"/>
    <w:rsid w:val="00D43D83"/>
    <w:rsid w:val="00D471D9"/>
    <w:rsid w:val="00D47575"/>
    <w:rsid w:val="00D523C2"/>
    <w:rsid w:val="00D5243B"/>
    <w:rsid w:val="00D533EC"/>
    <w:rsid w:val="00D554E7"/>
    <w:rsid w:val="00D55801"/>
    <w:rsid w:val="00D564E9"/>
    <w:rsid w:val="00D569B9"/>
    <w:rsid w:val="00D56A95"/>
    <w:rsid w:val="00D57EB4"/>
    <w:rsid w:val="00D57EE9"/>
    <w:rsid w:val="00D6076E"/>
    <w:rsid w:val="00D61286"/>
    <w:rsid w:val="00D62D2A"/>
    <w:rsid w:val="00D6358C"/>
    <w:rsid w:val="00D63CF5"/>
    <w:rsid w:val="00D65252"/>
    <w:rsid w:val="00D65B1E"/>
    <w:rsid w:val="00D65F39"/>
    <w:rsid w:val="00D66669"/>
    <w:rsid w:val="00D66E3B"/>
    <w:rsid w:val="00D70F16"/>
    <w:rsid w:val="00D71C46"/>
    <w:rsid w:val="00D720F1"/>
    <w:rsid w:val="00D72617"/>
    <w:rsid w:val="00D72F57"/>
    <w:rsid w:val="00D730E1"/>
    <w:rsid w:val="00D7457F"/>
    <w:rsid w:val="00D761AB"/>
    <w:rsid w:val="00D76A44"/>
    <w:rsid w:val="00D7710E"/>
    <w:rsid w:val="00D815EF"/>
    <w:rsid w:val="00D81949"/>
    <w:rsid w:val="00D81F26"/>
    <w:rsid w:val="00D822E2"/>
    <w:rsid w:val="00D830C7"/>
    <w:rsid w:val="00D83454"/>
    <w:rsid w:val="00D83EDE"/>
    <w:rsid w:val="00D843F2"/>
    <w:rsid w:val="00D86231"/>
    <w:rsid w:val="00D87D35"/>
    <w:rsid w:val="00D904F6"/>
    <w:rsid w:val="00D912AB"/>
    <w:rsid w:val="00D91923"/>
    <w:rsid w:val="00D93753"/>
    <w:rsid w:val="00D93ED5"/>
    <w:rsid w:val="00D975F9"/>
    <w:rsid w:val="00DA309B"/>
    <w:rsid w:val="00DA3167"/>
    <w:rsid w:val="00DA3A56"/>
    <w:rsid w:val="00DA425A"/>
    <w:rsid w:val="00DA47D7"/>
    <w:rsid w:val="00DA4B84"/>
    <w:rsid w:val="00DA4DC3"/>
    <w:rsid w:val="00DA6FF7"/>
    <w:rsid w:val="00DA77A5"/>
    <w:rsid w:val="00DB0E36"/>
    <w:rsid w:val="00DB0EF4"/>
    <w:rsid w:val="00DB10BD"/>
    <w:rsid w:val="00DB2B8C"/>
    <w:rsid w:val="00DB3DBF"/>
    <w:rsid w:val="00DB44A2"/>
    <w:rsid w:val="00DB484F"/>
    <w:rsid w:val="00DB496E"/>
    <w:rsid w:val="00DB5886"/>
    <w:rsid w:val="00DB76E2"/>
    <w:rsid w:val="00DC0198"/>
    <w:rsid w:val="00DC04F6"/>
    <w:rsid w:val="00DC0690"/>
    <w:rsid w:val="00DC1D65"/>
    <w:rsid w:val="00DC2110"/>
    <w:rsid w:val="00DC3C57"/>
    <w:rsid w:val="00DC5501"/>
    <w:rsid w:val="00DC5DE4"/>
    <w:rsid w:val="00DC6474"/>
    <w:rsid w:val="00DC7154"/>
    <w:rsid w:val="00DC7299"/>
    <w:rsid w:val="00DC7B54"/>
    <w:rsid w:val="00DC7E8A"/>
    <w:rsid w:val="00DD0F78"/>
    <w:rsid w:val="00DD15B3"/>
    <w:rsid w:val="00DD1B12"/>
    <w:rsid w:val="00DD273C"/>
    <w:rsid w:val="00DD3F28"/>
    <w:rsid w:val="00DD400D"/>
    <w:rsid w:val="00DD4446"/>
    <w:rsid w:val="00DD4537"/>
    <w:rsid w:val="00DD4E15"/>
    <w:rsid w:val="00DD538B"/>
    <w:rsid w:val="00DD7262"/>
    <w:rsid w:val="00DE1887"/>
    <w:rsid w:val="00DE2304"/>
    <w:rsid w:val="00DE3138"/>
    <w:rsid w:val="00DE37F8"/>
    <w:rsid w:val="00DE4273"/>
    <w:rsid w:val="00DE4FCB"/>
    <w:rsid w:val="00DE501B"/>
    <w:rsid w:val="00DE5D07"/>
    <w:rsid w:val="00DE5E24"/>
    <w:rsid w:val="00DE72A7"/>
    <w:rsid w:val="00DE7832"/>
    <w:rsid w:val="00DF0230"/>
    <w:rsid w:val="00DF0594"/>
    <w:rsid w:val="00DF18FC"/>
    <w:rsid w:val="00DF3400"/>
    <w:rsid w:val="00DF361E"/>
    <w:rsid w:val="00DF3AB4"/>
    <w:rsid w:val="00DF5BD3"/>
    <w:rsid w:val="00DF5D2B"/>
    <w:rsid w:val="00DF6341"/>
    <w:rsid w:val="00DF6B6A"/>
    <w:rsid w:val="00E00E8E"/>
    <w:rsid w:val="00E028D1"/>
    <w:rsid w:val="00E04B6F"/>
    <w:rsid w:val="00E05630"/>
    <w:rsid w:val="00E06D6F"/>
    <w:rsid w:val="00E06DBB"/>
    <w:rsid w:val="00E10149"/>
    <w:rsid w:val="00E11340"/>
    <w:rsid w:val="00E122A1"/>
    <w:rsid w:val="00E1245E"/>
    <w:rsid w:val="00E13374"/>
    <w:rsid w:val="00E13DBC"/>
    <w:rsid w:val="00E14FCB"/>
    <w:rsid w:val="00E16372"/>
    <w:rsid w:val="00E16AD8"/>
    <w:rsid w:val="00E17FFA"/>
    <w:rsid w:val="00E201E0"/>
    <w:rsid w:val="00E20E4D"/>
    <w:rsid w:val="00E20ED6"/>
    <w:rsid w:val="00E21358"/>
    <w:rsid w:val="00E2249B"/>
    <w:rsid w:val="00E22A0D"/>
    <w:rsid w:val="00E232AA"/>
    <w:rsid w:val="00E23526"/>
    <w:rsid w:val="00E244F6"/>
    <w:rsid w:val="00E2549F"/>
    <w:rsid w:val="00E258DB"/>
    <w:rsid w:val="00E26D97"/>
    <w:rsid w:val="00E2771E"/>
    <w:rsid w:val="00E27D23"/>
    <w:rsid w:val="00E30D34"/>
    <w:rsid w:val="00E311EF"/>
    <w:rsid w:val="00E31B62"/>
    <w:rsid w:val="00E31F5D"/>
    <w:rsid w:val="00E32180"/>
    <w:rsid w:val="00E3475D"/>
    <w:rsid w:val="00E34948"/>
    <w:rsid w:val="00E37569"/>
    <w:rsid w:val="00E3758E"/>
    <w:rsid w:val="00E401B2"/>
    <w:rsid w:val="00E40481"/>
    <w:rsid w:val="00E41E30"/>
    <w:rsid w:val="00E4227C"/>
    <w:rsid w:val="00E42F73"/>
    <w:rsid w:val="00E43D70"/>
    <w:rsid w:val="00E4426E"/>
    <w:rsid w:val="00E466F3"/>
    <w:rsid w:val="00E4689D"/>
    <w:rsid w:val="00E47B2C"/>
    <w:rsid w:val="00E5043C"/>
    <w:rsid w:val="00E50884"/>
    <w:rsid w:val="00E509C6"/>
    <w:rsid w:val="00E50D97"/>
    <w:rsid w:val="00E51560"/>
    <w:rsid w:val="00E51821"/>
    <w:rsid w:val="00E53FC8"/>
    <w:rsid w:val="00E53FFD"/>
    <w:rsid w:val="00E54347"/>
    <w:rsid w:val="00E54B5B"/>
    <w:rsid w:val="00E54EF3"/>
    <w:rsid w:val="00E55424"/>
    <w:rsid w:val="00E55915"/>
    <w:rsid w:val="00E55BB5"/>
    <w:rsid w:val="00E5728E"/>
    <w:rsid w:val="00E5780D"/>
    <w:rsid w:val="00E611DF"/>
    <w:rsid w:val="00E65E23"/>
    <w:rsid w:val="00E65E79"/>
    <w:rsid w:val="00E66BA2"/>
    <w:rsid w:val="00E66E17"/>
    <w:rsid w:val="00E67416"/>
    <w:rsid w:val="00E718B6"/>
    <w:rsid w:val="00E723BA"/>
    <w:rsid w:val="00E72705"/>
    <w:rsid w:val="00E73581"/>
    <w:rsid w:val="00E73E2D"/>
    <w:rsid w:val="00E740D7"/>
    <w:rsid w:val="00E746DC"/>
    <w:rsid w:val="00E760BE"/>
    <w:rsid w:val="00E76457"/>
    <w:rsid w:val="00E7725F"/>
    <w:rsid w:val="00E800F8"/>
    <w:rsid w:val="00E80F92"/>
    <w:rsid w:val="00E82DB7"/>
    <w:rsid w:val="00E8305E"/>
    <w:rsid w:val="00E830D1"/>
    <w:rsid w:val="00E833F7"/>
    <w:rsid w:val="00E83BDF"/>
    <w:rsid w:val="00E842E1"/>
    <w:rsid w:val="00E857EC"/>
    <w:rsid w:val="00E86AE8"/>
    <w:rsid w:val="00E86FCC"/>
    <w:rsid w:val="00E878BB"/>
    <w:rsid w:val="00E87A1D"/>
    <w:rsid w:val="00E9094A"/>
    <w:rsid w:val="00E91371"/>
    <w:rsid w:val="00E91D35"/>
    <w:rsid w:val="00E92202"/>
    <w:rsid w:val="00E926A5"/>
    <w:rsid w:val="00E94F6E"/>
    <w:rsid w:val="00E962CC"/>
    <w:rsid w:val="00EA0F16"/>
    <w:rsid w:val="00EA17C3"/>
    <w:rsid w:val="00EA2C75"/>
    <w:rsid w:val="00EA2CAA"/>
    <w:rsid w:val="00EA3864"/>
    <w:rsid w:val="00EA4FB6"/>
    <w:rsid w:val="00EA7D89"/>
    <w:rsid w:val="00EA7F1C"/>
    <w:rsid w:val="00EB05F9"/>
    <w:rsid w:val="00EB09CD"/>
    <w:rsid w:val="00EB107B"/>
    <w:rsid w:val="00EB15B6"/>
    <w:rsid w:val="00EB3D06"/>
    <w:rsid w:val="00EB4916"/>
    <w:rsid w:val="00EC00C9"/>
    <w:rsid w:val="00EC0DD9"/>
    <w:rsid w:val="00EC2649"/>
    <w:rsid w:val="00EC31ED"/>
    <w:rsid w:val="00EC5836"/>
    <w:rsid w:val="00EC688C"/>
    <w:rsid w:val="00EC6FD2"/>
    <w:rsid w:val="00EC723C"/>
    <w:rsid w:val="00EC7295"/>
    <w:rsid w:val="00ED12E3"/>
    <w:rsid w:val="00ED3EAE"/>
    <w:rsid w:val="00ED4594"/>
    <w:rsid w:val="00ED4B04"/>
    <w:rsid w:val="00ED55B9"/>
    <w:rsid w:val="00ED57EA"/>
    <w:rsid w:val="00ED5BD4"/>
    <w:rsid w:val="00ED6915"/>
    <w:rsid w:val="00ED7C18"/>
    <w:rsid w:val="00EE07D3"/>
    <w:rsid w:val="00EE152D"/>
    <w:rsid w:val="00EE1996"/>
    <w:rsid w:val="00EE1C01"/>
    <w:rsid w:val="00EE22AF"/>
    <w:rsid w:val="00EE516D"/>
    <w:rsid w:val="00EE6E94"/>
    <w:rsid w:val="00EE7B44"/>
    <w:rsid w:val="00EF0171"/>
    <w:rsid w:val="00EF045D"/>
    <w:rsid w:val="00EF0A89"/>
    <w:rsid w:val="00EF11A9"/>
    <w:rsid w:val="00EF1B25"/>
    <w:rsid w:val="00EF1DA0"/>
    <w:rsid w:val="00EF2BF5"/>
    <w:rsid w:val="00EF3100"/>
    <w:rsid w:val="00EF4747"/>
    <w:rsid w:val="00EF4895"/>
    <w:rsid w:val="00EF4BF8"/>
    <w:rsid w:val="00EF70E4"/>
    <w:rsid w:val="00EF7FF9"/>
    <w:rsid w:val="00F002B9"/>
    <w:rsid w:val="00F00E5B"/>
    <w:rsid w:val="00F02253"/>
    <w:rsid w:val="00F03153"/>
    <w:rsid w:val="00F036F4"/>
    <w:rsid w:val="00F03C2E"/>
    <w:rsid w:val="00F042AB"/>
    <w:rsid w:val="00F04A66"/>
    <w:rsid w:val="00F04B4B"/>
    <w:rsid w:val="00F0516C"/>
    <w:rsid w:val="00F067A2"/>
    <w:rsid w:val="00F07B9E"/>
    <w:rsid w:val="00F07F5D"/>
    <w:rsid w:val="00F1116F"/>
    <w:rsid w:val="00F1263A"/>
    <w:rsid w:val="00F12A18"/>
    <w:rsid w:val="00F139C5"/>
    <w:rsid w:val="00F15B77"/>
    <w:rsid w:val="00F160FA"/>
    <w:rsid w:val="00F173FE"/>
    <w:rsid w:val="00F17AFB"/>
    <w:rsid w:val="00F20472"/>
    <w:rsid w:val="00F21181"/>
    <w:rsid w:val="00F21236"/>
    <w:rsid w:val="00F21C6A"/>
    <w:rsid w:val="00F239DF"/>
    <w:rsid w:val="00F24837"/>
    <w:rsid w:val="00F24B83"/>
    <w:rsid w:val="00F24C51"/>
    <w:rsid w:val="00F2575F"/>
    <w:rsid w:val="00F25B94"/>
    <w:rsid w:val="00F26213"/>
    <w:rsid w:val="00F27565"/>
    <w:rsid w:val="00F30360"/>
    <w:rsid w:val="00F310D4"/>
    <w:rsid w:val="00F31D5A"/>
    <w:rsid w:val="00F3306F"/>
    <w:rsid w:val="00F33975"/>
    <w:rsid w:val="00F33DE9"/>
    <w:rsid w:val="00F348B1"/>
    <w:rsid w:val="00F35E6D"/>
    <w:rsid w:val="00F3619A"/>
    <w:rsid w:val="00F37017"/>
    <w:rsid w:val="00F40AAA"/>
    <w:rsid w:val="00F40BA7"/>
    <w:rsid w:val="00F40F9D"/>
    <w:rsid w:val="00F41ACD"/>
    <w:rsid w:val="00F42358"/>
    <w:rsid w:val="00F425E2"/>
    <w:rsid w:val="00F426A6"/>
    <w:rsid w:val="00F4334D"/>
    <w:rsid w:val="00F469C4"/>
    <w:rsid w:val="00F46CB6"/>
    <w:rsid w:val="00F4756D"/>
    <w:rsid w:val="00F47BEB"/>
    <w:rsid w:val="00F47DE8"/>
    <w:rsid w:val="00F52416"/>
    <w:rsid w:val="00F53C04"/>
    <w:rsid w:val="00F5402B"/>
    <w:rsid w:val="00F542C1"/>
    <w:rsid w:val="00F550E3"/>
    <w:rsid w:val="00F55E73"/>
    <w:rsid w:val="00F55EDA"/>
    <w:rsid w:val="00F56C80"/>
    <w:rsid w:val="00F60092"/>
    <w:rsid w:val="00F611B0"/>
    <w:rsid w:val="00F61C18"/>
    <w:rsid w:val="00F62580"/>
    <w:rsid w:val="00F65F4B"/>
    <w:rsid w:val="00F6638C"/>
    <w:rsid w:val="00F67A69"/>
    <w:rsid w:val="00F70481"/>
    <w:rsid w:val="00F70BFF"/>
    <w:rsid w:val="00F70C9D"/>
    <w:rsid w:val="00F71EE3"/>
    <w:rsid w:val="00F73E08"/>
    <w:rsid w:val="00F74CD9"/>
    <w:rsid w:val="00F764AE"/>
    <w:rsid w:val="00F770EE"/>
    <w:rsid w:val="00F8012E"/>
    <w:rsid w:val="00F80A7B"/>
    <w:rsid w:val="00F80E5D"/>
    <w:rsid w:val="00F81E78"/>
    <w:rsid w:val="00F82164"/>
    <w:rsid w:val="00F82FF5"/>
    <w:rsid w:val="00F83916"/>
    <w:rsid w:val="00F8439A"/>
    <w:rsid w:val="00F851CE"/>
    <w:rsid w:val="00F85689"/>
    <w:rsid w:val="00F85961"/>
    <w:rsid w:val="00F86070"/>
    <w:rsid w:val="00F8734C"/>
    <w:rsid w:val="00F90A80"/>
    <w:rsid w:val="00F90CEB"/>
    <w:rsid w:val="00F90D93"/>
    <w:rsid w:val="00F91219"/>
    <w:rsid w:val="00F91C12"/>
    <w:rsid w:val="00F92444"/>
    <w:rsid w:val="00F9393E"/>
    <w:rsid w:val="00F93B7A"/>
    <w:rsid w:val="00F94EEE"/>
    <w:rsid w:val="00F96EC1"/>
    <w:rsid w:val="00F96FD0"/>
    <w:rsid w:val="00F9770E"/>
    <w:rsid w:val="00F97A78"/>
    <w:rsid w:val="00F97B4D"/>
    <w:rsid w:val="00F97B6F"/>
    <w:rsid w:val="00FA0023"/>
    <w:rsid w:val="00FA0B20"/>
    <w:rsid w:val="00FA24E7"/>
    <w:rsid w:val="00FA4233"/>
    <w:rsid w:val="00FA55B9"/>
    <w:rsid w:val="00FA5EE6"/>
    <w:rsid w:val="00FA7956"/>
    <w:rsid w:val="00FB0824"/>
    <w:rsid w:val="00FB0E52"/>
    <w:rsid w:val="00FB2FCB"/>
    <w:rsid w:val="00FB3DC6"/>
    <w:rsid w:val="00FB4C9C"/>
    <w:rsid w:val="00FB5E38"/>
    <w:rsid w:val="00FB7C55"/>
    <w:rsid w:val="00FB7F39"/>
    <w:rsid w:val="00FC1074"/>
    <w:rsid w:val="00FC1884"/>
    <w:rsid w:val="00FC26FB"/>
    <w:rsid w:val="00FC2C12"/>
    <w:rsid w:val="00FC371D"/>
    <w:rsid w:val="00FC4082"/>
    <w:rsid w:val="00FC5F0B"/>
    <w:rsid w:val="00FC6AE2"/>
    <w:rsid w:val="00FC6B1A"/>
    <w:rsid w:val="00FC7AF4"/>
    <w:rsid w:val="00FD08DF"/>
    <w:rsid w:val="00FD2100"/>
    <w:rsid w:val="00FD436C"/>
    <w:rsid w:val="00FD446D"/>
    <w:rsid w:val="00FD4F2C"/>
    <w:rsid w:val="00FD5611"/>
    <w:rsid w:val="00FD6394"/>
    <w:rsid w:val="00FE0E6C"/>
    <w:rsid w:val="00FE1CDC"/>
    <w:rsid w:val="00FE1E5F"/>
    <w:rsid w:val="00FE3582"/>
    <w:rsid w:val="00FE4B9B"/>
    <w:rsid w:val="00FE4E9A"/>
    <w:rsid w:val="00FE70C3"/>
    <w:rsid w:val="00FE7FD0"/>
    <w:rsid w:val="00FF097C"/>
    <w:rsid w:val="00FF15E8"/>
    <w:rsid w:val="00FF1A8B"/>
    <w:rsid w:val="00FF1DE2"/>
    <w:rsid w:val="00FF1E3A"/>
    <w:rsid w:val="00FF2382"/>
    <w:rsid w:val="00FF2AD9"/>
    <w:rsid w:val="00FF359F"/>
    <w:rsid w:val="00FF3DCF"/>
    <w:rsid w:val="00FF492C"/>
    <w:rsid w:val="00FF4A21"/>
    <w:rsid w:val="00FF4F04"/>
    <w:rsid w:val="00FF5AA3"/>
    <w:rsid w:val="00FF5AD8"/>
    <w:rsid w:val="00FF6AF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34A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50CC"/>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link w:val="Heading5Char"/>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uiPriority w:val="9"/>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nhideWhenUsed/>
    <w:rsid w:val="00E16AD8"/>
    <w:pPr>
      <w:keepNext/>
      <w:keepLines/>
    </w:pPr>
    <w:rPr>
      <w:rFonts w:ascii="Arial Narrow" w:hAnsi="Arial Narrow"/>
      <w:b/>
      <w:bCs/>
      <w:sz w:val="20"/>
      <w:szCs w:val="18"/>
    </w:rPr>
  </w:style>
  <w:style w:type="character" w:customStyle="1" w:styleId="CaptionChar">
    <w:name w:val="Caption Char"/>
    <w:link w:val="Caption"/>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Figure_name,Numbered Indented Text"/>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RTI AMCP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link w:val="ListBulletChar"/>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6"/>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InstructionalText">
    <w:name w:val="Instructional Text"/>
    <w:basedOn w:val="Normal"/>
    <w:link w:val="InstructionalTextChar"/>
    <w:uiPriority w:val="3"/>
    <w:qFormat/>
    <w:rsid w:val="00267C88"/>
    <w:pPr>
      <w:spacing w:after="240"/>
    </w:pPr>
    <w:rPr>
      <w:rFonts w:asciiTheme="minorHAnsi" w:eastAsiaTheme="minorHAnsi" w:hAnsiTheme="minorHAnsi" w:cstheme="minorHAnsi"/>
      <w:color w:val="3366FF"/>
      <w:szCs w:val="22"/>
      <w:lang w:eastAsia="en-US"/>
    </w:rPr>
  </w:style>
  <w:style w:type="character" w:customStyle="1" w:styleId="InstructionalTextChar">
    <w:name w:val="Instructional Text Char"/>
    <w:basedOn w:val="DefaultParagraphFont"/>
    <w:link w:val="InstructionalText"/>
    <w:uiPriority w:val="3"/>
    <w:rsid w:val="00267C88"/>
    <w:rPr>
      <w:rFonts w:asciiTheme="minorHAnsi" w:eastAsiaTheme="minorHAnsi" w:hAnsiTheme="minorHAnsi" w:cstheme="minorHAnsi"/>
      <w:color w:val="3366FF"/>
      <w:sz w:val="24"/>
      <w:szCs w:val="22"/>
      <w:lang w:eastAsia="en-US"/>
    </w:rPr>
  </w:style>
  <w:style w:type="paragraph" w:customStyle="1" w:styleId="AUBodyCopy-noSpaceAfter">
    <w:name w:val="AU Body Copy - no Space After"/>
    <w:basedOn w:val="Normal"/>
    <w:rsid w:val="005551A8"/>
    <w:pPr>
      <w:jc w:val="left"/>
    </w:pPr>
    <w:rPr>
      <w:rFonts w:ascii="Times New Roman" w:hAnsi="Times New Roman" w:cs="Times New Roman"/>
      <w:szCs w:val="20"/>
      <w:lang w:eastAsia="en-US"/>
    </w:rPr>
  </w:style>
  <w:style w:type="paragraph" w:customStyle="1" w:styleId="Tabletitles">
    <w:name w:val="Table titles"/>
    <w:basedOn w:val="NoSpacing"/>
    <w:link w:val="TabletitlesChar"/>
    <w:qFormat/>
    <w:rsid w:val="00BA5157"/>
    <w:pPr>
      <w:widowControl/>
      <w:spacing w:after="60"/>
    </w:pPr>
    <w:rPr>
      <w:rFonts w:ascii="Arial Narrow" w:hAnsi="Arial Narrow" w:cs="Times New Roman"/>
      <w:b/>
      <w:snapToGrid/>
      <w:sz w:val="20"/>
      <w:szCs w:val="22"/>
      <w:lang w:eastAsia="en-AU"/>
    </w:rPr>
  </w:style>
  <w:style w:type="character" w:customStyle="1" w:styleId="TabletitlesChar">
    <w:name w:val="Table titles Char"/>
    <w:basedOn w:val="DefaultParagraphFont"/>
    <w:link w:val="Tabletitles"/>
    <w:rsid w:val="00BA5157"/>
    <w:rPr>
      <w:rFonts w:ascii="Arial Narrow" w:hAnsi="Arial Narrow"/>
      <w:b/>
      <w:szCs w:val="22"/>
    </w:rPr>
  </w:style>
  <w:style w:type="paragraph" w:styleId="FootnoteText">
    <w:name w:val="footnote text"/>
    <w:basedOn w:val="Normal"/>
    <w:link w:val="FootnoteTextChar"/>
    <w:unhideWhenUsed/>
    <w:rsid w:val="0024102E"/>
    <w:rPr>
      <w:sz w:val="20"/>
      <w:szCs w:val="20"/>
    </w:rPr>
  </w:style>
  <w:style w:type="character" w:customStyle="1" w:styleId="FootnoteTextChar">
    <w:name w:val="Footnote Text Char"/>
    <w:basedOn w:val="DefaultParagraphFont"/>
    <w:link w:val="FootnoteText"/>
    <w:rsid w:val="0024102E"/>
    <w:rPr>
      <w:rFonts w:ascii="Calibri" w:hAnsi="Calibri" w:cs="Arial"/>
    </w:rPr>
  </w:style>
  <w:style w:type="character" w:styleId="FootnoteReference">
    <w:name w:val="footnote reference"/>
    <w:basedOn w:val="DefaultParagraphFont"/>
    <w:uiPriority w:val="99"/>
    <w:semiHidden/>
    <w:unhideWhenUsed/>
    <w:rsid w:val="0024102E"/>
    <w:rPr>
      <w:vertAlign w:val="superscript"/>
    </w:rPr>
  </w:style>
  <w:style w:type="paragraph" w:customStyle="1" w:styleId="PBACFooter">
    <w:name w:val="PBAC Footer"/>
    <w:basedOn w:val="Footer"/>
    <w:link w:val="PBACFooterChar"/>
    <w:qFormat/>
    <w:rsid w:val="00A610B9"/>
    <w:pPr>
      <w:tabs>
        <w:tab w:val="clear" w:pos="4513"/>
        <w:tab w:val="clear" w:pos="9026"/>
        <w:tab w:val="center" w:pos="4153"/>
        <w:tab w:val="right" w:pos="8306"/>
      </w:tabs>
      <w:jc w:val="center"/>
    </w:pPr>
    <w:rPr>
      <w:rFonts w:ascii="Arial" w:hAnsi="Arial"/>
      <w:b/>
      <w:lang w:eastAsia="en-US"/>
    </w:rPr>
  </w:style>
  <w:style w:type="character" w:customStyle="1" w:styleId="PBACFooterChar">
    <w:name w:val="PBAC Footer Char"/>
    <w:basedOn w:val="FooterChar"/>
    <w:link w:val="PBACFooter"/>
    <w:rsid w:val="00A610B9"/>
    <w:rPr>
      <w:rFonts w:ascii="Arial" w:hAnsi="Arial" w:cs="Arial"/>
      <w:b/>
      <w:snapToGrid/>
      <w:sz w:val="24"/>
      <w:szCs w:val="24"/>
      <w:lang w:eastAsia="en-US"/>
    </w:rPr>
  </w:style>
  <w:style w:type="paragraph" w:customStyle="1" w:styleId="KMC16-Tablecontent">
    <w:name w:val="KMC16 - Table content"/>
    <w:basedOn w:val="Normal"/>
    <w:link w:val="KMC16-TablecontentChar"/>
    <w:qFormat/>
    <w:rsid w:val="00194B7E"/>
    <w:pPr>
      <w:spacing w:before="40" w:after="40"/>
      <w:jc w:val="left"/>
    </w:pPr>
    <w:rPr>
      <w:rFonts w:ascii="Arial Narrow" w:hAnsi="Arial Narrow"/>
      <w:color w:val="000000"/>
      <w:sz w:val="20"/>
      <w:lang w:val="en-GB" w:eastAsia="en-GB"/>
    </w:rPr>
  </w:style>
  <w:style w:type="character" w:customStyle="1" w:styleId="KMC16-TablecontentChar">
    <w:name w:val="KMC16 - Table content Char"/>
    <w:basedOn w:val="DefaultParagraphFont"/>
    <w:link w:val="KMC16-Tablecontent"/>
    <w:rsid w:val="00194B7E"/>
    <w:rPr>
      <w:rFonts w:ascii="Arial Narrow" w:hAnsi="Arial Narrow" w:cs="Arial"/>
      <w:color w:val="000000"/>
      <w:szCs w:val="24"/>
      <w:lang w:val="en-GB" w:eastAsia="en-GB"/>
    </w:rPr>
  </w:style>
  <w:style w:type="paragraph" w:customStyle="1" w:styleId="KMC16-TableHeading">
    <w:name w:val="KMC16 - Table Heading"/>
    <w:basedOn w:val="Normal"/>
    <w:qFormat/>
    <w:rsid w:val="00194B7E"/>
    <w:pPr>
      <w:spacing w:before="40" w:after="40"/>
      <w:jc w:val="center"/>
    </w:pPr>
    <w:rPr>
      <w:rFonts w:ascii="Arial Narrow" w:hAnsi="Arial Narrow"/>
      <w:b/>
      <w:color w:val="000000"/>
      <w:sz w:val="20"/>
      <w:lang w:eastAsia="en-GB"/>
    </w:rPr>
  </w:style>
  <w:style w:type="paragraph" w:customStyle="1" w:styleId="KMC16-Caption">
    <w:name w:val="KMC16 - Caption"/>
    <w:basedOn w:val="Normal"/>
    <w:qFormat/>
    <w:rsid w:val="009333C9"/>
    <w:pPr>
      <w:keepNext/>
      <w:tabs>
        <w:tab w:val="left" w:pos="567"/>
      </w:tabs>
      <w:spacing w:before="240" w:after="40"/>
      <w:ind w:left="992" w:hanging="992"/>
      <w:contextualSpacing/>
      <w:jc w:val="left"/>
    </w:pPr>
    <w:rPr>
      <w:rFonts w:ascii="Arial" w:hAnsi="Arial" w:cs="Times New Roman"/>
      <w:b/>
      <w:color w:val="000000"/>
      <w:sz w:val="20"/>
      <w:szCs w:val="20"/>
    </w:rPr>
  </w:style>
  <w:style w:type="paragraph" w:customStyle="1" w:styleId="KMC16-TOC">
    <w:name w:val="KMC16 - TOC"/>
    <w:basedOn w:val="TOC1"/>
    <w:link w:val="KMC16-TOCChar"/>
    <w:rsid w:val="009333C9"/>
    <w:pPr>
      <w:tabs>
        <w:tab w:val="left" w:pos="660"/>
        <w:tab w:val="right" w:leader="dot" w:pos="10338"/>
      </w:tabs>
      <w:spacing w:before="120"/>
    </w:pPr>
    <w:rPr>
      <w:rFonts w:asciiTheme="minorHAnsi" w:hAnsiTheme="minorHAnsi" w:cs="Times New Roman"/>
      <w:b/>
      <w:caps/>
      <w:noProof/>
      <w:szCs w:val="20"/>
      <w:lang w:eastAsia="en-GB"/>
    </w:rPr>
  </w:style>
  <w:style w:type="character" w:customStyle="1" w:styleId="KMC16-TOCChar">
    <w:name w:val="KMC16 - TOC Char"/>
    <w:basedOn w:val="DefaultParagraphFont"/>
    <w:link w:val="KMC16-TOC"/>
    <w:rsid w:val="009333C9"/>
    <w:rPr>
      <w:rFonts w:asciiTheme="minorHAnsi" w:hAnsiTheme="minorHAnsi"/>
      <w:b/>
      <w:bCs/>
      <w:caps/>
      <w:noProof/>
      <w:lang w:eastAsia="en-GB"/>
    </w:rPr>
  </w:style>
  <w:style w:type="paragraph" w:customStyle="1" w:styleId="EndNoteBibliographyTitle">
    <w:name w:val="EndNote Bibliography Title"/>
    <w:basedOn w:val="Normal"/>
    <w:link w:val="EndNoteBibliographyTitleChar"/>
    <w:rsid w:val="00696BC8"/>
    <w:pPr>
      <w:jc w:val="center"/>
    </w:pPr>
    <w:rPr>
      <w:rFonts w:cs="Calibri"/>
      <w:noProof/>
    </w:rPr>
  </w:style>
  <w:style w:type="character" w:customStyle="1" w:styleId="ListBulletChar">
    <w:name w:val="List Bullet Char"/>
    <w:basedOn w:val="DefaultParagraphFont"/>
    <w:link w:val="ListBullet"/>
    <w:rsid w:val="00696BC8"/>
    <w:rPr>
      <w:rFonts w:ascii="Calibri" w:hAnsi="Calibri" w:cs="Arial"/>
      <w:sz w:val="24"/>
      <w:szCs w:val="24"/>
    </w:rPr>
  </w:style>
  <w:style w:type="character" w:customStyle="1" w:styleId="EndNoteBibliographyTitleChar">
    <w:name w:val="EndNote Bibliography Title Char"/>
    <w:basedOn w:val="ListBulletChar"/>
    <w:link w:val="EndNoteBibliographyTitle"/>
    <w:rsid w:val="00696BC8"/>
    <w:rPr>
      <w:rFonts w:ascii="Calibri" w:hAnsi="Calibri" w:cs="Calibri"/>
      <w:noProof/>
      <w:sz w:val="24"/>
      <w:szCs w:val="24"/>
    </w:rPr>
  </w:style>
  <w:style w:type="paragraph" w:customStyle="1" w:styleId="EndNoteBibliography">
    <w:name w:val="EndNote Bibliography"/>
    <w:basedOn w:val="Normal"/>
    <w:link w:val="EndNoteBibliographyChar"/>
    <w:rsid w:val="00696BC8"/>
    <w:rPr>
      <w:rFonts w:cs="Calibri"/>
      <w:noProof/>
    </w:rPr>
  </w:style>
  <w:style w:type="character" w:customStyle="1" w:styleId="EndNoteBibliographyChar">
    <w:name w:val="EndNote Bibliography Char"/>
    <w:basedOn w:val="ListBulletChar"/>
    <w:link w:val="EndNoteBibliography"/>
    <w:rsid w:val="00696BC8"/>
    <w:rPr>
      <w:rFonts w:ascii="Calibri" w:hAnsi="Calibri" w:cs="Calibri"/>
      <w:noProof/>
      <w:sz w:val="24"/>
      <w:szCs w:val="24"/>
    </w:rPr>
  </w:style>
  <w:style w:type="paragraph" w:customStyle="1" w:styleId="COMH2">
    <w:name w:val="COMH2"/>
    <w:basedOn w:val="Heading2"/>
    <w:link w:val="COMH2Char"/>
    <w:qFormat/>
    <w:rsid w:val="00003773"/>
    <w:pPr>
      <w:keepNext/>
      <w:widowControl w:val="0"/>
      <w:spacing w:after="220"/>
    </w:pPr>
    <w:rPr>
      <w:rFonts w:ascii="Arial" w:hAnsi="Arial"/>
      <w:i w:val="0"/>
      <w:snapToGrid w:val="0"/>
      <w:sz w:val="22"/>
      <w:szCs w:val="22"/>
      <w:lang w:eastAsia="en-US"/>
    </w:rPr>
  </w:style>
  <w:style w:type="character" w:customStyle="1" w:styleId="COMH2Char">
    <w:name w:val="COMH2 Char"/>
    <w:basedOn w:val="Heading2Char"/>
    <w:link w:val="COMH2"/>
    <w:rsid w:val="00003773"/>
    <w:rPr>
      <w:rFonts w:ascii="Arial" w:hAnsi="Arial" w:cs="Arial"/>
      <w:b/>
      <w:i w:val="0"/>
      <w:snapToGrid w:val="0"/>
      <w:sz w:val="22"/>
      <w:szCs w:val="22"/>
      <w:lang w:eastAsia="en-US"/>
    </w:rPr>
  </w:style>
  <w:style w:type="paragraph" w:customStyle="1" w:styleId="KMC16-Text">
    <w:name w:val="KMC16 - Text"/>
    <w:basedOn w:val="Normal"/>
    <w:link w:val="KMC16-TextChar"/>
    <w:qFormat/>
    <w:rsid w:val="009B6A22"/>
    <w:pPr>
      <w:spacing w:before="120" w:after="240" w:line="360" w:lineRule="auto"/>
    </w:pPr>
    <w:rPr>
      <w:rFonts w:ascii="Arial" w:hAnsi="Arial" w:cs="Times New Roman"/>
      <w:color w:val="000000" w:themeColor="text1"/>
      <w:lang w:eastAsia="en-GB"/>
    </w:rPr>
  </w:style>
  <w:style w:type="character" w:customStyle="1" w:styleId="KMC16-TextChar">
    <w:name w:val="KMC16 - Text Char"/>
    <w:basedOn w:val="DefaultParagraphFont"/>
    <w:link w:val="KMC16-Text"/>
    <w:rsid w:val="009B6A22"/>
    <w:rPr>
      <w:rFonts w:ascii="Arial" w:hAnsi="Arial"/>
      <w:color w:val="000000" w:themeColor="text1"/>
      <w:sz w:val="24"/>
      <w:szCs w:val="24"/>
      <w:lang w:eastAsia="en-GB"/>
    </w:rPr>
  </w:style>
  <w:style w:type="paragraph" w:customStyle="1" w:styleId="KMC16-BulletLists">
    <w:name w:val="KMC16 - Bullet Lists"/>
    <w:basedOn w:val="Normal"/>
    <w:qFormat/>
    <w:rsid w:val="003A53A2"/>
    <w:pPr>
      <w:numPr>
        <w:numId w:val="8"/>
      </w:numPr>
      <w:spacing w:before="120" w:after="240" w:line="360" w:lineRule="auto"/>
      <w:contextualSpacing/>
      <w:jc w:val="left"/>
    </w:pPr>
    <w:rPr>
      <w:rFonts w:ascii="Arial" w:hAnsi="Arial" w:cs="Times New Roman"/>
      <w:lang w:eastAsia="en-GB"/>
    </w:rPr>
  </w:style>
  <w:style w:type="paragraph" w:customStyle="1" w:styleId="KMC16-TFNotes">
    <w:name w:val="KMC16 - TF Notes"/>
    <w:basedOn w:val="Normal"/>
    <w:qFormat/>
    <w:rsid w:val="00DF6B6A"/>
    <w:pPr>
      <w:spacing w:before="45" w:after="240"/>
      <w:contextualSpacing/>
    </w:pPr>
    <w:rPr>
      <w:rFonts w:cs="Times New Roman"/>
      <w:color w:val="000000" w:themeColor="text1"/>
      <w:sz w:val="16"/>
      <w:lang w:eastAsia="en-GB"/>
    </w:rPr>
  </w:style>
  <w:style w:type="character" w:customStyle="1" w:styleId="Heading5Char">
    <w:name w:val="Heading 5 Char"/>
    <w:basedOn w:val="DefaultParagraphFont"/>
    <w:link w:val="Heading5"/>
    <w:rsid w:val="00287352"/>
    <w:rPr>
      <w:rFonts w:ascii="Calibri" w:hAnsi="Calibri" w:cs="Arial"/>
      <w:b/>
      <w:bCs/>
      <w:iCs/>
      <w:sz w:val="26"/>
      <w:szCs w:val="26"/>
    </w:rPr>
  </w:style>
  <w:style w:type="table" w:customStyle="1" w:styleId="TableGrid14">
    <w:name w:val="Table Grid14"/>
    <w:basedOn w:val="TableNormal"/>
    <w:next w:val="TableGrid"/>
    <w:rsid w:val="005363C0"/>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style>
  <w:style w:type="character" w:customStyle="1" w:styleId="UnresolvedMention1">
    <w:name w:val="Unresolved Mention1"/>
    <w:basedOn w:val="DefaultParagraphFont"/>
    <w:uiPriority w:val="99"/>
    <w:semiHidden/>
    <w:unhideWhenUsed/>
    <w:rsid w:val="00387882"/>
    <w:rPr>
      <w:color w:val="605E5C"/>
      <w:shd w:val="clear" w:color="auto" w:fill="E1DFDD"/>
    </w:rPr>
  </w:style>
  <w:style w:type="paragraph" w:styleId="EndnoteText">
    <w:name w:val="endnote text"/>
    <w:basedOn w:val="Normal"/>
    <w:link w:val="EndnoteTextChar"/>
    <w:semiHidden/>
    <w:unhideWhenUsed/>
    <w:rsid w:val="002D4EC2"/>
    <w:rPr>
      <w:sz w:val="20"/>
      <w:szCs w:val="20"/>
    </w:rPr>
  </w:style>
  <w:style w:type="character" w:customStyle="1" w:styleId="EndnoteTextChar">
    <w:name w:val="Endnote Text Char"/>
    <w:basedOn w:val="DefaultParagraphFont"/>
    <w:link w:val="EndnoteText"/>
    <w:semiHidden/>
    <w:rsid w:val="002D4EC2"/>
    <w:rPr>
      <w:rFonts w:ascii="Calibri" w:hAnsi="Calibri" w:cs="Arial"/>
    </w:rPr>
  </w:style>
  <w:style w:type="character" w:styleId="EndnoteReference">
    <w:name w:val="endnote reference"/>
    <w:basedOn w:val="DefaultParagraphFont"/>
    <w:semiHidden/>
    <w:unhideWhenUsed/>
    <w:rsid w:val="002D4EC2"/>
    <w:rPr>
      <w:vertAlign w:val="superscript"/>
    </w:rPr>
  </w:style>
  <w:style w:type="character" w:styleId="UnresolvedMention">
    <w:name w:val="Unresolved Mention"/>
    <w:basedOn w:val="DefaultParagraphFont"/>
    <w:uiPriority w:val="99"/>
    <w:semiHidden/>
    <w:unhideWhenUsed/>
    <w:rsid w:val="00E3758E"/>
    <w:rPr>
      <w:color w:val="605E5C"/>
      <w:shd w:val="clear" w:color="auto" w:fill="E1DFDD"/>
    </w:rPr>
  </w:style>
  <w:style w:type="paragraph" w:customStyle="1" w:styleId="3-SubsectionHeading">
    <w:name w:val="3-Subsection Heading"/>
    <w:basedOn w:val="Heading2"/>
    <w:next w:val="Normal"/>
    <w:link w:val="3-SubsectionHeadingChar"/>
    <w:qFormat/>
    <w:rsid w:val="00A548DE"/>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A548DE"/>
    <w:rPr>
      <w:rFonts w:asciiTheme="minorHAnsi" w:eastAsiaTheme="majorEastAsia" w:hAnsiTheme="minorHAnsi" w:cstheme="majorBidi"/>
      <w:b/>
      <w:i/>
      <w:snapToGrid/>
      <w:spacing w:val="5"/>
      <w:kern w:val="28"/>
      <w:sz w:val="28"/>
      <w:szCs w:val="36"/>
      <w:lang w:eastAsia="en-US"/>
    </w:rPr>
  </w:style>
  <w:style w:type="character" w:customStyle="1" w:styleId="TableFigureFooterChar">
    <w:name w:val="Table/Figure Footer Char"/>
    <w:link w:val="TableFigureFooter"/>
    <w:locked/>
    <w:rsid w:val="00E06D6F"/>
    <w:rPr>
      <w:rFonts w:ascii="Arial Narrow" w:hAnsi="Arial Narrow" w:cs="Arial"/>
      <w:sz w:val="18"/>
    </w:rPr>
  </w:style>
  <w:style w:type="paragraph" w:customStyle="1" w:styleId="TableFigureFooter">
    <w:name w:val="Table/Figure Footer"/>
    <w:basedOn w:val="Normal"/>
    <w:link w:val="TableFigureFooterChar"/>
    <w:qFormat/>
    <w:rsid w:val="00E06D6F"/>
    <w:pPr>
      <w:snapToGrid w:val="0"/>
      <w:spacing w:after="120"/>
      <w:contextualSpacing/>
    </w:pPr>
    <w:rPr>
      <w:rFonts w:ascii="Arial Narrow" w:hAnsi="Arial Narrow"/>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16799">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66479819">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553346816">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905648798">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232274443">
      <w:bodyDiv w:val="1"/>
      <w:marLeft w:val="0"/>
      <w:marRight w:val="0"/>
      <w:marTop w:val="0"/>
      <w:marBottom w:val="0"/>
      <w:divBdr>
        <w:top w:val="none" w:sz="0" w:space="0" w:color="auto"/>
        <w:left w:val="none" w:sz="0" w:space="0" w:color="auto"/>
        <w:bottom w:val="none" w:sz="0" w:space="0" w:color="auto"/>
        <w:right w:val="none" w:sz="0" w:space="0" w:color="auto"/>
      </w:divBdr>
    </w:div>
    <w:div w:id="1686057614">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10615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training.cochrane.org/handbook/current/chapter-15" TargetMode="External"/><Relationship Id="rId2" Type="http://schemas.openxmlformats.org/officeDocument/2006/relationships/hyperlink" Target="https://www.eviq.org.au/clinical-resources/side-effect-and-toxicity-management/gastrointestinal/7-prevention-of-antineoplastic-induced-nausea-and" TargetMode="External"/><Relationship Id="rId1" Type="http://schemas.openxmlformats.org/officeDocument/2006/relationships/hyperlink" Target="https://www.sciencedirect.com/topics/medicine-and-dentistry/anticarcinogen" TargetMode="External"/><Relationship Id="rId4" Type="http://schemas.openxmlformats.org/officeDocument/2006/relationships/hyperlink" Target="https://training.cochrane.org/handbook/current/chapter-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708A9-84E5-4614-90DD-41B816BD1534}">
  <ds:schemaRefs>
    <ds:schemaRef ds:uri="http://schemas.openxmlformats.org/officeDocument/2006/bibliography"/>
  </ds:schemaRefs>
</ds:datastoreItem>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34</Pages>
  <Words>12290</Words>
  <Characters>68475</Characters>
  <Application>Microsoft Office Word</Application>
  <DocSecurity>0</DocSecurity>
  <Lines>570</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2023-06-21T04:45:00Z</dcterms:created>
  <dcterms:modified xsi:type="dcterms:W3CDTF">2023-06-27T01:31:00Z</dcterms:modified>
</cp:coreProperties>
</file>