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6D819EC8" w:rsidR="00B60939" w:rsidRDefault="008944A4" w:rsidP="004A6040">
      <w:pPr>
        <w:pStyle w:val="1-MainHeading"/>
      </w:pPr>
      <w:bookmarkStart w:id="0" w:name="_Toc124862859"/>
      <w:r>
        <w:t>6.02</w:t>
      </w:r>
      <w:r w:rsidR="00163F66">
        <w:tab/>
      </w:r>
      <w:r w:rsidR="00530771" w:rsidRPr="00530771">
        <w:t>ENZALUTAMIDE</w:t>
      </w:r>
      <w:r w:rsidR="00163F66">
        <w:t>,</w:t>
      </w:r>
      <w:r w:rsidR="00163F66">
        <w:br/>
      </w:r>
      <w:r w:rsidR="00530771" w:rsidRPr="00530771">
        <w:t>Capsule</w:t>
      </w:r>
      <w:r w:rsidR="004901F0">
        <w:t xml:space="preserve"> </w:t>
      </w:r>
      <w:r w:rsidR="00530771">
        <w:t>40 mg</w:t>
      </w:r>
      <w:r w:rsidR="00163F66">
        <w:t>,</w:t>
      </w:r>
      <w:r w:rsidR="00163F66">
        <w:br/>
      </w:r>
      <w:r w:rsidR="00530771" w:rsidRPr="00530771">
        <w:t>Xtandi®</w:t>
      </w:r>
      <w:r w:rsidR="004A6040" w:rsidRPr="004A6040">
        <w:t>,</w:t>
      </w:r>
      <w:r w:rsidR="004A6040" w:rsidRPr="004A6040">
        <w:br/>
      </w:r>
      <w:r w:rsidR="00530771" w:rsidRPr="00530771">
        <w:t>Astellas Pharma Australia Pty Ltd</w:t>
      </w:r>
      <w:r w:rsidR="00B60939" w:rsidRPr="004A6040">
        <w:t>.</w:t>
      </w:r>
      <w:bookmarkEnd w:id="0"/>
      <w:r w:rsidR="00F73E08">
        <w:t xml:space="preserve"> </w:t>
      </w:r>
    </w:p>
    <w:p w14:paraId="3E27A1A3" w14:textId="77777777" w:rsidR="00A01891" w:rsidRPr="008835DC" w:rsidRDefault="00A01891" w:rsidP="00A01891">
      <w:pPr>
        <w:pStyle w:val="2-SectionHeading"/>
        <w:numPr>
          <w:ilvl w:val="0"/>
          <w:numId w:val="1"/>
        </w:numPr>
      </w:pPr>
      <w:bookmarkStart w:id="1" w:name="_Toc124324267"/>
      <w:bookmarkStart w:id="2" w:name="_Toc124862861"/>
      <w:r w:rsidRPr="008835DC">
        <w:t>Purpose of submission</w:t>
      </w:r>
      <w:bookmarkEnd w:id="1"/>
      <w:bookmarkEnd w:id="2"/>
    </w:p>
    <w:p w14:paraId="1170CF72" w14:textId="47D349E9" w:rsidR="00A01891" w:rsidRPr="0075485D" w:rsidRDefault="00A01891" w:rsidP="00A01891">
      <w:pPr>
        <w:pStyle w:val="3-BodyText"/>
      </w:pPr>
      <w:r w:rsidRPr="0075485D">
        <w:t xml:space="preserve">The Category 2 submission requested Authority Required (telephone/online) listing for enzalutamide for the treatment </w:t>
      </w:r>
      <w:r w:rsidR="00DD1462" w:rsidRPr="0075485D">
        <w:t xml:space="preserve">of patients with </w:t>
      </w:r>
      <w:r w:rsidRPr="0075485D">
        <w:t>metastatic hormone-sensitive prostate cancer (mHSPC)</w:t>
      </w:r>
      <w:r w:rsidR="00273330" w:rsidRPr="0075485D">
        <w:t xml:space="preserve">. An alternate population of mHSPC </w:t>
      </w:r>
      <w:r w:rsidRPr="0075485D">
        <w:t>patients with low volume (LV) disease, and in high volume (HV) disease where the patient is unsuitable for docetaxel due to poor Eastern Cooperative Oncology Group ECOG performance status, comorbidities, or contraindications</w:t>
      </w:r>
      <w:r w:rsidR="00273330" w:rsidRPr="0075485D">
        <w:t xml:space="preserve"> was also proposed</w:t>
      </w:r>
      <w:r w:rsidRPr="0075485D">
        <w:t xml:space="preserve">. </w:t>
      </w:r>
    </w:p>
    <w:p w14:paraId="2FD30B1A" w14:textId="1B898FC9" w:rsidR="00A01891" w:rsidRPr="0075485D" w:rsidRDefault="00A01891" w:rsidP="00A01891">
      <w:pPr>
        <w:pStyle w:val="3-BodyText"/>
      </w:pPr>
      <w:r w:rsidRPr="0075485D">
        <w:t>Listing of enzalutamide in addition to androgen deprivation therapy (ADT) was requested on the basis of a cost-effectiveness analysis versus ADT alone, and on the basis of a cost-minimisation approach versus apalutamide</w:t>
      </w:r>
      <w:r w:rsidR="00273330" w:rsidRPr="0075485D">
        <w:t xml:space="preserve"> (if apalutamide was PBS listed the time of PBAC consideration)</w:t>
      </w:r>
      <w:r w:rsidRPr="0075485D">
        <w:t>.</w:t>
      </w:r>
    </w:p>
    <w:p w14:paraId="4E5DB13F" w14:textId="711EB37B" w:rsidR="00A01891" w:rsidRPr="004A6040" w:rsidRDefault="00A01891" w:rsidP="00A01891">
      <w:pPr>
        <w:pStyle w:val="TableFigureHeading"/>
        <w:rPr>
          <w:rStyle w:val="CommentReference"/>
          <w:b/>
          <w:szCs w:val="24"/>
        </w:rPr>
      </w:pPr>
      <w:r>
        <w:t xml:space="preserve">Table </w:t>
      </w:r>
      <w:fldSimple w:instr=" SEQ Table \* ARABIC ">
        <w:r w:rsidR="00307E3A">
          <w:rPr>
            <w:noProof/>
          </w:rPr>
          <w:t>1</w:t>
        </w:r>
      </w:fldSimple>
      <w:r>
        <w:t>:</w:t>
      </w:r>
      <w:r w:rsidRPr="004A6040">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7743"/>
      </w:tblGrid>
      <w:tr w:rsidR="00A01891" w:rsidRPr="00A518F3" w14:paraId="1EF777D2" w14:textId="77777777" w:rsidTr="00E44076">
        <w:tc>
          <w:tcPr>
            <w:tcW w:w="1413" w:type="dxa"/>
            <w:vAlign w:val="center"/>
          </w:tcPr>
          <w:p w14:paraId="7B659EB1" w14:textId="77777777" w:rsidR="00A01891" w:rsidRPr="00A518F3" w:rsidRDefault="00A01891" w:rsidP="00E44076">
            <w:pPr>
              <w:pStyle w:val="In-tableHeading"/>
            </w:pPr>
            <w:r w:rsidRPr="00A518F3">
              <w:t>Component</w:t>
            </w:r>
          </w:p>
        </w:tc>
        <w:tc>
          <w:tcPr>
            <w:tcW w:w="7743" w:type="dxa"/>
            <w:vAlign w:val="center"/>
          </w:tcPr>
          <w:p w14:paraId="0485E038" w14:textId="77777777" w:rsidR="00A01891" w:rsidRPr="00A518F3" w:rsidRDefault="00A01891" w:rsidP="00E44076">
            <w:pPr>
              <w:pStyle w:val="In-tableHeading"/>
            </w:pPr>
            <w:r w:rsidRPr="00A518F3">
              <w:t>Description</w:t>
            </w:r>
          </w:p>
        </w:tc>
      </w:tr>
      <w:tr w:rsidR="00A01891" w14:paraId="60B4A2B3" w14:textId="77777777" w:rsidTr="00E44076">
        <w:tc>
          <w:tcPr>
            <w:tcW w:w="1413" w:type="dxa"/>
            <w:vAlign w:val="center"/>
          </w:tcPr>
          <w:p w14:paraId="16BC84F7" w14:textId="77777777" w:rsidR="00A01891" w:rsidRDefault="00A01891" w:rsidP="00E44076">
            <w:pPr>
              <w:pStyle w:val="TableText0"/>
            </w:pPr>
            <w:r>
              <w:t>Population</w:t>
            </w:r>
          </w:p>
        </w:tc>
        <w:tc>
          <w:tcPr>
            <w:tcW w:w="7743" w:type="dxa"/>
            <w:vAlign w:val="center"/>
          </w:tcPr>
          <w:p w14:paraId="1BBDAD02" w14:textId="62F8F419" w:rsidR="00273330" w:rsidRDefault="00273330" w:rsidP="00E44076">
            <w:pPr>
              <w:pStyle w:val="TableText0"/>
            </w:pPr>
            <w:r>
              <w:t>Patients with mHSPC, OR</w:t>
            </w:r>
          </w:p>
          <w:p w14:paraId="5945AAC1" w14:textId="5FD2BECD" w:rsidR="00DD1462" w:rsidRDefault="00A01891" w:rsidP="00E44076">
            <w:pPr>
              <w:pStyle w:val="TableText0"/>
            </w:pPr>
            <w:r w:rsidRPr="002B7579">
              <w:t xml:space="preserve">Patients with mHSPC who have (i) low volume disease or (ii) high-volume disease who are </w:t>
            </w:r>
            <w:r>
              <w:t>unsuitable for docetaxel due to either poor ECOG status, comorbidities or contraindications</w:t>
            </w:r>
          </w:p>
        </w:tc>
      </w:tr>
      <w:tr w:rsidR="00A01891" w14:paraId="5B725BC1" w14:textId="77777777" w:rsidTr="00E44076">
        <w:tc>
          <w:tcPr>
            <w:tcW w:w="1413" w:type="dxa"/>
            <w:vAlign w:val="center"/>
          </w:tcPr>
          <w:p w14:paraId="0CD29F26" w14:textId="77777777" w:rsidR="00A01891" w:rsidRDefault="00A01891" w:rsidP="00E44076">
            <w:pPr>
              <w:pStyle w:val="TableText0"/>
            </w:pPr>
            <w:r>
              <w:t>Intervention</w:t>
            </w:r>
          </w:p>
        </w:tc>
        <w:tc>
          <w:tcPr>
            <w:tcW w:w="7743" w:type="dxa"/>
            <w:vAlign w:val="center"/>
          </w:tcPr>
          <w:p w14:paraId="07301A6C" w14:textId="77777777" w:rsidR="00A01891" w:rsidRDefault="00A01891" w:rsidP="00E44076">
            <w:pPr>
              <w:pStyle w:val="TableText0"/>
            </w:pPr>
            <w:r>
              <w:t xml:space="preserve">Enzalutamide is administered orally at a dose of 160 mg daily (as 4 x 40 mg capsules) in addition to ADT </w:t>
            </w:r>
            <w:r w:rsidRPr="00024A4B">
              <w:t>which is comprised of LHRH agonists or an antagonist or surgical ADT (i.e., orchidectomy)</w:t>
            </w:r>
          </w:p>
        </w:tc>
      </w:tr>
      <w:tr w:rsidR="00A01891" w14:paraId="398FC5F8" w14:textId="77777777" w:rsidTr="00E44076">
        <w:tc>
          <w:tcPr>
            <w:tcW w:w="1413" w:type="dxa"/>
            <w:vAlign w:val="center"/>
          </w:tcPr>
          <w:p w14:paraId="4D36CFA2" w14:textId="77777777" w:rsidR="00A01891" w:rsidRDefault="00A01891" w:rsidP="00E44076">
            <w:pPr>
              <w:pStyle w:val="TableText0"/>
            </w:pPr>
            <w:r>
              <w:t>Comparator</w:t>
            </w:r>
          </w:p>
        </w:tc>
        <w:tc>
          <w:tcPr>
            <w:tcW w:w="7743" w:type="dxa"/>
            <w:vAlign w:val="center"/>
          </w:tcPr>
          <w:p w14:paraId="4AC84F7F" w14:textId="77777777" w:rsidR="00A01891" w:rsidRDefault="00A01891" w:rsidP="00E44076">
            <w:pPr>
              <w:pStyle w:val="TableText0"/>
            </w:pPr>
            <w:r w:rsidRPr="00DF3E93">
              <w:rPr>
                <w:u w:val="single"/>
              </w:rPr>
              <w:t>Main comparator</w:t>
            </w:r>
            <w:r>
              <w:t xml:space="preserve">: ADT alone, comprised of LHRH agonists </w:t>
            </w:r>
            <w:r w:rsidRPr="002B7579">
              <w:t>or an antagonist or surgical ADT (i.e., orchidectomy).</w:t>
            </w:r>
            <w:r>
              <w:t xml:space="preserve"> </w:t>
            </w:r>
          </w:p>
          <w:p w14:paraId="019E8638" w14:textId="500C93EB" w:rsidR="00A01891" w:rsidRDefault="00A01891" w:rsidP="00E44076">
            <w:pPr>
              <w:pStyle w:val="TableText0"/>
            </w:pPr>
            <w:r w:rsidRPr="00DF3E93">
              <w:rPr>
                <w:u w:val="single"/>
              </w:rPr>
              <w:t>Near market (secondary) comparator</w:t>
            </w:r>
            <w:r>
              <w:t>: apalutamide, administered orally at a dose of 2</w:t>
            </w:r>
            <w:r w:rsidR="00EA0A22">
              <w:t>4</w:t>
            </w:r>
            <w:r>
              <w:t>0 mg (as 4 x 60</w:t>
            </w:r>
            <w:r w:rsidR="006B3D19">
              <w:t> </w:t>
            </w:r>
            <w:r>
              <w:t>mg tablets) in addition to ADT</w:t>
            </w:r>
          </w:p>
        </w:tc>
      </w:tr>
      <w:tr w:rsidR="00A01891" w14:paraId="34EE9552" w14:textId="77777777" w:rsidTr="00E44076">
        <w:tc>
          <w:tcPr>
            <w:tcW w:w="1413" w:type="dxa"/>
            <w:vAlign w:val="center"/>
          </w:tcPr>
          <w:p w14:paraId="5BAA9AB4" w14:textId="77777777" w:rsidR="00A01891" w:rsidRDefault="00A01891" w:rsidP="00E44076">
            <w:pPr>
              <w:pStyle w:val="TableText0"/>
            </w:pPr>
            <w:r>
              <w:t>Outcomes</w:t>
            </w:r>
          </w:p>
        </w:tc>
        <w:tc>
          <w:tcPr>
            <w:tcW w:w="7743" w:type="dxa"/>
            <w:vAlign w:val="center"/>
          </w:tcPr>
          <w:p w14:paraId="3AFDC801" w14:textId="77777777" w:rsidR="00A01891" w:rsidRDefault="00A01891" w:rsidP="00E44076">
            <w:pPr>
              <w:pStyle w:val="TableText0"/>
            </w:pPr>
            <w:r w:rsidRPr="002B7579">
              <w:t>rPFS, OS, time to initiation of cytotoxic chemotherapy, AEs, and HRQoL.</w:t>
            </w:r>
          </w:p>
        </w:tc>
      </w:tr>
      <w:tr w:rsidR="00A01891" w14:paraId="648200B8" w14:textId="77777777" w:rsidTr="00E44076">
        <w:tc>
          <w:tcPr>
            <w:tcW w:w="1413" w:type="dxa"/>
            <w:vAlign w:val="center"/>
          </w:tcPr>
          <w:p w14:paraId="3FE34527" w14:textId="77777777" w:rsidR="00A01891" w:rsidRDefault="00A01891" w:rsidP="00E44076">
            <w:pPr>
              <w:pStyle w:val="TableText0"/>
            </w:pPr>
            <w:r>
              <w:t>Clinical claim</w:t>
            </w:r>
          </w:p>
        </w:tc>
        <w:tc>
          <w:tcPr>
            <w:tcW w:w="7743" w:type="dxa"/>
            <w:vAlign w:val="center"/>
          </w:tcPr>
          <w:p w14:paraId="0CE0C542" w14:textId="77777777" w:rsidR="00A01891" w:rsidRDefault="00A01891" w:rsidP="00E44076">
            <w:pPr>
              <w:pStyle w:val="TableText0"/>
            </w:pPr>
            <w:r w:rsidRPr="00DF3E93">
              <w:rPr>
                <w:u w:val="single"/>
              </w:rPr>
              <w:t>Main comparator (ADT alone)</w:t>
            </w:r>
            <w:r>
              <w:t xml:space="preserve">: For patients with mHSPC, enzalutamide + ADT demonstrates superior comparative efficacy to ADT monotherapy, as assessed by statistically and clinically significant improvements in rPFS and OS. Enzalutamide + ADT is associated with some additional AEs compared to ADT monotherapy and thus has an inferior safety profile. However, AEs are mostly mild to moderate in severity, unlikely to impact HRQoL, and usually do not require the discontinuation of treatment. </w:t>
            </w:r>
          </w:p>
          <w:p w14:paraId="25FC3185" w14:textId="77777777" w:rsidR="00A01891" w:rsidRDefault="00A01891" w:rsidP="00E44076">
            <w:pPr>
              <w:pStyle w:val="TableText0"/>
            </w:pPr>
            <w:r>
              <w:t xml:space="preserve">Enzalutamide + ADT has a well-understood safety profile and did not show any new safety signals in the key studies, ARCHES and ENZAMET. Clinicians are familiar with these AEs in the treatment of enzalutamide in its current PBS-listed indications. </w:t>
            </w:r>
          </w:p>
          <w:p w14:paraId="57048C2A" w14:textId="77777777" w:rsidR="00A01891" w:rsidRDefault="00A01891" w:rsidP="00E44076">
            <w:pPr>
              <w:pStyle w:val="TableText0"/>
            </w:pPr>
            <w:r w:rsidRPr="00DF3E93">
              <w:rPr>
                <w:u w:val="single"/>
              </w:rPr>
              <w:t>Near market (secondary) comparator (</w:t>
            </w:r>
            <w:r>
              <w:rPr>
                <w:u w:val="single"/>
              </w:rPr>
              <w:t>a</w:t>
            </w:r>
            <w:r w:rsidRPr="00DF3E93">
              <w:rPr>
                <w:u w:val="single"/>
              </w:rPr>
              <w:t>palutamide + ADT)</w:t>
            </w:r>
            <w:r>
              <w:t>: For patients with mHSPC, enzalutamide +ADT is non-inferior to the near market comparator apalutamide + ADT for efficacy based on OS and rPFS, and with a similar AE profile.</w:t>
            </w:r>
          </w:p>
        </w:tc>
      </w:tr>
    </w:tbl>
    <w:p w14:paraId="6A628E66" w14:textId="77777777" w:rsidR="00A01891" w:rsidRDefault="00A01891" w:rsidP="00A01891">
      <w:pPr>
        <w:pStyle w:val="FooterTableFigure"/>
      </w:pPr>
      <w:r>
        <w:t>Source: Table 1.1-1, p5 of the submission.</w:t>
      </w:r>
    </w:p>
    <w:p w14:paraId="61FDCD0C" w14:textId="77777777" w:rsidR="00A01891" w:rsidRPr="00F60035" w:rsidRDefault="00A01891" w:rsidP="00A01891">
      <w:pPr>
        <w:pStyle w:val="FooterTableFigure"/>
      </w:pPr>
      <w:r>
        <w:t>ADT=androgen deprivation therapy; AE=adverse effect; ECOG=Eastern Cooperative Oncology Group (ECOG) scale; HRQoL=health-related quality of life; LHRH=luteinising hormone releasing hormone; mHSPC=metastatic hormone sensitive prostate cancer; OS=overall survival; rPFS=radiographic progression free survival.</w:t>
      </w:r>
    </w:p>
    <w:p w14:paraId="60B03813" w14:textId="77777777" w:rsidR="00A01891" w:rsidRPr="00407F2D" w:rsidRDefault="00A01891" w:rsidP="00A01891">
      <w:pPr>
        <w:pStyle w:val="2-SectionHeading"/>
        <w:numPr>
          <w:ilvl w:val="0"/>
          <w:numId w:val="1"/>
        </w:numPr>
      </w:pPr>
      <w:bookmarkStart w:id="3" w:name="_Toc124324268"/>
      <w:bookmarkStart w:id="4" w:name="_Toc124862862"/>
      <w:r w:rsidRPr="00407F2D">
        <w:lastRenderedPageBreak/>
        <w:t>Background</w:t>
      </w:r>
      <w:bookmarkEnd w:id="3"/>
      <w:bookmarkEnd w:id="4"/>
    </w:p>
    <w:p w14:paraId="63640E43" w14:textId="77777777" w:rsidR="00A01891" w:rsidRPr="004151CF" w:rsidRDefault="00A01891" w:rsidP="00A01891">
      <w:pPr>
        <w:pStyle w:val="4-SubsectionHeading"/>
      </w:pPr>
      <w:bookmarkStart w:id="5" w:name="_Toc22897638"/>
      <w:bookmarkStart w:id="6" w:name="_Toc124324269"/>
      <w:bookmarkStart w:id="7" w:name="_Toc124862863"/>
      <w:r w:rsidRPr="004151CF">
        <w:t>Registration status</w:t>
      </w:r>
      <w:bookmarkEnd w:id="5"/>
      <w:bookmarkEnd w:id="6"/>
      <w:bookmarkEnd w:id="7"/>
    </w:p>
    <w:p w14:paraId="1084069F" w14:textId="77777777" w:rsidR="00A01891" w:rsidRDefault="00A01891" w:rsidP="00A01891">
      <w:pPr>
        <w:pStyle w:val="3-BodyText"/>
      </w:pPr>
      <w:r>
        <w:t>Enzalutamide</w:t>
      </w:r>
      <w:r w:rsidRPr="004E18E9">
        <w:t xml:space="preserve"> was TGA registered </w:t>
      </w:r>
      <w:r>
        <w:t>i</w:t>
      </w:r>
      <w:r w:rsidRPr="004E18E9">
        <w:t xml:space="preserve">n </w:t>
      </w:r>
      <w:r>
        <w:t>April 2021</w:t>
      </w:r>
      <w:r w:rsidRPr="004E18E9">
        <w:t xml:space="preserve"> for </w:t>
      </w:r>
      <w:r>
        <w:t xml:space="preserve">the indication: </w:t>
      </w:r>
    </w:p>
    <w:p w14:paraId="33FEB2EA" w14:textId="563166D1" w:rsidR="00A01891" w:rsidRDefault="005D5D9E" w:rsidP="00A01891">
      <w:pPr>
        <w:pStyle w:val="3-BodyText"/>
        <w:numPr>
          <w:ilvl w:val="0"/>
          <w:numId w:val="0"/>
        </w:numPr>
        <w:ind w:left="720"/>
      </w:pPr>
      <w:r>
        <w:t>‘</w:t>
      </w:r>
      <w:r w:rsidR="00A01891">
        <w:t>the treatment of patients with metastatic hormone-sensitive prostate cancer</w:t>
      </w:r>
      <w:r>
        <w:t>’</w:t>
      </w:r>
    </w:p>
    <w:p w14:paraId="4D229AD7" w14:textId="77777777" w:rsidR="00A01891" w:rsidRDefault="00A01891" w:rsidP="00A01891">
      <w:pPr>
        <w:pStyle w:val="3-BodyText"/>
        <w:numPr>
          <w:ilvl w:val="0"/>
          <w:numId w:val="0"/>
        </w:numPr>
        <w:ind w:left="720"/>
      </w:pPr>
      <w:r>
        <w:t>It is also indicated for:</w:t>
      </w:r>
    </w:p>
    <w:p w14:paraId="439B1028" w14:textId="7C1299A0" w:rsidR="00A01891" w:rsidRDefault="005D5D9E" w:rsidP="00D45249">
      <w:pPr>
        <w:pStyle w:val="3-BodyText"/>
        <w:numPr>
          <w:ilvl w:val="0"/>
          <w:numId w:val="16"/>
        </w:numPr>
        <w:ind w:left="1077" w:hanging="357"/>
      </w:pPr>
      <w:r>
        <w:t>‘</w:t>
      </w:r>
      <w:r w:rsidR="00A01891">
        <w:t xml:space="preserve">the treatment of patients with non-metastatic castration-resistant prostate cancer. </w:t>
      </w:r>
    </w:p>
    <w:p w14:paraId="2EC7B782" w14:textId="75C3FCCF" w:rsidR="00A01891" w:rsidRDefault="00A01891" w:rsidP="00D45249">
      <w:pPr>
        <w:pStyle w:val="3-BodyText"/>
        <w:numPr>
          <w:ilvl w:val="1"/>
          <w:numId w:val="16"/>
        </w:numPr>
        <w:ind w:left="1077" w:hanging="357"/>
      </w:pPr>
      <w:r>
        <w:t>the treatment of patients with metastatic castration</w:t>
      </w:r>
      <w:r w:rsidR="0035301A">
        <w:t>-</w:t>
      </w:r>
      <w:r>
        <w:t>resistant prostate cancer following failure of androgen deprivation therapy in whom chemotherapy is not yet indicated.</w:t>
      </w:r>
    </w:p>
    <w:p w14:paraId="3ED7BC0F" w14:textId="7C4CF52B" w:rsidR="00A01891" w:rsidRPr="00CF3A1B" w:rsidRDefault="00A01891" w:rsidP="00D45249">
      <w:pPr>
        <w:pStyle w:val="3-BodyText"/>
        <w:numPr>
          <w:ilvl w:val="1"/>
          <w:numId w:val="16"/>
        </w:numPr>
        <w:ind w:left="1077" w:hanging="357"/>
      </w:pPr>
      <w:r>
        <w:t>the treatment of patients with metastatic castration-resistant prostate cancer who have previously received docetaxel.</w:t>
      </w:r>
      <w:r w:rsidR="005D5D9E">
        <w:t>’</w:t>
      </w:r>
    </w:p>
    <w:p w14:paraId="75567060" w14:textId="77777777" w:rsidR="00A01891" w:rsidRPr="00621ADA" w:rsidRDefault="00A01891" w:rsidP="00A01891">
      <w:pPr>
        <w:pStyle w:val="4-SubsectionHeading"/>
      </w:pPr>
      <w:bookmarkStart w:id="8" w:name="_Toc22897639"/>
      <w:bookmarkStart w:id="9" w:name="_Toc124324270"/>
      <w:bookmarkStart w:id="10" w:name="_Toc124862864"/>
      <w:r w:rsidRPr="00621ADA">
        <w:t>Previous PBAC consideration</w:t>
      </w:r>
      <w:bookmarkEnd w:id="8"/>
      <w:bookmarkEnd w:id="9"/>
      <w:bookmarkEnd w:id="10"/>
    </w:p>
    <w:p w14:paraId="1022066B" w14:textId="35011DDC" w:rsidR="00A01891" w:rsidRPr="003330C9" w:rsidRDefault="00A01891" w:rsidP="00A01891">
      <w:pPr>
        <w:pStyle w:val="3-BodyText"/>
      </w:pPr>
      <w:r w:rsidRPr="003330C9">
        <w:t xml:space="preserve">This was the first submission for enzalutamide for mHSPC. Enzalutamide is </w:t>
      </w:r>
      <w:r w:rsidR="00FB32C1">
        <w:t xml:space="preserve">currently </w:t>
      </w:r>
      <w:r w:rsidRPr="003330C9">
        <w:t>PBS-listed for castration resistant non-metastatic carcinoma of the prostate (m0CRPC) and for castration resistant metastatic carcinoma of the prostate (mCRPC).</w:t>
      </w:r>
    </w:p>
    <w:p w14:paraId="045CEDF3" w14:textId="6A485EBD" w:rsidR="00A01891" w:rsidRPr="003330C9" w:rsidRDefault="00A01891" w:rsidP="00A01891">
      <w:pPr>
        <w:pStyle w:val="3-BodyText"/>
      </w:pPr>
      <w:r w:rsidRPr="003330C9">
        <w:t xml:space="preserve">The PBAC </w:t>
      </w:r>
      <w:r w:rsidR="00FB32C1">
        <w:t xml:space="preserve">recommended listing </w:t>
      </w:r>
      <w:r w:rsidRPr="003330C9">
        <w:t>apalutamide for mHSPC</w:t>
      </w:r>
      <w:r w:rsidR="00FB22BD">
        <w:t xml:space="preserve"> in</w:t>
      </w:r>
      <w:r w:rsidRPr="003330C9">
        <w:t xml:space="preserve"> July 2022. </w:t>
      </w:r>
      <w:r w:rsidR="00F15BF1" w:rsidRPr="003330C9">
        <w:t>A</w:t>
      </w:r>
      <w:r w:rsidRPr="003330C9">
        <w:t xml:space="preserve">palutamide </w:t>
      </w:r>
      <w:r w:rsidR="00F15BF1" w:rsidRPr="003330C9">
        <w:t xml:space="preserve">was recommended </w:t>
      </w:r>
      <w:r w:rsidRPr="003330C9">
        <w:t xml:space="preserve">on </w:t>
      </w:r>
      <w:r w:rsidR="00FB32C1">
        <w:t xml:space="preserve">a cost-utility </w:t>
      </w:r>
      <w:r w:rsidRPr="003330C9">
        <w:t xml:space="preserve">basis </w:t>
      </w:r>
      <w:r w:rsidR="00FB32C1">
        <w:t xml:space="preserve">versus placebo </w:t>
      </w:r>
      <w:r w:rsidRPr="003330C9">
        <w:t>for use in patients with mHSPC regardless of disease volume or suitability for docetaxel</w:t>
      </w:r>
      <w:r w:rsidRPr="003330C9">
        <w:rPr>
          <w:rStyle w:val="FootnoteReference"/>
        </w:rPr>
        <w:footnoteReference w:id="1"/>
      </w:r>
      <w:r w:rsidRPr="003330C9">
        <w:t xml:space="preserve">. </w:t>
      </w:r>
      <w:r w:rsidR="00FB32C1">
        <w:t>At the time of th</w:t>
      </w:r>
      <w:r w:rsidR="00FB22BD">
        <w:t>e</w:t>
      </w:r>
      <w:r w:rsidR="00FB32C1">
        <w:t xml:space="preserve"> March 2023 PBAC meeting, this PBAC recommendation was yet to be implemented. </w:t>
      </w:r>
    </w:p>
    <w:p w14:paraId="7C2123CB" w14:textId="2ADDEBDE" w:rsidR="00A01891" w:rsidRDefault="00A01891" w:rsidP="00A01891">
      <w:pPr>
        <w:pStyle w:val="3-BodyText"/>
      </w:pPr>
      <w:r w:rsidRPr="003330C9">
        <w:t xml:space="preserve">The PBAC also considered darolutamide, in combination with docetaxel and ADT, for mHSPC at the November 2022 PBAC meeting, with the PBAC’s recommendation </w:t>
      </w:r>
      <w:r w:rsidR="00F15BF1" w:rsidRPr="003330C9">
        <w:t xml:space="preserve">deferred </w:t>
      </w:r>
      <w:r w:rsidRPr="003330C9">
        <w:t xml:space="preserve">pending </w:t>
      </w:r>
      <w:r w:rsidR="000A0FA7">
        <w:t xml:space="preserve">a </w:t>
      </w:r>
      <w:r w:rsidRPr="003330C9">
        <w:t>TGA outcome</w:t>
      </w:r>
      <w:r w:rsidRPr="003330C9">
        <w:rPr>
          <w:rStyle w:val="FootnoteReference"/>
        </w:rPr>
        <w:footnoteReference w:id="2"/>
      </w:r>
      <w:r w:rsidRPr="003330C9">
        <w:t xml:space="preserve">. </w:t>
      </w:r>
    </w:p>
    <w:p w14:paraId="264974A5" w14:textId="46604B4C" w:rsidR="0075485D" w:rsidRPr="0075485D" w:rsidRDefault="0075485D" w:rsidP="0075485D">
      <w:pPr>
        <w:pStyle w:val="3-BodyText"/>
        <w:numPr>
          <w:ilvl w:val="0"/>
          <w:numId w:val="0"/>
        </w:numPr>
        <w:ind w:left="720"/>
        <w:rPr>
          <w:i/>
          <w:iCs/>
        </w:rPr>
      </w:pPr>
      <w:r w:rsidRPr="0075485D">
        <w:rPr>
          <w:i/>
          <w:iCs/>
        </w:rPr>
        <w:t>For more detail on PBAC’s view, see section 7 PBAC outcome.</w:t>
      </w:r>
    </w:p>
    <w:p w14:paraId="1E671C82" w14:textId="77777777" w:rsidR="00A01891" w:rsidRPr="00FF2801" w:rsidRDefault="00A01891" w:rsidP="00A01891">
      <w:pPr>
        <w:pStyle w:val="2-SectionHeading"/>
        <w:numPr>
          <w:ilvl w:val="0"/>
          <w:numId w:val="1"/>
        </w:numPr>
      </w:pPr>
      <w:bookmarkStart w:id="11" w:name="_Toc107902078"/>
      <w:bookmarkStart w:id="12" w:name="_Toc124324271"/>
      <w:bookmarkStart w:id="13" w:name="_Toc124862865"/>
      <w:bookmarkEnd w:id="11"/>
      <w:r w:rsidRPr="00407F2D">
        <w:t>Requested listing</w:t>
      </w:r>
      <w:bookmarkEnd w:id="12"/>
      <w:bookmarkEnd w:id="13"/>
    </w:p>
    <w:p w14:paraId="74BD6125" w14:textId="7E1A8BE7" w:rsidR="00A01891" w:rsidRPr="0075485D" w:rsidRDefault="00A01891" w:rsidP="00A01891">
      <w:pPr>
        <w:pStyle w:val="3-BodyText"/>
      </w:pPr>
      <w:r w:rsidRPr="0075485D">
        <w:t xml:space="preserve">The submission indicated that the requested restriction was intended to be aligned with the restriction </w:t>
      </w:r>
      <w:r w:rsidR="00C50652">
        <w:t xml:space="preserve">proposed by the PBAC </w:t>
      </w:r>
      <w:r w:rsidR="00955D3E">
        <w:t xml:space="preserve">in July 2022 </w:t>
      </w:r>
      <w:r w:rsidRPr="0075485D">
        <w:t>for apalutamide.</w:t>
      </w:r>
      <w:r w:rsidR="005B6AAB">
        <w:t xml:space="preserve"> </w:t>
      </w:r>
      <w:r w:rsidR="00955D3E">
        <w:t>The submission also proposed an alternate listing for use in LV patients</w:t>
      </w:r>
      <w:r w:rsidR="00250C84">
        <w:t xml:space="preserve"> </w:t>
      </w:r>
      <w:r w:rsidR="00F13E6D">
        <w:t xml:space="preserve">and HV patients who are intolerant to docetaxel </w:t>
      </w:r>
      <w:r w:rsidR="00250C84">
        <w:t>which is not presented below</w:t>
      </w:r>
      <w:r w:rsidR="00955D3E">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8"/>
        <w:gridCol w:w="2337"/>
        <w:gridCol w:w="812"/>
        <w:gridCol w:w="811"/>
        <w:gridCol w:w="812"/>
        <w:gridCol w:w="1830"/>
        <w:gridCol w:w="7"/>
      </w:tblGrid>
      <w:tr w:rsidR="00A01891" w:rsidRPr="001428E9" w14:paraId="29012F74" w14:textId="77777777" w:rsidTr="00E44076">
        <w:trPr>
          <w:gridAfter w:val="1"/>
          <w:wAfter w:w="7" w:type="dxa"/>
          <w:cantSplit/>
          <w:trHeight w:val="20"/>
        </w:trPr>
        <w:tc>
          <w:tcPr>
            <w:tcW w:w="2408" w:type="dxa"/>
            <w:vAlign w:val="center"/>
          </w:tcPr>
          <w:p w14:paraId="2044B1F1" w14:textId="77777777" w:rsidR="00A01891" w:rsidRPr="001428E9" w:rsidRDefault="00A01891" w:rsidP="004901F0">
            <w:pPr>
              <w:keepNext/>
              <w:rPr>
                <w:rFonts w:ascii="Arial Narrow" w:hAnsi="Arial Narrow"/>
                <w:b/>
                <w:bCs/>
                <w:sz w:val="20"/>
                <w:szCs w:val="20"/>
              </w:rPr>
            </w:pPr>
            <w:r w:rsidRPr="001428E9">
              <w:rPr>
                <w:rFonts w:ascii="Arial Narrow" w:hAnsi="Arial Narrow"/>
                <w:b/>
                <w:bCs/>
                <w:sz w:val="20"/>
                <w:szCs w:val="20"/>
              </w:rPr>
              <w:t>MEDICINAL PRODUCT</w:t>
            </w:r>
          </w:p>
          <w:p w14:paraId="066B3ACE" w14:textId="77777777" w:rsidR="00A01891" w:rsidRPr="001428E9" w:rsidRDefault="00A01891" w:rsidP="004901F0">
            <w:pPr>
              <w:keepNext/>
              <w:rPr>
                <w:rFonts w:ascii="Arial Narrow" w:hAnsi="Arial Narrow"/>
                <w:b/>
                <w:sz w:val="20"/>
                <w:szCs w:val="20"/>
              </w:rPr>
            </w:pPr>
            <w:r w:rsidRPr="001428E9">
              <w:rPr>
                <w:rFonts w:ascii="Arial Narrow" w:hAnsi="Arial Narrow"/>
                <w:b/>
                <w:bCs/>
                <w:sz w:val="20"/>
                <w:szCs w:val="20"/>
              </w:rPr>
              <w:t>medicinal product pack</w:t>
            </w:r>
          </w:p>
        </w:tc>
        <w:tc>
          <w:tcPr>
            <w:tcW w:w="2337" w:type="dxa"/>
            <w:vAlign w:val="center"/>
          </w:tcPr>
          <w:p w14:paraId="5ABB928D" w14:textId="77777777" w:rsidR="00A01891" w:rsidRPr="00C61A59" w:rsidRDefault="00A01891" w:rsidP="004901F0">
            <w:pPr>
              <w:pStyle w:val="TableText0"/>
              <w:rPr>
                <w:b/>
                <w:bCs w:val="0"/>
                <w:szCs w:val="20"/>
              </w:rPr>
            </w:pPr>
            <w:r w:rsidRPr="00C61A59">
              <w:rPr>
                <w:b/>
                <w:bCs w:val="0"/>
                <w:snapToGrid w:val="0"/>
              </w:rPr>
              <w:t xml:space="preserve">Dispensed Price for Max. Qty </w:t>
            </w:r>
          </w:p>
        </w:tc>
        <w:tc>
          <w:tcPr>
            <w:tcW w:w="812" w:type="dxa"/>
            <w:vAlign w:val="center"/>
          </w:tcPr>
          <w:p w14:paraId="68F22162" w14:textId="77777777" w:rsidR="00A01891" w:rsidRPr="001428E9" w:rsidRDefault="00A01891" w:rsidP="004901F0">
            <w:pPr>
              <w:keepNext/>
              <w:jc w:val="center"/>
              <w:rPr>
                <w:rFonts w:ascii="Arial Narrow" w:hAnsi="Arial Narrow"/>
                <w:b/>
                <w:sz w:val="20"/>
                <w:szCs w:val="20"/>
              </w:rPr>
            </w:pPr>
            <w:r w:rsidRPr="001428E9">
              <w:rPr>
                <w:rFonts w:ascii="Arial Narrow" w:hAnsi="Arial Narrow"/>
                <w:b/>
                <w:sz w:val="20"/>
                <w:szCs w:val="20"/>
              </w:rPr>
              <w:t>Max. qty packs</w:t>
            </w:r>
          </w:p>
        </w:tc>
        <w:tc>
          <w:tcPr>
            <w:tcW w:w="811" w:type="dxa"/>
            <w:vAlign w:val="center"/>
          </w:tcPr>
          <w:p w14:paraId="2BF7979A" w14:textId="77777777" w:rsidR="00A01891" w:rsidRPr="001428E9" w:rsidRDefault="00A01891" w:rsidP="004901F0">
            <w:pPr>
              <w:keepNext/>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547FB11B" w14:textId="77777777" w:rsidR="00A01891" w:rsidRPr="001428E9" w:rsidRDefault="00A01891" w:rsidP="004901F0">
            <w:pPr>
              <w:keepNext/>
              <w:jc w:val="center"/>
              <w:rPr>
                <w:rFonts w:ascii="Arial Narrow" w:hAnsi="Arial Narrow"/>
                <w:b/>
                <w:sz w:val="20"/>
                <w:szCs w:val="20"/>
              </w:rPr>
            </w:pPr>
            <w:r w:rsidRPr="001428E9">
              <w:rPr>
                <w:rFonts w:ascii="Arial Narrow" w:hAnsi="Arial Narrow"/>
                <w:b/>
                <w:sz w:val="20"/>
                <w:szCs w:val="20"/>
              </w:rPr>
              <w:t>№.of</w:t>
            </w:r>
          </w:p>
          <w:p w14:paraId="41BA418F" w14:textId="77777777" w:rsidR="00A01891" w:rsidRPr="001428E9" w:rsidRDefault="00A01891" w:rsidP="004901F0">
            <w:pPr>
              <w:keepNext/>
              <w:jc w:val="center"/>
              <w:rPr>
                <w:rFonts w:ascii="Arial Narrow" w:hAnsi="Arial Narrow"/>
                <w:b/>
                <w:sz w:val="20"/>
                <w:szCs w:val="20"/>
              </w:rPr>
            </w:pPr>
            <w:r w:rsidRPr="001428E9">
              <w:rPr>
                <w:rFonts w:ascii="Arial Narrow" w:hAnsi="Arial Narrow"/>
                <w:b/>
                <w:sz w:val="20"/>
                <w:szCs w:val="20"/>
              </w:rPr>
              <w:t>Rpts</w:t>
            </w:r>
          </w:p>
        </w:tc>
        <w:tc>
          <w:tcPr>
            <w:tcW w:w="1830" w:type="dxa"/>
            <w:vAlign w:val="center"/>
          </w:tcPr>
          <w:p w14:paraId="2171E23E" w14:textId="77777777" w:rsidR="00A01891" w:rsidRPr="001428E9" w:rsidRDefault="00A01891" w:rsidP="004901F0">
            <w:pPr>
              <w:keepNext/>
              <w:rPr>
                <w:rFonts w:ascii="Arial Narrow" w:hAnsi="Arial Narrow"/>
                <w:b/>
                <w:sz w:val="20"/>
                <w:szCs w:val="20"/>
                <w:lang w:val="fr-FR"/>
              </w:rPr>
            </w:pPr>
            <w:r w:rsidRPr="001428E9">
              <w:rPr>
                <w:rFonts w:ascii="Arial Narrow" w:hAnsi="Arial Narrow"/>
                <w:b/>
                <w:sz w:val="20"/>
                <w:szCs w:val="20"/>
              </w:rPr>
              <w:t>Available brands</w:t>
            </w:r>
          </w:p>
        </w:tc>
      </w:tr>
      <w:tr w:rsidR="00A01891" w:rsidRPr="003A4C14" w14:paraId="459592E3" w14:textId="77777777" w:rsidTr="00E44076">
        <w:trPr>
          <w:gridAfter w:val="1"/>
          <w:wAfter w:w="7" w:type="dxa"/>
          <w:cantSplit/>
          <w:trHeight w:val="20"/>
        </w:trPr>
        <w:tc>
          <w:tcPr>
            <w:tcW w:w="2408" w:type="dxa"/>
            <w:vAlign w:val="center"/>
          </w:tcPr>
          <w:p w14:paraId="2D864132" w14:textId="77777777" w:rsidR="00A01891" w:rsidRPr="003A4C14" w:rsidRDefault="00A01891" w:rsidP="004901F0">
            <w:pPr>
              <w:pStyle w:val="TableText0"/>
            </w:pPr>
            <w:r>
              <w:t>Enzalutamide 40 mg oral capsule</w:t>
            </w:r>
          </w:p>
        </w:tc>
        <w:tc>
          <w:tcPr>
            <w:tcW w:w="2337" w:type="dxa"/>
          </w:tcPr>
          <w:p w14:paraId="127FDCA8" w14:textId="77777777" w:rsidR="00A01891" w:rsidRPr="00565C79" w:rsidRDefault="00A01891" w:rsidP="004901F0">
            <w:pPr>
              <w:pStyle w:val="TableText0"/>
              <w:jc w:val="center"/>
            </w:pPr>
            <w:r w:rsidRPr="00565C79">
              <w:t>$</w:t>
            </w:r>
            <w:r>
              <w:t>3,536.92</w:t>
            </w:r>
            <w:r w:rsidRPr="00565C79">
              <w:t xml:space="preserve"> published</w:t>
            </w:r>
          </w:p>
          <w:p w14:paraId="4E40C311" w14:textId="76490042" w:rsidR="00A01891" w:rsidRPr="001428E9" w:rsidRDefault="00A01891" w:rsidP="004901F0">
            <w:pPr>
              <w:pStyle w:val="TableText0"/>
              <w:jc w:val="center"/>
              <w:rPr>
                <w:szCs w:val="20"/>
              </w:rPr>
            </w:pPr>
            <w:r w:rsidRPr="00565C7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Pr="00565C79">
              <w:t xml:space="preserve"> effective</w:t>
            </w:r>
          </w:p>
        </w:tc>
        <w:tc>
          <w:tcPr>
            <w:tcW w:w="812" w:type="dxa"/>
            <w:vAlign w:val="center"/>
          </w:tcPr>
          <w:p w14:paraId="25883932" w14:textId="77777777" w:rsidR="00A01891" w:rsidRPr="001428E9" w:rsidRDefault="00A01891" w:rsidP="004901F0">
            <w:pPr>
              <w:keepNext/>
              <w:jc w:val="center"/>
              <w:rPr>
                <w:rFonts w:ascii="Arial Narrow" w:hAnsi="Arial Narrow"/>
                <w:sz w:val="20"/>
                <w:szCs w:val="20"/>
              </w:rPr>
            </w:pPr>
            <w:r>
              <w:rPr>
                <w:rFonts w:ascii="Arial Narrow" w:hAnsi="Arial Narrow"/>
                <w:sz w:val="20"/>
              </w:rPr>
              <w:t>1</w:t>
            </w:r>
          </w:p>
        </w:tc>
        <w:tc>
          <w:tcPr>
            <w:tcW w:w="811" w:type="dxa"/>
            <w:vAlign w:val="center"/>
          </w:tcPr>
          <w:p w14:paraId="7606FAB8" w14:textId="77777777" w:rsidR="00A01891" w:rsidRPr="001428E9" w:rsidRDefault="00A01891" w:rsidP="004901F0">
            <w:pPr>
              <w:keepNext/>
              <w:jc w:val="center"/>
              <w:rPr>
                <w:rFonts w:ascii="Arial Narrow" w:hAnsi="Arial Narrow"/>
                <w:sz w:val="20"/>
                <w:szCs w:val="20"/>
              </w:rPr>
            </w:pPr>
            <w:r>
              <w:rPr>
                <w:rFonts w:ascii="Arial Narrow" w:hAnsi="Arial Narrow"/>
                <w:sz w:val="20"/>
              </w:rPr>
              <w:t>112</w:t>
            </w:r>
          </w:p>
        </w:tc>
        <w:tc>
          <w:tcPr>
            <w:tcW w:w="812" w:type="dxa"/>
            <w:vAlign w:val="center"/>
          </w:tcPr>
          <w:p w14:paraId="04CD5098" w14:textId="77777777" w:rsidR="00A01891" w:rsidRPr="001428E9" w:rsidRDefault="00A01891" w:rsidP="004901F0">
            <w:pPr>
              <w:keepNext/>
              <w:jc w:val="center"/>
              <w:rPr>
                <w:rFonts w:ascii="Arial Narrow" w:hAnsi="Arial Narrow"/>
                <w:sz w:val="20"/>
                <w:szCs w:val="20"/>
              </w:rPr>
            </w:pPr>
            <w:r>
              <w:rPr>
                <w:rFonts w:ascii="Arial Narrow" w:hAnsi="Arial Narrow"/>
                <w:sz w:val="20"/>
              </w:rPr>
              <w:t>5</w:t>
            </w:r>
          </w:p>
        </w:tc>
        <w:tc>
          <w:tcPr>
            <w:tcW w:w="1830" w:type="dxa"/>
            <w:vAlign w:val="center"/>
          </w:tcPr>
          <w:p w14:paraId="5399927C" w14:textId="5EC4D12F" w:rsidR="00A01891" w:rsidRPr="003A4C14" w:rsidRDefault="00A01891" w:rsidP="004901F0">
            <w:pPr>
              <w:keepNext/>
              <w:jc w:val="center"/>
              <w:rPr>
                <w:rFonts w:ascii="Arial Narrow" w:hAnsi="Arial Narrow"/>
                <w:color w:val="0066FF"/>
                <w:sz w:val="20"/>
                <w:szCs w:val="20"/>
              </w:rPr>
            </w:pPr>
            <w:r w:rsidRPr="00CD0AE1">
              <w:rPr>
                <w:rFonts w:ascii="Arial Narrow" w:hAnsi="Arial Narrow"/>
                <w:sz w:val="20"/>
                <w:szCs w:val="20"/>
              </w:rPr>
              <w:t>XTANDI®,</w:t>
            </w:r>
            <w:r>
              <w:rPr>
                <w:rFonts w:ascii="Arial Narrow" w:hAnsi="Arial Narrow"/>
                <w:sz w:val="20"/>
                <w:szCs w:val="20"/>
              </w:rPr>
              <w:t xml:space="preserve"> </w:t>
            </w:r>
            <w:r w:rsidRPr="00CD0AE1">
              <w:rPr>
                <w:rFonts w:ascii="Arial Narrow" w:hAnsi="Arial Narrow"/>
                <w:sz w:val="20"/>
                <w:szCs w:val="20"/>
              </w:rPr>
              <w:t>Astellas Australia Pty Ltd</w:t>
            </w:r>
          </w:p>
        </w:tc>
      </w:tr>
      <w:tr w:rsidR="00A01891" w:rsidRPr="00046D64" w14:paraId="6C3E9629"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Pr>
          <w:p w14:paraId="1630E143" w14:textId="77777777" w:rsidR="00A01891" w:rsidRPr="00046D64" w:rsidRDefault="00A01891" w:rsidP="004901F0">
            <w:pPr>
              <w:pStyle w:val="TableText0"/>
            </w:pPr>
            <w:r w:rsidRPr="00046D64">
              <w:rPr>
                <w:b/>
              </w:rPr>
              <w:t xml:space="preserve">Category / Program: </w:t>
            </w:r>
            <w:r>
              <w:t>General Schedule</w:t>
            </w:r>
          </w:p>
        </w:tc>
      </w:tr>
      <w:tr w:rsidR="00A01891" w:rsidRPr="00046D64" w14:paraId="64E34223"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Pr>
          <w:p w14:paraId="3813A665" w14:textId="77777777" w:rsidR="00A01891" w:rsidRPr="00046D64" w:rsidRDefault="00A01891" w:rsidP="004901F0">
            <w:pPr>
              <w:pStyle w:val="TableText0"/>
              <w:rPr>
                <w:b/>
              </w:rPr>
            </w:pPr>
            <w:r w:rsidRPr="00046D64">
              <w:rPr>
                <w:b/>
              </w:rPr>
              <w:t xml:space="preserve">Prescriber type: </w:t>
            </w:r>
            <w:r>
              <w:fldChar w:fldCharType="begin">
                <w:ffData>
                  <w:name w:val=""/>
                  <w:enabled/>
                  <w:calcOnExit w:val="0"/>
                  <w:checkBox>
                    <w:sizeAuto/>
                    <w:default w:val="1"/>
                  </w:checkBox>
                </w:ffData>
              </w:fldChar>
            </w:r>
            <w:r>
              <w:instrText xml:space="preserve"> FORMCHECKBOX </w:instrText>
            </w:r>
            <w:r w:rsidR="00307E3A">
              <w:fldChar w:fldCharType="separate"/>
            </w:r>
            <w:r>
              <w:fldChar w:fldCharType="end"/>
            </w:r>
            <w:r w:rsidRPr="00046D64">
              <w:t xml:space="preserve">Medical Practitioners </w:t>
            </w:r>
          </w:p>
        </w:tc>
      </w:tr>
      <w:tr w:rsidR="00A01891" w:rsidRPr="00046D64" w14:paraId="5EFA25E6"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Pr>
          <w:p w14:paraId="7D6D238F" w14:textId="77777777" w:rsidR="00A01891" w:rsidRPr="00046D64" w:rsidRDefault="00A01891" w:rsidP="004901F0">
            <w:pPr>
              <w:pStyle w:val="TableText0"/>
              <w:rPr>
                <w:rFonts w:eastAsia="Times New Roman"/>
              </w:rPr>
            </w:pPr>
            <w:r w:rsidRPr="00046D64">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sidR="00307E3A">
              <w:rPr>
                <w:rFonts w:eastAsia="Times New Roman"/>
              </w:rPr>
            </w:r>
            <w:r w:rsidR="00307E3A">
              <w:rPr>
                <w:rFonts w:eastAsia="Times New Roman"/>
              </w:rPr>
              <w:fldChar w:fldCharType="separate"/>
            </w:r>
            <w:r>
              <w:rPr>
                <w:rFonts w:eastAsia="Times New Roman"/>
              </w:rPr>
              <w:fldChar w:fldCharType="end"/>
            </w:r>
            <w:r w:rsidRPr="00046D64">
              <w:rPr>
                <w:rFonts w:eastAsia="Times New Roman"/>
              </w:rPr>
              <w:t xml:space="preserve">Authority Required (telephone/online PBS Authorities system) </w:t>
            </w:r>
          </w:p>
        </w:tc>
      </w:tr>
      <w:tr w:rsidR="00A01891" w:rsidRPr="00046D64" w14:paraId="005A728C"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vAlign w:val="center"/>
          </w:tcPr>
          <w:p w14:paraId="3D8CD99F" w14:textId="77777777" w:rsidR="00A01891" w:rsidRPr="00576F7F" w:rsidRDefault="00A01891" w:rsidP="004901F0">
            <w:pPr>
              <w:pStyle w:val="TableText0"/>
              <w:rPr>
                <w:bCs w:val="0"/>
              </w:rPr>
            </w:pPr>
            <w:r w:rsidRPr="00046D64">
              <w:rPr>
                <w:b/>
              </w:rPr>
              <w:t xml:space="preserve">Administrative </w:t>
            </w:r>
            <w:r w:rsidRPr="00576F7F">
              <w:rPr>
                <w:b/>
              </w:rPr>
              <w:t xml:space="preserve">Advice: </w:t>
            </w:r>
          </w:p>
          <w:p w14:paraId="5F858645" w14:textId="77777777" w:rsidR="00A01891" w:rsidRPr="00A33B4C" w:rsidRDefault="00A01891" w:rsidP="004901F0">
            <w:pPr>
              <w:pStyle w:val="TableText0"/>
            </w:pPr>
            <w:r w:rsidRPr="00A33B4C">
              <w:t>Special Pricing Arrangements apply</w:t>
            </w:r>
          </w:p>
          <w:p w14:paraId="207CF948" w14:textId="77777777" w:rsidR="00A01891" w:rsidRPr="00A33B4C" w:rsidRDefault="00A01891" w:rsidP="004901F0">
            <w:pPr>
              <w:pStyle w:val="TableText0"/>
            </w:pPr>
            <w:r w:rsidRPr="00A33B4C">
              <w:t>No increase in the maximum quantity or number of units may be authorised</w:t>
            </w:r>
          </w:p>
          <w:p w14:paraId="75740E6D" w14:textId="77777777" w:rsidR="00A01891" w:rsidRPr="00046D64" w:rsidRDefault="00A01891" w:rsidP="004901F0">
            <w:pPr>
              <w:pStyle w:val="TableText0"/>
              <w:rPr>
                <w:b/>
              </w:rPr>
            </w:pPr>
            <w:r w:rsidRPr="00A33B4C">
              <w:t>No increase in the maximum number of repeats may be authorised</w:t>
            </w:r>
          </w:p>
        </w:tc>
      </w:tr>
      <w:tr w:rsidR="00A01891" w:rsidRPr="00046D64" w14:paraId="1220A3DE"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vAlign w:val="center"/>
          </w:tcPr>
          <w:p w14:paraId="28E91D95" w14:textId="3F99F402" w:rsidR="00A01891" w:rsidRPr="00046D64" w:rsidRDefault="00A01891" w:rsidP="00E44076">
            <w:pPr>
              <w:pStyle w:val="TableText0"/>
              <w:keepNext w:val="0"/>
              <w:rPr>
                <w:b/>
              </w:rPr>
            </w:pPr>
            <w:r w:rsidRPr="00046D64">
              <w:rPr>
                <w:b/>
              </w:rPr>
              <w:t xml:space="preserve">Condition: </w:t>
            </w:r>
            <w:r w:rsidR="00463D1B">
              <w:t>M</w:t>
            </w:r>
            <w:r w:rsidRPr="00A33B4C">
              <w:t xml:space="preserve">etastatic </w:t>
            </w:r>
            <w:r w:rsidR="00463D1B">
              <w:t>castration sensitive</w:t>
            </w:r>
          </w:p>
        </w:tc>
      </w:tr>
      <w:tr w:rsidR="00A01891" w:rsidRPr="00046D64" w14:paraId="3DA5BAA5"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Borders>
              <w:bottom w:val="double" w:sz="4" w:space="0" w:color="auto"/>
            </w:tcBorders>
            <w:vAlign w:val="center"/>
            <w:hideMark/>
          </w:tcPr>
          <w:p w14:paraId="093B2922" w14:textId="77777777" w:rsidR="00A01891" w:rsidRPr="00046D64" w:rsidRDefault="00A01891" w:rsidP="00E44076">
            <w:pPr>
              <w:pStyle w:val="TableText0"/>
              <w:keepNext w:val="0"/>
            </w:pPr>
            <w:r w:rsidRPr="00046D64">
              <w:rPr>
                <w:b/>
              </w:rPr>
              <w:t>Indication:</w:t>
            </w:r>
            <w:r>
              <w:t xml:space="preserve"> </w:t>
            </w:r>
            <w:r w:rsidRPr="00A33B4C">
              <w:t>Carcinoma of the prostate</w:t>
            </w:r>
          </w:p>
        </w:tc>
      </w:tr>
      <w:tr w:rsidR="00A01891" w:rsidRPr="00046D64" w14:paraId="678D2D1D"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vAlign w:val="center"/>
            <w:hideMark/>
          </w:tcPr>
          <w:p w14:paraId="5B585A4D" w14:textId="77777777" w:rsidR="00A01891" w:rsidRPr="00046D64" w:rsidRDefault="00A01891" w:rsidP="00E44076">
            <w:pPr>
              <w:pStyle w:val="TableText0"/>
              <w:keepNext w:val="0"/>
            </w:pPr>
            <w:r w:rsidRPr="00046D64">
              <w:rPr>
                <w:b/>
              </w:rPr>
              <w:t>Clinical criteria:</w:t>
            </w:r>
          </w:p>
        </w:tc>
      </w:tr>
      <w:tr w:rsidR="00A01891" w:rsidRPr="00046D64" w14:paraId="0416CE23"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Borders>
              <w:bottom w:val="single" w:sz="4" w:space="0" w:color="auto"/>
            </w:tcBorders>
            <w:vAlign w:val="center"/>
            <w:hideMark/>
          </w:tcPr>
          <w:p w14:paraId="25F62D82" w14:textId="1E9E8569" w:rsidR="00463D1B" w:rsidRDefault="00463D1B" w:rsidP="00E44076">
            <w:pPr>
              <w:pStyle w:val="TableText0"/>
              <w:keepNext w:val="0"/>
            </w:pPr>
            <w:r>
              <w:t>The treatment must be/have been initiated within 6 months of treatment initiation with androgen deprivation therapy</w:t>
            </w:r>
          </w:p>
          <w:p w14:paraId="1DAF7145" w14:textId="77777777" w:rsidR="00A01891" w:rsidRDefault="00A01891" w:rsidP="00E44076">
            <w:pPr>
              <w:pStyle w:val="TableText0"/>
              <w:keepNext w:val="0"/>
            </w:pPr>
            <w:r>
              <w:t>AND</w:t>
            </w:r>
          </w:p>
          <w:p w14:paraId="6E992E78" w14:textId="77777777" w:rsidR="00A01891" w:rsidRDefault="00A01891" w:rsidP="00E44076">
            <w:pPr>
              <w:pStyle w:val="TableText0"/>
              <w:keepNext w:val="0"/>
            </w:pPr>
            <w:r>
              <w:t>Treatment must be used in combination with androgen deprivation therapy</w:t>
            </w:r>
          </w:p>
          <w:p w14:paraId="05989999" w14:textId="77777777" w:rsidR="00A01891" w:rsidRDefault="00A01891" w:rsidP="00E44076">
            <w:pPr>
              <w:pStyle w:val="TableText0"/>
              <w:keepNext w:val="0"/>
            </w:pPr>
            <w:r>
              <w:t xml:space="preserve">AND </w:t>
            </w:r>
          </w:p>
          <w:p w14:paraId="3EA913CA" w14:textId="561AB2B9" w:rsidR="00463D1B" w:rsidRDefault="00463D1B" w:rsidP="00E44076">
            <w:pPr>
              <w:pStyle w:val="TableText0"/>
              <w:keepNext w:val="0"/>
            </w:pPr>
            <w:r>
              <w:t>Patient must only receive subsidy for one novel hormonal drug per lifetime for prostate cancer (regardless of whether a drug was subsidised under a metastatic/non-metastatic indication, OR</w:t>
            </w:r>
          </w:p>
          <w:p w14:paraId="7EA0038C" w14:textId="35208679" w:rsidR="00463D1B" w:rsidRDefault="00463D1B" w:rsidP="00E44076">
            <w:pPr>
              <w:pStyle w:val="TableText0"/>
              <w:keepNext w:val="0"/>
            </w:pPr>
            <w:r>
              <w:t>Patient must only receive subside for a subsequent novel hormonal drug where there has been a severe intolerance to another novel hormonal drug leading to permanent treatment cessation</w:t>
            </w:r>
          </w:p>
          <w:p w14:paraId="7658275C" w14:textId="0B33008F" w:rsidR="00A01891" w:rsidRDefault="00A01891" w:rsidP="00E44076">
            <w:pPr>
              <w:pStyle w:val="TableText0"/>
              <w:keepNext w:val="0"/>
            </w:pPr>
            <w:r>
              <w:t>AND</w:t>
            </w:r>
          </w:p>
          <w:p w14:paraId="6A139727" w14:textId="77777777" w:rsidR="0099461E" w:rsidRDefault="0099461E" w:rsidP="00E44076">
            <w:pPr>
              <w:pStyle w:val="TableText0"/>
              <w:keepNext w:val="0"/>
            </w:pPr>
            <w:r>
              <w:t>Patient must not receive PBS-subsidised treatment with this drug if progressive disease develops while on this drug</w:t>
            </w:r>
          </w:p>
          <w:p w14:paraId="55903D0F" w14:textId="77777777" w:rsidR="0099461E" w:rsidRDefault="0099461E" w:rsidP="00E44076">
            <w:pPr>
              <w:pStyle w:val="TableText0"/>
              <w:keepNext w:val="0"/>
            </w:pPr>
            <w:r>
              <w:t>AND</w:t>
            </w:r>
          </w:p>
          <w:p w14:paraId="2EEAE318" w14:textId="26B35091" w:rsidR="0099461E" w:rsidRPr="00FF2801" w:rsidRDefault="0099461E" w:rsidP="00E44076">
            <w:pPr>
              <w:pStyle w:val="TableText0"/>
              <w:keepNext w:val="0"/>
            </w:pPr>
            <w:r>
              <w:t>Patient must be undergoing concurrent androgen deprivation therapy</w:t>
            </w:r>
          </w:p>
        </w:tc>
      </w:tr>
      <w:tr w:rsidR="0099461E" w:rsidRPr="00046D64" w14:paraId="3CA985FC" w14:textId="77777777" w:rsidTr="00E44076">
        <w:tblPrEx>
          <w:tblCellMar>
            <w:top w:w="15" w:type="dxa"/>
            <w:left w:w="108" w:type="dxa"/>
            <w:bottom w:w="15" w:type="dxa"/>
            <w:right w:w="108" w:type="dxa"/>
          </w:tblCellMar>
          <w:tblLook w:val="04A0" w:firstRow="1" w:lastRow="0" w:firstColumn="1" w:lastColumn="0" w:noHBand="0" w:noVBand="1"/>
        </w:tblPrEx>
        <w:trPr>
          <w:cantSplit/>
          <w:trHeight w:val="20"/>
        </w:trPr>
        <w:tc>
          <w:tcPr>
            <w:tcW w:w="9017" w:type="dxa"/>
            <w:gridSpan w:val="7"/>
            <w:tcBorders>
              <w:bottom w:val="single" w:sz="4" w:space="0" w:color="auto"/>
            </w:tcBorders>
            <w:vAlign w:val="center"/>
          </w:tcPr>
          <w:p w14:paraId="354D7A2E" w14:textId="77777777" w:rsidR="0099461E" w:rsidRDefault="0099461E" w:rsidP="00E44076">
            <w:pPr>
              <w:pStyle w:val="TableText0"/>
              <w:keepNext w:val="0"/>
              <w:rPr>
                <w:b/>
              </w:rPr>
            </w:pPr>
            <w:r>
              <w:rPr>
                <w:b/>
              </w:rPr>
              <w:t>Administrative Advice:</w:t>
            </w:r>
          </w:p>
          <w:p w14:paraId="1542BF17" w14:textId="14EFF7A3" w:rsidR="0099461E" w:rsidRPr="0099461E" w:rsidDel="0099461E" w:rsidRDefault="0099461E" w:rsidP="00E44076">
            <w:pPr>
              <w:pStyle w:val="TableText0"/>
              <w:keepNext w:val="0"/>
              <w:rPr>
                <w:bCs w:val="0"/>
              </w:rPr>
            </w:pPr>
            <w:r w:rsidRPr="0099461E">
              <w:rPr>
                <w:bCs w:val="0"/>
              </w:rPr>
              <w:t>Where the term ‘novel hormonal drug’ appears in this restriction, it refers to: (i) abiraterone, (ii) apalutamide, (iii) darolutamide, (iv) enzalutamide</w:t>
            </w:r>
          </w:p>
        </w:tc>
      </w:tr>
    </w:tbl>
    <w:p w14:paraId="30287D69" w14:textId="1C5FFA1E" w:rsidR="008E1354" w:rsidRPr="008E1354" w:rsidRDefault="00A01891" w:rsidP="008E1354">
      <w:pPr>
        <w:pStyle w:val="TableFooter"/>
        <w:spacing w:after="120"/>
      </w:pPr>
      <w:r>
        <w:t>Source: Tables 1.4-</w:t>
      </w:r>
      <w:r w:rsidR="0099461E">
        <w:t>4</w:t>
      </w:r>
      <w:r>
        <w:t xml:space="preserve"> and 1.4-2, p</w:t>
      </w:r>
      <w:r w:rsidR="0099461E">
        <w:t>20-21</w:t>
      </w:r>
      <w:r>
        <w:t xml:space="preserve"> </w:t>
      </w:r>
      <w:r w:rsidRPr="00D13A3E">
        <w:t xml:space="preserve">of the </w:t>
      </w:r>
      <w:r>
        <w:t>submission.</w:t>
      </w:r>
    </w:p>
    <w:p w14:paraId="3338CD1C" w14:textId="2A7521BD" w:rsidR="00A01891" w:rsidRPr="00FB22BD" w:rsidRDefault="00A01891" w:rsidP="00A01891">
      <w:pPr>
        <w:pStyle w:val="3-BodyText"/>
      </w:pPr>
      <w:r w:rsidRPr="0075485D">
        <w:rPr>
          <w:rFonts w:cstheme="minorHAnsi"/>
        </w:rPr>
        <w:t xml:space="preserve">The submission requested a special pricing arrangement, with an effective </w:t>
      </w:r>
      <w:r w:rsidR="005B6AAB">
        <w:rPr>
          <w:rFonts w:cstheme="minorHAnsi"/>
        </w:rPr>
        <w:t>dispensed price for maximum quantity (</w:t>
      </w:r>
      <w:r w:rsidRPr="0075485D">
        <w:rPr>
          <w:rFonts w:cstheme="minorHAnsi"/>
        </w:rPr>
        <w:t>DPMQ</w:t>
      </w:r>
      <w:r w:rsidR="005B6AAB">
        <w:rPr>
          <w:rFonts w:cstheme="minorHAnsi"/>
        </w:rPr>
        <w:t>)</w:t>
      </w:r>
      <w:r w:rsidRPr="0075485D">
        <w:rPr>
          <w:rFonts w:cstheme="minorHAnsi"/>
        </w:rPr>
        <w:t xml:space="preserve"> of $</w:t>
      </w:r>
      <w:r w:rsidR="008D2482" w:rsidRPr="00307E3A">
        <w:rPr>
          <w:rFonts w:cstheme="minorHAnsi"/>
          <w:color w:val="000000"/>
          <w:w w:val="15"/>
          <w:shd w:val="solid" w:color="000000" w:fill="000000"/>
          <w:fitText w:val="-20" w:id="-1233498368"/>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8"/>
          <w14:textFill>
            <w14:solidFill>
              <w14:srgbClr w14:val="000000">
                <w14:alpha w14:val="100000"/>
              </w14:srgbClr>
            </w14:solidFill>
          </w14:textFill>
        </w:rPr>
        <w:t>|</w:t>
      </w:r>
      <w:r w:rsidR="00AA73B7" w:rsidRPr="00AA73B7">
        <w:rPr>
          <w:rFonts w:cstheme="minorHAnsi"/>
        </w:rPr>
        <w:t xml:space="preserve"> </w:t>
      </w:r>
      <w:r w:rsidRPr="0075485D">
        <w:rPr>
          <w:rFonts w:cstheme="minorHAnsi"/>
        </w:rPr>
        <w:t>(</w:t>
      </w:r>
      <w:r w:rsidR="005B6AAB">
        <w:rPr>
          <w:rFonts w:cstheme="minorHAnsi"/>
        </w:rPr>
        <w:t>approved ex-manufacturer price (</w:t>
      </w:r>
      <w:r w:rsidRPr="0075485D">
        <w:rPr>
          <w:rFonts w:cstheme="minorHAnsi"/>
        </w:rPr>
        <w:t>AEMP</w:t>
      </w:r>
      <w:r w:rsidR="005B6AAB">
        <w:rPr>
          <w:rFonts w:cstheme="minorHAnsi"/>
        </w:rPr>
        <w:t>)</w:t>
      </w:r>
      <w:r w:rsidRPr="0075485D">
        <w:rPr>
          <w:rFonts w:cstheme="minorHAnsi"/>
        </w:rPr>
        <w:t xml:space="preserve"> $</w:t>
      </w:r>
      <w:r w:rsidR="008D2482" w:rsidRPr="00307E3A">
        <w:rPr>
          <w:rFonts w:cstheme="minorHAnsi"/>
          <w:color w:val="000000"/>
          <w:w w:val="15"/>
          <w:shd w:val="solid" w:color="000000" w:fill="000000"/>
          <w:fitText w:val="-20" w:id="-1233498367"/>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7"/>
          <w14:textFill>
            <w14:solidFill>
              <w14:srgbClr w14:val="000000">
                <w14:alpha w14:val="100000"/>
              </w14:srgbClr>
            </w14:solidFill>
          </w14:textFill>
        </w:rPr>
        <w:t>|</w:t>
      </w:r>
      <w:r w:rsidR="00AA73B7" w:rsidRPr="00AA73B7">
        <w:rPr>
          <w:rFonts w:cstheme="minorHAnsi"/>
        </w:rPr>
        <w:t xml:space="preserve"> </w:t>
      </w:r>
      <w:r w:rsidRPr="0075485D">
        <w:rPr>
          <w:rFonts w:cstheme="minorHAnsi"/>
        </w:rPr>
        <w:t xml:space="preserve">), based on the price in the base case modelled economic evaluation. </w:t>
      </w:r>
      <w:r w:rsidR="00AC26F4" w:rsidRPr="0075485D">
        <w:rPr>
          <w:rFonts w:cstheme="minorHAnsi"/>
        </w:rPr>
        <w:t xml:space="preserve">This effective AEMP was reduced by </w:t>
      </w:r>
      <w:r w:rsidR="008D2482" w:rsidRPr="00307E3A">
        <w:rPr>
          <w:rFonts w:cstheme="minorHAnsi"/>
          <w:color w:val="000000"/>
          <w:w w:val="15"/>
          <w:shd w:val="solid" w:color="000000" w:fill="000000"/>
          <w:fitText w:val="-20" w:id="-1233498366"/>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6"/>
          <w14:textFill>
            <w14:solidFill>
              <w14:srgbClr w14:val="000000">
                <w14:alpha w14:val="100000"/>
              </w14:srgbClr>
            </w14:solidFill>
          </w14:textFill>
        </w:rPr>
        <w:t>|</w:t>
      </w:r>
      <w:r w:rsidR="00AA73B7" w:rsidRPr="00AA73B7">
        <w:rPr>
          <w:rFonts w:cstheme="minorHAnsi"/>
        </w:rPr>
        <w:t xml:space="preserve"> </w:t>
      </w:r>
      <w:r w:rsidR="00AC26F4" w:rsidRPr="0075485D">
        <w:rPr>
          <w:rFonts w:cstheme="minorHAnsi"/>
        </w:rPr>
        <w:t>% in the</w:t>
      </w:r>
      <w:r w:rsidR="005B6AAB">
        <w:rPr>
          <w:rFonts w:cstheme="minorHAnsi"/>
        </w:rPr>
        <w:t xml:space="preserve"> Pre-Sub-Committee Response</w:t>
      </w:r>
      <w:r w:rsidR="00AC26F4" w:rsidRPr="0075485D">
        <w:rPr>
          <w:rFonts w:cstheme="minorHAnsi"/>
        </w:rPr>
        <w:t xml:space="preserve"> </w:t>
      </w:r>
      <w:r w:rsidR="005B6AAB">
        <w:rPr>
          <w:rFonts w:cstheme="minorHAnsi"/>
        </w:rPr>
        <w:t>(</w:t>
      </w:r>
      <w:r w:rsidR="00AC26F4" w:rsidRPr="0075485D">
        <w:rPr>
          <w:rFonts w:cstheme="minorHAnsi"/>
        </w:rPr>
        <w:t>PSCR</w:t>
      </w:r>
      <w:r w:rsidR="005B6AAB">
        <w:rPr>
          <w:rFonts w:cstheme="minorHAnsi"/>
        </w:rPr>
        <w:t>)</w:t>
      </w:r>
      <w:r w:rsidR="00AC26F4" w:rsidRPr="0075485D">
        <w:rPr>
          <w:rFonts w:cstheme="minorHAnsi"/>
        </w:rPr>
        <w:t xml:space="preserve"> to $</w:t>
      </w:r>
      <w:r w:rsidR="008D2482" w:rsidRPr="00307E3A">
        <w:rPr>
          <w:rFonts w:cstheme="minorHAnsi"/>
          <w:color w:val="000000"/>
          <w:w w:val="15"/>
          <w:shd w:val="solid" w:color="000000" w:fill="000000"/>
          <w:fitText w:val="-20" w:id="-1233498365"/>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5"/>
          <w14:textFill>
            <w14:solidFill>
              <w14:srgbClr w14:val="000000">
                <w14:alpha w14:val="100000"/>
              </w14:srgbClr>
            </w14:solidFill>
          </w14:textFill>
        </w:rPr>
        <w:t>|</w:t>
      </w:r>
      <w:r w:rsidR="00AA73B7" w:rsidRPr="00AA73B7">
        <w:rPr>
          <w:rFonts w:cstheme="minorHAnsi"/>
        </w:rPr>
        <w:t xml:space="preserve"> </w:t>
      </w:r>
      <w:r w:rsidR="00C50652">
        <w:rPr>
          <w:rFonts w:cstheme="minorHAnsi"/>
        </w:rPr>
        <w:t>(DPMQ = $</w:t>
      </w:r>
      <w:r w:rsidR="008D2482" w:rsidRPr="00307E3A">
        <w:rPr>
          <w:rFonts w:cstheme="minorHAnsi"/>
          <w:color w:val="000000"/>
          <w:w w:val="15"/>
          <w:shd w:val="solid" w:color="000000" w:fill="000000"/>
          <w:fitText w:val="-20" w:id="-1233498364"/>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4"/>
          <w14:textFill>
            <w14:solidFill>
              <w14:srgbClr w14:val="000000">
                <w14:alpha w14:val="100000"/>
              </w14:srgbClr>
            </w14:solidFill>
          </w14:textFill>
        </w:rPr>
        <w:t>|</w:t>
      </w:r>
      <w:r w:rsidR="00AA73B7" w:rsidRPr="00AA73B7">
        <w:rPr>
          <w:rFonts w:cstheme="minorHAnsi"/>
        </w:rPr>
        <w:t xml:space="preserve"> </w:t>
      </w:r>
      <w:r w:rsidR="00C50652">
        <w:rPr>
          <w:rFonts w:cstheme="minorHAnsi"/>
        </w:rPr>
        <w:t xml:space="preserve">) and by a further </w:t>
      </w:r>
      <w:r w:rsidR="008D2482" w:rsidRPr="00307E3A">
        <w:rPr>
          <w:rFonts w:cstheme="minorHAnsi"/>
          <w:color w:val="000000"/>
          <w:w w:val="15"/>
          <w:shd w:val="solid" w:color="000000" w:fill="000000"/>
          <w:fitText w:val="-20" w:id="-1233498363"/>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3"/>
          <w14:textFill>
            <w14:solidFill>
              <w14:srgbClr w14:val="000000">
                <w14:alpha w14:val="100000"/>
              </w14:srgbClr>
            </w14:solidFill>
          </w14:textFill>
        </w:rPr>
        <w:t>|</w:t>
      </w:r>
      <w:r w:rsidR="00AA73B7" w:rsidRPr="00AA73B7">
        <w:rPr>
          <w:rFonts w:cstheme="minorHAnsi"/>
        </w:rPr>
        <w:t xml:space="preserve"> </w:t>
      </w:r>
      <w:r w:rsidR="00C50652">
        <w:rPr>
          <w:rFonts w:cstheme="minorHAnsi"/>
        </w:rPr>
        <w:t>% in the pre-PBAC response to $</w:t>
      </w:r>
      <w:r w:rsidR="008D2482" w:rsidRPr="00307E3A">
        <w:rPr>
          <w:rFonts w:cstheme="minorHAnsi"/>
          <w:color w:val="000000"/>
          <w:w w:val="15"/>
          <w:shd w:val="solid" w:color="000000" w:fill="000000"/>
          <w:fitText w:val="-20" w:id="-1233498362"/>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2"/>
          <w14:textFill>
            <w14:solidFill>
              <w14:srgbClr w14:val="000000">
                <w14:alpha w14:val="100000"/>
              </w14:srgbClr>
            </w14:solidFill>
          </w14:textFill>
        </w:rPr>
        <w:t>|</w:t>
      </w:r>
      <w:r w:rsidR="00AA73B7" w:rsidRPr="00AA73B7">
        <w:rPr>
          <w:rFonts w:cstheme="minorHAnsi"/>
        </w:rPr>
        <w:t xml:space="preserve"> </w:t>
      </w:r>
      <w:r w:rsidR="00C50652">
        <w:rPr>
          <w:rFonts w:cstheme="minorHAnsi"/>
        </w:rPr>
        <w:t>(DPMQ = $</w:t>
      </w:r>
      <w:r w:rsidR="008D2482" w:rsidRPr="00307E3A">
        <w:rPr>
          <w:rFonts w:cstheme="minorHAnsi"/>
          <w:color w:val="000000"/>
          <w:w w:val="15"/>
          <w:shd w:val="solid" w:color="000000" w:fill="000000"/>
          <w:fitText w:val="-20" w:id="-1233498361"/>
          <w14:textFill>
            <w14:solidFill>
              <w14:srgbClr w14:val="000000">
                <w14:alpha w14:val="100000"/>
              </w14:srgbClr>
            </w14:solidFill>
          </w14:textFill>
        </w:rPr>
        <w:t xml:space="preserve">|  </w:t>
      </w:r>
      <w:r w:rsidR="008D2482" w:rsidRPr="00307E3A">
        <w:rPr>
          <w:rFonts w:cstheme="minorHAnsi"/>
          <w:color w:val="000000"/>
          <w:spacing w:val="-69"/>
          <w:w w:val="15"/>
          <w:shd w:val="solid" w:color="000000" w:fill="000000"/>
          <w:fitText w:val="-20" w:id="-1233498361"/>
          <w14:textFill>
            <w14:solidFill>
              <w14:srgbClr w14:val="000000">
                <w14:alpha w14:val="100000"/>
              </w14:srgbClr>
            </w14:solidFill>
          </w14:textFill>
        </w:rPr>
        <w:t>|</w:t>
      </w:r>
      <w:r w:rsidR="00AA73B7" w:rsidRPr="00AA73B7">
        <w:rPr>
          <w:rFonts w:cstheme="minorHAnsi"/>
        </w:rPr>
        <w:t xml:space="preserve"> </w:t>
      </w:r>
      <w:r w:rsidR="00C50652">
        <w:rPr>
          <w:rFonts w:cstheme="minorHAnsi"/>
        </w:rPr>
        <w:t xml:space="preserve">) which </w:t>
      </w:r>
      <w:r w:rsidR="00B95305">
        <w:rPr>
          <w:rFonts w:cstheme="minorHAnsi"/>
        </w:rPr>
        <w:t xml:space="preserve">is the current AEMP for enzalutamide in the </w:t>
      </w:r>
      <w:r w:rsidRPr="0075485D">
        <w:rPr>
          <w:rFonts w:cstheme="minorHAnsi"/>
        </w:rPr>
        <w:t>mCRPC</w:t>
      </w:r>
      <w:r w:rsidR="00B95305">
        <w:rPr>
          <w:rFonts w:cstheme="minorHAnsi"/>
        </w:rPr>
        <w:t xml:space="preserve"> setting</w:t>
      </w:r>
      <w:r w:rsidRPr="0075485D">
        <w:t xml:space="preserve">. </w:t>
      </w:r>
      <w:r w:rsidRPr="0075485D">
        <w:rPr>
          <w:rFonts w:cstheme="minorHAnsi"/>
        </w:rPr>
        <w:t>If apalutamide achieves PBS listing for mHSPC prior to the March 2023 PBAC meeting or shortly thereafter, the submission indicated that it would like to request an effective price that is consistent with apalutamide for mHSPC based on the equi-effective daily dose of 160</w:t>
      </w:r>
      <w:r w:rsidR="00F15BF1" w:rsidRPr="0075485D">
        <w:rPr>
          <w:rFonts w:cstheme="minorHAnsi"/>
        </w:rPr>
        <w:t xml:space="preserve"> </w:t>
      </w:r>
      <w:r w:rsidRPr="0075485D">
        <w:rPr>
          <w:rFonts w:cstheme="minorHAnsi"/>
        </w:rPr>
        <w:t>mg enzalutamide is equivalent to 240</w:t>
      </w:r>
      <w:r w:rsidR="00F15BF1" w:rsidRPr="0075485D">
        <w:rPr>
          <w:rFonts w:cstheme="minorHAnsi"/>
        </w:rPr>
        <w:t xml:space="preserve"> </w:t>
      </w:r>
      <w:r w:rsidRPr="0075485D">
        <w:rPr>
          <w:rFonts w:cstheme="minorHAnsi"/>
        </w:rPr>
        <w:t xml:space="preserve">mg apalutamide (see cost-minimisation </w:t>
      </w:r>
      <w:r w:rsidR="00273330" w:rsidRPr="0075485D">
        <w:rPr>
          <w:rFonts w:cstheme="minorHAnsi"/>
        </w:rPr>
        <w:t>approach below</w:t>
      </w:r>
      <w:r w:rsidRPr="0075485D">
        <w:rPr>
          <w:rFonts w:cstheme="minorHAnsi"/>
        </w:rPr>
        <w:t>)</w:t>
      </w:r>
      <w:r w:rsidR="00BE1089" w:rsidRPr="0075485D">
        <w:rPr>
          <w:rFonts w:cstheme="minorHAnsi"/>
        </w:rPr>
        <w:t>.</w:t>
      </w:r>
    </w:p>
    <w:p w14:paraId="39943A8E" w14:textId="1BBAE9B2" w:rsidR="00FB22BD" w:rsidRPr="0075485D" w:rsidRDefault="00FB22BD" w:rsidP="00A01891">
      <w:pPr>
        <w:pStyle w:val="3-BodyText"/>
      </w:pPr>
      <w:r>
        <w:rPr>
          <w:rFonts w:cstheme="minorHAnsi"/>
        </w:rPr>
        <w:t>The PBAC considered that the restriction should allow the use of enzalutamide as dual therapy (with ADT) or as triple therapy (with ADT and docetaxel) to increase clinician choice.</w:t>
      </w:r>
    </w:p>
    <w:p w14:paraId="25216F22" w14:textId="42CE3BA8" w:rsidR="00A01891" w:rsidRPr="0075485D" w:rsidRDefault="00A01891" w:rsidP="00A01891">
      <w:pPr>
        <w:pStyle w:val="3-BodyText"/>
      </w:pPr>
      <w:r w:rsidRPr="0075485D">
        <w:t xml:space="preserve">The submission also </w:t>
      </w:r>
      <w:r w:rsidRPr="0075485D">
        <w:rPr>
          <w:rFonts w:cstheme="minorHAnsi"/>
        </w:rPr>
        <w:t xml:space="preserve">requested </w:t>
      </w:r>
      <w:r w:rsidR="000A0FA7">
        <w:rPr>
          <w:rFonts w:cstheme="minorHAnsi"/>
        </w:rPr>
        <w:t xml:space="preserve">transitioning arrangements </w:t>
      </w:r>
      <w:r w:rsidRPr="0075485D">
        <w:rPr>
          <w:rFonts w:eastAsia="Proxima Nova Rg" w:cstheme="minorHAnsi"/>
          <w:color w:val="000000" w:themeColor="text1"/>
          <w:szCs w:val="22"/>
        </w:rPr>
        <w:t>for patients enrolled in a Patient Assistance Program (PAP) for mHSPC planned to start in early 2023.</w:t>
      </w:r>
      <w:r w:rsidRPr="0075485D">
        <w:t xml:space="preserve"> In the financial estimates, the submission assumed there will be </w:t>
      </w:r>
      <w:r w:rsidR="00174628">
        <w:t>&lt; 5</w:t>
      </w:r>
      <w:r w:rsidRPr="0075485D">
        <w:t>00 grandfathered patients initiating treatment. No further details were provided in relation to the PAP including patient eligibility.</w:t>
      </w:r>
      <w:r w:rsidR="000A0FA7">
        <w:t xml:space="preserve"> The Secretariat advised that the proposed restriction had been phrased in such as a way that it would not exclude non-PBS initiated treatment where all PBS eligibility criteria are otherwise met.</w:t>
      </w:r>
    </w:p>
    <w:p w14:paraId="10C44E60" w14:textId="04A17786" w:rsidR="0075485D" w:rsidRPr="0075485D" w:rsidRDefault="0075485D" w:rsidP="0075485D">
      <w:pPr>
        <w:pStyle w:val="3-BodyText"/>
        <w:numPr>
          <w:ilvl w:val="0"/>
          <w:numId w:val="0"/>
        </w:numPr>
        <w:ind w:left="720"/>
        <w:rPr>
          <w:i/>
          <w:iCs/>
        </w:rPr>
      </w:pPr>
      <w:r w:rsidRPr="0075485D">
        <w:rPr>
          <w:i/>
          <w:iCs/>
        </w:rPr>
        <w:t>For more detail on PBAC’s view, see section 7 PBAC outcome.</w:t>
      </w:r>
    </w:p>
    <w:p w14:paraId="422CB173" w14:textId="77777777" w:rsidR="00A01891" w:rsidRPr="00407F2D" w:rsidDel="00195452" w:rsidRDefault="00A01891" w:rsidP="00A01891">
      <w:pPr>
        <w:pStyle w:val="2-SectionHeading"/>
        <w:numPr>
          <w:ilvl w:val="0"/>
          <w:numId w:val="1"/>
        </w:numPr>
      </w:pPr>
      <w:bookmarkStart w:id="14" w:name="_Toc124324272"/>
      <w:bookmarkStart w:id="15" w:name="_Toc124862866"/>
      <w:r w:rsidDel="00195452">
        <w:t>Population and disease</w:t>
      </w:r>
      <w:bookmarkEnd w:id="14"/>
      <w:bookmarkEnd w:id="15"/>
    </w:p>
    <w:p w14:paraId="47A07366" w14:textId="77777777" w:rsidR="00A01891" w:rsidRPr="003330C9" w:rsidRDefault="00A01891" w:rsidP="00A01891">
      <w:pPr>
        <w:pStyle w:val="3-BodyText"/>
      </w:pPr>
      <w:r w:rsidRPr="003330C9">
        <w:t>mHSPC is a stage of advanced prostate cancer when the cancer has spread past the prostate, but the tumour is sensitive/responds to ADT. Metastatic prostate cancer is incurable, the goal of treatment in this population is to delay progression from mHSPC to metastatic castration-resistant prostate cancer (mCRPC) and prolong survival. ADT (lowering the serum testosterone to castrate levels either surgically or pharmaceutically) is an integral part of the initial treatment of men with mHSPC. Recent evidence also supports the use of additional systemic therapies including docetaxel (a chemotherapeutic agent) and novel hormonal agents (NHAs, abiraterone, enzalutamide and apalutamide) in combination with ADT for initial therapy of men with advanced disease. These combination therapies have now become a preferred approach for men with locally advanced HSPC, both non-metastatic and metastatic disease (ASCO 2021 and NCCN 2021).</w:t>
      </w:r>
    </w:p>
    <w:p w14:paraId="7177FC19" w14:textId="44523025" w:rsidR="00A01891" w:rsidRPr="003330C9" w:rsidRDefault="00A01891" w:rsidP="00A01891">
      <w:pPr>
        <w:pStyle w:val="3-BodyText"/>
      </w:pPr>
      <w:r w:rsidRPr="003330C9">
        <w:t xml:space="preserve">Results from a growing list of published network meta-analyses (NMAs) suggest the combination therapies (i.e., apalutamide, abiraterone, enzalutamide or docetaxel plus ADT) do not differ significantly with respect to overall survival (OS). All are more effective than ADT alone, and, where reported, abiraterone plus ADT was often ranked highest in terms of estimated overall survival (OS) benefit and abiraterone or enzalutamide plus ADT the highest in terms of delaying progression. However, no combination therapy has been clearly proven to be superior </w:t>
      </w:r>
      <w:r w:rsidR="002734B6">
        <w:t>to</w:t>
      </w:r>
      <w:r w:rsidRPr="003330C9">
        <w:t xml:space="preserve"> another (Sathianathen 2020</w:t>
      </w:r>
      <w:r w:rsidRPr="003330C9">
        <w:rPr>
          <w:rStyle w:val="FootnoteReference"/>
        </w:rPr>
        <w:footnoteReference w:id="3"/>
      </w:r>
      <w:r w:rsidRPr="003330C9">
        <w:t xml:space="preserve">, Marchioni 2019 </w:t>
      </w:r>
      <w:r w:rsidRPr="003330C9">
        <w:rPr>
          <w:rStyle w:val="FootnoteReference"/>
        </w:rPr>
        <w:footnoteReference w:id="4"/>
      </w:r>
      <w:r w:rsidRPr="003330C9">
        <w:t>, Chen 2020</w:t>
      </w:r>
      <w:r w:rsidRPr="003330C9">
        <w:rPr>
          <w:rStyle w:val="FootnoteReference"/>
        </w:rPr>
        <w:footnoteReference w:id="5"/>
      </w:r>
      <w:r w:rsidRPr="003330C9">
        <w:t xml:space="preserve"> Wang 2021</w:t>
      </w:r>
      <w:r w:rsidRPr="003330C9">
        <w:rPr>
          <w:rStyle w:val="FootnoteReference"/>
        </w:rPr>
        <w:footnoteReference w:id="6"/>
      </w:r>
      <w:r w:rsidRPr="003330C9">
        <w:t>, Wenzel 2021</w:t>
      </w:r>
      <w:r w:rsidRPr="003330C9">
        <w:rPr>
          <w:rStyle w:val="FootnoteReference"/>
        </w:rPr>
        <w:footnoteReference w:id="7"/>
      </w:r>
      <w:r w:rsidRPr="003330C9">
        <w:t>, Mori 2021</w:t>
      </w:r>
      <w:r w:rsidRPr="003330C9">
        <w:rPr>
          <w:rStyle w:val="FootnoteReference"/>
        </w:rPr>
        <w:footnoteReference w:id="8"/>
      </w:r>
      <w:r w:rsidRPr="003330C9">
        <w:t>, Mutlu 2021</w:t>
      </w:r>
      <w:r w:rsidRPr="003330C9">
        <w:rPr>
          <w:rStyle w:val="FootnoteReference"/>
        </w:rPr>
        <w:footnoteReference w:id="9"/>
      </w:r>
      <w:r w:rsidRPr="003330C9">
        <w:t xml:space="preserve">). In addition, all NHA plus ADT combinations (particularly apalutamide or enzalutamide) were associated with significantly fewer side effects compared to docetaxel plus ADT. </w:t>
      </w:r>
    </w:p>
    <w:p w14:paraId="230F4870" w14:textId="77777777" w:rsidR="00A01891" w:rsidRPr="003330C9" w:rsidRDefault="00A01891" w:rsidP="00A01891">
      <w:pPr>
        <w:pStyle w:val="3-BodyText"/>
      </w:pPr>
      <w:r w:rsidRPr="003330C9">
        <w:t>Evidence is also emerging for triple therapy of ADT plus docetaxel and NHA, but with mixed results. There is currently a lack of guidance on the choice between dual or triple therapy for mHSPC, and the preferred regimen may depend on patient and clinician preferences, including their considerations of disease extent, patient frailty, additional toxicities associated with docetaxel and access to subsequent therapies given patients are only able to access NHAs once in their lifetime on the PBS.</w:t>
      </w:r>
    </w:p>
    <w:p w14:paraId="54277C7A" w14:textId="27EB619A" w:rsidR="00A01891" w:rsidRPr="003330C9" w:rsidRDefault="00A01891" w:rsidP="00B95305">
      <w:pPr>
        <w:pStyle w:val="3-BodyText"/>
      </w:pPr>
      <w:r w:rsidRPr="003330C9">
        <w:t>Patient preferences for NHAs over docetaxel have been consistently observed in prostate cancer. The PBS listings of enzalutamide and abiraterone for mCRPC were restricted to patients who failed treatment with docetaxel OR were unsuitable for docetaxel on the basis of predicted intolerance. Despite the restrictions, data provided by the DUSC Secretariat indicated that in 2020, 69% of use of abiraterone and enzalutamide in mCRPC was in patients who had not received a prior supply of docetaxel. This prompted the PBAC to review the PBS listings of enzalutamide and abiraterone for mCRPC, ultimately recommending the listings be amended to allow use of enzalutamide and abiraterone prior to docetaxel.</w:t>
      </w:r>
    </w:p>
    <w:p w14:paraId="51BB6F69" w14:textId="453CA212" w:rsidR="00A01891" w:rsidRPr="003330C9" w:rsidRDefault="00A01891" w:rsidP="00A01891">
      <w:pPr>
        <w:pStyle w:val="3-BodyText"/>
      </w:pPr>
      <w:r w:rsidRPr="003330C9">
        <w:t xml:space="preserve">The proposed intervention was enzalutamide, at a recommended dose of </w:t>
      </w:r>
      <w:r w:rsidR="00174628" w:rsidRPr="003330C9">
        <w:t>160</w:t>
      </w:r>
      <w:r w:rsidR="00174628">
        <w:t> </w:t>
      </w:r>
      <w:r w:rsidRPr="003330C9">
        <w:t xml:space="preserve">mg (four 40 mg tablets) once daily, in combination with ADT. Referred to herein as ‘enzalutamide’ for simplicity. Treatment is to continue until disease progression. </w:t>
      </w:r>
    </w:p>
    <w:p w14:paraId="6EC13BAB" w14:textId="0468C258" w:rsidR="00250C84" w:rsidRDefault="00A01891" w:rsidP="00250C84">
      <w:pPr>
        <w:pStyle w:val="3-BodyText"/>
      </w:pPr>
      <w:r w:rsidRPr="003330C9">
        <w:t xml:space="preserve">Following the PBAC’s recommendation of apalutamide in mHSPC, </w:t>
      </w:r>
      <w:r w:rsidR="00250C84">
        <w:t xml:space="preserve">the PSCR </w:t>
      </w:r>
      <w:r w:rsidR="00F13E6D">
        <w:t xml:space="preserve">confirmed that the </w:t>
      </w:r>
      <w:r w:rsidR="00B746C7">
        <w:t>clinical place in therapy</w:t>
      </w:r>
      <w:r w:rsidRPr="003330C9">
        <w:t xml:space="preserve"> for enzalutamide </w:t>
      </w:r>
      <w:r w:rsidR="00F13E6D">
        <w:t xml:space="preserve">was for use in combination with ADT </w:t>
      </w:r>
      <w:r w:rsidRPr="003330C9">
        <w:t xml:space="preserve">irrespective of disease volume and patient suitability for docetaxel. </w:t>
      </w:r>
    </w:p>
    <w:p w14:paraId="203326F6" w14:textId="41F45C19" w:rsidR="0075485D" w:rsidRDefault="00A01891" w:rsidP="00250C84">
      <w:pPr>
        <w:pStyle w:val="3-BodyText"/>
      </w:pPr>
      <w:r w:rsidRPr="003330C9">
        <w:t xml:space="preserve">The sponsor requested that enzalutamide be listed for the same </w:t>
      </w:r>
      <w:r w:rsidR="000A0FA7">
        <w:t xml:space="preserve">patient population </w:t>
      </w:r>
      <w:r w:rsidRPr="003330C9">
        <w:t>as apalutamide</w:t>
      </w:r>
      <w:r w:rsidR="00F15BF1" w:rsidRPr="003330C9">
        <w:t xml:space="preserve">. </w:t>
      </w:r>
      <w:r w:rsidRPr="003330C9">
        <w:t>Enzalutamide has a similar chemical structure to apalutamide</w:t>
      </w:r>
      <w:r w:rsidR="000A0FA7">
        <w:t>,</w:t>
      </w:r>
      <w:r w:rsidRPr="003330C9">
        <w:t xml:space="preserve"> but with greater penetration of the blood–brain barrier</w:t>
      </w:r>
      <w:r w:rsidRPr="003330C9">
        <w:rPr>
          <w:rStyle w:val="FootnoteReference"/>
        </w:rPr>
        <w:footnoteReference w:id="10"/>
      </w:r>
      <w:r w:rsidRPr="003330C9">
        <w:t xml:space="preserve">. </w:t>
      </w:r>
    </w:p>
    <w:p w14:paraId="12D545F1" w14:textId="656A6BCE" w:rsidR="00A01891" w:rsidRPr="0075485D" w:rsidRDefault="0075485D" w:rsidP="0075485D">
      <w:pPr>
        <w:pStyle w:val="3-BodyText"/>
        <w:numPr>
          <w:ilvl w:val="0"/>
          <w:numId w:val="0"/>
        </w:numPr>
        <w:ind w:left="720"/>
        <w:rPr>
          <w:i/>
          <w:iCs/>
        </w:rPr>
      </w:pPr>
      <w:r w:rsidRPr="0075485D">
        <w:rPr>
          <w:i/>
          <w:iCs/>
        </w:rPr>
        <w:t>For more detail on PBAC’s view, see section 7 PBAC outcome.</w:t>
      </w:r>
    </w:p>
    <w:p w14:paraId="1AE8FB0E" w14:textId="77777777" w:rsidR="00A01891" w:rsidRPr="00407F2D" w:rsidRDefault="00A01891" w:rsidP="00A01891">
      <w:pPr>
        <w:pStyle w:val="2-SectionHeading"/>
        <w:numPr>
          <w:ilvl w:val="0"/>
          <w:numId w:val="1"/>
        </w:numPr>
      </w:pPr>
      <w:bookmarkStart w:id="16" w:name="_Toc124324273"/>
      <w:bookmarkStart w:id="17" w:name="_Toc124862867"/>
      <w:r w:rsidRPr="00407F2D">
        <w:t>Comparator</w:t>
      </w:r>
      <w:bookmarkEnd w:id="16"/>
      <w:bookmarkEnd w:id="17"/>
    </w:p>
    <w:p w14:paraId="6C682B84" w14:textId="5EA0F07D" w:rsidR="00463D1B" w:rsidRPr="0075485D" w:rsidRDefault="00A01891" w:rsidP="00A01891">
      <w:pPr>
        <w:pStyle w:val="3-BodyText"/>
        <w:rPr>
          <w:lang w:val="en-US"/>
        </w:rPr>
      </w:pPr>
      <w:r w:rsidRPr="0075485D">
        <w:rPr>
          <w:lang w:val="en-US"/>
        </w:rPr>
        <w:t>The submission nominated ADT alone as the main comparator. Th</w:t>
      </w:r>
      <w:r w:rsidR="00463D1B" w:rsidRPr="0075485D">
        <w:rPr>
          <w:lang w:val="en-US"/>
        </w:rPr>
        <w:t>e ESC considered that th</w:t>
      </w:r>
      <w:r w:rsidRPr="0075485D">
        <w:rPr>
          <w:lang w:val="en-US"/>
        </w:rPr>
        <w:t xml:space="preserve">is was appropriate. </w:t>
      </w:r>
    </w:p>
    <w:p w14:paraId="0BA456DB" w14:textId="76E0A1EA" w:rsidR="00A01891" w:rsidRPr="0075485D" w:rsidRDefault="00A01891" w:rsidP="00A01891">
      <w:pPr>
        <w:pStyle w:val="3-BodyText"/>
      </w:pPr>
      <w:r w:rsidRPr="0075485D">
        <w:t>The submission appropriately identified apalutamide as a near-market comparator. Apalutamide has a similar chemical structure to enzalutamide and was recommended for PBS listing for mHSPC at the July 2022 PBAC meeting.</w:t>
      </w:r>
    </w:p>
    <w:p w14:paraId="3AA4C189" w14:textId="6511AB9A" w:rsidR="00A01891" w:rsidRPr="0075485D" w:rsidRDefault="00A01891" w:rsidP="00A01891">
      <w:pPr>
        <w:pStyle w:val="3-BodyText"/>
        <w:rPr>
          <w:snapToGrid/>
          <w:lang w:val="en-US"/>
        </w:rPr>
      </w:pPr>
      <w:r w:rsidRPr="0075485D">
        <w:rPr>
          <w:snapToGrid/>
          <w:lang w:val="en-US"/>
        </w:rPr>
        <w:t xml:space="preserve">The submission argued that darolutamide was not a relevant </w:t>
      </w:r>
      <w:r w:rsidR="007F098C" w:rsidRPr="0075485D">
        <w:rPr>
          <w:snapToGrid/>
          <w:lang w:val="en-US"/>
        </w:rPr>
        <w:t xml:space="preserve">near-market </w:t>
      </w:r>
      <w:r w:rsidRPr="0075485D">
        <w:rPr>
          <w:snapToGrid/>
          <w:lang w:val="en-US"/>
        </w:rPr>
        <w:t xml:space="preserve">comparator because darolutamide sought PBS listing for use in combination with docetaxel and ADT (i.e., triple therapy) for the treatment of chemotherapy eligible/selected mHSPC population (which would typically be high volume and/or high risk/de novo metastatic disease), whereas the current submission was for enzalutamide as dual therapy. </w:t>
      </w:r>
      <w:r w:rsidRPr="0075485D">
        <w:t>Following the recent PBAC recommendation to list apalutamide</w:t>
      </w:r>
      <w:r w:rsidR="00F15BF1" w:rsidRPr="0075485D">
        <w:t xml:space="preserve"> + ADT</w:t>
      </w:r>
      <w:r w:rsidRPr="0075485D">
        <w:t xml:space="preserve"> on </w:t>
      </w:r>
      <w:r w:rsidR="00F15BF1" w:rsidRPr="0075485D">
        <w:t xml:space="preserve">the </w:t>
      </w:r>
      <w:r w:rsidRPr="0075485D">
        <w:t xml:space="preserve">PBS for all patients with mHSPC regardless of disease volume, suitability for docetaxel, or concomitant treatments </w:t>
      </w:r>
      <w:r w:rsidR="00F15BF1" w:rsidRPr="0075485D">
        <w:t>(i.e.</w:t>
      </w:r>
      <w:r w:rsidR="00073DBE" w:rsidRPr="0075485D">
        <w:t>,</w:t>
      </w:r>
      <w:r w:rsidR="00F15BF1" w:rsidRPr="0075485D">
        <w:t xml:space="preserve"> there was no impediment to giving apalutamide + ADT in combination with docetaxel) </w:t>
      </w:r>
      <w:r w:rsidRPr="0075485D">
        <w:t xml:space="preserve">and given the </w:t>
      </w:r>
      <w:r w:rsidR="00F15BF1" w:rsidRPr="0075485D">
        <w:t>enzalutamide submission</w:t>
      </w:r>
      <w:r w:rsidRPr="0075485D">
        <w:t xml:space="preserve"> sought the same PBS listing as apalutamide, darolutamide would also be a relevant comparator. The ENZAMET trial included evidence for enzalutamide in triple therapy (see </w:t>
      </w:r>
      <w:r w:rsidR="00F13E6D">
        <w:t>S</w:t>
      </w:r>
      <w:r w:rsidR="00A4760B" w:rsidRPr="0075485D">
        <w:t xml:space="preserve">ection </w:t>
      </w:r>
      <w:r w:rsidRPr="0075485D">
        <w:t>6 Consideration of the evidence). The listed</w:t>
      </w:r>
      <w:r w:rsidR="00F15BF1" w:rsidRPr="0075485D">
        <w:t xml:space="preserve"> TGA</w:t>
      </w:r>
      <w:r w:rsidRPr="0075485D">
        <w:t xml:space="preserve"> indications for </w:t>
      </w:r>
      <w:r w:rsidR="00F15BF1" w:rsidRPr="0075485D">
        <w:t xml:space="preserve">the </w:t>
      </w:r>
      <w:r w:rsidRPr="0075485D">
        <w:t>NHAs are sufficiently broad (e.g., enzalutamide is registered for use in the treatment of patients with mHSPC) to encompass use in either dual or triple therapy for mHSPC.</w:t>
      </w:r>
      <w:r w:rsidR="00244C2E" w:rsidRPr="0075485D">
        <w:t xml:space="preserve"> The PSCR </w:t>
      </w:r>
      <w:r w:rsidR="007F098C" w:rsidRPr="0075485D">
        <w:t>reiterated</w:t>
      </w:r>
      <w:r w:rsidR="00244C2E" w:rsidRPr="0075485D">
        <w:t xml:space="preserve"> that darolutamide was not a relevant near-market comparator. The ESC considered that as the proposed apalutamide restriction did not preclude use with ADT and docetaxel, it was likely that, if recommended, the proposed enzalutamide restriction also would not preclude this combination</w:t>
      </w:r>
      <w:r w:rsidR="007F098C" w:rsidRPr="0075485D">
        <w:t>, making darolutamide +</w:t>
      </w:r>
      <w:r w:rsidR="00F13E6D">
        <w:t xml:space="preserve"> </w:t>
      </w:r>
      <w:r w:rsidR="007F098C" w:rsidRPr="0075485D">
        <w:t>ADT + docetaxel a relevant comparator</w:t>
      </w:r>
      <w:r w:rsidR="00244C2E" w:rsidRPr="0075485D">
        <w:t>.</w:t>
      </w:r>
    </w:p>
    <w:p w14:paraId="451EBA3F" w14:textId="77777777" w:rsidR="00F13E6D" w:rsidRPr="00F13E6D" w:rsidRDefault="00A01891" w:rsidP="00F13E6D">
      <w:pPr>
        <w:pStyle w:val="3-BodyText"/>
        <w:rPr>
          <w:lang w:val="en-US"/>
        </w:rPr>
      </w:pPr>
      <w:r w:rsidRPr="003330C9">
        <w:rPr>
          <w:snapToGrid/>
          <w:lang w:val="en-US"/>
        </w:rPr>
        <w:t>Another NHA with evidence of benefit in mHSPC is abiraterone and may be a potential future comparator for enzalutamide. Abiraterone is currently TGA registered for use in newly diagnosed high risk mHSPC.</w:t>
      </w:r>
      <w:r w:rsidR="00F13E6D">
        <w:rPr>
          <w:snapToGrid/>
          <w:lang w:val="en-US"/>
        </w:rPr>
        <w:t xml:space="preserve"> </w:t>
      </w:r>
    </w:p>
    <w:p w14:paraId="28166840" w14:textId="01CCEFD3" w:rsidR="007F098C" w:rsidRPr="0075485D" w:rsidRDefault="0075485D" w:rsidP="0075485D">
      <w:pPr>
        <w:pStyle w:val="3-BodyText"/>
        <w:numPr>
          <w:ilvl w:val="0"/>
          <w:numId w:val="0"/>
        </w:numPr>
        <w:ind w:left="720"/>
        <w:rPr>
          <w:i/>
          <w:iCs/>
        </w:rPr>
      </w:pPr>
      <w:r w:rsidRPr="0075485D">
        <w:rPr>
          <w:i/>
          <w:iCs/>
        </w:rPr>
        <w:t>For more detail on PBAC’s view, see section 7 PBAC outcome.</w:t>
      </w:r>
    </w:p>
    <w:p w14:paraId="18660E21" w14:textId="77777777" w:rsidR="00A01891" w:rsidRPr="00407F2D" w:rsidRDefault="00A01891" w:rsidP="00A01891">
      <w:pPr>
        <w:pStyle w:val="2-SectionHeading"/>
        <w:numPr>
          <w:ilvl w:val="0"/>
          <w:numId w:val="1"/>
        </w:numPr>
      </w:pPr>
      <w:bookmarkStart w:id="18" w:name="_Toc124324274"/>
      <w:bookmarkStart w:id="19" w:name="_Toc124862868"/>
      <w:bookmarkStart w:id="20" w:name="_Toc22897640"/>
      <w:r>
        <w:t>C</w:t>
      </w:r>
      <w:r w:rsidRPr="00407F2D">
        <w:t>onsideration of the evidence</w:t>
      </w:r>
      <w:bookmarkEnd w:id="18"/>
      <w:bookmarkEnd w:id="19"/>
    </w:p>
    <w:p w14:paraId="0E9C404A" w14:textId="77777777" w:rsidR="0075485D" w:rsidRPr="0075485D" w:rsidRDefault="0075485D" w:rsidP="0075485D">
      <w:pPr>
        <w:pStyle w:val="4-SubsectionHeading"/>
      </w:pPr>
      <w:bookmarkStart w:id="21" w:name="_Hlk76375935"/>
      <w:bookmarkStart w:id="22" w:name="_Toc124324275"/>
      <w:bookmarkStart w:id="23" w:name="_Toc124862869"/>
      <w:r w:rsidRPr="0075485D">
        <w:t>Sponsor hearing</w:t>
      </w:r>
    </w:p>
    <w:p w14:paraId="0D1F6ED1" w14:textId="027999D3" w:rsidR="0075485D" w:rsidRPr="00F91542" w:rsidRDefault="0075485D" w:rsidP="0075485D">
      <w:pPr>
        <w:widowControl w:val="0"/>
        <w:numPr>
          <w:ilvl w:val="1"/>
          <w:numId w:val="1"/>
        </w:numPr>
        <w:spacing w:after="120"/>
        <w:rPr>
          <w:rFonts w:cs="Calibri"/>
          <w:bCs/>
          <w:snapToGrid w:val="0"/>
        </w:rPr>
      </w:pPr>
      <w:r w:rsidRPr="00F91542">
        <w:rPr>
          <w:rFonts w:cs="Calibri"/>
          <w:bCs/>
          <w:snapToGrid w:val="0"/>
        </w:rPr>
        <w:t>There was no hearing for this item.</w:t>
      </w:r>
    </w:p>
    <w:p w14:paraId="1509639F" w14:textId="77777777" w:rsidR="0075485D" w:rsidRPr="006E1229" w:rsidRDefault="0075485D" w:rsidP="0075485D">
      <w:pPr>
        <w:pStyle w:val="4-SubsectionHeading"/>
      </w:pPr>
      <w:r w:rsidRPr="006E1229">
        <w:t>Consumer comments</w:t>
      </w:r>
    </w:p>
    <w:p w14:paraId="4D9535F0" w14:textId="5F36CFF6" w:rsidR="0075485D" w:rsidRPr="00654C71" w:rsidRDefault="0075485D" w:rsidP="001558CD">
      <w:pPr>
        <w:widowControl w:val="0"/>
        <w:numPr>
          <w:ilvl w:val="1"/>
          <w:numId w:val="1"/>
        </w:numPr>
        <w:spacing w:after="120"/>
        <w:rPr>
          <w:rFonts w:asciiTheme="minorHAnsi" w:hAnsiTheme="minorHAnsi"/>
          <w:bCs/>
          <w:snapToGrid w:val="0"/>
        </w:rPr>
      </w:pPr>
      <w:bookmarkStart w:id="24" w:name="_Hlk76382618"/>
      <w:r w:rsidRPr="00654C71">
        <w:rPr>
          <w:rFonts w:asciiTheme="minorHAnsi" w:hAnsiTheme="minorHAnsi"/>
          <w:bCs/>
          <w:snapToGrid w:val="0"/>
        </w:rPr>
        <w:t xml:space="preserve">The PBAC noted and welcomed the input </w:t>
      </w:r>
      <w:bookmarkEnd w:id="21"/>
      <w:bookmarkEnd w:id="24"/>
      <w:r w:rsidR="00654C71" w:rsidRPr="00654C71">
        <w:rPr>
          <w:rFonts w:asciiTheme="minorHAnsi" w:hAnsiTheme="minorHAnsi"/>
          <w:bCs/>
          <w:snapToGrid w:val="0"/>
        </w:rPr>
        <w:t>from t</w:t>
      </w:r>
      <w:r w:rsidRPr="00654C71">
        <w:rPr>
          <w:rFonts w:asciiTheme="minorHAnsi" w:hAnsiTheme="minorHAnsi"/>
          <w:bCs/>
          <w:snapToGrid w:val="0"/>
        </w:rPr>
        <w:t xml:space="preserve">he Medical Oncology Group of Australia (MOGA) </w:t>
      </w:r>
      <w:r w:rsidR="00654C71">
        <w:rPr>
          <w:rFonts w:asciiTheme="minorHAnsi" w:hAnsiTheme="minorHAnsi"/>
          <w:bCs/>
          <w:snapToGrid w:val="0"/>
        </w:rPr>
        <w:t>which</w:t>
      </w:r>
      <w:r w:rsidRPr="00654C71">
        <w:rPr>
          <w:rFonts w:asciiTheme="minorHAnsi" w:hAnsiTheme="minorHAnsi"/>
          <w:bCs/>
          <w:snapToGrid w:val="0"/>
        </w:rPr>
        <w:t xml:space="preserve"> expressed its strong support for the </w:t>
      </w:r>
      <w:r w:rsidR="00654C71" w:rsidRPr="00654C71">
        <w:rPr>
          <w:rFonts w:asciiTheme="minorHAnsi" w:hAnsiTheme="minorHAnsi"/>
          <w:bCs/>
          <w:snapToGrid w:val="0"/>
        </w:rPr>
        <w:t xml:space="preserve">enzalutamide </w:t>
      </w:r>
      <w:r w:rsidRPr="00654C71">
        <w:rPr>
          <w:rFonts w:asciiTheme="minorHAnsi" w:hAnsiTheme="minorHAnsi"/>
          <w:bCs/>
          <w:snapToGrid w:val="0"/>
        </w:rPr>
        <w:t xml:space="preserve">submission, categorising it as one of the therapies of “highest priority for PBS listing” on the basis of the </w:t>
      </w:r>
      <w:r w:rsidR="00654C71" w:rsidRPr="00654C71">
        <w:rPr>
          <w:rFonts w:asciiTheme="minorHAnsi" w:hAnsiTheme="minorHAnsi"/>
          <w:bCs/>
          <w:snapToGrid w:val="0"/>
        </w:rPr>
        <w:t>ARCHES and ENZEMET</w:t>
      </w:r>
      <w:r w:rsidRPr="00654C71">
        <w:rPr>
          <w:rFonts w:asciiTheme="minorHAnsi" w:hAnsiTheme="minorHAnsi"/>
          <w:bCs/>
          <w:snapToGrid w:val="0"/>
        </w:rPr>
        <w:t xml:space="preserve"> trial</w:t>
      </w:r>
      <w:r w:rsidR="00654C71" w:rsidRPr="00654C71">
        <w:rPr>
          <w:rFonts w:asciiTheme="minorHAnsi" w:hAnsiTheme="minorHAnsi"/>
          <w:bCs/>
          <w:snapToGrid w:val="0"/>
        </w:rPr>
        <w:t>s</w:t>
      </w:r>
      <w:r w:rsidRPr="00654C71">
        <w:rPr>
          <w:rFonts w:asciiTheme="minorHAnsi" w:hAnsiTheme="minorHAnsi"/>
          <w:bCs/>
          <w:snapToGrid w:val="0"/>
        </w:rPr>
        <w:t xml:space="preserve">. The PBAC noted that the MOGA presented a European Society for Medical Oncology Magnitude of Clinical Benefit Scale (ESMO-MCBS) for </w:t>
      </w:r>
      <w:r w:rsidR="00654C71" w:rsidRPr="00654C71">
        <w:rPr>
          <w:rFonts w:asciiTheme="minorHAnsi" w:hAnsiTheme="minorHAnsi"/>
          <w:bCs/>
          <w:snapToGrid w:val="0"/>
        </w:rPr>
        <w:t>enzalutamide</w:t>
      </w:r>
      <w:r w:rsidRPr="00654C71">
        <w:rPr>
          <w:rFonts w:asciiTheme="minorHAnsi" w:hAnsiTheme="minorHAnsi"/>
          <w:bCs/>
          <w:snapToGrid w:val="0"/>
        </w:rPr>
        <w:t xml:space="preserve">, which was limited to </w:t>
      </w:r>
      <w:r w:rsidR="00654C71" w:rsidRPr="00654C71">
        <w:rPr>
          <w:rFonts w:asciiTheme="minorHAnsi" w:hAnsiTheme="minorHAnsi"/>
          <w:bCs/>
          <w:snapToGrid w:val="0"/>
        </w:rPr>
        <w:t>4</w:t>
      </w:r>
      <w:r w:rsidRPr="00654C71">
        <w:rPr>
          <w:rFonts w:asciiTheme="minorHAnsi" w:hAnsiTheme="minorHAnsi"/>
          <w:bCs/>
          <w:snapToGrid w:val="0"/>
        </w:rPr>
        <w:t xml:space="preserve"> (out of a maximum of 5, where 5 and 4 represent the grades with substantial improvement)</w:t>
      </w:r>
      <w:r w:rsidR="00654C71">
        <w:rPr>
          <w:rStyle w:val="FootnoteReference"/>
          <w:rFonts w:asciiTheme="minorHAnsi" w:hAnsiTheme="minorHAnsi"/>
          <w:bCs/>
          <w:snapToGrid w:val="0"/>
        </w:rPr>
        <w:footnoteReference w:id="11"/>
      </w:r>
      <w:r w:rsidRPr="00654C71">
        <w:rPr>
          <w:rFonts w:asciiTheme="minorHAnsi" w:hAnsiTheme="minorHAnsi"/>
          <w:bCs/>
          <w:snapToGrid w:val="0"/>
        </w:rPr>
        <w:t xml:space="preserve">, based on a comparison with </w:t>
      </w:r>
      <w:r w:rsidR="00654C71" w:rsidRPr="00654C71">
        <w:rPr>
          <w:rFonts w:asciiTheme="minorHAnsi" w:hAnsiTheme="minorHAnsi"/>
          <w:bCs/>
          <w:snapToGrid w:val="0"/>
        </w:rPr>
        <w:t>placebo plus ADT</w:t>
      </w:r>
      <w:r w:rsidRPr="00654C71">
        <w:rPr>
          <w:rFonts w:asciiTheme="minorHAnsi" w:hAnsiTheme="minorHAnsi"/>
          <w:bCs/>
          <w:snapToGrid w:val="0"/>
        </w:rPr>
        <w:t xml:space="preserve">. </w:t>
      </w:r>
    </w:p>
    <w:p w14:paraId="1E38CEB9" w14:textId="77777777" w:rsidR="00A01891" w:rsidRPr="00C9624D" w:rsidRDefault="00A01891" w:rsidP="00A01891">
      <w:pPr>
        <w:pStyle w:val="4-SubsectionHeading"/>
      </w:pPr>
      <w:r w:rsidRPr="00C9624D">
        <w:t>Clinical trials</w:t>
      </w:r>
      <w:bookmarkEnd w:id="20"/>
      <w:bookmarkEnd w:id="22"/>
      <w:bookmarkEnd w:id="23"/>
    </w:p>
    <w:p w14:paraId="045F54AB" w14:textId="54D5076D" w:rsidR="00A01891" w:rsidRPr="003330C9" w:rsidRDefault="00A01891" w:rsidP="00A01891">
      <w:pPr>
        <w:pStyle w:val="3-BodyText"/>
        <w:rPr>
          <w:color w:val="0066FF"/>
        </w:rPr>
      </w:pPr>
      <w:r w:rsidRPr="003330C9">
        <w:t>The submission was based on two RCTs</w:t>
      </w:r>
      <w:r w:rsidR="00F15BF1" w:rsidRPr="003330C9">
        <w:t>.</w:t>
      </w:r>
      <w:r w:rsidRPr="003330C9">
        <w:t xml:space="preserve"> </w:t>
      </w:r>
      <w:r w:rsidR="00F15BF1" w:rsidRPr="003330C9">
        <w:t>T</w:t>
      </w:r>
      <w:r w:rsidRPr="003330C9">
        <w:t>he main trial (ARCHES) compar</w:t>
      </w:r>
      <w:r w:rsidR="00F15BF1" w:rsidRPr="003330C9">
        <w:t>ed</w:t>
      </w:r>
      <w:r w:rsidRPr="003330C9">
        <w:t xml:space="preserve"> enzalutamide + ADT to ADT alone (i.e., enzalutamide versus placebo) and </w:t>
      </w:r>
      <w:r w:rsidR="00F15BF1" w:rsidRPr="003330C9">
        <w:t>the</w:t>
      </w:r>
      <w:r w:rsidRPr="003330C9">
        <w:t xml:space="preserve"> supportive trial (ENZAMET) compar</w:t>
      </w:r>
      <w:r w:rsidR="00F15BF1" w:rsidRPr="003330C9">
        <w:t>ed</w:t>
      </w:r>
      <w:r w:rsidRPr="003330C9">
        <w:t xml:space="preserve"> enzalutamide +</w:t>
      </w:r>
      <w:r w:rsidR="005C12E5" w:rsidRPr="003330C9">
        <w:t xml:space="preserve"> </w:t>
      </w:r>
      <w:r w:rsidRPr="003330C9">
        <w:t xml:space="preserve">ADT versus a non-steroidal anti androgen (NSAA) of either bicalutamide, nilutamide, or flutamide + ADT (i.e., enzalutamide versus NSAA). </w:t>
      </w:r>
    </w:p>
    <w:p w14:paraId="583FE635" w14:textId="6FDB8500" w:rsidR="00A01891" w:rsidRPr="003330C9" w:rsidRDefault="00A01891" w:rsidP="00A01891">
      <w:pPr>
        <w:pStyle w:val="3-BodyText"/>
        <w:rPr>
          <w:color w:val="0066FF"/>
        </w:rPr>
      </w:pPr>
      <w:r w:rsidRPr="003330C9">
        <w:t xml:space="preserve">Approximately 45% of patients in each treatment arm of ENZAMET were also pre-planned to receive concomitant docetaxel, thus the ENZAMET trial also provides evidence for enzalutamide in triple therapy (i.e., enzalutamide + docetaxel + ADT versus docetaxel + ADT). </w:t>
      </w:r>
      <w:r w:rsidR="00F15BF1" w:rsidRPr="003330C9">
        <w:t>Although c</w:t>
      </w:r>
      <w:r w:rsidRPr="003330C9">
        <w:t>oncomitant docetaxel was not permitted in ARCHES or TITAN, a proportion of patients in TITAN (n=205, 18.5%) and ARCHES (n=113, 10.7%) received prior docetaxel with the majority completing the full 6 cycles.</w:t>
      </w:r>
    </w:p>
    <w:p w14:paraId="266F610A" w14:textId="77777777" w:rsidR="00A01891" w:rsidRPr="003330C9" w:rsidRDefault="00A01891" w:rsidP="00A01891">
      <w:pPr>
        <w:pStyle w:val="3-BodyText"/>
        <w:rPr>
          <w:color w:val="0066FF"/>
        </w:rPr>
      </w:pPr>
      <w:r w:rsidRPr="003330C9">
        <w:t>The submission also identified the TITAN trial as evidence for the nominated near market comparator apalutamide, comparing apalutamide + ADT versus ADT alone (i.e., apalutamide versus placebo). The PBAC had previously considered evidence from TITAN in the November 2021 and July 2022 apalutamide submissions for mHSPC.</w:t>
      </w:r>
    </w:p>
    <w:p w14:paraId="19EA71AF" w14:textId="0B72148C" w:rsidR="00A01891" w:rsidRPr="003330C9" w:rsidRDefault="00A01891" w:rsidP="00A01891">
      <w:pPr>
        <w:pStyle w:val="3-BodyText"/>
      </w:pPr>
      <w:r w:rsidRPr="003330C9">
        <w:rPr>
          <w:snapToGrid/>
          <w:lang w:val="en-US"/>
        </w:rPr>
        <w:t xml:space="preserve">Details of the trials presented in the submission are provided in </w:t>
      </w:r>
      <w:r w:rsidRPr="003330C9">
        <w:rPr>
          <w:snapToGrid/>
          <w:lang w:val="en-US"/>
        </w:rPr>
        <w:fldChar w:fldCharType="begin"/>
      </w:r>
      <w:r w:rsidRPr="003330C9">
        <w:rPr>
          <w:snapToGrid/>
          <w:lang w:val="en-US"/>
        </w:rPr>
        <w:instrText xml:space="preserve"> REF _Ref104803956 \h </w:instrText>
      </w:r>
      <w:r w:rsidR="003330C9" w:rsidRPr="003330C9">
        <w:rPr>
          <w:snapToGrid/>
          <w:lang w:val="en-US"/>
        </w:rPr>
        <w:instrText xml:space="preserve"> \* MERGEFORMAT </w:instrText>
      </w:r>
      <w:r w:rsidRPr="003330C9">
        <w:rPr>
          <w:snapToGrid/>
          <w:lang w:val="en-US"/>
        </w:rPr>
      </w:r>
      <w:r w:rsidRPr="003330C9">
        <w:rPr>
          <w:snapToGrid/>
          <w:lang w:val="en-US"/>
        </w:rPr>
        <w:fldChar w:fldCharType="separate"/>
      </w:r>
      <w:r w:rsidR="00307E3A">
        <w:t xml:space="preserve">Table </w:t>
      </w:r>
      <w:r w:rsidR="00307E3A">
        <w:rPr>
          <w:noProof/>
        </w:rPr>
        <w:t>2</w:t>
      </w:r>
      <w:r w:rsidRPr="003330C9">
        <w:rPr>
          <w:snapToGrid/>
          <w:lang w:val="en-US"/>
        </w:rPr>
        <w:fldChar w:fldCharType="end"/>
      </w:r>
      <w:r w:rsidRPr="003330C9">
        <w:rPr>
          <w:snapToGrid/>
          <w:lang w:val="en-US"/>
        </w:rPr>
        <w:t>.</w:t>
      </w:r>
    </w:p>
    <w:p w14:paraId="52181121" w14:textId="3E96286B" w:rsidR="00A01891" w:rsidRDefault="00A01891" w:rsidP="00A01891">
      <w:pPr>
        <w:pStyle w:val="TableFigureHeading"/>
        <w:rPr>
          <w:rStyle w:val="CommentReference"/>
          <w:b/>
          <w:szCs w:val="24"/>
        </w:rPr>
      </w:pPr>
      <w:bookmarkStart w:id="25" w:name="_Ref104803956"/>
      <w:r>
        <w:t xml:space="preserve">Table </w:t>
      </w:r>
      <w:fldSimple w:instr=" SEQ Table \* ARABIC ">
        <w:r w:rsidR="00307E3A">
          <w:rPr>
            <w:noProof/>
          </w:rPr>
          <w:t>2</w:t>
        </w:r>
      </w:fldSimple>
      <w:bookmarkEnd w:id="25"/>
      <w:r>
        <w:t>:</w:t>
      </w:r>
      <w:r w:rsidRPr="002E4F02">
        <w:rPr>
          <w:rStyle w:val="CommentReference"/>
          <w:b/>
          <w:szCs w:val="24"/>
        </w:rPr>
        <w:t xml:space="preserve"> Trials and associated reports presented in the submission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60"/>
        <w:gridCol w:w="2127"/>
      </w:tblGrid>
      <w:tr w:rsidR="00A01891" w:rsidRPr="000D049D" w14:paraId="4525DA59" w14:textId="77777777" w:rsidTr="00E44076">
        <w:trPr>
          <w:tblHeader/>
        </w:trPr>
        <w:tc>
          <w:tcPr>
            <w:tcW w:w="795" w:type="pct"/>
            <w:vAlign w:val="center"/>
          </w:tcPr>
          <w:p w14:paraId="0055EE91" w14:textId="77777777" w:rsidR="00A01891" w:rsidRPr="00EC489B" w:rsidRDefault="00A01891" w:rsidP="00E44076">
            <w:pPr>
              <w:pStyle w:val="In-tableHeading"/>
              <w:rPr>
                <w:lang w:val="en-AU"/>
              </w:rPr>
            </w:pPr>
            <w:r w:rsidRPr="00EC489B">
              <w:rPr>
                <w:lang w:val="en-AU"/>
              </w:rPr>
              <w:t>Trial ID</w:t>
            </w:r>
          </w:p>
        </w:tc>
        <w:tc>
          <w:tcPr>
            <w:tcW w:w="3025" w:type="pct"/>
            <w:vAlign w:val="center"/>
          </w:tcPr>
          <w:p w14:paraId="7BADE067" w14:textId="77777777" w:rsidR="00A01891" w:rsidRPr="00EC489B" w:rsidRDefault="00A01891" w:rsidP="00E44076">
            <w:pPr>
              <w:pStyle w:val="In-tableHeading"/>
              <w:rPr>
                <w:lang w:val="en-AU"/>
              </w:rPr>
            </w:pPr>
            <w:r w:rsidRPr="00EC489B">
              <w:rPr>
                <w:lang w:val="en-AU"/>
              </w:rPr>
              <w:t>Protocol title/ Publication title</w:t>
            </w:r>
          </w:p>
        </w:tc>
        <w:tc>
          <w:tcPr>
            <w:tcW w:w="1177" w:type="pct"/>
            <w:vAlign w:val="center"/>
          </w:tcPr>
          <w:p w14:paraId="5886C44E" w14:textId="77777777" w:rsidR="00A01891" w:rsidRPr="00EC489B" w:rsidRDefault="00A01891" w:rsidP="00E44076">
            <w:pPr>
              <w:pStyle w:val="In-tableHeading"/>
              <w:rPr>
                <w:lang w:val="en-AU"/>
              </w:rPr>
            </w:pPr>
            <w:r w:rsidRPr="00EC489B">
              <w:rPr>
                <w:lang w:val="en-AU"/>
              </w:rPr>
              <w:t>Publication citation</w:t>
            </w:r>
          </w:p>
        </w:tc>
      </w:tr>
      <w:tr w:rsidR="00A01891" w:rsidRPr="000D049D" w14:paraId="1404FF2E" w14:textId="77777777" w:rsidTr="00E44076">
        <w:tc>
          <w:tcPr>
            <w:tcW w:w="795" w:type="pct"/>
            <w:tcBorders>
              <w:bottom w:val="nil"/>
            </w:tcBorders>
            <w:vAlign w:val="center"/>
          </w:tcPr>
          <w:p w14:paraId="58366564" w14:textId="77777777" w:rsidR="00A01891" w:rsidRPr="000D049D" w:rsidRDefault="00A01891" w:rsidP="00E44076">
            <w:pPr>
              <w:pStyle w:val="TableText0"/>
            </w:pPr>
          </w:p>
        </w:tc>
        <w:tc>
          <w:tcPr>
            <w:tcW w:w="3025" w:type="pct"/>
            <w:tcBorders>
              <w:bottom w:val="nil"/>
            </w:tcBorders>
            <w:vAlign w:val="center"/>
          </w:tcPr>
          <w:p w14:paraId="39DC9E19" w14:textId="77777777" w:rsidR="00A01891" w:rsidRPr="000D049D" w:rsidRDefault="00A01891" w:rsidP="00E44076">
            <w:pPr>
              <w:pStyle w:val="TableText0"/>
              <w:rPr>
                <w:szCs w:val="18"/>
              </w:rPr>
            </w:pPr>
            <w:r w:rsidRPr="000D049D">
              <w:rPr>
                <w:szCs w:val="18"/>
              </w:rPr>
              <w:t>A Study of Enzalutamide Plus Androgen Deprivation Therapy (ADT) Versus Placebo Plus ADT in Patients With Metastatic Hormone Sensitive Prostate Cancer (mHSPC) (ARCHES).</w:t>
            </w:r>
          </w:p>
        </w:tc>
        <w:tc>
          <w:tcPr>
            <w:tcW w:w="1177" w:type="pct"/>
            <w:tcBorders>
              <w:bottom w:val="nil"/>
            </w:tcBorders>
            <w:vAlign w:val="center"/>
          </w:tcPr>
          <w:p w14:paraId="5FA9E6B8" w14:textId="77777777" w:rsidR="00A01891" w:rsidRPr="000D049D" w:rsidRDefault="00A01891" w:rsidP="00E44076">
            <w:pPr>
              <w:pStyle w:val="TableText0"/>
            </w:pPr>
            <w:r w:rsidRPr="000D049D">
              <w:t>31 May 2019</w:t>
            </w:r>
          </w:p>
        </w:tc>
      </w:tr>
      <w:tr w:rsidR="00A01891" w:rsidRPr="000D049D" w14:paraId="57FA3B67" w14:textId="77777777" w:rsidTr="00E44076">
        <w:trPr>
          <w:trHeight w:val="942"/>
        </w:trPr>
        <w:tc>
          <w:tcPr>
            <w:tcW w:w="795" w:type="pct"/>
            <w:tcBorders>
              <w:top w:val="nil"/>
              <w:bottom w:val="nil"/>
            </w:tcBorders>
            <w:vAlign w:val="center"/>
          </w:tcPr>
          <w:p w14:paraId="1EBE557D" w14:textId="77777777" w:rsidR="00A01891" w:rsidRPr="000D049D" w:rsidRDefault="00A01891" w:rsidP="00E44076">
            <w:pPr>
              <w:pStyle w:val="TableText0"/>
            </w:pPr>
            <w:r w:rsidRPr="000D049D">
              <w:t>ARCHES</w:t>
            </w:r>
          </w:p>
          <w:p w14:paraId="06E264B8" w14:textId="77777777" w:rsidR="00A01891" w:rsidRPr="000D049D" w:rsidRDefault="00A01891" w:rsidP="00E44076">
            <w:pPr>
              <w:pStyle w:val="TableText0"/>
            </w:pPr>
            <w:r w:rsidRPr="000D049D">
              <w:t>NCT02677896</w:t>
            </w:r>
          </w:p>
        </w:tc>
        <w:tc>
          <w:tcPr>
            <w:tcW w:w="3025" w:type="pct"/>
            <w:tcBorders>
              <w:top w:val="nil"/>
              <w:bottom w:val="nil"/>
            </w:tcBorders>
            <w:vAlign w:val="center"/>
          </w:tcPr>
          <w:p w14:paraId="363EA52F" w14:textId="77777777" w:rsidR="00A01891" w:rsidRPr="000D049D" w:rsidRDefault="00A01891" w:rsidP="00E44076">
            <w:pPr>
              <w:pStyle w:val="TableText0"/>
              <w:rPr>
                <w:szCs w:val="18"/>
              </w:rPr>
            </w:pPr>
            <w:r w:rsidRPr="000D049D">
              <w:rPr>
                <w:szCs w:val="18"/>
              </w:rPr>
              <w:t>Armstrong AJ, Szmulewitz RZ, Petrylak DP et al. ARCHES: a randomized, phase III study of androgen deprivation therapy with enzalutamide or placebo in men with metastatic hormone-sensitive prostate cancer.</w:t>
            </w:r>
          </w:p>
        </w:tc>
        <w:tc>
          <w:tcPr>
            <w:tcW w:w="1177" w:type="pct"/>
            <w:tcBorders>
              <w:top w:val="nil"/>
              <w:bottom w:val="nil"/>
            </w:tcBorders>
            <w:vAlign w:val="center"/>
          </w:tcPr>
          <w:p w14:paraId="1C53DAB6" w14:textId="77777777" w:rsidR="00A01891" w:rsidRPr="000D049D" w:rsidRDefault="00A01891" w:rsidP="00E44076">
            <w:pPr>
              <w:pStyle w:val="TableText0"/>
              <w:rPr>
                <w:szCs w:val="18"/>
              </w:rPr>
            </w:pPr>
            <w:r w:rsidRPr="000D049D">
              <w:rPr>
                <w:szCs w:val="18"/>
              </w:rPr>
              <w:t>Journal of Clinical Oncology 2019; 37(32): 2974-2986.</w:t>
            </w:r>
          </w:p>
        </w:tc>
      </w:tr>
      <w:tr w:rsidR="00A01891" w:rsidRPr="000D049D" w14:paraId="10AD90BA" w14:textId="77777777" w:rsidTr="00E44076">
        <w:tc>
          <w:tcPr>
            <w:tcW w:w="795" w:type="pct"/>
            <w:tcBorders>
              <w:top w:val="nil"/>
              <w:bottom w:val="nil"/>
            </w:tcBorders>
            <w:vAlign w:val="center"/>
          </w:tcPr>
          <w:p w14:paraId="35C5BC9B" w14:textId="77777777" w:rsidR="00A01891" w:rsidRPr="000D049D" w:rsidRDefault="00A01891" w:rsidP="00E44076">
            <w:pPr>
              <w:pStyle w:val="TableText0"/>
            </w:pPr>
          </w:p>
        </w:tc>
        <w:tc>
          <w:tcPr>
            <w:tcW w:w="3025" w:type="pct"/>
            <w:tcBorders>
              <w:top w:val="nil"/>
              <w:bottom w:val="nil"/>
            </w:tcBorders>
            <w:vAlign w:val="center"/>
          </w:tcPr>
          <w:p w14:paraId="7DE14625" w14:textId="77777777" w:rsidR="00A01891" w:rsidRPr="00EC489B" w:rsidRDefault="00A01891" w:rsidP="00E44076">
            <w:pPr>
              <w:pStyle w:val="TableText0"/>
              <w:rPr>
                <w:szCs w:val="18"/>
              </w:rPr>
            </w:pPr>
            <w:r w:rsidRPr="00EC489B">
              <w:rPr>
                <w:szCs w:val="18"/>
              </w:rPr>
              <w:t>Armstrong AJ, Azad AA, Iguchi T et al. Improved survival with enzalutamide in patients with metastatic hormone-sensitive prostate cancer.</w:t>
            </w:r>
          </w:p>
        </w:tc>
        <w:tc>
          <w:tcPr>
            <w:tcW w:w="1177" w:type="pct"/>
            <w:tcBorders>
              <w:top w:val="nil"/>
              <w:bottom w:val="nil"/>
            </w:tcBorders>
            <w:vAlign w:val="center"/>
          </w:tcPr>
          <w:p w14:paraId="464CF05A" w14:textId="77777777" w:rsidR="00A01891" w:rsidRPr="00EC489B" w:rsidRDefault="00A01891" w:rsidP="00E44076">
            <w:pPr>
              <w:pStyle w:val="TableText0"/>
              <w:rPr>
                <w:szCs w:val="18"/>
              </w:rPr>
            </w:pPr>
            <w:r w:rsidRPr="00EC489B">
              <w:rPr>
                <w:szCs w:val="18"/>
              </w:rPr>
              <w:t>Journal of Clinical Oncology 2022; 40(15): 1616-1622.</w:t>
            </w:r>
          </w:p>
        </w:tc>
      </w:tr>
      <w:tr w:rsidR="00A01891" w:rsidRPr="000D049D" w14:paraId="02358D9B" w14:textId="77777777" w:rsidTr="00E44076">
        <w:tc>
          <w:tcPr>
            <w:tcW w:w="795" w:type="pct"/>
            <w:tcBorders>
              <w:bottom w:val="nil"/>
            </w:tcBorders>
            <w:vAlign w:val="center"/>
          </w:tcPr>
          <w:p w14:paraId="6D95F5DA" w14:textId="77777777" w:rsidR="00A01891" w:rsidRPr="000D049D" w:rsidRDefault="00A01891" w:rsidP="00E44076">
            <w:pPr>
              <w:pStyle w:val="TableText0"/>
            </w:pPr>
          </w:p>
        </w:tc>
        <w:tc>
          <w:tcPr>
            <w:tcW w:w="3025" w:type="pct"/>
            <w:tcBorders>
              <w:bottom w:val="nil"/>
            </w:tcBorders>
            <w:vAlign w:val="center"/>
          </w:tcPr>
          <w:p w14:paraId="2D059492" w14:textId="77777777" w:rsidR="00A01891" w:rsidRPr="000D049D" w:rsidRDefault="00A01891" w:rsidP="00E44076">
            <w:pPr>
              <w:pStyle w:val="TableText0"/>
            </w:pPr>
            <w:r w:rsidRPr="000D049D">
              <w:t>Randomized Phase 3 Trial of Enzalutamide in First Line Androgen Deprivation Therapy for Metastatic Prostate Cancer: ENZAMET Interim Clinical Study Report</w:t>
            </w:r>
          </w:p>
        </w:tc>
        <w:tc>
          <w:tcPr>
            <w:tcW w:w="1177" w:type="pct"/>
            <w:tcBorders>
              <w:bottom w:val="nil"/>
            </w:tcBorders>
            <w:vAlign w:val="center"/>
          </w:tcPr>
          <w:p w14:paraId="4A217FED" w14:textId="77777777" w:rsidR="00A01891" w:rsidRPr="000D049D" w:rsidRDefault="00A01891" w:rsidP="00E44076">
            <w:pPr>
              <w:pStyle w:val="TableText0"/>
            </w:pPr>
            <w:r w:rsidRPr="000D049D">
              <w:t>10 June 2019</w:t>
            </w:r>
          </w:p>
        </w:tc>
      </w:tr>
      <w:tr w:rsidR="00A01891" w:rsidRPr="000D049D" w14:paraId="50A7BAD0" w14:textId="77777777" w:rsidTr="00E44076">
        <w:tc>
          <w:tcPr>
            <w:tcW w:w="795" w:type="pct"/>
            <w:tcBorders>
              <w:top w:val="nil"/>
              <w:bottom w:val="nil"/>
            </w:tcBorders>
            <w:vAlign w:val="center"/>
          </w:tcPr>
          <w:p w14:paraId="5B861300" w14:textId="77777777" w:rsidR="00A01891" w:rsidRPr="000D049D" w:rsidRDefault="00A01891" w:rsidP="00E44076">
            <w:pPr>
              <w:pStyle w:val="TableText0"/>
            </w:pPr>
            <w:r w:rsidRPr="000D049D">
              <w:t>ENZAMET</w:t>
            </w:r>
          </w:p>
          <w:p w14:paraId="4193E0D6" w14:textId="77777777" w:rsidR="00A01891" w:rsidRPr="000D049D" w:rsidRDefault="00A01891" w:rsidP="00E44076">
            <w:pPr>
              <w:pStyle w:val="TableText0"/>
            </w:pPr>
            <w:r w:rsidRPr="000D049D">
              <w:t>NCT02446405</w:t>
            </w:r>
          </w:p>
        </w:tc>
        <w:tc>
          <w:tcPr>
            <w:tcW w:w="3025" w:type="pct"/>
            <w:tcBorders>
              <w:top w:val="nil"/>
              <w:bottom w:val="nil"/>
            </w:tcBorders>
            <w:vAlign w:val="center"/>
          </w:tcPr>
          <w:p w14:paraId="6125498E" w14:textId="77777777" w:rsidR="00A01891" w:rsidRPr="000D049D" w:rsidRDefault="00A01891" w:rsidP="00E44076">
            <w:pPr>
              <w:pStyle w:val="TableText0"/>
              <w:rPr>
                <w:szCs w:val="18"/>
              </w:rPr>
            </w:pPr>
            <w:r w:rsidRPr="000D049D">
              <w:rPr>
                <w:szCs w:val="18"/>
              </w:rPr>
              <w:t>Davis ID, Martin AJ, Stockler MR et al. Enzalutamide with standard first-line therapy in metastatic prostate cancer.</w:t>
            </w:r>
          </w:p>
        </w:tc>
        <w:tc>
          <w:tcPr>
            <w:tcW w:w="1177" w:type="pct"/>
            <w:tcBorders>
              <w:top w:val="nil"/>
              <w:bottom w:val="nil"/>
            </w:tcBorders>
            <w:vAlign w:val="center"/>
          </w:tcPr>
          <w:p w14:paraId="6E83C84A" w14:textId="77777777" w:rsidR="00A01891" w:rsidRPr="000D049D" w:rsidRDefault="00A01891" w:rsidP="00E44076">
            <w:pPr>
              <w:pStyle w:val="TableText0"/>
              <w:rPr>
                <w:i/>
              </w:rPr>
            </w:pPr>
            <w:r w:rsidRPr="000D049D">
              <w:rPr>
                <w:i/>
                <w:szCs w:val="18"/>
              </w:rPr>
              <w:t xml:space="preserve">NEJM </w:t>
            </w:r>
            <w:r w:rsidRPr="000D049D">
              <w:rPr>
                <w:szCs w:val="18"/>
              </w:rPr>
              <w:t>2019; 381(2): 121-131.</w:t>
            </w:r>
          </w:p>
        </w:tc>
      </w:tr>
      <w:tr w:rsidR="00A01891" w:rsidRPr="000D049D" w14:paraId="01B1D61C" w14:textId="77777777" w:rsidTr="00E44076">
        <w:tc>
          <w:tcPr>
            <w:tcW w:w="795" w:type="pct"/>
            <w:tcBorders>
              <w:top w:val="nil"/>
              <w:bottom w:val="nil"/>
            </w:tcBorders>
            <w:vAlign w:val="center"/>
          </w:tcPr>
          <w:p w14:paraId="4DB6A82F" w14:textId="77777777" w:rsidR="00A01891" w:rsidRPr="000D049D" w:rsidRDefault="00A01891" w:rsidP="00E44076">
            <w:pPr>
              <w:pStyle w:val="TableText0"/>
            </w:pPr>
          </w:p>
        </w:tc>
        <w:tc>
          <w:tcPr>
            <w:tcW w:w="3025" w:type="pct"/>
            <w:tcBorders>
              <w:top w:val="nil"/>
              <w:bottom w:val="nil"/>
            </w:tcBorders>
            <w:shd w:val="clear" w:color="auto" w:fill="auto"/>
          </w:tcPr>
          <w:p w14:paraId="735EFF1E" w14:textId="77777777" w:rsidR="00A01891" w:rsidRPr="000D049D" w:rsidRDefault="00A01891" w:rsidP="00E44076">
            <w:pPr>
              <w:pStyle w:val="TableText0"/>
            </w:pPr>
            <w:r w:rsidRPr="000D049D">
              <w:rPr>
                <w:szCs w:val="18"/>
              </w:rPr>
              <w:t xml:space="preserve">Davis ID, Martin AJ, Zielinski RR, et al. Updated overall survival outcomes in ENZAMET (ANZUP 1304), an international, cooperative group trial of enzalutamide in metastatic hormone-sensitive prostate cancer (mHSPC). </w:t>
            </w:r>
          </w:p>
        </w:tc>
        <w:tc>
          <w:tcPr>
            <w:tcW w:w="1179" w:type="pct"/>
            <w:tcBorders>
              <w:top w:val="nil"/>
              <w:bottom w:val="nil"/>
            </w:tcBorders>
            <w:shd w:val="clear" w:color="auto" w:fill="auto"/>
          </w:tcPr>
          <w:p w14:paraId="1E6E1F41" w14:textId="77777777" w:rsidR="00A01891" w:rsidRPr="000D049D" w:rsidRDefault="00A01891" w:rsidP="00E44076">
            <w:pPr>
              <w:pStyle w:val="TableText0"/>
            </w:pPr>
            <w:r w:rsidRPr="000D049D">
              <w:rPr>
                <w:szCs w:val="18"/>
              </w:rPr>
              <w:t>Journal of Clinical Oncology</w:t>
            </w:r>
            <w:r w:rsidRPr="000D049D">
              <w:rPr>
                <w:i/>
                <w:szCs w:val="18"/>
              </w:rPr>
              <w:t xml:space="preserve"> </w:t>
            </w:r>
            <w:r w:rsidRPr="000D049D">
              <w:rPr>
                <w:szCs w:val="18"/>
              </w:rPr>
              <w:t>2022</w:t>
            </w:r>
            <w:r w:rsidRPr="000D049D">
              <w:rPr>
                <w:i/>
                <w:szCs w:val="18"/>
              </w:rPr>
              <w:t xml:space="preserve">; </w:t>
            </w:r>
            <w:r w:rsidRPr="000D049D">
              <w:rPr>
                <w:szCs w:val="18"/>
              </w:rPr>
              <w:t>41, LBA5004-LBA5004.</w:t>
            </w:r>
          </w:p>
        </w:tc>
      </w:tr>
      <w:tr w:rsidR="00A01891" w:rsidRPr="000D049D" w14:paraId="7CEE004B" w14:textId="77777777" w:rsidTr="00E44076">
        <w:trPr>
          <w:trHeight w:val="643"/>
        </w:trPr>
        <w:tc>
          <w:tcPr>
            <w:tcW w:w="795" w:type="pct"/>
            <w:tcBorders>
              <w:bottom w:val="nil"/>
            </w:tcBorders>
            <w:vAlign w:val="center"/>
          </w:tcPr>
          <w:p w14:paraId="1E6FAD51" w14:textId="77777777" w:rsidR="00A01891" w:rsidRPr="000D049D" w:rsidRDefault="00A01891" w:rsidP="00E44076">
            <w:pPr>
              <w:pStyle w:val="TableText0"/>
            </w:pPr>
          </w:p>
        </w:tc>
        <w:tc>
          <w:tcPr>
            <w:tcW w:w="3025" w:type="pct"/>
            <w:tcBorders>
              <w:bottom w:val="nil"/>
            </w:tcBorders>
            <w:vAlign w:val="center"/>
          </w:tcPr>
          <w:p w14:paraId="3D58B84C" w14:textId="77777777" w:rsidR="00A01891" w:rsidRPr="000D049D" w:rsidRDefault="00A01891" w:rsidP="00E44076">
            <w:pPr>
              <w:pStyle w:val="TableText0"/>
            </w:pPr>
            <w:r w:rsidRPr="000D049D">
              <w:t>A Study of Apalutamide (JNJ-56021927, ARN-509) Plus Androgen Deprivation Therapy (ADT) Versus ADT in Participants With mHSPC</w:t>
            </w:r>
          </w:p>
        </w:tc>
        <w:tc>
          <w:tcPr>
            <w:tcW w:w="1177" w:type="pct"/>
            <w:tcBorders>
              <w:bottom w:val="nil"/>
            </w:tcBorders>
            <w:vAlign w:val="center"/>
          </w:tcPr>
          <w:p w14:paraId="0FA30B1D" w14:textId="77777777" w:rsidR="00A01891" w:rsidRPr="000D049D" w:rsidRDefault="00A01891" w:rsidP="00E44076">
            <w:pPr>
              <w:pStyle w:val="TableText0"/>
            </w:pPr>
            <w:r w:rsidRPr="000D049D">
              <w:t>August 2013</w:t>
            </w:r>
          </w:p>
        </w:tc>
      </w:tr>
      <w:tr w:rsidR="00A01891" w:rsidRPr="000D049D" w14:paraId="27094B5E" w14:textId="77777777" w:rsidTr="00E44076">
        <w:trPr>
          <w:trHeight w:val="791"/>
        </w:trPr>
        <w:tc>
          <w:tcPr>
            <w:tcW w:w="795" w:type="pct"/>
            <w:tcBorders>
              <w:top w:val="nil"/>
              <w:bottom w:val="nil"/>
            </w:tcBorders>
            <w:vAlign w:val="center"/>
          </w:tcPr>
          <w:p w14:paraId="518E3641" w14:textId="77777777" w:rsidR="00A01891" w:rsidRPr="000D049D" w:rsidRDefault="00A01891" w:rsidP="00E44076">
            <w:pPr>
              <w:pStyle w:val="TableText0"/>
            </w:pPr>
            <w:r w:rsidRPr="000D049D">
              <w:t>TITAN</w:t>
            </w:r>
          </w:p>
          <w:p w14:paraId="57C442F0" w14:textId="77777777" w:rsidR="00A01891" w:rsidRPr="000D049D" w:rsidRDefault="00A01891" w:rsidP="00E44076">
            <w:pPr>
              <w:pStyle w:val="TableText0"/>
            </w:pPr>
            <w:r w:rsidRPr="000D049D">
              <w:t>NCT02489318</w:t>
            </w:r>
          </w:p>
        </w:tc>
        <w:tc>
          <w:tcPr>
            <w:tcW w:w="3025" w:type="pct"/>
            <w:tcBorders>
              <w:top w:val="nil"/>
              <w:bottom w:val="nil"/>
            </w:tcBorders>
            <w:vAlign w:val="center"/>
          </w:tcPr>
          <w:p w14:paraId="1F48DD89" w14:textId="0B8AD27E" w:rsidR="00A01891" w:rsidRPr="000D049D" w:rsidRDefault="00A01891" w:rsidP="00E44076">
            <w:pPr>
              <w:pStyle w:val="TableText0"/>
              <w:rPr>
                <w:szCs w:val="18"/>
              </w:rPr>
            </w:pPr>
            <w:r w:rsidRPr="000D049D">
              <w:rPr>
                <w:szCs w:val="18"/>
              </w:rPr>
              <w:t xml:space="preserve">Chi KN, Chowdhury S, Bjartell A et al. Apalutamide in patients with metastatic castration-sensitive prostate cancer: final survival analysis of the randomized, double-blind, phase III TITAN study. </w:t>
            </w:r>
          </w:p>
        </w:tc>
        <w:tc>
          <w:tcPr>
            <w:tcW w:w="1177" w:type="pct"/>
            <w:tcBorders>
              <w:top w:val="nil"/>
              <w:bottom w:val="nil"/>
            </w:tcBorders>
            <w:vAlign w:val="center"/>
          </w:tcPr>
          <w:p w14:paraId="49679D45" w14:textId="77777777" w:rsidR="00A01891" w:rsidRPr="000D049D" w:rsidRDefault="00A01891" w:rsidP="00E44076">
            <w:pPr>
              <w:pStyle w:val="TableText0"/>
            </w:pPr>
            <w:r w:rsidRPr="000D049D">
              <w:t>Journal of Clinical Oncology 2021; 39(20): 2294-2303.</w:t>
            </w:r>
          </w:p>
        </w:tc>
      </w:tr>
      <w:tr w:rsidR="00A01891" w:rsidRPr="000D049D" w14:paraId="2E8CF215" w14:textId="77777777" w:rsidTr="00E44076">
        <w:trPr>
          <w:trHeight w:val="559"/>
        </w:trPr>
        <w:tc>
          <w:tcPr>
            <w:tcW w:w="795" w:type="pct"/>
            <w:tcBorders>
              <w:top w:val="nil"/>
              <w:bottom w:val="single" w:sz="4" w:space="0" w:color="auto"/>
            </w:tcBorders>
            <w:vAlign w:val="center"/>
          </w:tcPr>
          <w:p w14:paraId="2A9D0CD2" w14:textId="77777777" w:rsidR="00A01891" w:rsidRPr="000D049D" w:rsidRDefault="00A01891" w:rsidP="00E44076">
            <w:pPr>
              <w:pStyle w:val="TableText0"/>
            </w:pPr>
          </w:p>
        </w:tc>
        <w:tc>
          <w:tcPr>
            <w:tcW w:w="3025" w:type="pct"/>
            <w:tcBorders>
              <w:top w:val="nil"/>
              <w:bottom w:val="single" w:sz="4" w:space="0" w:color="auto"/>
            </w:tcBorders>
            <w:vAlign w:val="center"/>
          </w:tcPr>
          <w:p w14:paraId="6601AC8D" w14:textId="77777777" w:rsidR="00A01891" w:rsidRPr="000D049D" w:rsidRDefault="00A01891" w:rsidP="00E44076">
            <w:pPr>
              <w:pStyle w:val="TableText0"/>
              <w:rPr>
                <w:szCs w:val="18"/>
              </w:rPr>
            </w:pPr>
            <w:r w:rsidRPr="000D049D">
              <w:rPr>
                <w:szCs w:val="18"/>
              </w:rPr>
              <w:t>Chi KN, Agarwal N, Bjartell A et al. Apalutamide for metastatic, castration-sensitive prostate cancer.</w:t>
            </w:r>
          </w:p>
        </w:tc>
        <w:tc>
          <w:tcPr>
            <w:tcW w:w="1177" w:type="pct"/>
            <w:tcBorders>
              <w:top w:val="nil"/>
              <w:bottom w:val="single" w:sz="4" w:space="0" w:color="auto"/>
            </w:tcBorders>
            <w:vAlign w:val="center"/>
          </w:tcPr>
          <w:p w14:paraId="69459C60" w14:textId="77777777" w:rsidR="00A01891" w:rsidRPr="000D049D" w:rsidRDefault="00A01891" w:rsidP="00E44076">
            <w:pPr>
              <w:pStyle w:val="TableText0"/>
            </w:pPr>
            <w:r w:rsidRPr="000D049D">
              <w:t>NEJM 2019; 381(1), pp.13-24.</w:t>
            </w:r>
          </w:p>
        </w:tc>
      </w:tr>
    </w:tbl>
    <w:p w14:paraId="763113E3" w14:textId="290B03A0" w:rsidR="00A01891" w:rsidRPr="008E1354" w:rsidRDefault="00A01891" w:rsidP="008E1354">
      <w:pPr>
        <w:pStyle w:val="FooterTableFigure"/>
        <w:rPr>
          <w:sz w:val="20"/>
        </w:rPr>
      </w:pPr>
      <w:r w:rsidRPr="000D049D">
        <w:t>Source: Table 2.2-1, pp 29-31 of the submission.</w:t>
      </w:r>
    </w:p>
    <w:p w14:paraId="53D4E8AB" w14:textId="2AEEFE83" w:rsidR="00A01891" w:rsidRPr="00EC5836" w:rsidRDefault="00A01891" w:rsidP="00A01891">
      <w:pPr>
        <w:pStyle w:val="3-BodyText"/>
        <w:rPr>
          <w:color w:val="0066FF"/>
        </w:rPr>
      </w:pPr>
      <w:r w:rsidRPr="00B50DB8">
        <w:t xml:space="preserve">The key features of the </w:t>
      </w:r>
      <w:r>
        <w:t>included trials</w:t>
      </w:r>
      <w:r w:rsidRPr="00B50DB8">
        <w:t xml:space="preserve"> are summarised in</w:t>
      </w:r>
      <w:r>
        <w:t xml:space="preserve"> </w:t>
      </w:r>
      <w:r>
        <w:fldChar w:fldCharType="begin"/>
      </w:r>
      <w:r>
        <w:instrText xml:space="preserve"> REF _Ref104804098 \h  \* MERGEFORMAT </w:instrText>
      </w:r>
      <w:r>
        <w:fldChar w:fldCharType="separate"/>
      </w:r>
      <w:r w:rsidR="00307E3A" w:rsidRPr="00307E3A">
        <w:t>Table 3</w:t>
      </w:r>
      <w:r>
        <w:fldChar w:fldCharType="end"/>
      </w:r>
      <w:r w:rsidRPr="00B50DB8">
        <w:t>.</w:t>
      </w:r>
      <w:r>
        <w:t xml:space="preserve"> </w:t>
      </w:r>
    </w:p>
    <w:p w14:paraId="29EED60B" w14:textId="1FC29F06" w:rsidR="00A01891" w:rsidRDefault="00A01891" w:rsidP="00A01891">
      <w:pPr>
        <w:pStyle w:val="Caption"/>
        <w:rPr>
          <w:rStyle w:val="CommentReference"/>
          <w:rFonts w:eastAsiaTheme="majorEastAsia" w:cstheme="majorBidi"/>
          <w:b/>
          <w:szCs w:val="24"/>
        </w:rPr>
      </w:pPr>
      <w:bookmarkStart w:id="26"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307E3A">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6"/>
      <w:r w:rsidRPr="00D6076E">
        <w:rPr>
          <w:rStyle w:val="CommentReference"/>
          <w:rFonts w:eastAsiaTheme="majorEastAsia" w:cstheme="majorBidi"/>
          <w:b/>
          <w:szCs w:val="24"/>
        </w:rPr>
        <w:t>: Key features of the included evidence</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0"/>
        <w:gridCol w:w="421"/>
        <w:gridCol w:w="1169"/>
        <w:gridCol w:w="622"/>
        <w:gridCol w:w="3288"/>
        <w:gridCol w:w="904"/>
        <w:gridCol w:w="1096"/>
        <w:gridCol w:w="868"/>
      </w:tblGrid>
      <w:tr w:rsidR="00A01891" w:rsidRPr="003330C9" w14:paraId="09092948" w14:textId="77777777" w:rsidTr="00E44076">
        <w:trPr>
          <w:cantSplit/>
          <w:tblHeader/>
        </w:trPr>
        <w:tc>
          <w:tcPr>
            <w:tcW w:w="456" w:type="pct"/>
            <w:shd w:val="clear" w:color="auto" w:fill="auto"/>
            <w:vAlign w:val="center"/>
          </w:tcPr>
          <w:p w14:paraId="4A962961" w14:textId="77777777" w:rsidR="00A01891" w:rsidRPr="003330C9" w:rsidRDefault="00A01891" w:rsidP="00E44076">
            <w:pPr>
              <w:pStyle w:val="In-tableHeading"/>
              <w:rPr>
                <w:iCs/>
                <w:lang w:val="en-AU"/>
              </w:rPr>
            </w:pPr>
            <w:r w:rsidRPr="003330C9">
              <w:rPr>
                <w:iCs/>
                <w:lang w:val="en-AU"/>
              </w:rPr>
              <w:t>Trial</w:t>
            </w:r>
          </w:p>
        </w:tc>
        <w:tc>
          <w:tcPr>
            <w:tcW w:w="229" w:type="pct"/>
            <w:shd w:val="clear" w:color="auto" w:fill="auto"/>
            <w:vAlign w:val="center"/>
          </w:tcPr>
          <w:p w14:paraId="7DBE4FB7" w14:textId="77777777" w:rsidR="00A01891" w:rsidRPr="003330C9" w:rsidRDefault="00A01891" w:rsidP="00E44076">
            <w:pPr>
              <w:pStyle w:val="In-tableHeading"/>
              <w:jc w:val="center"/>
              <w:rPr>
                <w:iCs/>
                <w:lang w:val="en-AU"/>
              </w:rPr>
            </w:pPr>
            <w:r w:rsidRPr="003330C9">
              <w:rPr>
                <w:iCs/>
                <w:lang w:val="en-AU"/>
              </w:rPr>
              <w:t>N</w:t>
            </w:r>
          </w:p>
        </w:tc>
        <w:tc>
          <w:tcPr>
            <w:tcW w:w="698" w:type="pct"/>
            <w:shd w:val="clear" w:color="auto" w:fill="auto"/>
            <w:vAlign w:val="center"/>
          </w:tcPr>
          <w:p w14:paraId="09052BC0" w14:textId="77777777" w:rsidR="00A01891" w:rsidRPr="003330C9" w:rsidRDefault="00A01891" w:rsidP="00E44076">
            <w:pPr>
              <w:pStyle w:val="In-tableHeading"/>
              <w:jc w:val="center"/>
              <w:rPr>
                <w:iCs/>
                <w:lang w:val="en-AU"/>
              </w:rPr>
            </w:pPr>
            <w:r w:rsidRPr="003330C9">
              <w:rPr>
                <w:iCs/>
                <w:lang w:val="en-AU"/>
              </w:rPr>
              <w:t>Design/ duration</w:t>
            </w:r>
          </w:p>
        </w:tc>
        <w:tc>
          <w:tcPr>
            <w:tcW w:w="338" w:type="pct"/>
            <w:shd w:val="clear" w:color="auto" w:fill="auto"/>
            <w:vAlign w:val="center"/>
          </w:tcPr>
          <w:p w14:paraId="266C196D" w14:textId="77777777" w:rsidR="00A01891" w:rsidRPr="003330C9" w:rsidRDefault="00A01891" w:rsidP="00E44076">
            <w:pPr>
              <w:pStyle w:val="In-tableHeading"/>
              <w:jc w:val="center"/>
              <w:rPr>
                <w:iCs/>
                <w:lang w:val="en-AU"/>
              </w:rPr>
            </w:pPr>
            <w:r w:rsidRPr="003330C9">
              <w:rPr>
                <w:iCs/>
                <w:lang w:val="en-AU"/>
              </w:rPr>
              <w:t>Bias</w:t>
            </w:r>
          </w:p>
        </w:tc>
        <w:tc>
          <w:tcPr>
            <w:tcW w:w="1817" w:type="pct"/>
            <w:vAlign w:val="center"/>
          </w:tcPr>
          <w:p w14:paraId="1C1838AD" w14:textId="77777777" w:rsidR="00A01891" w:rsidRPr="003330C9" w:rsidRDefault="00A01891" w:rsidP="00E44076">
            <w:pPr>
              <w:pStyle w:val="In-tableHeading"/>
              <w:jc w:val="center"/>
              <w:rPr>
                <w:iCs/>
                <w:lang w:val="en-AU"/>
              </w:rPr>
            </w:pPr>
            <w:r w:rsidRPr="003330C9">
              <w:rPr>
                <w:iCs/>
                <w:lang w:val="en-AU"/>
              </w:rPr>
              <w:t>Treatment arms</w:t>
            </w:r>
          </w:p>
        </w:tc>
        <w:tc>
          <w:tcPr>
            <w:tcW w:w="491" w:type="pct"/>
            <w:shd w:val="clear" w:color="auto" w:fill="auto"/>
            <w:vAlign w:val="center"/>
          </w:tcPr>
          <w:p w14:paraId="684302A9" w14:textId="77777777" w:rsidR="00A01891" w:rsidRPr="003330C9" w:rsidRDefault="00A01891" w:rsidP="00E44076">
            <w:pPr>
              <w:pStyle w:val="In-tableHeading"/>
              <w:jc w:val="center"/>
              <w:rPr>
                <w:iCs/>
                <w:lang w:val="en-AU"/>
              </w:rPr>
            </w:pPr>
            <w:r w:rsidRPr="003330C9">
              <w:rPr>
                <w:iCs/>
                <w:lang w:val="en-AU"/>
              </w:rPr>
              <w:t>Population</w:t>
            </w:r>
          </w:p>
        </w:tc>
        <w:tc>
          <w:tcPr>
            <w:tcW w:w="595" w:type="pct"/>
            <w:shd w:val="clear" w:color="auto" w:fill="auto"/>
            <w:vAlign w:val="center"/>
          </w:tcPr>
          <w:p w14:paraId="6DCA07FA" w14:textId="77777777" w:rsidR="00A01891" w:rsidRPr="003330C9" w:rsidRDefault="00A01891" w:rsidP="00E44076">
            <w:pPr>
              <w:pStyle w:val="In-tableHeading"/>
              <w:jc w:val="center"/>
              <w:rPr>
                <w:iCs/>
                <w:lang w:val="en-AU"/>
              </w:rPr>
            </w:pPr>
            <w:r w:rsidRPr="003330C9">
              <w:rPr>
                <w:iCs/>
                <w:lang w:val="en-AU"/>
              </w:rPr>
              <w:t>Outcome(s)</w:t>
            </w:r>
          </w:p>
        </w:tc>
        <w:tc>
          <w:tcPr>
            <w:tcW w:w="377" w:type="pct"/>
            <w:shd w:val="clear" w:color="auto" w:fill="auto"/>
            <w:vAlign w:val="center"/>
          </w:tcPr>
          <w:p w14:paraId="7AA0E1F3" w14:textId="77777777" w:rsidR="00A01891" w:rsidRPr="003330C9" w:rsidRDefault="00A01891" w:rsidP="00E44076">
            <w:pPr>
              <w:pStyle w:val="In-tableHeading"/>
              <w:jc w:val="center"/>
              <w:rPr>
                <w:iCs/>
                <w:lang w:val="en-AU"/>
              </w:rPr>
            </w:pPr>
            <w:r w:rsidRPr="003330C9">
              <w:rPr>
                <w:iCs/>
                <w:lang w:val="en-AU"/>
              </w:rPr>
              <w:t>Modelled evaluation</w:t>
            </w:r>
          </w:p>
        </w:tc>
      </w:tr>
      <w:tr w:rsidR="00A01891" w:rsidRPr="003330C9" w14:paraId="628C28B1" w14:textId="77777777" w:rsidTr="00E44076">
        <w:trPr>
          <w:cantSplit/>
        </w:trPr>
        <w:tc>
          <w:tcPr>
            <w:tcW w:w="5000" w:type="pct"/>
            <w:gridSpan w:val="8"/>
          </w:tcPr>
          <w:p w14:paraId="3F816854" w14:textId="77777777" w:rsidR="00A01891" w:rsidRPr="003330C9" w:rsidRDefault="00A01891" w:rsidP="00E44076">
            <w:pPr>
              <w:pStyle w:val="In-tableHeading"/>
              <w:rPr>
                <w:iCs/>
                <w:lang w:val="en-AU"/>
              </w:rPr>
            </w:pPr>
            <w:r w:rsidRPr="003330C9">
              <w:rPr>
                <w:iCs/>
                <w:lang w:val="en-AU"/>
              </w:rPr>
              <w:t>Enzalutamide (plus ADT) vs placebo (plus ADT)</w:t>
            </w:r>
          </w:p>
        </w:tc>
      </w:tr>
      <w:tr w:rsidR="00A01891" w:rsidRPr="003330C9" w14:paraId="1805C256" w14:textId="77777777" w:rsidTr="00E44076">
        <w:trPr>
          <w:cantSplit/>
        </w:trPr>
        <w:tc>
          <w:tcPr>
            <w:tcW w:w="456" w:type="pct"/>
            <w:shd w:val="clear" w:color="auto" w:fill="auto"/>
            <w:vAlign w:val="center"/>
          </w:tcPr>
          <w:p w14:paraId="360207C3" w14:textId="77777777" w:rsidR="00A01891" w:rsidRPr="003330C9" w:rsidRDefault="00A01891" w:rsidP="00E44076">
            <w:pPr>
              <w:pStyle w:val="TableText0"/>
              <w:rPr>
                <w:iCs/>
              </w:rPr>
            </w:pPr>
            <w:r w:rsidRPr="003330C9">
              <w:rPr>
                <w:iCs/>
              </w:rPr>
              <w:t>ARCHES</w:t>
            </w:r>
          </w:p>
        </w:tc>
        <w:tc>
          <w:tcPr>
            <w:tcW w:w="229" w:type="pct"/>
            <w:shd w:val="clear" w:color="auto" w:fill="auto"/>
            <w:vAlign w:val="center"/>
          </w:tcPr>
          <w:p w14:paraId="06F0882E" w14:textId="77777777" w:rsidR="00A01891" w:rsidRPr="003330C9" w:rsidRDefault="00A01891" w:rsidP="00E44076">
            <w:pPr>
              <w:pStyle w:val="TableText0"/>
              <w:rPr>
                <w:iCs/>
              </w:rPr>
            </w:pPr>
            <w:r w:rsidRPr="003330C9">
              <w:rPr>
                <w:iCs/>
              </w:rPr>
              <w:t>1150</w:t>
            </w:r>
          </w:p>
        </w:tc>
        <w:tc>
          <w:tcPr>
            <w:tcW w:w="698" w:type="pct"/>
            <w:shd w:val="clear" w:color="auto" w:fill="auto"/>
            <w:vAlign w:val="center"/>
          </w:tcPr>
          <w:p w14:paraId="54A4F300" w14:textId="77777777" w:rsidR="00A01891" w:rsidRPr="003330C9" w:rsidRDefault="00A01891" w:rsidP="00E44076">
            <w:pPr>
              <w:pStyle w:val="TableText0"/>
              <w:rPr>
                <w:iCs/>
              </w:rPr>
            </w:pPr>
            <w:r w:rsidRPr="003330C9">
              <w:rPr>
                <w:iCs/>
              </w:rPr>
              <w:t>R, MC, PC, DB,</w:t>
            </w:r>
          </w:p>
          <w:p w14:paraId="570B19DF" w14:textId="77777777" w:rsidR="00A01891" w:rsidRPr="003330C9" w:rsidRDefault="00A01891" w:rsidP="00E44076">
            <w:pPr>
              <w:pStyle w:val="TableText0"/>
              <w:rPr>
                <w:iCs/>
              </w:rPr>
            </w:pPr>
            <w:r w:rsidRPr="003330C9">
              <w:rPr>
                <w:iCs/>
              </w:rPr>
              <w:t>14-44 mths</w:t>
            </w:r>
            <w:r w:rsidRPr="003330C9">
              <w:rPr>
                <w:iCs/>
                <w:vertAlign w:val="superscript"/>
              </w:rPr>
              <w:t>a</w:t>
            </w:r>
            <w:r w:rsidRPr="003330C9">
              <w:rPr>
                <w:iCs/>
              </w:rPr>
              <w:t>, OL extension</w:t>
            </w:r>
          </w:p>
        </w:tc>
        <w:tc>
          <w:tcPr>
            <w:tcW w:w="338" w:type="pct"/>
            <w:shd w:val="clear" w:color="auto" w:fill="auto"/>
            <w:vAlign w:val="center"/>
          </w:tcPr>
          <w:p w14:paraId="5FEC55CE" w14:textId="679F68DD" w:rsidR="00A01891" w:rsidRPr="003330C9" w:rsidRDefault="00073DBE" w:rsidP="00E44076">
            <w:pPr>
              <w:pStyle w:val="TableText0"/>
              <w:rPr>
                <w:iCs/>
              </w:rPr>
            </w:pPr>
            <w:r w:rsidRPr="003330C9">
              <w:rPr>
                <w:iCs/>
              </w:rPr>
              <w:t xml:space="preserve">Low </w:t>
            </w:r>
          </w:p>
        </w:tc>
        <w:tc>
          <w:tcPr>
            <w:tcW w:w="1817" w:type="pct"/>
            <w:vAlign w:val="center"/>
          </w:tcPr>
          <w:p w14:paraId="08A498DB" w14:textId="6B242FC5" w:rsidR="00A01891" w:rsidRPr="003330C9" w:rsidRDefault="00A01891" w:rsidP="00D45249">
            <w:pPr>
              <w:pStyle w:val="TableText0"/>
              <w:numPr>
                <w:ilvl w:val="0"/>
                <w:numId w:val="7"/>
              </w:numPr>
              <w:ind w:left="140" w:hanging="142"/>
              <w:rPr>
                <w:iCs/>
              </w:rPr>
            </w:pPr>
            <w:r w:rsidRPr="003330C9">
              <w:rPr>
                <w:iCs/>
              </w:rPr>
              <w:t>Enzalutamide 4</w:t>
            </w:r>
            <w:r w:rsidR="00F15BF1" w:rsidRPr="003330C9">
              <w:rPr>
                <w:iCs/>
              </w:rPr>
              <w:t xml:space="preserve"> </w:t>
            </w:r>
            <w:r w:rsidRPr="003330C9">
              <w:rPr>
                <w:iCs/>
              </w:rPr>
              <w:t>x</w:t>
            </w:r>
            <w:r w:rsidR="00F15BF1" w:rsidRPr="003330C9">
              <w:rPr>
                <w:iCs/>
              </w:rPr>
              <w:t xml:space="preserve"> </w:t>
            </w:r>
            <w:r w:rsidRPr="003330C9">
              <w:rPr>
                <w:iCs/>
              </w:rPr>
              <w:t>40 mg daily + ADT</w:t>
            </w:r>
          </w:p>
          <w:p w14:paraId="2D88B4F2" w14:textId="77777777" w:rsidR="00A01891" w:rsidRPr="003330C9" w:rsidRDefault="00A01891" w:rsidP="00D45249">
            <w:pPr>
              <w:pStyle w:val="TableText0"/>
              <w:numPr>
                <w:ilvl w:val="0"/>
                <w:numId w:val="7"/>
              </w:numPr>
              <w:ind w:left="140" w:hanging="142"/>
              <w:rPr>
                <w:iCs/>
              </w:rPr>
            </w:pPr>
            <w:r w:rsidRPr="003330C9">
              <w:rPr>
                <w:iCs/>
              </w:rPr>
              <w:t>Placebo daily + ADT</w:t>
            </w:r>
          </w:p>
        </w:tc>
        <w:tc>
          <w:tcPr>
            <w:tcW w:w="491" w:type="pct"/>
            <w:shd w:val="clear" w:color="auto" w:fill="auto"/>
            <w:vAlign w:val="center"/>
          </w:tcPr>
          <w:p w14:paraId="709261E8" w14:textId="77777777" w:rsidR="00A01891" w:rsidRPr="003330C9" w:rsidRDefault="00A01891" w:rsidP="00E44076">
            <w:pPr>
              <w:pStyle w:val="TableText0"/>
              <w:rPr>
                <w:iCs/>
              </w:rPr>
            </w:pPr>
            <w:r w:rsidRPr="003330C9">
              <w:rPr>
                <w:iCs/>
              </w:rPr>
              <w:t>mHSPC</w:t>
            </w:r>
          </w:p>
        </w:tc>
        <w:tc>
          <w:tcPr>
            <w:tcW w:w="595" w:type="pct"/>
            <w:shd w:val="clear" w:color="auto" w:fill="auto"/>
            <w:vAlign w:val="center"/>
          </w:tcPr>
          <w:p w14:paraId="3AC2F1C0" w14:textId="77777777" w:rsidR="00A01891" w:rsidRPr="003330C9" w:rsidRDefault="00A01891" w:rsidP="00E44076">
            <w:pPr>
              <w:pStyle w:val="TableText0"/>
              <w:rPr>
                <w:iCs/>
              </w:rPr>
            </w:pPr>
            <w:r w:rsidRPr="003330C9">
              <w:rPr>
                <w:iCs/>
              </w:rPr>
              <w:t>1°: rPFS</w:t>
            </w:r>
          </w:p>
          <w:p w14:paraId="63C11EF3" w14:textId="77777777" w:rsidR="00A01891" w:rsidRPr="003330C9" w:rsidRDefault="00A01891" w:rsidP="00E44076">
            <w:pPr>
              <w:pStyle w:val="TableText0"/>
              <w:rPr>
                <w:iCs/>
              </w:rPr>
            </w:pPr>
            <w:r w:rsidRPr="003330C9">
              <w:rPr>
                <w:iCs/>
              </w:rPr>
              <w:t>2°: OS</w:t>
            </w:r>
          </w:p>
        </w:tc>
        <w:tc>
          <w:tcPr>
            <w:tcW w:w="377" w:type="pct"/>
            <w:shd w:val="clear" w:color="auto" w:fill="auto"/>
            <w:vAlign w:val="center"/>
          </w:tcPr>
          <w:p w14:paraId="02CD4612" w14:textId="77777777" w:rsidR="00A01891" w:rsidRPr="003330C9" w:rsidRDefault="00A01891" w:rsidP="00E44076">
            <w:pPr>
              <w:pStyle w:val="TableText0"/>
              <w:rPr>
                <w:iCs/>
              </w:rPr>
            </w:pPr>
            <w:r w:rsidRPr="003330C9">
              <w:rPr>
                <w:iCs/>
              </w:rPr>
              <w:t>Yes (main analysis)</w:t>
            </w:r>
          </w:p>
        </w:tc>
      </w:tr>
      <w:tr w:rsidR="00A01891" w:rsidRPr="003330C9" w14:paraId="1A0170D3" w14:textId="77777777" w:rsidTr="00E44076">
        <w:trPr>
          <w:cantSplit/>
        </w:trPr>
        <w:tc>
          <w:tcPr>
            <w:tcW w:w="5000" w:type="pct"/>
            <w:gridSpan w:val="8"/>
          </w:tcPr>
          <w:p w14:paraId="2FFD0DA6" w14:textId="77777777" w:rsidR="00A01891" w:rsidRPr="003330C9" w:rsidRDefault="00A01891" w:rsidP="00E44076">
            <w:pPr>
              <w:pStyle w:val="TableText0"/>
              <w:rPr>
                <w:b/>
                <w:iCs/>
              </w:rPr>
            </w:pPr>
            <w:r w:rsidRPr="003330C9">
              <w:rPr>
                <w:b/>
                <w:iCs/>
              </w:rPr>
              <w:t>Enzalutamide (plus ADT) vs NSAA (plus ADT)</w:t>
            </w:r>
          </w:p>
        </w:tc>
      </w:tr>
      <w:tr w:rsidR="00A01891" w:rsidRPr="003330C9" w14:paraId="7B90AE51" w14:textId="77777777" w:rsidTr="00E44076">
        <w:trPr>
          <w:cantSplit/>
        </w:trPr>
        <w:tc>
          <w:tcPr>
            <w:tcW w:w="456" w:type="pct"/>
            <w:shd w:val="clear" w:color="auto" w:fill="auto"/>
            <w:vAlign w:val="center"/>
          </w:tcPr>
          <w:p w14:paraId="4452081F" w14:textId="77777777" w:rsidR="00A01891" w:rsidRPr="003330C9" w:rsidRDefault="00A01891" w:rsidP="00E44076">
            <w:pPr>
              <w:pStyle w:val="TableText0"/>
              <w:rPr>
                <w:iCs/>
              </w:rPr>
            </w:pPr>
            <w:r w:rsidRPr="003330C9">
              <w:rPr>
                <w:iCs/>
              </w:rPr>
              <w:t>ENZAMET</w:t>
            </w:r>
          </w:p>
        </w:tc>
        <w:tc>
          <w:tcPr>
            <w:tcW w:w="229" w:type="pct"/>
            <w:shd w:val="clear" w:color="auto" w:fill="auto"/>
            <w:vAlign w:val="center"/>
          </w:tcPr>
          <w:p w14:paraId="1A0E7351" w14:textId="77777777" w:rsidR="00A01891" w:rsidRPr="003330C9" w:rsidRDefault="00A01891" w:rsidP="00E44076">
            <w:pPr>
              <w:pStyle w:val="TableText0"/>
              <w:rPr>
                <w:iCs/>
              </w:rPr>
            </w:pPr>
            <w:r w:rsidRPr="003330C9">
              <w:rPr>
                <w:iCs/>
              </w:rPr>
              <w:t>1125</w:t>
            </w:r>
          </w:p>
        </w:tc>
        <w:tc>
          <w:tcPr>
            <w:tcW w:w="698" w:type="pct"/>
            <w:shd w:val="clear" w:color="auto" w:fill="auto"/>
            <w:vAlign w:val="center"/>
          </w:tcPr>
          <w:p w14:paraId="376AAD0A" w14:textId="62ADF27E" w:rsidR="00A01891" w:rsidRPr="003330C9" w:rsidRDefault="00A01891" w:rsidP="00E44076">
            <w:pPr>
              <w:pStyle w:val="TableText0"/>
              <w:rPr>
                <w:iCs/>
                <w:vertAlign w:val="superscript"/>
              </w:rPr>
            </w:pPr>
            <w:r w:rsidRPr="003330C9">
              <w:rPr>
                <w:iCs/>
              </w:rPr>
              <w:t xml:space="preserve">R, MC, OL, </w:t>
            </w:r>
            <w:r w:rsidR="006B0701" w:rsidRPr="003330C9">
              <w:rPr>
                <w:iCs/>
              </w:rPr>
              <w:br/>
            </w:r>
            <w:r w:rsidRPr="003330C9">
              <w:rPr>
                <w:iCs/>
              </w:rPr>
              <w:t>34-68 mths</w:t>
            </w:r>
            <w:r w:rsidRPr="003330C9">
              <w:rPr>
                <w:iCs/>
                <w:vertAlign w:val="superscript"/>
              </w:rPr>
              <w:t>b</w:t>
            </w:r>
          </w:p>
        </w:tc>
        <w:tc>
          <w:tcPr>
            <w:tcW w:w="338" w:type="pct"/>
            <w:shd w:val="clear" w:color="auto" w:fill="auto"/>
            <w:vAlign w:val="center"/>
          </w:tcPr>
          <w:p w14:paraId="127D1E78" w14:textId="77777777" w:rsidR="00A01891" w:rsidRPr="003330C9" w:rsidRDefault="00A01891" w:rsidP="00E44076">
            <w:pPr>
              <w:pStyle w:val="TableText0"/>
              <w:rPr>
                <w:iCs/>
              </w:rPr>
            </w:pPr>
            <w:r w:rsidRPr="003330C9">
              <w:rPr>
                <w:iCs/>
              </w:rPr>
              <w:t>Unclear</w:t>
            </w:r>
          </w:p>
        </w:tc>
        <w:tc>
          <w:tcPr>
            <w:tcW w:w="1817" w:type="pct"/>
            <w:vAlign w:val="center"/>
          </w:tcPr>
          <w:p w14:paraId="6506A028" w14:textId="4F1AE6DD" w:rsidR="00A01891" w:rsidRPr="003330C9" w:rsidRDefault="00A01891" w:rsidP="00D45249">
            <w:pPr>
              <w:pStyle w:val="TableText0"/>
              <w:numPr>
                <w:ilvl w:val="0"/>
                <w:numId w:val="7"/>
              </w:numPr>
              <w:ind w:left="140" w:hanging="142"/>
              <w:rPr>
                <w:iCs/>
              </w:rPr>
            </w:pPr>
            <w:r w:rsidRPr="003330C9">
              <w:rPr>
                <w:iCs/>
              </w:rPr>
              <w:t>Enzalutamide 4</w:t>
            </w:r>
            <w:r w:rsidR="006B0701" w:rsidRPr="003330C9">
              <w:rPr>
                <w:iCs/>
              </w:rPr>
              <w:t xml:space="preserve"> </w:t>
            </w:r>
            <w:r w:rsidRPr="003330C9">
              <w:rPr>
                <w:iCs/>
              </w:rPr>
              <w:t>x</w:t>
            </w:r>
            <w:r w:rsidR="006B0701" w:rsidRPr="003330C9">
              <w:rPr>
                <w:iCs/>
              </w:rPr>
              <w:t xml:space="preserve"> </w:t>
            </w:r>
            <w:r w:rsidRPr="003330C9">
              <w:rPr>
                <w:iCs/>
              </w:rPr>
              <w:t>40 mg daily + ADT</w:t>
            </w:r>
          </w:p>
          <w:p w14:paraId="4A3B1212" w14:textId="77777777" w:rsidR="00A01891" w:rsidRPr="003330C9" w:rsidRDefault="00A01891" w:rsidP="00D45249">
            <w:pPr>
              <w:pStyle w:val="TableText0"/>
              <w:numPr>
                <w:ilvl w:val="0"/>
                <w:numId w:val="7"/>
              </w:numPr>
              <w:ind w:left="140" w:hanging="142"/>
              <w:rPr>
                <w:iCs/>
              </w:rPr>
            </w:pPr>
            <w:r w:rsidRPr="003330C9">
              <w:rPr>
                <w:iCs/>
              </w:rPr>
              <w:t>NSAA (bicalutamide, nilutamide, or flutamide) + ADT</w:t>
            </w:r>
          </w:p>
          <w:p w14:paraId="573119D3" w14:textId="561785C0" w:rsidR="00A01891" w:rsidRPr="003330C9" w:rsidRDefault="00A01891" w:rsidP="00E44076">
            <w:pPr>
              <w:pStyle w:val="TableText0"/>
              <w:ind w:left="-2"/>
              <w:rPr>
                <w:iCs/>
              </w:rPr>
            </w:pPr>
            <w:r w:rsidRPr="003330C9">
              <w:rPr>
                <w:iCs/>
              </w:rPr>
              <w:t>After enrolment of the first 88 patients, a protocol amendment permitted initiation of early treatment with up 18 weeks (6 cycles) of docetaxel (75</w:t>
            </w:r>
            <w:r w:rsidR="006B0701" w:rsidRPr="003330C9">
              <w:rPr>
                <w:iCs/>
              </w:rPr>
              <w:t xml:space="preserve"> </w:t>
            </w:r>
            <w:r w:rsidRPr="003330C9">
              <w:rPr>
                <w:iCs/>
              </w:rPr>
              <w:t>mg/m</w:t>
            </w:r>
            <w:r w:rsidRPr="003330C9">
              <w:rPr>
                <w:iCs/>
                <w:vertAlign w:val="superscript"/>
              </w:rPr>
              <w:t>2</w:t>
            </w:r>
            <w:r w:rsidRPr="003330C9">
              <w:rPr>
                <w:iCs/>
              </w:rPr>
              <w:t>) at the discretion of the treating clinician in 45% versus 44% in the enzalutamide and NSAA arms, respectively. Up to 2 cycles of docetaxel were also permitted prior to randomisation.</w:t>
            </w:r>
          </w:p>
        </w:tc>
        <w:tc>
          <w:tcPr>
            <w:tcW w:w="491" w:type="pct"/>
            <w:shd w:val="clear" w:color="auto" w:fill="auto"/>
            <w:vAlign w:val="center"/>
          </w:tcPr>
          <w:p w14:paraId="11B892F7" w14:textId="77777777" w:rsidR="00A01891" w:rsidRPr="003330C9" w:rsidRDefault="00A01891" w:rsidP="00E44076">
            <w:pPr>
              <w:pStyle w:val="TableText0"/>
              <w:rPr>
                <w:iCs/>
              </w:rPr>
            </w:pPr>
            <w:r w:rsidRPr="003330C9">
              <w:rPr>
                <w:iCs/>
              </w:rPr>
              <w:t>mHSPC</w:t>
            </w:r>
          </w:p>
        </w:tc>
        <w:tc>
          <w:tcPr>
            <w:tcW w:w="595" w:type="pct"/>
            <w:shd w:val="clear" w:color="auto" w:fill="auto"/>
            <w:vAlign w:val="center"/>
          </w:tcPr>
          <w:p w14:paraId="70EAC300" w14:textId="77777777" w:rsidR="00A01891" w:rsidRPr="003330C9" w:rsidRDefault="00A01891" w:rsidP="00E44076">
            <w:pPr>
              <w:pStyle w:val="TableText0"/>
              <w:rPr>
                <w:iCs/>
              </w:rPr>
            </w:pPr>
            <w:r w:rsidRPr="003330C9">
              <w:rPr>
                <w:iCs/>
              </w:rPr>
              <w:t>1°: OS</w:t>
            </w:r>
          </w:p>
          <w:p w14:paraId="7947DCD2" w14:textId="77777777" w:rsidR="00A01891" w:rsidRPr="003330C9" w:rsidRDefault="00A01891" w:rsidP="00E44076">
            <w:pPr>
              <w:pStyle w:val="TableText0"/>
              <w:rPr>
                <w:iCs/>
              </w:rPr>
            </w:pPr>
            <w:r w:rsidRPr="003330C9">
              <w:rPr>
                <w:iCs/>
              </w:rPr>
              <w:t>2°: PSA PFS, rPFS, all-cause mortality</w:t>
            </w:r>
          </w:p>
        </w:tc>
        <w:tc>
          <w:tcPr>
            <w:tcW w:w="377" w:type="pct"/>
            <w:shd w:val="clear" w:color="auto" w:fill="auto"/>
            <w:vAlign w:val="center"/>
          </w:tcPr>
          <w:p w14:paraId="54EF4E03" w14:textId="77777777" w:rsidR="00A01891" w:rsidRPr="003330C9" w:rsidRDefault="00A01891" w:rsidP="00E44076">
            <w:pPr>
              <w:pStyle w:val="TableText0"/>
              <w:rPr>
                <w:iCs/>
              </w:rPr>
            </w:pPr>
            <w:r w:rsidRPr="003330C9">
              <w:rPr>
                <w:iCs/>
              </w:rPr>
              <w:t>Yes, (supportive analysis)</w:t>
            </w:r>
          </w:p>
        </w:tc>
      </w:tr>
      <w:tr w:rsidR="00A01891" w:rsidRPr="003330C9" w14:paraId="520F0F45" w14:textId="77777777" w:rsidTr="00E44076">
        <w:trPr>
          <w:cantSplit/>
        </w:trPr>
        <w:tc>
          <w:tcPr>
            <w:tcW w:w="5000" w:type="pct"/>
            <w:gridSpan w:val="8"/>
          </w:tcPr>
          <w:p w14:paraId="787C4279" w14:textId="77777777" w:rsidR="00A01891" w:rsidRPr="003330C9" w:rsidRDefault="00A01891" w:rsidP="00E44076">
            <w:pPr>
              <w:pStyle w:val="TableText0"/>
              <w:rPr>
                <w:b/>
                <w:iCs/>
              </w:rPr>
            </w:pPr>
            <w:r w:rsidRPr="003330C9">
              <w:rPr>
                <w:b/>
                <w:iCs/>
              </w:rPr>
              <w:t>Apalutamide (plus ADT) vs placebo (plus ADT)</w:t>
            </w:r>
          </w:p>
        </w:tc>
      </w:tr>
      <w:tr w:rsidR="00A01891" w:rsidRPr="003330C9" w14:paraId="35D8F696" w14:textId="77777777" w:rsidTr="00E44076">
        <w:trPr>
          <w:cantSplit/>
        </w:trPr>
        <w:tc>
          <w:tcPr>
            <w:tcW w:w="456" w:type="pct"/>
            <w:shd w:val="clear" w:color="auto" w:fill="auto"/>
            <w:vAlign w:val="center"/>
          </w:tcPr>
          <w:p w14:paraId="26C9B8E3" w14:textId="77777777" w:rsidR="00A01891" w:rsidRPr="003330C9" w:rsidRDefault="00A01891" w:rsidP="00E44076">
            <w:pPr>
              <w:pStyle w:val="TableText0"/>
              <w:rPr>
                <w:iCs/>
              </w:rPr>
            </w:pPr>
            <w:r w:rsidRPr="003330C9">
              <w:rPr>
                <w:iCs/>
              </w:rPr>
              <w:t>TITAN</w:t>
            </w:r>
          </w:p>
        </w:tc>
        <w:tc>
          <w:tcPr>
            <w:tcW w:w="229" w:type="pct"/>
            <w:shd w:val="clear" w:color="auto" w:fill="auto"/>
            <w:vAlign w:val="center"/>
          </w:tcPr>
          <w:p w14:paraId="23C6A8BE" w14:textId="77777777" w:rsidR="00A01891" w:rsidRPr="003330C9" w:rsidRDefault="00A01891" w:rsidP="00E44076">
            <w:pPr>
              <w:pStyle w:val="TableText0"/>
              <w:rPr>
                <w:iCs/>
              </w:rPr>
            </w:pPr>
            <w:r w:rsidRPr="003330C9">
              <w:rPr>
                <w:iCs/>
              </w:rPr>
              <w:t>1052</w:t>
            </w:r>
          </w:p>
        </w:tc>
        <w:tc>
          <w:tcPr>
            <w:tcW w:w="698" w:type="pct"/>
            <w:shd w:val="clear" w:color="auto" w:fill="auto"/>
            <w:vAlign w:val="center"/>
          </w:tcPr>
          <w:p w14:paraId="1744576B" w14:textId="463CA7DC" w:rsidR="00A01891" w:rsidRPr="003330C9" w:rsidRDefault="00A01891" w:rsidP="00E44076">
            <w:pPr>
              <w:pStyle w:val="TableText0"/>
              <w:rPr>
                <w:iCs/>
                <w:vertAlign w:val="superscript"/>
              </w:rPr>
            </w:pPr>
            <w:r w:rsidRPr="003330C9">
              <w:rPr>
                <w:iCs/>
              </w:rPr>
              <w:t xml:space="preserve">R, MC, PC, DB, </w:t>
            </w:r>
            <w:r w:rsidR="006B0701" w:rsidRPr="003330C9">
              <w:rPr>
                <w:iCs/>
              </w:rPr>
              <w:br/>
            </w:r>
            <w:r w:rsidRPr="003330C9">
              <w:rPr>
                <w:iCs/>
              </w:rPr>
              <w:t>22-44 mths</w:t>
            </w:r>
            <w:r w:rsidRPr="003330C9">
              <w:rPr>
                <w:iCs/>
                <w:vertAlign w:val="superscript"/>
              </w:rPr>
              <w:t>c</w:t>
            </w:r>
            <w:r w:rsidRPr="003330C9">
              <w:rPr>
                <w:iCs/>
              </w:rPr>
              <w:t>, OL extension</w:t>
            </w:r>
          </w:p>
        </w:tc>
        <w:tc>
          <w:tcPr>
            <w:tcW w:w="338" w:type="pct"/>
            <w:shd w:val="clear" w:color="auto" w:fill="auto"/>
            <w:vAlign w:val="center"/>
          </w:tcPr>
          <w:p w14:paraId="33DA67E8" w14:textId="6986C9DD" w:rsidR="00A01891" w:rsidRPr="003330C9" w:rsidRDefault="00073DBE" w:rsidP="00E44076">
            <w:pPr>
              <w:pStyle w:val="TableText0"/>
              <w:rPr>
                <w:iCs/>
              </w:rPr>
            </w:pPr>
            <w:r w:rsidRPr="003330C9">
              <w:rPr>
                <w:iCs/>
              </w:rPr>
              <w:t>Low</w:t>
            </w:r>
            <w:r w:rsidR="00A01891" w:rsidRPr="003330C9">
              <w:rPr>
                <w:iCs/>
              </w:rPr>
              <w:t xml:space="preserve"> </w:t>
            </w:r>
          </w:p>
        </w:tc>
        <w:tc>
          <w:tcPr>
            <w:tcW w:w="1817" w:type="pct"/>
            <w:vAlign w:val="center"/>
          </w:tcPr>
          <w:p w14:paraId="5CD1066C" w14:textId="56D26A8B" w:rsidR="00A01891" w:rsidRPr="003330C9" w:rsidRDefault="00A01891" w:rsidP="00D45249">
            <w:pPr>
              <w:pStyle w:val="TableText0"/>
              <w:numPr>
                <w:ilvl w:val="0"/>
                <w:numId w:val="7"/>
              </w:numPr>
              <w:ind w:left="140" w:hanging="142"/>
              <w:rPr>
                <w:iCs/>
              </w:rPr>
            </w:pPr>
            <w:r w:rsidRPr="003330C9">
              <w:rPr>
                <w:iCs/>
              </w:rPr>
              <w:t>Apalutamide 4</w:t>
            </w:r>
            <w:r w:rsidR="006B0701" w:rsidRPr="003330C9">
              <w:rPr>
                <w:iCs/>
              </w:rPr>
              <w:t xml:space="preserve"> </w:t>
            </w:r>
            <w:r w:rsidRPr="003330C9">
              <w:rPr>
                <w:iCs/>
              </w:rPr>
              <w:t>x</w:t>
            </w:r>
            <w:r w:rsidR="006B0701" w:rsidRPr="003330C9">
              <w:rPr>
                <w:iCs/>
              </w:rPr>
              <w:t xml:space="preserve"> </w:t>
            </w:r>
            <w:r w:rsidRPr="003330C9">
              <w:rPr>
                <w:iCs/>
              </w:rPr>
              <w:t>60 mg daily + ADT</w:t>
            </w:r>
          </w:p>
          <w:p w14:paraId="59F04097" w14:textId="77777777" w:rsidR="00A01891" w:rsidRPr="003330C9" w:rsidRDefault="00A01891" w:rsidP="00D45249">
            <w:pPr>
              <w:pStyle w:val="TableText0"/>
              <w:numPr>
                <w:ilvl w:val="0"/>
                <w:numId w:val="7"/>
              </w:numPr>
              <w:ind w:left="140" w:hanging="142"/>
              <w:rPr>
                <w:iCs/>
              </w:rPr>
            </w:pPr>
            <w:r w:rsidRPr="003330C9">
              <w:rPr>
                <w:iCs/>
              </w:rPr>
              <w:t>Placebo daily plus ADT</w:t>
            </w:r>
          </w:p>
        </w:tc>
        <w:tc>
          <w:tcPr>
            <w:tcW w:w="491" w:type="pct"/>
            <w:shd w:val="clear" w:color="auto" w:fill="auto"/>
            <w:vAlign w:val="center"/>
          </w:tcPr>
          <w:p w14:paraId="70EAB526" w14:textId="1D1583BF" w:rsidR="00A01891" w:rsidRPr="003330C9" w:rsidRDefault="00A01891" w:rsidP="00E44076">
            <w:pPr>
              <w:pStyle w:val="TableText0"/>
              <w:rPr>
                <w:iCs/>
              </w:rPr>
            </w:pPr>
            <w:r w:rsidRPr="003330C9">
              <w:rPr>
                <w:iCs/>
              </w:rPr>
              <w:t>mH</w:t>
            </w:r>
            <w:r w:rsidR="00F3101B" w:rsidRPr="003330C9">
              <w:rPr>
                <w:iCs/>
              </w:rPr>
              <w:t>S</w:t>
            </w:r>
            <w:r w:rsidRPr="003330C9">
              <w:rPr>
                <w:iCs/>
              </w:rPr>
              <w:t>PC</w:t>
            </w:r>
          </w:p>
        </w:tc>
        <w:tc>
          <w:tcPr>
            <w:tcW w:w="595" w:type="pct"/>
            <w:shd w:val="clear" w:color="auto" w:fill="auto"/>
            <w:vAlign w:val="center"/>
          </w:tcPr>
          <w:p w14:paraId="773459E7" w14:textId="77777777" w:rsidR="00A01891" w:rsidRPr="003330C9" w:rsidRDefault="00A01891" w:rsidP="00E44076">
            <w:pPr>
              <w:pStyle w:val="TableText0"/>
              <w:rPr>
                <w:iCs/>
              </w:rPr>
            </w:pPr>
            <w:r w:rsidRPr="003330C9">
              <w:rPr>
                <w:iCs/>
              </w:rPr>
              <w:t>1°: rPFS, OS</w:t>
            </w:r>
          </w:p>
          <w:p w14:paraId="2E69F0B9" w14:textId="77777777" w:rsidR="00A01891" w:rsidRPr="003330C9" w:rsidRDefault="00A01891" w:rsidP="00E44076">
            <w:pPr>
              <w:pStyle w:val="TableText0"/>
              <w:rPr>
                <w:iCs/>
              </w:rPr>
            </w:pPr>
            <w:r w:rsidRPr="003330C9">
              <w:rPr>
                <w:iCs/>
              </w:rPr>
              <w:t>2°: pain progression, SREs, initiation of chemotherapy</w:t>
            </w:r>
          </w:p>
        </w:tc>
        <w:tc>
          <w:tcPr>
            <w:tcW w:w="377" w:type="pct"/>
            <w:shd w:val="clear" w:color="auto" w:fill="auto"/>
            <w:vAlign w:val="center"/>
          </w:tcPr>
          <w:p w14:paraId="3144C226" w14:textId="77777777" w:rsidR="00A01891" w:rsidRPr="003330C9" w:rsidRDefault="00A01891" w:rsidP="00E44076">
            <w:pPr>
              <w:pStyle w:val="TableText0"/>
              <w:rPr>
                <w:iCs/>
              </w:rPr>
            </w:pPr>
            <w:r w:rsidRPr="003330C9">
              <w:rPr>
                <w:iCs/>
              </w:rPr>
              <w:t>Not used</w:t>
            </w:r>
          </w:p>
        </w:tc>
      </w:tr>
    </w:tbl>
    <w:p w14:paraId="5F78969B" w14:textId="77777777" w:rsidR="00A01891" w:rsidRPr="003330C9" w:rsidRDefault="00A01891" w:rsidP="00A01891">
      <w:pPr>
        <w:pStyle w:val="TableFigureFooter"/>
        <w:rPr>
          <w:iCs/>
        </w:rPr>
      </w:pPr>
      <w:r w:rsidRPr="003330C9">
        <w:rPr>
          <w:iCs/>
        </w:rPr>
        <w:t>Compiled during the evaluation, based on information contained on pp32-34, 59-60, 74 and 83-84 of the submission and Armstrong et al. 2022.</w:t>
      </w:r>
    </w:p>
    <w:p w14:paraId="3036A867" w14:textId="77777777" w:rsidR="00A01891" w:rsidRPr="000D049D" w:rsidRDefault="00A01891" w:rsidP="00A01891">
      <w:pPr>
        <w:pStyle w:val="TableFigureFooter"/>
      </w:pPr>
      <w:r w:rsidRPr="000D049D">
        <w:t xml:space="preserve">ADT=androgen deprivation therapy; DB=double blind; MC=multi-centre; mHSPC=metastatic hormone sensitive prostate cancer; </w:t>
      </w:r>
      <w:r>
        <w:t xml:space="preserve">NSAA=nonsteroidal antiandrogen; </w:t>
      </w:r>
      <w:r w:rsidRPr="000D049D">
        <w:t>OL=open label; OS=overall survival; PC=placebo-controlled; PFS=progression-free survival; PSA=prostate-specific antigen; rPFS</w:t>
      </w:r>
      <w:r>
        <w:t>=</w:t>
      </w:r>
      <w:r w:rsidRPr="000D049D">
        <w:t>radiographic progression-free survival; R=randomised</w:t>
      </w:r>
      <w:r>
        <w:t>;</w:t>
      </w:r>
      <w:r w:rsidRPr="000D049D">
        <w:t xml:space="preserve"> SRE=</w:t>
      </w:r>
      <w:r w:rsidRPr="00BF06FC">
        <w:t>skeletal-related event</w:t>
      </w:r>
      <w:r>
        <w:t>.</w:t>
      </w:r>
    </w:p>
    <w:p w14:paraId="3BE74711" w14:textId="77777777" w:rsidR="00A01891" w:rsidRPr="000D049D" w:rsidRDefault="00A01891" w:rsidP="00A01891">
      <w:pPr>
        <w:pStyle w:val="TableFigureFooter"/>
        <w:ind w:left="165" w:hanging="165"/>
      </w:pPr>
      <w:r w:rsidRPr="000D049D">
        <w:rPr>
          <w:vertAlign w:val="superscript"/>
        </w:rPr>
        <w:t>a</w:t>
      </w:r>
      <w:r w:rsidRPr="000D049D">
        <w:tab/>
        <w:t>Median follow ups at time of primary and final data analyses were 14.4 and 44.6 months respectively. Following primary data analysis of rPFS in October 2018, all eligible patients could be treated on study with OL enzalutamide at the discretion of the patient and investigator in the OL extension phase. The final analyses were performed in May 2021.</w:t>
      </w:r>
    </w:p>
    <w:p w14:paraId="329E343D" w14:textId="77777777" w:rsidR="00A01891" w:rsidRPr="000D049D" w:rsidRDefault="00A01891" w:rsidP="00A01891">
      <w:pPr>
        <w:pStyle w:val="TableFigureFooter"/>
      </w:pPr>
      <w:r w:rsidRPr="000D049D">
        <w:rPr>
          <w:vertAlign w:val="superscript"/>
        </w:rPr>
        <w:t>b</w:t>
      </w:r>
      <w:r w:rsidRPr="000D049D">
        <w:tab/>
        <w:t>Median follow-up at time of interim analysis was 34 months and at time of latest data analysis was 68 months.</w:t>
      </w:r>
    </w:p>
    <w:p w14:paraId="0A08C651" w14:textId="2696E9D8" w:rsidR="00A01891" w:rsidRPr="008E1354" w:rsidRDefault="00A01891" w:rsidP="008E1354">
      <w:pPr>
        <w:pStyle w:val="TableFigureFooter"/>
        <w:ind w:left="165" w:hanging="165"/>
      </w:pPr>
      <w:r w:rsidRPr="000D049D">
        <w:rPr>
          <w:vertAlign w:val="superscript"/>
        </w:rPr>
        <w:t>c</w:t>
      </w:r>
      <w:r w:rsidRPr="000D049D">
        <w:tab/>
        <w:t>Median follow-up at time of interim analysis was 22.7 months and at time of final data analysis was 43.8 months. Following review of data (primary analysis of rPFS and interim analysis of OS) in November 2018, trial investigators decided to unblind the study and patients randomised to placebo could crossover to receive OL apalutamide in the OL extension phase. The final analyses were done in September 2020.</w:t>
      </w:r>
    </w:p>
    <w:p w14:paraId="0DACC967" w14:textId="77777777" w:rsidR="00A01891" w:rsidRPr="003330C9" w:rsidRDefault="00A01891" w:rsidP="00A01891">
      <w:pPr>
        <w:pStyle w:val="3-BodyText"/>
      </w:pPr>
      <w:r w:rsidRPr="003330C9">
        <w:t>Overall survival (OS) and progression free survival (PFS) were the key outcomes in all trials (primary or key secondary). While OS was measured similarly across the trials, PFS measurement differed. PFS was measured as radiographic PFS (rPFS) in ARCHES and TITAN, and clinical PFS in ENZAMET. In ARCHES and TITAN, rPFS was defined similarly as soft tissue lesions using CT/MRI or by bone lesion progression on bone scans. Scans were performed at screening, week 13 and every 12 weeks thereafter. In ENZAMET, clinical progression was defined as the earliest sign of radiographic progression, the development of symptoms attributable to cancer progression, or the initiation of another anticancer treatment for prostate cancer. Clinic assessments and PSA levels were performed at baseline and every 12 weeks thereafter, while imaging was performed at baseline and at evidence of PSA or clinical progression.</w:t>
      </w:r>
    </w:p>
    <w:p w14:paraId="38B71BD5" w14:textId="77777777" w:rsidR="00A01891" w:rsidRPr="003330C9" w:rsidRDefault="00A01891" w:rsidP="00A01891">
      <w:pPr>
        <w:pStyle w:val="3-BodyText"/>
        <w:rPr>
          <w:color w:val="0066FF"/>
        </w:rPr>
      </w:pPr>
      <w:r w:rsidRPr="003330C9">
        <w:t>The individual trials were generally well balanced with respect to baseline patient characteristics. There was however a lower proportion of patients with high volume disease (52.3%) in ENZAMET versus ARCHES or TITAN (approximately 60%). In ENZAMET, given the decision to initiate treatment with docetaxel was left up to the individual patients and their physicians, there was a higher concentration of high-volume disease patients in the pre-planned docetaxel subgroup versus those not planned to receive docetaxel (70.8% compared to 37.3%). A higher proportion of patients in TITAN had de novo disease compared to ARCHES or ENZAMET (81.0% classified as M1 versus 66.7% in ARCHES and 60.6% ENZAMET). In ENZAMET the proportion of patients with confirmed M1 status was also higher in the pre-planned docetaxel subgroup (71.8%) versus those without pre-planned docetaxel (51.6%).</w:t>
      </w:r>
    </w:p>
    <w:p w14:paraId="63B382AF" w14:textId="3B559759" w:rsidR="00A01891" w:rsidRPr="003330C9" w:rsidRDefault="00A01891" w:rsidP="00A01891">
      <w:pPr>
        <w:pStyle w:val="3-BodyText"/>
        <w:rPr>
          <w:color w:val="0066FF"/>
        </w:rPr>
      </w:pPr>
      <w:r w:rsidRPr="003330C9">
        <w:t>Overall, there was a low risk of bias for ARCHES and TITAN however due to ENZAMET being an open label trial, there was a risk of bias in ENZAMET due to knowledge of treatment assignment. In ENZAMET, there was a higher proportion of patients with one or more major protocol deviations in the enzalutamide arm (16.2%) compared to NSAA (7.7%), largely related to receiving excluded concomitant treatment (6% compared to 0.4%) and not satisfying study entry criteria (5.5% compared to 3.7%). Protocol deviations in ARCHES and TITAN were similar between treatment groups. In all trials, discontinuation was lower in the intervention arm compared to the control. In all trials, the most frequently reported primary reason for permanent treatment discontinuation was progressive disease (clinical progression).</w:t>
      </w:r>
    </w:p>
    <w:p w14:paraId="78A95846" w14:textId="689E98FD" w:rsidR="00A01891" w:rsidRPr="003330C9" w:rsidRDefault="00A01891" w:rsidP="00A01891">
      <w:pPr>
        <w:pStyle w:val="3-BodyText"/>
      </w:pPr>
      <w:r w:rsidRPr="003330C9">
        <w:t>In ARCHES and TITAN, post the interim analysis reaching statistical significance, the trials were unblinded and patients who remained progression free switched to open label treatment with either enzalutamide or apalutamide. In ARCHES, 180 (31.3%) patients from the control arm crossed over and received treatment with enzalutamide plus ADT (median time to crossover, 21.5 months). In TITAN, 208 (39.5%) placebo patients switched to receive open-label apalutamide. The submission presented OS results unadjusted and adjusted for treatment switching.</w:t>
      </w:r>
      <w:r w:rsidR="008909A9" w:rsidRPr="003330C9">
        <w:t xml:space="preserve"> While this may be a source of bias, the submission has used the unadjusted results in the primary analysis and the modelled economic evaluation This approach would also be consistent with the PBAC’s prior recommendations for apalutamide and darolutamide in m0CRPC (see apalutamide </w:t>
      </w:r>
      <w:r w:rsidR="005B6AAB">
        <w:t>Public Summary Document (</w:t>
      </w:r>
      <w:r w:rsidR="008909A9" w:rsidRPr="003330C9">
        <w:t>PSD</w:t>
      </w:r>
      <w:r w:rsidR="005B6AAB">
        <w:t>)</w:t>
      </w:r>
      <w:r w:rsidR="008909A9" w:rsidRPr="003330C9">
        <w:t>, November 2020 PBAC meeting and darolutamide PSD, March 2021 PBAC meeting) and the presentation of evidence for apalutamide in mHSPC (paragraph 6.14, apalutamide PSD, November 2021).</w:t>
      </w:r>
    </w:p>
    <w:p w14:paraId="13AC7A6E" w14:textId="77777777" w:rsidR="00A01891" w:rsidRPr="003330C9" w:rsidRDefault="00A01891" w:rsidP="00A01891">
      <w:pPr>
        <w:pStyle w:val="3-BodyText"/>
        <w:rPr>
          <w:color w:val="0066FF"/>
        </w:rPr>
      </w:pPr>
      <w:r w:rsidRPr="003330C9">
        <w:rPr>
          <w:color w:val="000000" w:themeColor="text1"/>
        </w:rPr>
        <w:t xml:space="preserve">The submission also presented indirect treatment comparisons (ITCs) for enzalutamide versus apalutamide. </w:t>
      </w:r>
      <w:r w:rsidRPr="003330C9">
        <w:t xml:space="preserve">The ITCs were conducted using the Bucher method, comparing data from: i) ARCHES for enzalutamide and TITAN for apalutamide (primary analysis), and ii) from ARCHES and the no planned docetaxel subgroup of ENZAMET versus TITAN (supportive analysis), all using the control arms as common reference. </w:t>
      </w:r>
    </w:p>
    <w:p w14:paraId="5AE19152" w14:textId="77777777" w:rsidR="00A01891" w:rsidRPr="003330C9" w:rsidRDefault="00A01891" w:rsidP="00A01891">
      <w:pPr>
        <w:pStyle w:val="3-BodyText"/>
        <w:rPr>
          <w:color w:val="0066FF"/>
        </w:rPr>
      </w:pPr>
      <w:r w:rsidRPr="003330C9">
        <w:rPr>
          <w:color w:val="000000" w:themeColor="text1"/>
        </w:rPr>
        <w:t>The submission indicated that the reason for choosing the no planned docetaxel subgroup over ITT results from ENZAMET was because these patients were considered more comparable with those enrolled in ARCHES. However, given apalutamide was recommended for PBS listing on an all-comers basis, the ITT population from ENZAMET is also relevant, a sensitivity analysis pooling results from the ITT ENZAMET population with ARCHES was additionally conducted during the evaluation.</w:t>
      </w:r>
    </w:p>
    <w:p w14:paraId="1A90DBF2" w14:textId="77777777" w:rsidR="00A01891" w:rsidRPr="00C9624D" w:rsidRDefault="00A01891" w:rsidP="00A01891">
      <w:pPr>
        <w:pStyle w:val="4-SubsectionHeading"/>
      </w:pPr>
      <w:bookmarkStart w:id="27" w:name="_Toc22897641"/>
      <w:bookmarkStart w:id="28" w:name="_Toc124324276"/>
      <w:bookmarkStart w:id="29" w:name="_Toc124862870"/>
      <w:r w:rsidRPr="00C9624D">
        <w:t>Comparative effectiveness</w:t>
      </w:r>
      <w:bookmarkEnd w:id="27"/>
      <w:bookmarkEnd w:id="28"/>
      <w:bookmarkEnd w:id="29"/>
    </w:p>
    <w:p w14:paraId="241ACBC9" w14:textId="0210B749" w:rsidR="004901F0" w:rsidRPr="003330C9" w:rsidRDefault="00A01891" w:rsidP="00A01891">
      <w:pPr>
        <w:pStyle w:val="3-BodyText"/>
        <w:rPr>
          <w:color w:val="0066FF"/>
        </w:rPr>
      </w:pPr>
      <w:r w:rsidRPr="003330C9">
        <w:rPr>
          <w:snapToGrid/>
          <w:lang w:val="en-US"/>
        </w:rPr>
        <w:fldChar w:fldCharType="begin"/>
      </w:r>
      <w:r w:rsidRPr="003330C9">
        <w:rPr>
          <w:snapToGrid/>
          <w:lang w:val="en-US"/>
        </w:rPr>
        <w:instrText xml:space="preserve"> REF _Ref123902370 \h </w:instrText>
      </w:r>
      <w:r w:rsidR="003330C9" w:rsidRPr="003330C9">
        <w:rPr>
          <w:snapToGrid/>
          <w:lang w:val="en-US"/>
        </w:rPr>
        <w:instrText xml:space="preserve"> \* MERGEFORMAT </w:instrText>
      </w:r>
      <w:r w:rsidRPr="003330C9">
        <w:rPr>
          <w:snapToGrid/>
          <w:lang w:val="en-US"/>
        </w:rPr>
      </w:r>
      <w:r w:rsidRPr="003330C9">
        <w:rPr>
          <w:snapToGrid/>
          <w:lang w:val="en-US"/>
        </w:rPr>
        <w:fldChar w:fldCharType="separate"/>
      </w:r>
      <w:r w:rsidR="00307E3A">
        <w:t xml:space="preserve">Table </w:t>
      </w:r>
      <w:r w:rsidR="00307E3A">
        <w:rPr>
          <w:noProof/>
        </w:rPr>
        <w:t>4</w:t>
      </w:r>
      <w:r w:rsidRPr="003330C9">
        <w:rPr>
          <w:snapToGrid/>
          <w:lang w:val="en-US"/>
        </w:rPr>
        <w:fldChar w:fldCharType="end"/>
      </w:r>
      <w:r w:rsidRPr="003330C9">
        <w:rPr>
          <w:snapToGrid/>
          <w:lang w:val="en-US"/>
        </w:rPr>
        <w:t xml:space="preserve">, </w:t>
      </w:r>
      <w:r w:rsidRPr="003330C9">
        <w:rPr>
          <w:snapToGrid/>
          <w:lang w:val="en-US"/>
        </w:rPr>
        <w:fldChar w:fldCharType="begin"/>
      </w:r>
      <w:r w:rsidRPr="003330C9">
        <w:rPr>
          <w:snapToGrid/>
          <w:lang w:val="en-US"/>
        </w:rPr>
        <w:instrText xml:space="preserve"> REF _Ref123902405 \h  \* MERGEFORMAT </w:instrText>
      </w:r>
      <w:r w:rsidRPr="003330C9">
        <w:rPr>
          <w:snapToGrid/>
          <w:lang w:val="en-US"/>
        </w:rPr>
      </w:r>
      <w:r w:rsidRPr="003330C9">
        <w:rPr>
          <w:snapToGrid/>
          <w:lang w:val="en-US"/>
        </w:rPr>
        <w:fldChar w:fldCharType="separate"/>
      </w:r>
      <w:r w:rsidR="00307E3A" w:rsidRPr="00307E3A">
        <w:rPr>
          <w:rStyle w:val="CommentReference"/>
          <w:rFonts w:asciiTheme="minorHAnsi" w:eastAsiaTheme="majorEastAsia" w:hAnsiTheme="minorHAnsi" w:cstheme="majorBidi"/>
          <w:b w:val="0"/>
          <w:sz w:val="24"/>
          <w:szCs w:val="24"/>
        </w:rPr>
        <w:t xml:space="preserve">Figure </w:t>
      </w:r>
      <w:r w:rsidR="00307E3A" w:rsidRPr="00307E3A">
        <w:rPr>
          <w:rStyle w:val="CommentReference"/>
          <w:rFonts w:asciiTheme="minorHAnsi" w:eastAsiaTheme="majorEastAsia" w:hAnsiTheme="minorHAnsi" w:cstheme="majorBidi"/>
          <w:b w:val="0"/>
          <w:noProof/>
          <w:sz w:val="24"/>
          <w:szCs w:val="24"/>
        </w:rPr>
        <w:t>1</w:t>
      </w:r>
      <w:r w:rsidRPr="003330C9">
        <w:rPr>
          <w:snapToGrid/>
          <w:lang w:val="en-US"/>
        </w:rPr>
        <w:fldChar w:fldCharType="end"/>
      </w:r>
      <w:r w:rsidRPr="003330C9">
        <w:rPr>
          <w:snapToGrid/>
          <w:lang w:val="en-US"/>
        </w:rPr>
        <w:t xml:space="preserve"> and </w:t>
      </w:r>
      <w:r w:rsidRPr="003330C9">
        <w:rPr>
          <w:snapToGrid/>
          <w:lang w:val="en-US"/>
        </w:rPr>
        <w:fldChar w:fldCharType="begin"/>
      </w:r>
      <w:r w:rsidRPr="003330C9">
        <w:rPr>
          <w:snapToGrid/>
          <w:lang w:val="en-US"/>
        </w:rPr>
        <w:instrText xml:space="preserve"> REF _Ref123902423 \h  \* MERGEFORMAT </w:instrText>
      </w:r>
      <w:r w:rsidRPr="003330C9">
        <w:rPr>
          <w:snapToGrid/>
          <w:lang w:val="en-US"/>
        </w:rPr>
      </w:r>
      <w:r w:rsidRPr="003330C9">
        <w:rPr>
          <w:snapToGrid/>
          <w:lang w:val="en-US"/>
        </w:rPr>
        <w:fldChar w:fldCharType="separate"/>
      </w:r>
      <w:r w:rsidR="00307E3A" w:rsidRPr="00307E3A">
        <w:rPr>
          <w:rStyle w:val="CommentReference"/>
          <w:rFonts w:asciiTheme="minorHAnsi" w:hAnsiTheme="minorHAnsi"/>
          <w:b w:val="0"/>
          <w:sz w:val="24"/>
          <w:szCs w:val="24"/>
        </w:rPr>
        <w:t xml:space="preserve">Figure </w:t>
      </w:r>
      <w:r w:rsidR="00307E3A" w:rsidRPr="00307E3A">
        <w:rPr>
          <w:rStyle w:val="CommentReference"/>
          <w:rFonts w:asciiTheme="minorHAnsi" w:hAnsiTheme="minorHAnsi"/>
          <w:b w:val="0"/>
          <w:noProof/>
          <w:sz w:val="24"/>
          <w:szCs w:val="24"/>
        </w:rPr>
        <w:t>2</w:t>
      </w:r>
      <w:r w:rsidRPr="003330C9">
        <w:rPr>
          <w:snapToGrid/>
          <w:lang w:val="en-US"/>
        </w:rPr>
        <w:fldChar w:fldCharType="end"/>
      </w:r>
      <w:r w:rsidRPr="003330C9">
        <w:rPr>
          <w:snapToGrid/>
          <w:color w:val="0066FF"/>
          <w:lang w:val="en-US"/>
        </w:rPr>
        <w:t xml:space="preserve"> </w:t>
      </w:r>
      <w:r w:rsidRPr="003330C9">
        <w:t xml:space="preserve">summarise results of PFS and OS in ARCHES, ENZAMET and TITAN as well as the results of the indirect treatment comparisons presented in the submission and additional analysis conducted during the evaluation. </w:t>
      </w:r>
    </w:p>
    <w:p w14:paraId="42528EA2" w14:textId="72FB0C7B" w:rsidR="00A01891" w:rsidRPr="003330C9" w:rsidRDefault="00A01891" w:rsidP="00A01891">
      <w:pPr>
        <w:pStyle w:val="3-BodyText"/>
        <w:rPr>
          <w:color w:val="0066FF"/>
        </w:rPr>
      </w:pPr>
      <w:r w:rsidRPr="003330C9">
        <w:t>The OS and PFS results from ENZAMET and ARCHES were pooled using weighting by trial sample size rather than the more preferred inverse variance weighting method. ITC results were re-estimated during in the evaluation using inverse variance weighting and was found to have minimal impact on the ITC results.</w:t>
      </w:r>
    </w:p>
    <w:p w14:paraId="7436ADC5" w14:textId="07E5532E" w:rsidR="00A01891" w:rsidRDefault="00A01891" w:rsidP="00A01891">
      <w:pPr>
        <w:pStyle w:val="TableFigureHeading"/>
        <w:rPr>
          <w:rStyle w:val="CommentReference"/>
          <w:b/>
          <w:szCs w:val="24"/>
        </w:rPr>
      </w:pPr>
      <w:bookmarkStart w:id="30" w:name="_Ref123902370"/>
      <w:r>
        <w:t xml:space="preserve">Table </w:t>
      </w:r>
      <w:fldSimple w:instr=" SEQ Table \* ARABIC ">
        <w:r w:rsidR="00307E3A">
          <w:rPr>
            <w:noProof/>
          </w:rPr>
          <w:t>4</w:t>
        </w:r>
      </w:fldSimple>
      <w:bookmarkEnd w:id="30"/>
      <w:r>
        <w:t>:</w:t>
      </w:r>
      <w:r w:rsidRPr="00EC5836">
        <w:rPr>
          <w:rStyle w:val="CommentReference"/>
          <w:b/>
          <w:szCs w:val="24"/>
        </w:rPr>
        <w:t xml:space="preserve"> </w:t>
      </w:r>
      <w:r>
        <w:rPr>
          <w:rStyle w:val="CommentReference"/>
          <w:b/>
          <w:szCs w:val="24"/>
        </w:rPr>
        <w:t>PFS and OS in the included trials</w:t>
      </w:r>
      <w:r w:rsidRPr="0042047F">
        <w:rPr>
          <w:rStyle w:val="CommentReference"/>
          <w:b/>
          <w:szCs w:val="24"/>
        </w:rPr>
        <w:t xml:space="preserve"> </w:t>
      </w:r>
      <w:r>
        <w:rPr>
          <w:rStyle w:val="CommentReference"/>
          <w:b/>
          <w:szCs w:val="24"/>
        </w:rPr>
        <w:t>and results of ITC (unless specified, ITT data is reported)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34"/>
        <w:gridCol w:w="559"/>
        <w:gridCol w:w="1398"/>
        <w:gridCol w:w="707"/>
        <w:gridCol w:w="1398"/>
        <w:gridCol w:w="1261"/>
        <w:gridCol w:w="23"/>
        <w:gridCol w:w="1437"/>
      </w:tblGrid>
      <w:tr w:rsidR="00A01891" w:rsidRPr="0075485D" w14:paraId="311DEE9D" w14:textId="77777777" w:rsidTr="008D2D85">
        <w:trPr>
          <w:trHeight w:val="56"/>
          <w:tblHeader/>
        </w:trPr>
        <w:tc>
          <w:tcPr>
            <w:tcW w:w="1239" w:type="pct"/>
            <w:tcBorders>
              <w:bottom w:val="nil"/>
            </w:tcBorders>
            <w:vAlign w:val="center"/>
          </w:tcPr>
          <w:p w14:paraId="70B5655C" w14:textId="77777777" w:rsidR="00A01891" w:rsidRPr="0075485D" w:rsidRDefault="00A01891" w:rsidP="00E44076">
            <w:pPr>
              <w:pStyle w:val="TableFigureHeading"/>
            </w:pPr>
          </w:p>
        </w:tc>
        <w:tc>
          <w:tcPr>
            <w:tcW w:w="310" w:type="pct"/>
            <w:tcBorders>
              <w:bottom w:val="nil"/>
            </w:tcBorders>
            <w:vAlign w:val="center"/>
          </w:tcPr>
          <w:p w14:paraId="79FE71EE" w14:textId="77777777" w:rsidR="00A01891" w:rsidRPr="0075485D" w:rsidRDefault="00A01891" w:rsidP="00E44076">
            <w:pPr>
              <w:pStyle w:val="TableText0"/>
              <w:jc w:val="center"/>
              <w:rPr>
                <w:b/>
              </w:rPr>
            </w:pPr>
          </w:p>
        </w:tc>
        <w:tc>
          <w:tcPr>
            <w:tcW w:w="1167" w:type="pct"/>
            <w:gridSpan w:val="2"/>
            <w:vAlign w:val="center"/>
          </w:tcPr>
          <w:p w14:paraId="3165ACE0" w14:textId="77777777" w:rsidR="00A01891" w:rsidRPr="0075485D" w:rsidRDefault="00A01891" w:rsidP="00E44076">
            <w:pPr>
              <w:pStyle w:val="TableText0"/>
              <w:jc w:val="center"/>
              <w:rPr>
                <w:b/>
              </w:rPr>
            </w:pPr>
            <w:r w:rsidRPr="0075485D">
              <w:rPr>
                <w:b/>
              </w:rPr>
              <w:t>NHA arm</w:t>
            </w:r>
          </w:p>
        </w:tc>
        <w:tc>
          <w:tcPr>
            <w:tcW w:w="1474" w:type="pct"/>
            <w:gridSpan w:val="2"/>
            <w:vAlign w:val="center"/>
          </w:tcPr>
          <w:p w14:paraId="24A5D921" w14:textId="77777777" w:rsidR="00A01891" w:rsidRPr="0075485D" w:rsidRDefault="00A01891" w:rsidP="00E44076">
            <w:pPr>
              <w:pStyle w:val="TableText0"/>
              <w:jc w:val="center"/>
              <w:rPr>
                <w:b/>
              </w:rPr>
            </w:pPr>
            <w:r w:rsidRPr="0075485D">
              <w:rPr>
                <w:b/>
              </w:rPr>
              <w:t>Control arm</w:t>
            </w:r>
            <w:r w:rsidRPr="0075485D">
              <w:rPr>
                <w:b/>
                <w:vertAlign w:val="superscript"/>
              </w:rPr>
              <w:t>a</w:t>
            </w:r>
          </w:p>
        </w:tc>
        <w:tc>
          <w:tcPr>
            <w:tcW w:w="811" w:type="pct"/>
            <w:gridSpan w:val="2"/>
            <w:tcBorders>
              <w:bottom w:val="nil"/>
            </w:tcBorders>
            <w:vAlign w:val="center"/>
          </w:tcPr>
          <w:p w14:paraId="098792F8" w14:textId="77777777" w:rsidR="00A01891" w:rsidRPr="0075485D" w:rsidRDefault="00A01891" w:rsidP="00E44076">
            <w:pPr>
              <w:pStyle w:val="TableFigureHeading"/>
              <w:jc w:val="center"/>
            </w:pPr>
          </w:p>
        </w:tc>
      </w:tr>
      <w:tr w:rsidR="00A01891" w:rsidRPr="0075485D" w14:paraId="38B22BA7" w14:textId="77777777" w:rsidTr="008D2D85">
        <w:trPr>
          <w:trHeight w:val="209"/>
          <w:tblHeader/>
        </w:trPr>
        <w:tc>
          <w:tcPr>
            <w:tcW w:w="1239" w:type="pct"/>
            <w:tcBorders>
              <w:top w:val="nil"/>
              <w:bottom w:val="single" w:sz="4" w:space="0" w:color="auto"/>
            </w:tcBorders>
            <w:vAlign w:val="center"/>
          </w:tcPr>
          <w:p w14:paraId="6457D18D" w14:textId="77777777" w:rsidR="00A01891" w:rsidRPr="0075485D" w:rsidRDefault="00A01891" w:rsidP="00E44076">
            <w:pPr>
              <w:pStyle w:val="TableFigureHeading"/>
            </w:pPr>
          </w:p>
        </w:tc>
        <w:tc>
          <w:tcPr>
            <w:tcW w:w="310" w:type="pct"/>
            <w:tcBorders>
              <w:top w:val="nil"/>
              <w:bottom w:val="single" w:sz="4" w:space="0" w:color="auto"/>
            </w:tcBorders>
            <w:vAlign w:val="center"/>
          </w:tcPr>
          <w:p w14:paraId="180F0A3B" w14:textId="77777777" w:rsidR="00A01891" w:rsidRPr="0075485D" w:rsidRDefault="00A01891" w:rsidP="00E44076">
            <w:pPr>
              <w:pStyle w:val="TableText0"/>
              <w:jc w:val="center"/>
              <w:rPr>
                <w:b/>
              </w:rPr>
            </w:pPr>
            <w:r w:rsidRPr="0075485D">
              <w:rPr>
                <w:b/>
              </w:rPr>
              <w:t>NHA</w:t>
            </w:r>
          </w:p>
        </w:tc>
        <w:tc>
          <w:tcPr>
            <w:tcW w:w="775" w:type="pct"/>
            <w:tcBorders>
              <w:bottom w:val="single" w:sz="4" w:space="0" w:color="auto"/>
            </w:tcBorders>
            <w:vAlign w:val="center"/>
          </w:tcPr>
          <w:p w14:paraId="14084484" w14:textId="77777777" w:rsidR="00A01891" w:rsidRPr="0075485D" w:rsidRDefault="00A01891" w:rsidP="00E44076">
            <w:pPr>
              <w:pStyle w:val="TableText0"/>
              <w:jc w:val="center"/>
              <w:rPr>
                <w:b/>
              </w:rPr>
            </w:pPr>
            <w:r w:rsidRPr="0075485D">
              <w:rPr>
                <w:b/>
              </w:rPr>
              <w:t>n/N (%)</w:t>
            </w:r>
          </w:p>
        </w:tc>
        <w:tc>
          <w:tcPr>
            <w:tcW w:w="392" w:type="pct"/>
            <w:tcBorders>
              <w:bottom w:val="single" w:sz="4" w:space="0" w:color="auto"/>
            </w:tcBorders>
            <w:vAlign w:val="center"/>
          </w:tcPr>
          <w:p w14:paraId="1C392F95" w14:textId="77777777" w:rsidR="00A01891" w:rsidRPr="0075485D" w:rsidRDefault="00A01891" w:rsidP="00E44076">
            <w:pPr>
              <w:pStyle w:val="TableText0"/>
              <w:jc w:val="center"/>
              <w:rPr>
                <w:b/>
              </w:rPr>
            </w:pPr>
            <w:r w:rsidRPr="0075485D">
              <w:rPr>
                <w:b/>
              </w:rPr>
              <w:t>Median mths (95% CI)</w:t>
            </w:r>
          </w:p>
        </w:tc>
        <w:tc>
          <w:tcPr>
            <w:tcW w:w="775" w:type="pct"/>
            <w:tcBorders>
              <w:bottom w:val="single" w:sz="4" w:space="0" w:color="auto"/>
            </w:tcBorders>
            <w:vAlign w:val="center"/>
          </w:tcPr>
          <w:p w14:paraId="58E3205F" w14:textId="77777777" w:rsidR="00A01891" w:rsidRPr="0075485D" w:rsidRDefault="00A01891" w:rsidP="00E44076">
            <w:pPr>
              <w:pStyle w:val="TableText0"/>
              <w:jc w:val="center"/>
              <w:rPr>
                <w:b/>
              </w:rPr>
            </w:pPr>
            <w:r w:rsidRPr="0075485D">
              <w:rPr>
                <w:b/>
              </w:rPr>
              <w:t>n/N (%)</w:t>
            </w:r>
          </w:p>
        </w:tc>
        <w:tc>
          <w:tcPr>
            <w:tcW w:w="699" w:type="pct"/>
            <w:tcBorders>
              <w:bottom w:val="single" w:sz="4" w:space="0" w:color="auto"/>
            </w:tcBorders>
            <w:vAlign w:val="center"/>
          </w:tcPr>
          <w:p w14:paraId="1C5DD406" w14:textId="77777777" w:rsidR="00A01891" w:rsidRPr="0075485D" w:rsidRDefault="00A01891" w:rsidP="00E44076">
            <w:pPr>
              <w:pStyle w:val="TableText0"/>
              <w:jc w:val="center"/>
              <w:rPr>
                <w:b/>
              </w:rPr>
            </w:pPr>
            <w:r w:rsidRPr="0075485D">
              <w:rPr>
                <w:b/>
              </w:rPr>
              <w:t xml:space="preserve">Median mths </w:t>
            </w:r>
          </w:p>
          <w:p w14:paraId="569BB927" w14:textId="77777777" w:rsidR="00A01891" w:rsidRPr="0075485D" w:rsidRDefault="00A01891" w:rsidP="00E44076">
            <w:pPr>
              <w:pStyle w:val="TableText0"/>
              <w:jc w:val="center"/>
              <w:rPr>
                <w:b/>
              </w:rPr>
            </w:pPr>
            <w:r w:rsidRPr="0075485D">
              <w:rPr>
                <w:b/>
              </w:rPr>
              <w:t>(95% CI)</w:t>
            </w:r>
          </w:p>
        </w:tc>
        <w:tc>
          <w:tcPr>
            <w:tcW w:w="811" w:type="pct"/>
            <w:gridSpan w:val="2"/>
            <w:tcBorders>
              <w:top w:val="nil"/>
              <w:bottom w:val="single" w:sz="4" w:space="0" w:color="auto"/>
            </w:tcBorders>
            <w:vAlign w:val="center"/>
          </w:tcPr>
          <w:p w14:paraId="2F1AF83E" w14:textId="77777777" w:rsidR="00A01891" w:rsidRPr="0075485D" w:rsidRDefault="00A01891" w:rsidP="00E44076">
            <w:pPr>
              <w:pStyle w:val="TableFigureHeading"/>
              <w:jc w:val="center"/>
              <w:rPr>
                <w:vertAlign w:val="superscript"/>
              </w:rPr>
            </w:pPr>
            <w:r w:rsidRPr="0075485D">
              <w:t>HR (95% CI)</w:t>
            </w:r>
          </w:p>
        </w:tc>
      </w:tr>
      <w:tr w:rsidR="00A01891" w:rsidRPr="0075485D" w14:paraId="7F7A05FE" w14:textId="77777777" w:rsidTr="008D2D85">
        <w:trPr>
          <w:trHeight w:val="56"/>
          <w:tblHeader/>
        </w:trPr>
        <w:tc>
          <w:tcPr>
            <w:tcW w:w="1239" w:type="pct"/>
            <w:tcBorders>
              <w:right w:val="nil"/>
            </w:tcBorders>
            <w:shd w:val="clear" w:color="auto" w:fill="BFBFBF" w:themeFill="background1" w:themeFillShade="BF"/>
            <w:vAlign w:val="center"/>
          </w:tcPr>
          <w:p w14:paraId="26418A4C" w14:textId="77777777" w:rsidR="00A01891" w:rsidRPr="0075485D" w:rsidRDefault="00A01891" w:rsidP="00E44076">
            <w:pPr>
              <w:pStyle w:val="TableFigureHeading"/>
              <w:rPr>
                <w:vertAlign w:val="superscript"/>
              </w:rPr>
            </w:pPr>
            <w:r w:rsidRPr="0075485D">
              <w:t>PFS</w:t>
            </w:r>
            <w:r w:rsidRPr="0075485D">
              <w:rPr>
                <w:vertAlign w:val="superscript"/>
              </w:rPr>
              <w:t>b</w:t>
            </w:r>
          </w:p>
        </w:tc>
        <w:tc>
          <w:tcPr>
            <w:tcW w:w="310" w:type="pct"/>
            <w:tcBorders>
              <w:left w:val="nil"/>
              <w:right w:val="nil"/>
            </w:tcBorders>
            <w:shd w:val="clear" w:color="auto" w:fill="BFBFBF" w:themeFill="background1" w:themeFillShade="BF"/>
            <w:vAlign w:val="center"/>
          </w:tcPr>
          <w:p w14:paraId="3B635D47" w14:textId="77777777" w:rsidR="00A01891" w:rsidRPr="0075485D" w:rsidRDefault="00A01891" w:rsidP="00E44076">
            <w:pPr>
              <w:pStyle w:val="TableText0"/>
              <w:jc w:val="center"/>
              <w:rPr>
                <w:b/>
              </w:rPr>
            </w:pPr>
          </w:p>
        </w:tc>
        <w:tc>
          <w:tcPr>
            <w:tcW w:w="775" w:type="pct"/>
            <w:tcBorders>
              <w:left w:val="nil"/>
              <w:right w:val="nil"/>
            </w:tcBorders>
            <w:shd w:val="clear" w:color="auto" w:fill="BFBFBF" w:themeFill="background1" w:themeFillShade="BF"/>
            <w:vAlign w:val="center"/>
          </w:tcPr>
          <w:p w14:paraId="6DFE3432" w14:textId="77777777" w:rsidR="00A01891" w:rsidRPr="0075485D" w:rsidRDefault="00A01891" w:rsidP="00E44076">
            <w:pPr>
              <w:pStyle w:val="TableText0"/>
              <w:jc w:val="center"/>
              <w:rPr>
                <w:b/>
              </w:rPr>
            </w:pPr>
          </w:p>
        </w:tc>
        <w:tc>
          <w:tcPr>
            <w:tcW w:w="392" w:type="pct"/>
            <w:tcBorders>
              <w:left w:val="nil"/>
              <w:right w:val="nil"/>
            </w:tcBorders>
            <w:shd w:val="clear" w:color="auto" w:fill="BFBFBF" w:themeFill="background1" w:themeFillShade="BF"/>
            <w:vAlign w:val="center"/>
          </w:tcPr>
          <w:p w14:paraId="4C256656" w14:textId="77777777" w:rsidR="00A01891" w:rsidRPr="0075485D" w:rsidRDefault="00A01891" w:rsidP="00E44076">
            <w:pPr>
              <w:pStyle w:val="TableText0"/>
              <w:jc w:val="center"/>
              <w:rPr>
                <w:b/>
              </w:rPr>
            </w:pPr>
          </w:p>
        </w:tc>
        <w:tc>
          <w:tcPr>
            <w:tcW w:w="775" w:type="pct"/>
            <w:tcBorders>
              <w:left w:val="nil"/>
              <w:right w:val="nil"/>
            </w:tcBorders>
            <w:shd w:val="clear" w:color="auto" w:fill="BFBFBF" w:themeFill="background1" w:themeFillShade="BF"/>
            <w:vAlign w:val="center"/>
          </w:tcPr>
          <w:p w14:paraId="51D3DAF7" w14:textId="77777777" w:rsidR="00A01891" w:rsidRPr="0075485D" w:rsidRDefault="00A01891" w:rsidP="00E44076">
            <w:pPr>
              <w:pStyle w:val="TableText0"/>
              <w:jc w:val="center"/>
              <w:rPr>
                <w:b/>
              </w:rPr>
            </w:pPr>
          </w:p>
        </w:tc>
        <w:tc>
          <w:tcPr>
            <w:tcW w:w="699" w:type="pct"/>
            <w:tcBorders>
              <w:left w:val="nil"/>
              <w:right w:val="nil"/>
            </w:tcBorders>
            <w:shd w:val="clear" w:color="auto" w:fill="BFBFBF" w:themeFill="background1" w:themeFillShade="BF"/>
            <w:vAlign w:val="center"/>
          </w:tcPr>
          <w:p w14:paraId="47841AE2" w14:textId="77777777" w:rsidR="00A01891" w:rsidRPr="0075485D" w:rsidRDefault="00A01891" w:rsidP="00E44076">
            <w:pPr>
              <w:pStyle w:val="TableText0"/>
              <w:jc w:val="center"/>
              <w:rPr>
                <w:b/>
              </w:rPr>
            </w:pPr>
          </w:p>
        </w:tc>
        <w:tc>
          <w:tcPr>
            <w:tcW w:w="811" w:type="pct"/>
            <w:gridSpan w:val="2"/>
            <w:tcBorders>
              <w:left w:val="nil"/>
            </w:tcBorders>
            <w:shd w:val="clear" w:color="auto" w:fill="BFBFBF" w:themeFill="background1" w:themeFillShade="BF"/>
            <w:vAlign w:val="center"/>
          </w:tcPr>
          <w:p w14:paraId="3208322F" w14:textId="77777777" w:rsidR="00A01891" w:rsidRPr="0075485D" w:rsidRDefault="00A01891" w:rsidP="00E44076">
            <w:pPr>
              <w:pStyle w:val="TableFigureHeading"/>
              <w:jc w:val="center"/>
            </w:pPr>
          </w:p>
        </w:tc>
      </w:tr>
      <w:tr w:rsidR="00A01891" w:rsidRPr="0075485D" w14:paraId="72171CFC" w14:textId="77777777" w:rsidTr="008D2D85">
        <w:trPr>
          <w:trHeight w:val="219"/>
        </w:trPr>
        <w:tc>
          <w:tcPr>
            <w:tcW w:w="1239" w:type="pct"/>
            <w:vAlign w:val="center"/>
          </w:tcPr>
          <w:p w14:paraId="0744E813" w14:textId="77777777" w:rsidR="00A01891" w:rsidRPr="0075485D" w:rsidRDefault="00A01891" w:rsidP="00E44076">
            <w:pPr>
              <w:pStyle w:val="TableText0"/>
            </w:pPr>
            <w:r w:rsidRPr="0075485D">
              <w:t>ARCHES</w:t>
            </w:r>
            <w:r w:rsidRPr="0075485D">
              <w:rPr>
                <w:vertAlign w:val="superscript"/>
              </w:rPr>
              <w:t>c</w:t>
            </w:r>
          </w:p>
        </w:tc>
        <w:tc>
          <w:tcPr>
            <w:tcW w:w="310" w:type="pct"/>
            <w:vMerge w:val="restart"/>
            <w:vAlign w:val="center"/>
          </w:tcPr>
          <w:p w14:paraId="7987CBAF" w14:textId="77777777" w:rsidR="00A01891" w:rsidRPr="0075485D" w:rsidRDefault="00A01891" w:rsidP="00E44076">
            <w:pPr>
              <w:pStyle w:val="TableText0"/>
              <w:jc w:val="center"/>
            </w:pPr>
            <w:r w:rsidRPr="0075485D">
              <w:t>ENZA</w:t>
            </w:r>
          </w:p>
          <w:p w14:paraId="699DEDE9" w14:textId="77777777" w:rsidR="00A01891" w:rsidRPr="0075485D" w:rsidRDefault="00A01891" w:rsidP="00E44076">
            <w:pPr>
              <w:pStyle w:val="TableText0"/>
              <w:jc w:val="center"/>
            </w:pPr>
          </w:p>
        </w:tc>
        <w:tc>
          <w:tcPr>
            <w:tcW w:w="775" w:type="pct"/>
            <w:vAlign w:val="center"/>
          </w:tcPr>
          <w:p w14:paraId="6ABCEEDD" w14:textId="77777777" w:rsidR="00A01891" w:rsidRPr="0075485D" w:rsidRDefault="00A01891" w:rsidP="00E44076">
            <w:pPr>
              <w:pStyle w:val="TableText0"/>
              <w:jc w:val="center"/>
            </w:pPr>
            <w:r w:rsidRPr="0075485D">
              <w:t>91/574 (15.9%)</w:t>
            </w:r>
            <w:r w:rsidRPr="0075485D">
              <w:rPr>
                <w:vertAlign w:val="superscript"/>
              </w:rPr>
              <w:t>c</w:t>
            </w:r>
          </w:p>
        </w:tc>
        <w:tc>
          <w:tcPr>
            <w:tcW w:w="392" w:type="pct"/>
            <w:vAlign w:val="center"/>
          </w:tcPr>
          <w:p w14:paraId="6D2491B6" w14:textId="77777777" w:rsidR="00A01891" w:rsidRPr="0075485D" w:rsidRDefault="00A01891" w:rsidP="00E44076">
            <w:pPr>
              <w:pStyle w:val="TableText0"/>
              <w:jc w:val="center"/>
            </w:pPr>
            <w:r w:rsidRPr="0075485D">
              <w:t>NR</w:t>
            </w:r>
          </w:p>
        </w:tc>
        <w:tc>
          <w:tcPr>
            <w:tcW w:w="775" w:type="pct"/>
            <w:vAlign w:val="center"/>
          </w:tcPr>
          <w:p w14:paraId="2EF6F5DE" w14:textId="77777777" w:rsidR="00A01891" w:rsidRPr="0075485D" w:rsidRDefault="00A01891" w:rsidP="00E44076">
            <w:pPr>
              <w:pStyle w:val="TableText0"/>
              <w:jc w:val="center"/>
            </w:pPr>
            <w:r w:rsidRPr="0075485D">
              <w:t>201/576 (34.9%)</w:t>
            </w:r>
          </w:p>
        </w:tc>
        <w:tc>
          <w:tcPr>
            <w:tcW w:w="699" w:type="pct"/>
            <w:vAlign w:val="center"/>
          </w:tcPr>
          <w:p w14:paraId="53431E23" w14:textId="77777777" w:rsidR="00A01891" w:rsidRPr="0075485D" w:rsidRDefault="00A01891" w:rsidP="00E44076">
            <w:pPr>
              <w:pStyle w:val="TableText0"/>
              <w:jc w:val="center"/>
            </w:pPr>
            <w:r w:rsidRPr="0075485D">
              <w:t>19.0 (16.6-22.2)</w:t>
            </w:r>
          </w:p>
        </w:tc>
        <w:tc>
          <w:tcPr>
            <w:tcW w:w="811" w:type="pct"/>
            <w:gridSpan w:val="2"/>
            <w:vAlign w:val="center"/>
          </w:tcPr>
          <w:p w14:paraId="50E81269" w14:textId="391AF2B6" w:rsidR="00A01891" w:rsidRPr="0075485D" w:rsidRDefault="00A01891" w:rsidP="00E44076">
            <w:pPr>
              <w:pStyle w:val="TableText0"/>
              <w:jc w:val="center"/>
              <w:rPr>
                <w:b/>
                <w:bCs w:val="0"/>
              </w:rPr>
            </w:pPr>
            <w:r w:rsidRPr="0075485D">
              <w:rPr>
                <w:b/>
                <w:bCs w:val="0"/>
              </w:rPr>
              <w:t>0.39 (0.30</w:t>
            </w:r>
            <w:r w:rsidR="008D2D85" w:rsidRPr="0075485D">
              <w:rPr>
                <w:b/>
                <w:bCs w:val="0"/>
              </w:rPr>
              <w:t xml:space="preserve">, </w:t>
            </w:r>
            <w:r w:rsidRPr="0075485D">
              <w:rPr>
                <w:b/>
                <w:bCs w:val="0"/>
              </w:rPr>
              <w:t>0.50)</w:t>
            </w:r>
            <w:r w:rsidRPr="0075485D">
              <w:rPr>
                <w:vertAlign w:val="superscript"/>
              </w:rPr>
              <w:t>c</w:t>
            </w:r>
            <w:r w:rsidRPr="0075485D">
              <w:rPr>
                <w:b/>
                <w:bCs w:val="0"/>
              </w:rPr>
              <w:t xml:space="preserve"> </w:t>
            </w:r>
          </w:p>
        </w:tc>
      </w:tr>
      <w:tr w:rsidR="00A01891" w:rsidRPr="0075485D" w14:paraId="443A5D36" w14:textId="77777777" w:rsidTr="008D2D85">
        <w:trPr>
          <w:trHeight w:val="170"/>
        </w:trPr>
        <w:tc>
          <w:tcPr>
            <w:tcW w:w="1239" w:type="pct"/>
            <w:vAlign w:val="center"/>
          </w:tcPr>
          <w:p w14:paraId="7BBFDD63" w14:textId="77777777" w:rsidR="00A01891" w:rsidRPr="0075485D" w:rsidRDefault="00A01891" w:rsidP="00E44076">
            <w:pPr>
              <w:pStyle w:val="TableText0"/>
            </w:pPr>
            <w:r w:rsidRPr="0075485D">
              <w:t>ENZAMET</w:t>
            </w:r>
          </w:p>
        </w:tc>
        <w:tc>
          <w:tcPr>
            <w:tcW w:w="310" w:type="pct"/>
            <w:vMerge/>
            <w:vAlign w:val="center"/>
          </w:tcPr>
          <w:p w14:paraId="0A9D2A43" w14:textId="77777777" w:rsidR="00A01891" w:rsidRPr="0075485D" w:rsidRDefault="00A01891" w:rsidP="00E44076">
            <w:pPr>
              <w:pStyle w:val="TableText0"/>
              <w:jc w:val="center"/>
            </w:pPr>
          </w:p>
        </w:tc>
        <w:tc>
          <w:tcPr>
            <w:tcW w:w="775" w:type="pct"/>
            <w:vAlign w:val="center"/>
          </w:tcPr>
          <w:p w14:paraId="4A6AF33A" w14:textId="77777777" w:rsidR="00A01891" w:rsidRPr="0075485D" w:rsidRDefault="00A01891" w:rsidP="00E44076">
            <w:pPr>
              <w:pStyle w:val="TableText0"/>
              <w:jc w:val="center"/>
            </w:pPr>
            <w:r w:rsidRPr="0075485D">
              <w:t>167/563 (29.7%)</w:t>
            </w:r>
          </w:p>
        </w:tc>
        <w:tc>
          <w:tcPr>
            <w:tcW w:w="392" w:type="pct"/>
            <w:vAlign w:val="center"/>
          </w:tcPr>
          <w:p w14:paraId="0401DC54" w14:textId="77777777" w:rsidR="00A01891" w:rsidRPr="0075485D" w:rsidRDefault="00A01891" w:rsidP="00E44076">
            <w:pPr>
              <w:pStyle w:val="TableText0"/>
              <w:jc w:val="center"/>
            </w:pPr>
            <w:r w:rsidRPr="0075485D">
              <w:t>NR</w:t>
            </w:r>
          </w:p>
        </w:tc>
        <w:tc>
          <w:tcPr>
            <w:tcW w:w="775" w:type="pct"/>
            <w:vAlign w:val="center"/>
          </w:tcPr>
          <w:p w14:paraId="566E3757" w14:textId="77777777" w:rsidR="00A01891" w:rsidRPr="0075485D" w:rsidRDefault="00A01891" w:rsidP="00E44076">
            <w:pPr>
              <w:pStyle w:val="TableText0"/>
              <w:jc w:val="center"/>
            </w:pPr>
            <w:r w:rsidRPr="0075485D">
              <w:t>320/562 (56.9%)</w:t>
            </w:r>
          </w:p>
        </w:tc>
        <w:tc>
          <w:tcPr>
            <w:tcW w:w="699" w:type="pct"/>
            <w:vAlign w:val="center"/>
          </w:tcPr>
          <w:p w14:paraId="5D4DE09E" w14:textId="77777777" w:rsidR="00A01891" w:rsidRPr="0075485D" w:rsidRDefault="00A01891" w:rsidP="00E44076">
            <w:pPr>
              <w:pStyle w:val="TableText0"/>
              <w:jc w:val="center"/>
            </w:pPr>
            <w:r w:rsidRPr="0075485D">
              <w:t>NR</w:t>
            </w:r>
          </w:p>
        </w:tc>
        <w:tc>
          <w:tcPr>
            <w:tcW w:w="811" w:type="pct"/>
            <w:gridSpan w:val="2"/>
            <w:vAlign w:val="center"/>
          </w:tcPr>
          <w:p w14:paraId="0FAEE957" w14:textId="6C87B41E" w:rsidR="00A01891" w:rsidRPr="0075485D" w:rsidRDefault="00A01891" w:rsidP="00E44076">
            <w:pPr>
              <w:pStyle w:val="TableText0"/>
              <w:jc w:val="center"/>
              <w:rPr>
                <w:b/>
                <w:bCs w:val="0"/>
              </w:rPr>
            </w:pPr>
            <w:r w:rsidRPr="0075485D">
              <w:rPr>
                <w:b/>
                <w:bCs w:val="0"/>
              </w:rPr>
              <w:t>0.40 (0.33</w:t>
            </w:r>
            <w:r w:rsidR="008D2D85" w:rsidRPr="0075485D">
              <w:rPr>
                <w:b/>
                <w:bCs w:val="0"/>
              </w:rPr>
              <w:t xml:space="preserve">, </w:t>
            </w:r>
            <w:r w:rsidRPr="0075485D">
              <w:rPr>
                <w:b/>
                <w:bCs w:val="0"/>
              </w:rPr>
              <w:t>0.49)</w:t>
            </w:r>
          </w:p>
        </w:tc>
      </w:tr>
      <w:tr w:rsidR="00A01891" w:rsidRPr="0075485D" w14:paraId="0E3AD2C7" w14:textId="77777777" w:rsidTr="008D2D85">
        <w:trPr>
          <w:trHeight w:val="170"/>
        </w:trPr>
        <w:tc>
          <w:tcPr>
            <w:tcW w:w="1239" w:type="pct"/>
            <w:vAlign w:val="center"/>
          </w:tcPr>
          <w:p w14:paraId="0E16B9B6" w14:textId="77777777" w:rsidR="00A01891" w:rsidRPr="0075485D" w:rsidRDefault="00A01891" w:rsidP="00E44076">
            <w:pPr>
              <w:pStyle w:val="TableText0"/>
              <w:ind w:left="249"/>
            </w:pPr>
            <w:r w:rsidRPr="0075485D">
              <w:t>No planned docetaxel</w:t>
            </w:r>
            <w:r w:rsidRPr="0075485D">
              <w:rPr>
                <w:vertAlign w:val="superscript"/>
              </w:rPr>
              <w:t>c</w:t>
            </w:r>
          </w:p>
        </w:tc>
        <w:tc>
          <w:tcPr>
            <w:tcW w:w="310" w:type="pct"/>
            <w:vMerge/>
            <w:vAlign w:val="center"/>
          </w:tcPr>
          <w:p w14:paraId="18DF2D79" w14:textId="77777777" w:rsidR="00A01891" w:rsidRPr="0075485D" w:rsidRDefault="00A01891" w:rsidP="00E44076">
            <w:pPr>
              <w:pStyle w:val="TableText0"/>
              <w:jc w:val="center"/>
            </w:pPr>
          </w:p>
        </w:tc>
        <w:tc>
          <w:tcPr>
            <w:tcW w:w="775" w:type="pct"/>
            <w:vAlign w:val="center"/>
          </w:tcPr>
          <w:p w14:paraId="44E030D5" w14:textId="77777777" w:rsidR="00A01891" w:rsidRPr="0075485D" w:rsidRDefault="00A01891" w:rsidP="00E44076">
            <w:pPr>
              <w:pStyle w:val="TableText0"/>
              <w:jc w:val="center"/>
            </w:pPr>
            <w:r w:rsidRPr="0075485D">
              <w:t>76/309 (24.6%)</w:t>
            </w:r>
            <w:r w:rsidRPr="0075485D">
              <w:rPr>
                <w:vertAlign w:val="superscript"/>
              </w:rPr>
              <w:t>c</w:t>
            </w:r>
          </w:p>
        </w:tc>
        <w:tc>
          <w:tcPr>
            <w:tcW w:w="392" w:type="pct"/>
            <w:vAlign w:val="center"/>
          </w:tcPr>
          <w:p w14:paraId="67BE25DB" w14:textId="77777777" w:rsidR="00A01891" w:rsidRPr="0075485D" w:rsidRDefault="00A01891" w:rsidP="00E44076">
            <w:pPr>
              <w:pStyle w:val="TableText0"/>
              <w:jc w:val="center"/>
            </w:pPr>
            <w:r w:rsidRPr="0075485D">
              <w:t>NR</w:t>
            </w:r>
          </w:p>
        </w:tc>
        <w:tc>
          <w:tcPr>
            <w:tcW w:w="775" w:type="pct"/>
            <w:vAlign w:val="center"/>
          </w:tcPr>
          <w:p w14:paraId="04BF3188" w14:textId="77777777" w:rsidR="00A01891" w:rsidRPr="0075485D" w:rsidRDefault="00A01891" w:rsidP="00E44076">
            <w:pPr>
              <w:pStyle w:val="TableText0"/>
              <w:jc w:val="center"/>
            </w:pPr>
            <w:r w:rsidRPr="0075485D">
              <w:t>174/313 (55.6%)</w:t>
            </w:r>
            <w:r w:rsidRPr="0075485D">
              <w:rPr>
                <w:vertAlign w:val="superscript"/>
              </w:rPr>
              <w:t>c</w:t>
            </w:r>
          </w:p>
        </w:tc>
        <w:tc>
          <w:tcPr>
            <w:tcW w:w="699" w:type="pct"/>
            <w:vAlign w:val="center"/>
          </w:tcPr>
          <w:p w14:paraId="35DBE242" w14:textId="77777777" w:rsidR="00A01891" w:rsidRPr="0075485D" w:rsidRDefault="00A01891" w:rsidP="00E44076">
            <w:pPr>
              <w:pStyle w:val="TableText0"/>
              <w:jc w:val="center"/>
            </w:pPr>
            <w:r w:rsidRPr="0075485D">
              <w:t>NR</w:t>
            </w:r>
          </w:p>
        </w:tc>
        <w:tc>
          <w:tcPr>
            <w:tcW w:w="811" w:type="pct"/>
            <w:gridSpan w:val="2"/>
            <w:vAlign w:val="center"/>
          </w:tcPr>
          <w:p w14:paraId="4F83CC20" w14:textId="2D15D47E" w:rsidR="00A01891" w:rsidRPr="0075485D" w:rsidRDefault="00A01891" w:rsidP="00E44076">
            <w:pPr>
              <w:pStyle w:val="TableText0"/>
              <w:jc w:val="center"/>
              <w:rPr>
                <w:b/>
                <w:bCs w:val="0"/>
              </w:rPr>
            </w:pPr>
            <w:r w:rsidRPr="0075485D">
              <w:rPr>
                <w:b/>
                <w:bCs w:val="0"/>
              </w:rPr>
              <w:t>0.34 (0.26</w:t>
            </w:r>
            <w:r w:rsidR="008D2D85" w:rsidRPr="0075485D">
              <w:rPr>
                <w:b/>
                <w:bCs w:val="0"/>
              </w:rPr>
              <w:t xml:space="preserve">, </w:t>
            </w:r>
            <w:r w:rsidRPr="0075485D">
              <w:rPr>
                <w:b/>
                <w:bCs w:val="0"/>
              </w:rPr>
              <w:t>0.44)</w:t>
            </w:r>
            <w:r w:rsidRPr="0075485D">
              <w:rPr>
                <w:vertAlign w:val="superscript"/>
              </w:rPr>
              <w:t>c</w:t>
            </w:r>
          </w:p>
        </w:tc>
      </w:tr>
      <w:tr w:rsidR="00A01891" w:rsidRPr="0075485D" w14:paraId="0E4F79FF" w14:textId="77777777" w:rsidTr="008D2D85">
        <w:trPr>
          <w:trHeight w:val="170"/>
        </w:trPr>
        <w:tc>
          <w:tcPr>
            <w:tcW w:w="1239" w:type="pct"/>
            <w:vAlign w:val="center"/>
          </w:tcPr>
          <w:p w14:paraId="01B4C608" w14:textId="77777777" w:rsidR="00A01891" w:rsidRPr="0075485D" w:rsidRDefault="00A01891" w:rsidP="00E44076">
            <w:pPr>
              <w:pStyle w:val="TableText0"/>
              <w:ind w:left="249"/>
            </w:pPr>
            <w:r w:rsidRPr="0075485D">
              <w:t>Planned docetaxel</w:t>
            </w:r>
          </w:p>
        </w:tc>
        <w:tc>
          <w:tcPr>
            <w:tcW w:w="310" w:type="pct"/>
            <w:vMerge/>
            <w:vAlign w:val="center"/>
          </w:tcPr>
          <w:p w14:paraId="0F1DDB0E" w14:textId="77777777" w:rsidR="00A01891" w:rsidRPr="0075485D" w:rsidRDefault="00A01891" w:rsidP="00E44076">
            <w:pPr>
              <w:pStyle w:val="TableText0"/>
              <w:jc w:val="center"/>
            </w:pPr>
          </w:p>
        </w:tc>
        <w:tc>
          <w:tcPr>
            <w:tcW w:w="775" w:type="pct"/>
            <w:vAlign w:val="center"/>
          </w:tcPr>
          <w:p w14:paraId="076959C5" w14:textId="77777777" w:rsidR="00A01891" w:rsidRPr="0075485D" w:rsidRDefault="00A01891" w:rsidP="00E44076">
            <w:pPr>
              <w:pStyle w:val="TableText0"/>
              <w:jc w:val="center"/>
            </w:pPr>
            <w:r w:rsidRPr="0075485D">
              <w:t>91/254 (35.8%)</w:t>
            </w:r>
          </w:p>
        </w:tc>
        <w:tc>
          <w:tcPr>
            <w:tcW w:w="392" w:type="pct"/>
            <w:vAlign w:val="center"/>
          </w:tcPr>
          <w:p w14:paraId="6FA58F17" w14:textId="77777777" w:rsidR="00A01891" w:rsidRPr="0075485D" w:rsidRDefault="00A01891" w:rsidP="00E44076">
            <w:pPr>
              <w:pStyle w:val="TableText0"/>
              <w:jc w:val="center"/>
            </w:pPr>
            <w:r w:rsidRPr="0075485D">
              <w:t>NR</w:t>
            </w:r>
          </w:p>
        </w:tc>
        <w:tc>
          <w:tcPr>
            <w:tcW w:w="775" w:type="pct"/>
            <w:vAlign w:val="center"/>
          </w:tcPr>
          <w:p w14:paraId="3D6F4BDC" w14:textId="77777777" w:rsidR="00A01891" w:rsidRPr="0075485D" w:rsidRDefault="00A01891" w:rsidP="00E44076">
            <w:pPr>
              <w:pStyle w:val="TableText0"/>
              <w:jc w:val="center"/>
            </w:pPr>
            <w:r w:rsidRPr="0075485D">
              <w:t>146/249 (58.6%)</w:t>
            </w:r>
          </w:p>
        </w:tc>
        <w:tc>
          <w:tcPr>
            <w:tcW w:w="699" w:type="pct"/>
            <w:vAlign w:val="center"/>
          </w:tcPr>
          <w:p w14:paraId="71BDFCFA" w14:textId="77777777" w:rsidR="00A01891" w:rsidRPr="0075485D" w:rsidRDefault="00A01891" w:rsidP="00E44076">
            <w:pPr>
              <w:pStyle w:val="TableText0"/>
              <w:jc w:val="center"/>
            </w:pPr>
            <w:r w:rsidRPr="0075485D">
              <w:t>NR</w:t>
            </w:r>
          </w:p>
        </w:tc>
        <w:tc>
          <w:tcPr>
            <w:tcW w:w="811" w:type="pct"/>
            <w:gridSpan w:val="2"/>
            <w:vAlign w:val="center"/>
          </w:tcPr>
          <w:p w14:paraId="209EFCA8" w14:textId="3985A756" w:rsidR="00A01891" w:rsidRPr="0075485D" w:rsidRDefault="00A01891" w:rsidP="00E44076">
            <w:pPr>
              <w:pStyle w:val="TableText0"/>
              <w:jc w:val="center"/>
              <w:rPr>
                <w:b/>
                <w:bCs w:val="0"/>
              </w:rPr>
            </w:pPr>
            <w:r w:rsidRPr="0075485D">
              <w:rPr>
                <w:b/>
                <w:bCs w:val="0"/>
              </w:rPr>
              <w:t>0.48 (0.37</w:t>
            </w:r>
            <w:r w:rsidR="008D2D85" w:rsidRPr="0075485D">
              <w:rPr>
                <w:b/>
                <w:bCs w:val="0"/>
              </w:rPr>
              <w:t xml:space="preserve">, </w:t>
            </w:r>
            <w:r w:rsidRPr="0075485D">
              <w:rPr>
                <w:b/>
                <w:bCs w:val="0"/>
              </w:rPr>
              <w:t xml:space="preserve">0.62) </w:t>
            </w:r>
          </w:p>
        </w:tc>
      </w:tr>
      <w:tr w:rsidR="00A01891" w:rsidRPr="0075485D" w14:paraId="36C6AC1E" w14:textId="77777777" w:rsidTr="008D2D85">
        <w:trPr>
          <w:trHeight w:val="170"/>
        </w:trPr>
        <w:tc>
          <w:tcPr>
            <w:tcW w:w="1239" w:type="pct"/>
            <w:shd w:val="clear" w:color="auto" w:fill="F2F2F2" w:themeFill="background1" w:themeFillShade="F2"/>
            <w:vAlign w:val="center"/>
          </w:tcPr>
          <w:p w14:paraId="1A07F19F" w14:textId="77777777" w:rsidR="00A01891" w:rsidRPr="0075485D" w:rsidRDefault="00A01891" w:rsidP="006B0701">
            <w:pPr>
              <w:pStyle w:val="TableText0"/>
              <w:jc w:val="center"/>
              <w:rPr>
                <w:b/>
                <w:bCs w:val="0"/>
              </w:rPr>
            </w:pPr>
            <w:r w:rsidRPr="0075485D">
              <w:rPr>
                <w:b/>
                <w:bCs w:val="0"/>
              </w:rPr>
              <w:t>Pooled ENZA(no docetaxel)</w:t>
            </w:r>
          </w:p>
        </w:tc>
        <w:tc>
          <w:tcPr>
            <w:tcW w:w="310" w:type="pct"/>
            <w:vMerge/>
            <w:shd w:val="clear" w:color="auto" w:fill="F2F2F2" w:themeFill="background1" w:themeFillShade="F2"/>
            <w:vAlign w:val="center"/>
          </w:tcPr>
          <w:p w14:paraId="3DCD2D44" w14:textId="77777777" w:rsidR="00A01891" w:rsidRPr="0075485D" w:rsidRDefault="00A01891" w:rsidP="00E44076">
            <w:pPr>
              <w:pStyle w:val="TableText0"/>
              <w:jc w:val="center"/>
            </w:pPr>
          </w:p>
        </w:tc>
        <w:tc>
          <w:tcPr>
            <w:tcW w:w="775" w:type="pct"/>
            <w:shd w:val="clear" w:color="auto" w:fill="F2F2F2" w:themeFill="background1" w:themeFillShade="F2"/>
            <w:vAlign w:val="center"/>
          </w:tcPr>
          <w:p w14:paraId="034E4EA4" w14:textId="77777777" w:rsidR="00A01891" w:rsidRPr="0075485D" w:rsidRDefault="00A01891" w:rsidP="00E44076">
            <w:pPr>
              <w:pStyle w:val="TableText0"/>
              <w:jc w:val="center"/>
            </w:pPr>
            <w:r w:rsidRPr="0075485D">
              <w:t>167/883 (18.9%)</w:t>
            </w:r>
          </w:p>
        </w:tc>
        <w:tc>
          <w:tcPr>
            <w:tcW w:w="392" w:type="pct"/>
            <w:shd w:val="clear" w:color="auto" w:fill="F2F2F2" w:themeFill="background1" w:themeFillShade="F2"/>
            <w:vAlign w:val="center"/>
          </w:tcPr>
          <w:p w14:paraId="6E2BA13F" w14:textId="77777777" w:rsidR="00A01891" w:rsidRPr="0075485D" w:rsidRDefault="00A01891" w:rsidP="00E44076">
            <w:pPr>
              <w:pStyle w:val="TableText0"/>
              <w:jc w:val="center"/>
            </w:pPr>
            <w:r w:rsidRPr="0075485D">
              <w:t>NR</w:t>
            </w:r>
          </w:p>
        </w:tc>
        <w:tc>
          <w:tcPr>
            <w:tcW w:w="775" w:type="pct"/>
            <w:shd w:val="clear" w:color="auto" w:fill="F2F2F2" w:themeFill="background1" w:themeFillShade="F2"/>
            <w:vAlign w:val="center"/>
          </w:tcPr>
          <w:p w14:paraId="1AD5EC85" w14:textId="77777777" w:rsidR="00A01891" w:rsidRPr="0075485D" w:rsidRDefault="00A01891" w:rsidP="00E44076">
            <w:pPr>
              <w:pStyle w:val="TableText0"/>
              <w:jc w:val="center"/>
            </w:pPr>
            <w:r w:rsidRPr="0075485D">
              <w:t>375/889 (42.2%)</w:t>
            </w:r>
          </w:p>
        </w:tc>
        <w:tc>
          <w:tcPr>
            <w:tcW w:w="699" w:type="pct"/>
            <w:shd w:val="clear" w:color="auto" w:fill="F2F2F2" w:themeFill="background1" w:themeFillShade="F2"/>
            <w:vAlign w:val="center"/>
          </w:tcPr>
          <w:p w14:paraId="1BDF73D3" w14:textId="77777777" w:rsidR="00A01891" w:rsidRPr="0075485D" w:rsidRDefault="00A01891" w:rsidP="00E44076">
            <w:pPr>
              <w:pStyle w:val="TableText0"/>
              <w:jc w:val="center"/>
            </w:pPr>
            <w:r w:rsidRPr="0075485D">
              <w:t>NR</w:t>
            </w:r>
          </w:p>
        </w:tc>
        <w:tc>
          <w:tcPr>
            <w:tcW w:w="811" w:type="pct"/>
            <w:gridSpan w:val="2"/>
            <w:shd w:val="clear" w:color="auto" w:fill="F2F2F2" w:themeFill="background1" w:themeFillShade="F2"/>
            <w:vAlign w:val="center"/>
          </w:tcPr>
          <w:p w14:paraId="666B2065" w14:textId="77777777" w:rsidR="00A01891" w:rsidRPr="0075485D" w:rsidRDefault="00A01891" w:rsidP="00E44076">
            <w:pPr>
              <w:pStyle w:val="TableText0"/>
              <w:jc w:val="center"/>
              <w:rPr>
                <w:b/>
                <w:bCs w:val="0"/>
              </w:rPr>
            </w:pPr>
            <w:r w:rsidRPr="0075485D">
              <w:rPr>
                <w:b/>
                <w:bCs w:val="0"/>
              </w:rPr>
              <w:t>0.36 (0.30, 0.44)</w:t>
            </w:r>
          </w:p>
        </w:tc>
      </w:tr>
      <w:tr w:rsidR="00A01891" w:rsidRPr="0075485D" w14:paraId="6C2EEECF" w14:textId="77777777" w:rsidTr="008D2D85">
        <w:trPr>
          <w:trHeight w:val="170"/>
        </w:trPr>
        <w:tc>
          <w:tcPr>
            <w:tcW w:w="1239" w:type="pct"/>
            <w:shd w:val="clear" w:color="auto" w:fill="F2F2F2" w:themeFill="background1" w:themeFillShade="F2"/>
            <w:vAlign w:val="center"/>
          </w:tcPr>
          <w:p w14:paraId="7EC5C42D" w14:textId="77777777" w:rsidR="00A01891" w:rsidRPr="0075485D" w:rsidRDefault="00A01891" w:rsidP="00E44076">
            <w:pPr>
              <w:pStyle w:val="TableText0"/>
              <w:jc w:val="right"/>
              <w:rPr>
                <w:b/>
                <w:bCs w:val="0"/>
              </w:rPr>
            </w:pPr>
            <w:r w:rsidRPr="0075485D">
              <w:rPr>
                <w:b/>
                <w:bCs w:val="0"/>
              </w:rPr>
              <w:t>Pooled ENZA (ITT)</w:t>
            </w:r>
          </w:p>
        </w:tc>
        <w:tc>
          <w:tcPr>
            <w:tcW w:w="310" w:type="pct"/>
            <w:vMerge/>
            <w:shd w:val="clear" w:color="auto" w:fill="F2F2F2" w:themeFill="background1" w:themeFillShade="F2"/>
            <w:vAlign w:val="center"/>
          </w:tcPr>
          <w:p w14:paraId="0403E4EB" w14:textId="77777777" w:rsidR="00A01891" w:rsidRPr="0075485D" w:rsidRDefault="00A01891" w:rsidP="00E44076">
            <w:pPr>
              <w:pStyle w:val="TableText0"/>
              <w:jc w:val="center"/>
            </w:pPr>
          </w:p>
        </w:tc>
        <w:tc>
          <w:tcPr>
            <w:tcW w:w="775" w:type="pct"/>
            <w:shd w:val="clear" w:color="auto" w:fill="F2F2F2" w:themeFill="background1" w:themeFillShade="F2"/>
            <w:vAlign w:val="center"/>
          </w:tcPr>
          <w:p w14:paraId="2471B482" w14:textId="77777777" w:rsidR="00A01891" w:rsidRPr="0075485D" w:rsidRDefault="00A01891" w:rsidP="00E44076">
            <w:pPr>
              <w:pStyle w:val="TableText0"/>
              <w:jc w:val="center"/>
            </w:pPr>
            <w:r w:rsidRPr="0075485D">
              <w:t>257/1137 (22.7%)</w:t>
            </w:r>
          </w:p>
        </w:tc>
        <w:tc>
          <w:tcPr>
            <w:tcW w:w="392" w:type="pct"/>
            <w:shd w:val="clear" w:color="auto" w:fill="F2F2F2" w:themeFill="background1" w:themeFillShade="F2"/>
            <w:vAlign w:val="center"/>
          </w:tcPr>
          <w:p w14:paraId="3926AE5A" w14:textId="77777777" w:rsidR="00A01891" w:rsidRPr="0075485D" w:rsidRDefault="00A01891" w:rsidP="00E44076">
            <w:pPr>
              <w:pStyle w:val="TableText0"/>
              <w:jc w:val="center"/>
            </w:pPr>
            <w:r w:rsidRPr="0075485D">
              <w:t>NR</w:t>
            </w:r>
          </w:p>
        </w:tc>
        <w:tc>
          <w:tcPr>
            <w:tcW w:w="775" w:type="pct"/>
            <w:shd w:val="clear" w:color="auto" w:fill="F2F2F2" w:themeFill="background1" w:themeFillShade="F2"/>
            <w:vAlign w:val="center"/>
          </w:tcPr>
          <w:p w14:paraId="1BFB8558" w14:textId="77777777" w:rsidR="00A01891" w:rsidRPr="0075485D" w:rsidRDefault="00A01891" w:rsidP="00E44076">
            <w:pPr>
              <w:pStyle w:val="TableText0"/>
              <w:jc w:val="center"/>
            </w:pPr>
            <w:r w:rsidRPr="0075485D">
              <w:t>521/1138 (45.8%)</w:t>
            </w:r>
          </w:p>
        </w:tc>
        <w:tc>
          <w:tcPr>
            <w:tcW w:w="699" w:type="pct"/>
            <w:shd w:val="clear" w:color="auto" w:fill="F2F2F2" w:themeFill="background1" w:themeFillShade="F2"/>
            <w:vAlign w:val="center"/>
          </w:tcPr>
          <w:p w14:paraId="1B3741DC" w14:textId="77777777" w:rsidR="00A01891" w:rsidRPr="0075485D" w:rsidRDefault="00A01891" w:rsidP="00E44076">
            <w:pPr>
              <w:pStyle w:val="TableText0"/>
              <w:jc w:val="center"/>
            </w:pPr>
            <w:r w:rsidRPr="0075485D">
              <w:t>NR</w:t>
            </w:r>
          </w:p>
        </w:tc>
        <w:tc>
          <w:tcPr>
            <w:tcW w:w="811" w:type="pct"/>
            <w:gridSpan w:val="2"/>
            <w:shd w:val="clear" w:color="auto" w:fill="F2F2F2" w:themeFill="background1" w:themeFillShade="F2"/>
            <w:vAlign w:val="center"/>
          </w:tcPr>
          <w:p w14:paraId="31E653F0" w14:textId="77777777" w:rsidR="00A01891" w:rsidRPr="0075485D" w:rsidRDefault="00A01891" w:rsidP="00E44076">
            <w:pPr>
              <w:pStyle w:val="TableText0"/>
              <w:jc w:val="center"/>
              <w:rPr>
                <w:b/>
                <w:bCs w:val="0"/>
              </w:rPr>
            </w:pPr>
            <w:r w:rsidRPr="0075485D">
              <w:rPr>
                <w:b/>
                <w:bCs w:val="0"/>
              </w:rPr>
              <w:t>0.40 (0.34, 0.46)</w:t>
            </w:r>
          </w:p>
        </w:tc>
      </w:tr>
      <w:tr w:rsidR="00A01891" w:rsidRPr="0075485D" w14:paraId="72BBFFD8" w14:textId="77777777" w:rsidTr="008D2D85">
        <w:tc>
          <w:tcPr>
            <w:tcW w:w="1239" w:type="pct"/>
            <w:vAlign w:val="center"/>
          </w:tcPr>
          <w:p w14:paraId="5F8C661F" w14:textId="77777777" w:rsidR="00A01891" w:rsidRPr="0075485D" w:rsidRDefault="00A01891" w:rsidP="00E44076">
            <w:pPr>
              <w:pStyle w:val="TableText0"/>
            </w:pPr>
            <w:r w:rsidRPr="0075485D">
              <w:t>TITAN</w:t>
            </w:r>
            <w:r w:rsidRPr="0075485D">
              <w:rPr>
                <w:vertAlign w:val="superscript"/>
              </w:rPr>
              <w:t>c</w:t>
            </w:r>
          </w:p>
        </w:tc>
        <w:tc>
          <w:tcPr>
            <w:tcW w:w="310" w:type="pct"/>
            <w:vAlign w:val="center"/>
          </w:tcPr>
          <w:p w14:paraId="283694E5" w14:textId="77777777" w:rsidR="00A01891" w:rsidRPr="0075485D" w:rsidRDefault="00A01891" w:rsidP="00E44076">
            <w:pPr>
              <w:pStyle w:val="TableText0"/>
              <w:jc w:val="center"/>
            </w:pPr>
            <w:r w:rsidRPr="0075485D">
              <w:t>APA</w:t>
            </w:r>
          </w:p>
        </w:tc>
        <w:tc>
          <w:tcPr>
            <w:tcW w:w="775" w:type="pct"/>
            <w:vAlign w:val="center"/>
          </w:tcPr>
          <w:p w14:paraId="50FAE2AB" w14:textId="77777777" w:rsidR="00A01891" w:rsidRPr="0075485D" w:rsidRDefault="00A01891" w:rsidP="00E44076">
            <w:pPr>
              <w:pStyle w:val="TableText0"/>
              <w:jc w:val="center"/>
            </w:pPr>
            <w:r w:rsidRPr="0075485D">
              <w:t>134/252 (25.5%)</w:t>
            </w:r>
            <w:r w:rsidRPr="0075485D">
              <w:rPr>
                <w:vertAlign w:val="superscript"/>
              </w:rPr>
              <w:t>c</w:t>
            </w:r>
          </w:p>
        </w:tc>
        <w:tc>
          <w:tcPr>
            <w:tcW w:w="392" w:type="pct"/>
            <w:vAlign w:val="center"/>
          </w:tcPr>
          <w:p w14:paraId="43D68CEB" w14:textId="77777777" w:rsidR="00A01891" w:rsidRPr="0075485D" w:rsidRDefault="00A01891" w:rsidP="00E44076">
            <w:pPr>
              <w:pStyle w:val="TableText0"/>
              <w:jc w:val="center"/>
            </w:pPr>
            <w:r w:rsidRPr="0075485D">
              <w:t>NE</w:t>
            </w:r>
          </w:p>
        </w:tc>
        <w:tc>
          <w:tcPr>
            <w:tcW w:w="775" w:type="pct"/>
            <w:vAlign w:val="center"/>
          </w:tcPr>
          <w:p w14:paraId="18E8E233" w14:textId="77777777" w:rsidR="00A01891" w:rsidRPr="0075485D" w:rsidRDefault="00A01891" w:rsidP="00E44076">
            <w:pPr>
              <w:pStyle w:val="TableText0"/>
              <w:jc w:val="center"/>
            </w:pPr>
            <w:r w:rsidRPr="0075485D">
              <w:t>231/527 (43.8%)</w:t>
            </w:r>
            <w:r w:rsidRPr="0075485D">
              <w:rPr>
                <w:vertAlign w:val="superscript"/>
              </w:rPr>
              <w:t>c</w:t>
            </w:r>
          </w:p>
        </w:tc>
        <w:tc>
          <w:tcPr>
            <w:tcW w:w="699" w:type="pct"/>
            <w:vAlign w:val="center"/>
          </w:tcPr>
          <w:p w14:paraId="393A754D" w14:textId="77777777" w:rsidR="00A01891" w:rsidRPr="0075485D" w:rsidRDefault="00A01891" w:rsidP="00E44076">
            <w:pPr>
              <w:pStyle w:val="TableText0"/>
              <w:jc w:val="center"/>
            </w:pPr>
            <w:r w:rsidRPr="0075485D">
              <w:t>22.1 (18.5-32.9)</w:t>
            </w:r>
          </w:p>
        </w:tc>
        <w:tc>
          <w:tcPr>
            <w:tcW w:w="811" w:type="pct"/>
            <w:gridSpan w:val="2"/>
            <w:vAlign w:val="center"/>
          </w:tcPr>
          <w:p w14:paraId="12B2DC59" w14:textId="314AE23A" w:rsidR="00A01891" w:rsidRPr="0075485D" w:rsidRDefault="00A01891" w:rsidP="00E44076">
            <w:pPr>
              <w:pStyle w:val="TableText0"/>
              <w:jc w:val="center"/>
              <w:rPr>
                <w:b/>
                <w:bCs w:val="0"/>
              </w:rPr>
            </w:pPr>
            <w:r w:rsidRPr="0075485D">
              <w:rPr>
                <w:b/>
                <w:bCs w:val="0"/>
              </w:rPr>
              <w:t>0.48 (0.39</w:t>
            </w:r>
            <w:r w:rsidR="008D2D85" w:rsidRPr="0075485D">
              <w:rPr>
                <w:b/>
                <w:bCs w:val="0"/>
              </w:rPr>
              <w:t xml:space="preserve">, </w:t>
            </w:r>
            <w:r w:rsidRPr="0075485D">
              <w:rPr>
                <w:b/>
                <w:bCs w:val="0"/>
              </w:rPr>
              <w:t>0.60)</w:t>
            </w:r>
            <w:r w:rsidRPr="0075485D">
              <w:rPr>
                <w:vertAlign w:val="superscript"/>
              </w:rPr>
              <w:t>c</w:t>
            </w:r>
            <w:r w:rsidRPr="0075485D">
              <w:rPr>
                <w:b/>
                <w:bCs w:val="0"/>
              </w:rPr>
              <w:t xml:space="preserve"> </w:t>
            </w:r>
          </w:p>
        </w:tc>
      </w:tr>
      <w:tr w:rsidR="00A01891" w:rsidRPr="0075485D" w14:paraId="7371BBD0" w14:textId="77777777" w:rsidTr="008D2D85">
        <w:tc>
          <w:tcPr>
            <w:tcW w:w="4203" w:type="pct"/>
            <w:gridSpan w:val="7"/>
            <w:shd w:val="clear" w:color="auto" w:fill="F2F2F2" w:themeFill="background1" w:themeFillShade="F2"/>
            <w:vAlign w:val="center"/>
          </w:tcPr>
          <w:p w14:paraId="3153068B" w14:textId="77777777" w:rsidR="00A01891" w:rsidRPr="0075485D" w:rsidRDefault="00A01891" w:rsidP="00E44076">
            <w:pPr>
              <w:pStyle w:val="TableText0"/>
              <w:jc w:val="right"/>
              <w:rPr>
                <w:b/>
              </w:rPr>
            </w:pPr>
            <w:r w:rsidRPr="0075485D">
              <w:rPr>
                <w:b/>
              </w:rPr>
              <w:t>ITC enzalutamide (ARCHES) vs apalutamide (TITAN)</w:t>
            </w:r>
          </w:p>
        </w:tc>
        <w:tc>
          <w:tcPr>
            <w:tcW w:w="797" w:type="pct"/>
            <w:shd w:val="clear" w:color="auto" w:fill="F2F2F2" w:themeFill="background1" w:themeFillShade="F2"/>
            <w:vAlign w:val="center"/>
          </w:tcPr>
          <w:p w14:paraId="592ECCC0" w14:textId="77777777" w:rsidR="00A01891" w:rsidRPr="0075485D" w:rsidRDefault="00A01891" w:rsidP="00E44076">
            <w:pPr>
              <w:pStyle w:val="TableText0"/>
              <w:jc w:val="center"/>
              <w:rPr>
                <w:b/>
                <w:bCs w:val="0"/>
              </w:rPr>
            </w:pPr>
            <w:r w:rsidRPr="0075485D">
              <w:t>0.81 (0.58, 1.14)</w:t>
            </w:r>
          </w:p>
        </w:tc>
      </w:tr>
      <w:tr w:rsidR="00A01891" w:rsidRPr="0075485D" w14:paraId="2D50AE1B" w14:textId="77777777" w:rsidTr="008D2D85">
        <w:tc>
          <w:tcPr>
            <w:tcW w:w="4203" w:type="pct"/>
            <w:gridSpan w:val="7"/>
            <w:shd w:val="clear" w:color="auto" w:fill="F2F2F2" w:themeFill="background1" w:themeFillShade="F2"/>
            <w:vAlign w:val="center"/>
          </w:tcPr>
          <w:p w14:paraId="6D3F0123" w14:textId="77777777" w:rsidR="00A01891" w:rsidRPr="0075485D" w:rsidRDefault="00A01891" w:rsidP="00E44076">
            <w:pPr>
              <w:pStyle w:val="TableText0"/>
              <w:jc w:val="right"/>
              <w:rPr>
                <w:b/>
              </w:rPr>
            </w:pPr>
            <w:r w:rsidRPr="0075485D">
              <w:rPr>
                <w:b/>
              </w:rPr>
              <w:t>ITC enzalutamide (pooled ARCHES+ ENZAMET no docetaxel subgroup) vs apalutamide (TITAN)</w:t>
            </w:r>
          </w:p>
        </w:tc>
        <w:tc>
          <w:tcPr>
            <w:tcW w:w="797" w:type="pct"/>
            <w:shd w:val="clear" w:color="auto" w:fill="F2F2F2" w:themeFill="background1" w:themeFillShade="F2"/>
            <w:vAlign w:val="center"/>
          </w:tcPr>
          <w:p w14:paraId="251B8F2E" w14:textId="77777777" w:rsidR="00A01891" w:rsidRPr="0075485D" w:rsidRDefault="00A01891" w:rsidP="00E44076">
            <w:pPr>
              <w:pStyle w:val="TableText0"/>
              <w:jc w:val="center"/>
              <w:rPr>
                <w:b/>
                <w:bCs w:val="0"/>
              </w:rPr>
            </w:pPr>
            <w:r w:rsidRPr="0075485D">
              <w:t>0.75 (0.56, 1.00)</w:t>
            </w:r>
          </w:p>
        </w:tc>
      </w:tr>
      <w:tr w:rsidR="00A01891" w:rsidRPr="0075485D" w14:paraId="1EF77207" w14:textId="77777777" w:rsidTr="008D2D85">
        <w:tc>
          <w:tcPr>
            <w:tcW w:w="4203" w:type="pct"/>
            <w:gridSpan w:val="7"/>
            <w:shd w:val="clear" w:color="auto" w:fill="F2F2F2" w:themeFill="background1" w:themeFillShade="F2"/>
            <w:vAlign w:val="center"/>
          </w:tcPr>
          <w:p w14:paraId="0B3405D9" w14:textId="77777777" w:rsidR="00A01891" w:rsidRPr="0075485D" w:rsidRDefault="00A01891" w:rsidP="00E44076">
            <w:pPr>
              <w:pStyle w:val="TableText0"/>
              <w:jc w:val="right"/>
              <w:rPr>
                <w:b/>
              </w:rPr>
            </w:pPr>
            <w:r w:rsidRPr="0075485D">
              <w:rPr>
                <w:b/>
              </w:rPr>
              <w:t>ITC enzalutamide (pooled ARCHES+ ENZAMET ITT) vs apalutamide (TITAN)</w:t>
            </w:r>
          </w:p>
        </w:tc>
        <w:tc>
          <w:tcPr>
            <w:tcW w:w="797" w:type="pct"/>
            <w:shd w:val="clear" w:color="auto" w:fill="F2F2F2" w:themeFill="background1" w:themeFillShade="F2"/>
            <w:vAlign w:val="center"/>
          </w:tcPr>
          <w:p w14:paraId="65D1069C" w14:textId="77777777" w:rsidR="00A01891" w:rsidRPr="0075485D" w:rsidRDefault="00A01891" w:rsidP="00E44076">
            <w:pPr>
              <w:pStyle w:val="TableText0"/>
              <w:jc w:val="center"/>
            </w:pPr>
            <w:r w:rsidRPr="0075485D">
              <w:t>0.83 (0.64, 1.08)</w:t>
            </w:r>
          </w:p>
        </w:tc>
      </w:tr>
      <w:tr w:rsidR="00A01891" w:rsidRPr="0075485D" w14:paraId="70730735" w14:textId="77777777" w:rsidTr="008D2D85">
        <w:trPr>
          <w:trHeight w:val="233"/>
          <w:tblHeader/>
        </w:trPr>
        <w:tc>
          <w:tcPr>
            <w:tcW w:w="1239" w:type="pct"/>
            <w:tcBorders>
              <w:right w:val="nil"/>
            </w:tcBorders>
            <w:shd w:val="clear" w:color="auto" w:fill="BFBFBF" w:themeFill="background1" w:themeFillShade="BF"/>
            <w:vAlign w:val="center"/>
          </w:tcPr>
          <w:p w14:paraId="15DE4AD7" w14:textId="77777777" w:rsidR="00A01891" w:rsidRPr="0075485D" w:rsidRDefault="00A01891" w:rsidP="00E44076">
            <w:pPr>
              <w:pStyle w:val="TableFigureHeading"/>
            </w:pPr>
            <w:r w:rsidRPr="0075485D">
              <w:t>OS</w:t>
            </w:r>
          </w:p>
        </w:tc>
        <w:tc>
          <w:tcPr>
            <w:tcW w:w="310" w:type="pct"/>
            <w:tcBorders>
              <w:left w:val="nil"/>
              <w:right w:val="nil"/>
            </w:tcBorders>
            <w:shd w:val="clear" w:color="auto" w:fill="BFBFBF" w:themeFill="background1" w:themeFillShade="BF"/>
            <w:vAlign w:val="center"/>
          </w:tcPr>
          <w:p w14:paraId="0BE9DAD9" w14:textId="77777777" w:rsidR="00A01891" w:rsidRPr="0075485D" w:rsidRDefault="00A01891" w:rsidP="00E44076">
            <w:pPr>
              <w:pStyle w:val="TableText0"/>
              <w:jc w:val="center"/>
              <w:rPr>
                <w:b/>
              </w:rPr>
            </w:pPr>
          </w:p>
        </w:tc>
        <w:tc>
          <w:tcPr>
            <w:tcW w:w="775" w:type="pct"/>
            <w:tcBorders>
              <w:left w:val="nil"/>
              <w:right w:val="nil"/>
            </w:tcBorders>
            <w:shd w:val="clear" w:color="auto" w:fill="BFBFBF" w:themeFill="background1" w:themeFillShade="BF"/>
            <w:vAlign w:val="center"/>
          </w:tcPr>
          <w:p w14:paraId="257D67E9" w14:textId="77777777" w:rsidR="00A01891" w:rsidRPr="0075485D" w:rsidRDefault="00A01891" w:rsidP="00E44076">
            <w:pPr>
              <w:pStyle w:val="TableText0"/>
              <w:jc w:val="center"/>
              <w:rPr>
                <w:b/>
              </w:rPr>
            </w:pPr>
          </w:p>
        </w:tc>
        <w:tc>
          <w:tcPr>
            <w:tcW w:w="392" w:type="pct"/>
            <w:tcBorders>
              <w:left w:val="nil"/>
              <w:right w:val="nil"/>
            </w:tcBorders>
            <w:shd w:val="clear" w:color="auto" w:fill="BFBFBF" w:themeFill="background1" w:themeFillShade="BF"/>
            <w:vAlign w:val="center"/>
          </w:tcPr>
          <w:p w14:paraId="57082E82" w14:textId="77777777" w:rsidR="00A01891" w:rsidRPr="0075485D" w:rsidRDefault="00A01891" w:rsidP="00E44076">
            <w:pPr>
              <w:pStyle w:val="TableText0"/>
              <w:jc w:val="center"/>
              <w:rPr>
                <w:b/>
              </w:rPr>
            </w:pPr>
          </w:p>
        </w:tc>
        <w:tc>
          <w:tcPr>
            <w:tcW w:w="775" w:type="pct"/>
            <w:tcBorders>
              <w:left w:val="nil"/>
              <w:right w:val="nil"/>
            </w:tcBorders>
            <w:shd w:val="clear" w:color="auto" w:fill="BFBFBF" w:themeFill="background1" w:themeFillShade="BF"/>
            <w:vAlign w:val="center"/>
          </w:tcPr>
          <w:p w14:paraId="6FED1B66" w14:textId="77777777" w:rsidR="00A01891" w:rsidRPr="0075485D" w:rsidRDefault="00A01891" w:rsidP="00E44076">
            <w:pPr>
              <w:pStyle w:val="TableText0"/>
              <w:jc w:val="center"/>
              <w:rPr>
                <w:b/>
              </w:rPr>
            </w:pPr>
          </w:p>
        </w:tc>
        <w:tc>
          <w:tcPr>
            <w:tcW w:w="699" w:type="pct"/>
            <w:tcBorders>
              <w:left w:val="nil"/>
              <w:right w:val="nil"/>
            </w:tcBorders>
            <w:shd w:val="clear" w:color="auto" w:fill="BFBFBF" w:themeFill="background1" w:themeFillShade="BF"/>
            <w:vAlign w:val="center"/>
          </w:tcPr>
          <w:p w14:paraId="764100A7" w14:textId="77777777" w:rsidR="00A01891" w:rsidRPr="0075485D" w:rsidRDefault="00A01891" w:rsidP="00E44076">
            <w:pPr>
              <w:pStyle w:val="TableText0"/>
              <w:jc w:val="center"/>
              <w:rPr>
                <w:b/>
              </w:rPr>
            </w:pPr>
          </w:p>
        </w:tc>
        <w:tc>
          <w:tcPr>
            <w:tcW w:w="811" w:type="pct"/>
            <w:gridSpan w:val="2"/>
            <w:tcBorders>
              <w:left w:val="nil"/>
            </w:tcBorders>
            <w:shd w:val="clear" w:color="auto" w:fill="BFBFBF" w:themeFill="background1" w:themeFillShade="BF"/>
            <w:vAlign w:val="center"/>
          </w:tcPr>
          <w:p w14:paraId="36C2F663" w14:textId="77777777" w:rsidR="00A01891" w:rsidRPr="0075485D" w:rsidRDefault="00A01891" w:rsidP="00E44076">
            <w:pPr>
              <w:pStyle w:val="TableFigureHeading"/>
              <w:jc w:val="center"/>
            </w:pPr>
          </w:p>
        </w:tc>
      </w:tr>
      <w:tr w:rsidR="00A01891" w:rsidRPr="0075485D" w14:paraId="537B31B1" w14:textId="77777777" w:rsidTr="008D2D85">
        <w:tc>
          <w:tcPr>
            <w:tcW w:w="1239" w:type="pct"/>
            <w:vAlign w:val="center"/>
          </w:tcPr>
          <w:p w14:paraId="07E874E4" w14:textId="77777777" w:rsidR="00A01891" w:rsidRPr="0075485D" w:rsidRDefault="00A01891" w:rsidP="00E44076">
            <w:pPr>
              <w:pStyle w:val="TableText0"/>
            </w:pPr>
            <w:r w:rsidRPr="0075485D">
              <w:t>ARCHES (2022)</w:t>
            </w:r>
            <w:r w:rsidRPr="0075485D">
              <w:rPr>
                <w:vertAlign w:val="superscript"/>
              </w:rPr>
              <w:t>c</w:t>
            </w:r>
          </w:p>
          <w:p w14:paraId="7BD91362" w14:textId="77777777" w:rsidR="00A01891" w:rsidRPr="0075485D" w:rsidRDefault="00A01891" w:rsidP="00E44076">
            <w:pPr>
              <w:pStyle w:val="TableText0"/>
            </w:pPr>
            <w:r w:rsidRPr="0075485D">
              <w:t>Median 44.6mths follow up</w:t>
            </w:r>
          </w:p>
        </w:tc>
        <w:tc>
          <w:tcPr>
            <w:tcW w:w="310" w:type="pct"/>
            <w:vMerge w:val="restart"/>
            <w:vAlign w:val="center"/>
          </w:tcPr>
          <w:p w14:paraId="51C99E85" w14:textId="77777777" w:rsidR="00A01891" w:rsidRPr="0075485D" w:rsidRDefault="00A01891" w:rsidP="00E44076">
            <w:pPr>
              <w:pStyle w:val="TableText0"/>
              <w:jc w:val="center"/>
            </w:pPr>
            <w:r w:rsidRPr="0075485D">
              <w:t>ENZA</w:t>
            </w:r>
          </w:p>
          <w:p w14:paraId="3ED34156" w14:textId="77777777" w:rsidR="00A01891" w:rsidRPr="0075485D" w:rsidRDefault="00A01891" w:rsidP="00E44076">
            <w:pPr>
              <w:pStyle w:val="TableText0"/>
              <w:jc w:val="center"/>
            </w:pPr>
          </w:p>
        </w:tc>
        <w:tc>
          <w:tcPr>
            <w:tcW w:w="775" w:type="pct"/>
            <w:vAlign w:val="center"/>
          </w:tcPr>
          <w:p w14:paraId="497E6518" w14:textId="77777777" w:rsidR="00A01891" w:rsidRPr="0075485D" w:rsidRDefault="00A01891" w:rsidP="00E44076">
            <w:pPr>
              <w:pStyle w:val="TableText0"/>
              <w:jc w:val="center"/>
            </w:pPr>
            <w:r w:rsidRPr="0075485D">
              <w:t>154/574 (26.8%)</w:t>
            </w:r>
          </w:p>
        </w:tc>
        <w:tc>
          <w:tcPr>
            <w:tcW w:w="392" w:type="pct"/>
            <w:vAlign w:val="center"/>
          </w:tcPr>
          <w:p w14:paraId="10F9364B" w14:textId="77777777" w:rsidR="00A01891" w:rsidRPr="0075485D" w:rsidRDefault="00A01891" w:rsidP="00E44076">
            <w:pPr>
              <w:pStyle w:val="TableText0"/>
              <w:jc w:val="center"/>
            </w:pPr>
            <w:r w:rsidRPr="0075485D">
              <w:t>NR</w:t>
            </w:r>
          </w:p>
        </w:tc>
        <w:tc>
          <w:tcPr>
            <w:tcW w:w="775" w:type="pct"/>
            <w:vAlign w:val="center"/>
          </w:tcPr>
          <w:p w14:paraId="43A4964A" w14:textId="77777777" w:rsidR="00A01891" w:rsidRPr="0075485D" w:rsidRDefault="00A01891" w:rsidP="00E44076">
            <w:pPr>
              <w:pStyle w:val="TableText0"/>
              <w:jc w:val="center"/>
            </w:pPr>
            <w:r w:rsidRPr="0075485D">
              <w:t>202/576 (35.1%)</w:t>
            </w:r>
          </w:p>
        </w:tc>
        <w:tc>
          <w:tcPr>
            <w:tcW w:w="699" w:type="pct"/>
            <w:vAlign w:val="center"/>
          </w:tcPr>
          <w:p w14:paraId="1C2673D2" w14:textId="77777777" w:rsidR="00A01891" w:rsidRPr="0075485D" w:rsidRDefault="00A01891" w:rsidP="00E44076">
            <w:pPr>
              <w:pStyle w:val="TableText0"/>
              <w:jc w:val="center"/>
            </w:pPr>
            <w:r w:rsidRPr="0075485D">
              <w:t>NR (49.7 to NR)</w:t>
            </w:r>
          </w:p>
        </w:tc>
        <w:tc>
          <w:tcPr>
            <w:tcW w:w="811" w:type="pct"/>
            <w:gridSpan w:val="2"/>
            <w:vAlign w:val="center"/>
          </w:tcPr>
          <w:p w14:paraId="0A35F817" w14:textId="5771659C" w:rsidR="00A01891" w:rsidRPr="0075485D" w:rsidRDefault="00A01891" w:rsidP="00E44076">
            <w:pPr>
              <w:pStyle w:val="TableText0"/>
              <w:jc w:val="center"/>
              <w:rPr>
                <w:b/>
                <w:bCs w:val="0"/>
              </w:rPr>
            </w:pPr>
            <w:r w:rsidRPr="0075485D">
              <w:rPr>
                <w:b/>
                <w:bCs w:val="0"/>
              </w:rPr>
              <w:t>0.66 (0.53</w:t>
            </w:r>
            <w:r w:rsidR="008D2D85" w:rsidRPr="0075485D">
              <w:rPr>
                <w:b/>
                <w:bCs w:val="0"/>
              </w:rPr>
              <w:t xml:space="preserve">, </w:t>
            </w:r>
            <w:r w:rsidRPr="0075485D">
              <w:rPr>
                <w:b/>
                <w:bCs w:val="0"/>
              </w:rPr>
              <w:t>0.81)</w:t>
            </w:r>
            <w:r w:rsidRPr="0075485D">
              <w:rPr>
                <w:vertAlign w:val="superscript"/>
              </w:rPr>
              <w:t>c</w:t>
            </w:r>
            <w:r w:rsidRPr="0075485D">
              <w:t xml:space="preserve"> </w:t>
            </w:r>
          </w:p>
        </w:tc>
      </w:tr>
      <w:tr w:rsidR="00A01891" w:rsidRPr="0075485D" w14:paraId="501AE26D" w14:textId="77777777" w:rsidTr="008D2D85">
        <w:tc>
          <w:tcPr>
            <w:tcW w:w="1239" w:type="pct"/>
            <w:vAlign w:val="center"/>
          </w:tcPr>
          <w:p w14:paraId="382E3B01" w14:textId="77777777" w:rsidR="00A01891" w:rsidRPr="0075485D" w:rsidRDefault="00A01891" w:rsidP="00E44076">
            <w:pPr>
              <w:pStyle w:val="TableText0"/>
            </w:pPr>
            <w:r w:rsidRPr="0075485D">
              <w:t>ENZAMET (2019)</w:t>
            </w:r>
          </w:p>
          <w:p w14:paraId="609A57D3" w14:textId="77777777" w:rsidR="00A01891" w:rsidRPr="0075485D" w:rsidRDefault="00A01891" w:rsidP="00E44076">
            <w:pPr>
              <w:pStyle w:val="TableText0"/>
            </w:pPr>
            <w:r w:rsidRPr="0075485D">
              <w:t>Median 34mths follow up</w:t>
            </w:r>
          </w:p>
        </w:tc>
        <w:tc>
          <w:tcPr>
            <w:tcW w:w="310" w:type="pct"/>
            <w:vMerge/>
            <w:vAlign w:val="center"/>
          </w:tcPr>
          <w:p w14:paraId="1C2817EA" w14:textId="77777777" w:rsidR="00A01891" w:rsidRPr="0075485D" w:rsidRDefault="00A01891" w:rsidP="00E44076">
            <w:pPr>
              <w:pStyle w:val="TableText0"/>
              <w:jc w:val="center"/>
            </w:pPr>
          </w:p>
        </w:tc>
        <w:tc>
          <w:tcPr>
            <w:tcW w:w="775" w:type="pct"/>
            <w:vAlign w:val="center"/>
          </w:tcPr>
          <w:p w14:paraId="492A32D1" w14:textId="77777777" w:rsidR="00A01891" w:rsidRPr="0075485D" w:rsidRDefault="00A01891" w:rsidP="00E44076">
            <w:pPr>
              <w:pStyle w:val="TableText0"/>
              <w:jc w:val="center"/>
            </w:pPr>
            <w:r w:rsidRPr="0075485D">
              <w:t>102/563 (18.1%)</w:t>
            </w:r>
          </w:p>
        </w:tc>
        <w:tc>
          <w:tcPr>
            <w:tcW w:w="392" w:type="pct"/>
            <w:vAlign w:val="center"/>
          </w:tcPr>
          <w:p w14:paraId="72EC485A" w14:textId="77777777" w:rsidR="00A01891" w:rsidRPr="0075485D" w:rsidRDefault="00A01891" w:rsidP="00E44076">
            <w:pPr>
              <w:pStyle w:val="TableText0"/>
              <w:jc w:val="center"/>
            </w:pPr>
            <w:r w:rsidRPr="0075485D">
              <w:t>NR</w:t>
            </w:r>
          </w:p>
        </w:tc>
        <w:tc>
          <w:tcPr>
            <w:tcW w:w="775" w:type="pct"/>
            <w:vAlign w:val="center"/>
          </w:tcPr>
          <w:p w14:paraId="6DA08906" w14:textId="77777777" w:rsidR="00A01891" w:rsidRPr="0075485D" w:rsidRDefault="00A01891" w:rsidP="00E44076">
            <w:pPr>
              <w:pStyle w:val="TableText0"/>
              <w:jc w:val="center"/>
            </w:pPr>
            <w:r w:rsidRPr="0075485D">
              <w:t>143/562 (25.4%)</w:t>
            </w:r>
          </w:p>
        </w:tc>
        <w:tc>
          <w:tcPr>
            <w:tcW w:w="699" w:type="pct"/>
            <w:vAlign w:val="center"/>
          </w:tcPr>
          <w:p w14:paraId="42B58D69" w14:textId="77777777" w:rsidR="00A01891" w:rsidRPr="0075485D" w:rsidRDefault="00A01891" w:rsidP="00E44076">
            <w:pPr>
              <w:pStyle w:val="TableText0"/>
              <w:jc w:val="center"/>
            </w:pPr>
            <w:r w:rsidRPr="0075485D">
              <w:t>NR</w:t>
            </w:r>
          </w:p>
        </w:tc>
        <w:tc>
          <w:tcPr>
            <w:tcW w:w="811" w:type="pct"/>
            <w:gridSpan w:val="2"/>
            <w:vAlign w:val="center"/>
          </w:tcPr>
          <w:p w14:paraId="49FED414" w14:textId="3453E392" w:rsidR="00A01891" w:rsidRPr="0075485D" w:rsidRDefault="00A01891" w:rsidP="00E44076">
            <w:pPr>
              <w:pStyle w:val="TableText0"/>
              <w:jc w:val="center"/>
              <w:rPr>
                <w:b/>
                <w:bCs w:val="0"/>
              </w:rPr>
            </w:pPr>
            <w:r w:rsidRPr="0075485D">
              <w:rPr>
                <w:b/>
                <w:bCs w:val="0"/>
              </w:rPr>
              <w:t>0.67 (0.52</w:t>
            </w:r>
            <w:r w:rsidR="008D2D85" w:rsidRPr="0075485D">
              <w:rPr>
                <w:b/>
                <w:bCs w:val="0"/>
              </w:rPr>
              <w:t xml:space="preserve">, </w:t>
            </w:r>
            <w:r w:rsidRPr="0075485D">
              <w:rPr>
                <w:b/>
                <w:bCs w:val="0"/>
              </w:rPr>
              <w:t>0.86)</w:t>
            </w:r>
          </w:p>
        </w:tc>
      </w:tr>
      <w:tr w:rsidR="00A01891" w:rsidRPr="0075485D" w14:paraId="5EA5560D" w14:textId="77777777" w:rsidTr="008D2D85">
        <w:tc>
          <w:tcPr>
            <w:tcW w:w="1239" w:type="pct"/>
            <w:vAlign w:val="center"/>
          </w:tcPr>
          <w:p w14:paraId="326D3D4D" w14:textId="77777777" w:rsidR="00A01891" w:rsidRPr="0075485D" w:rsidRDefault="00A01891" w:rsidP="00E44076">
            <w:pPr>
              <w:pStyle w:val="TableText0"/>
              <w:ind w:left="249"/>
            </w:pPr>
            <w:r w:rsidRPr="0075485D">
              <w:t>No planned docetaxel</w:t>
            </w:r>
          </w:p>
        </w:tc>
        <w:tc>
          <w:tcPr>
            <w:tcW w:w="310" w:type="pct"/>
            <w:vMerge/>
            <w:vAlign w:val="center"/>
          </w:tcPr>
          <w:p w14:paraId="23D57450" w14:textId="77777777" w:rsidR="00A01891" w:rsidRPr="0075485D" w:rsidRDefault="00A01891" w:rsidP="00E44076">
            <w:pPr>
              <w:pStyle w:val="TableText0"/>
              <w:jc w:val="center"/>
            </w:pPr>
          </w:p>
        </w:tc>
        <w:tc>
          <w:tcPr>
            <w:tcW w:w="775" w:type="pct"/>
            <w:vAlign w:val="center"/>
          </w:tcPr>
          <w:p w14:paraId="4EDBE386" w14:textId="77777777" w:rsidR="00A01891" w:rsidRPr="0075485D" w:rsidRDefault="00A01891" w:rsidP="00E44076">
            <w:pPr>
              <w:pStyle w:val="TableText0"/>
              <w:jc w:val="center"/>
            </w:pPr>
            <w:r w:rsidRPr="0075485D">
              <w:t>50/309</w:t>
            </w:r>
          </w:p>
        </w:tc>
        <w:tc>
          <w:tcPr>
            <w:tcW w:w="392" w:type="pct"/>
            <w:vAlign w:val="center"/>
          </w:tcPr>
          <w:p w14:paraId="64B469F0" w14:textId="77777777" w:rsidR="00A01891" w:rsidRPr="0075485D" w:rsidRDefault="00A01891" w:rsidP="00E44076">
            <w:pPr>
              <w:pStyle w:val="TableText0"/>
              <w:jc w:val="center"/>
            </w:pPr>
            <w:r w:rsidRPr="0075485D">
              <w:t>NR</w:t>
            </w:r>
          </w:p>
        </w:tc>
        <w:tc>
          <w:tcPr>
            <w:tcW w:w="775" w:type="pct"/>
            <w:vAlign w:val="center"/>
          </w:tcPr>
          <w:p w14:paraId="7851095B" w14:textId="77777777" w:rsidR="00A01891" w:rsidRPr="0075485D" w:rsidRDefault="00A01891" w:rsidP="00E44076">
            <w:pPr>
              <w:pStyle w:val="TableText0"/>
              <w:jc w:val="center"/>
            </w:pPr>
            <w:r w:rsidRPr="0075485D">
              <w:t>88/313</w:t>
            </w:r>
          </w:p>
        </w:tc>
        <w:tc>
          <w:tcPr>
            <w:tcW w:w="699" w:type="pct"/>
            <w:vAlign w:val="center"/>
          </w:tcPr>
          <w:p w14:paraId="57E0DAD9" w14:textId="77777777" w:rsidR="00A01891" w:rsidRPr="0075485D" w:rsidRDefault="00A01891" w:rsidP="00E44076">
            <w:pPr>
              <w:pStyle w:val="TableText0"/>
              <w:jc w:val="center"/>
            </w:pPr>
            <w:r w:rsidRPr="0075485D">
              <w:t>NR</w:t>
            </w:r>
          </w:p>
        </w:tc>
        <w:tc>
          <w:tcPr>
            <w:tcW w:w="811" w:type="pct"/>
            <w:gridSpan w:val="2"/>
            <w:vAlign w:val="center"/>
          </w:tcPr>
          <w:p w14:paraId="68389B29" w14:textId="114E1FF9" w:rsidR="00A01891" w:rsidRPr="0075485D" w:rsidRDefault="00A01891" w:rsidP="00E44076">
            <w:pPr>
              <w:pStyle w:val="TableText0"/>
              <w:jc w:val="center"/>
              <w:rPr>
                <w:b/>
                <w:bCs w:val="0"/>
              </w:rPr>
            </w:pPr>
            <w:r w:rsidRPr="0075485D">
              <w:rPr>
                <w:b/>
                <w:bCs w:val="0"/>
              </w:rPr>
              <w:t>0.53 (0.37</w:t>
            </w:r>
            <w:r w:rsidR="008D2D85" w:rsidRPr="0075485D">
              <w:rPr>
                <w:b/>
                <w:bCs w:val="0"/>
              </w:rPr>
              <w:t xml:space="preserve">, </w:t>
            </w:r>
            <w:r w:rsidRPr="0075485D">
              <w:rPr>
                <w:b/>
                <w:bCs w:val="0"/>
              </w:rPr>
              <w:t>0.75)</w:t>
            </w:r>
          </w:p>
        </w:tc>
      </w:tr>
      <w:tr w:rsidR="00A01891" w:rsidRPr="0075485D" w14:paraId="3681551C" w14:textId="77777777" w:rsidTr="008D2D85">
        <w:tc>
          <w:tcPr>
            <w:tcW w:w="1239" w:type="pct"/>
            <w:vAlign w:val="center"/>
          </w:tcPr>
          <w:p w14:paraId="07E3089E" w14:textId="77777777" w:rsidR="00A01891" w:rsidRPr="0075485D" w:rsidRDefault="00A01891" w:rsidP="00E44076">
            <w:pPr>
              <w:pStyle w:val="TableText0"/>
              <w:ind w:left="249"/>
            </w:pPr>
            <w:r w:rsidRPr="0075485D">
              <w:t>Planned docetaxel</w:t>
            </w:r>
          </w:p>
        </w:tc>
        <w:tc>
          <w:tcPr>
            <w:tcW w:w="310" w:type="pct"/>
            <w:vMerge/>
            <w:vAlign w:val="center"/>
          </w:tcPr>
          <w:p w14:paraId="2BCE4B59" w14:textId="77777777" w:rsidR="00A01891" w:rsidRPr="0075485D" w:rsidRDefault="00A01891" w:rsidP="00E44076">
            <w:pPr>
              <w:pStyle w:val="TableText0"/>
              <w:jc w:val="center"/>
            </w:pPr>
          </w:p>
        </w:tc>
        <w:tc>
          <w:tcPr>
            <w:tcW w:w="775" w:type="pct"/>
            <w:vAlign w:val="center"/>
          </w:tcPr>
          <w:p w14:paraId="242D66C8" w14:textId="77777777" w:rsidR="00A01891" w:rsidRPr="0075485D" w:rsidRDefault="00A01891" w:rsidP="00E44076">
            <w:pPr>
              <w:pStyle w:val="TableText0"/>
              <w:jc w:val="center"/>
            </w:pPr>
            <w:r w:rsidRPr="0075485D">
              <w:t>52/254</w:t>
            </w:r>
          </w:p>
        </w:tc>
        <w:tc>
          <w:tcPr>
            <w:tcW w:w="392" w:type="pct"/>
            <w:vAlign w:val="center"/>
          </w:tcPr>
          <w:p w14:paraId="7CCCCB23" w14:textId="77777777" w:rsidR="00A01891" w:rsidRPr="0075485D" w:rsidRDefault="00A01891" w:rsidP="00E44076">
            <w:pPr>
              <w:pStyle w:val="TableText0"/>
              <w:jc w:val="center"/>
            </w:pPr>
            <w:r w:rsidRPr="0075485D">
              <w:t>NR</w:t>
            </w:r>
          </w:p>
        </w:tc>
        <w:tc>
          <w:tcPr>
            <w:tcW w:w="775" w:type="pct"/>
            <w:vAlign w:val="center"/>
          </w:tcPr>
          <w:p w14:paraId="5799FEAA" w14:textId="77777777" w:rsidR="00A01891" w:rsidRPr="0075485D" w:rsidRDefault="00A01891" w:rsidP="00E44076">
            <w:pPr>
              <w:pStyle w:val="TableText0"/>
              <w:jc w:val="center"/>
            </w:pPr>
            <w:r w:rsidRPr="0075485D">
              <w:t>55/249</w:t>
            </w:r>
          </w:p>
        </w:tc>
        <w:tc>
          <w:tcPr>
            <w:tcW w:w="699" w:type="pct"/>
            <w:vAlign w:val="center"/>
          </w:tcPr>
          <w:p w14:paraId="49CBB0D3" w14:textId="77777777" w:rsidR="00A01891" w:rsidRPr="0075485D" w:rsidRDefault="00A01891" w:rsidP="00E44076">
            <w:pPr>
              <w:pStyle w:val="TableText0"/>
              <w:jc w:val="center"/>
            </w:pPr>
            <w:r w:rsidRPr="0075485D">
              <w:t>NR</w:t>
            </w:r>
          </w:p>
        </w:tc>
        <w:tc>
          <w:tcPr>
            <w:tcW w:w="811" w:type="pct"/>
            <w:gridSpan w:val="2"/>
            <w:vAlign w:val="center"/>
          </w:tcPr>
          <w:p w14:paraId="264B6C2A" w14:textId="7D2D5551" w:rsidR="00A01891" w:rsidRPr="0075485D" w:rsidRDefault="00A01891" w:rsidP="00E44076">
            <w:pPr>
              <w:pStyle w:val="TableText0"/>
              <w:jc w:val="center"/>
              <w:rPr>
                <w:b/>
                <w:bCs w:val="0"/>
              </w:rPr>
            </w:pPr>
            <w:r w:rsidRPr="0075485D">
              <w:t>0.90 (0.62</w:t>
            </w:r>
            <w:r w:rsidR="008D2D85" w:rsidRPr="0075485D">
              <w:t xml:space="preserve">, </w:t>
            </w:r>
            <w:r w:rsidRPr="0075485D">
              <w:t>1.31)</w:t>
            </w:r>
          </w:p>
        </w:tc>
      </w:tr>
      <w:tr w:rsidR="00A01891" w:rsidRPr="0075485D" w14:paraId="31AB33B6" w14:textId="77777777" w:rsidTr="008D2D85">
        <w:tc>
          <w:tcPr>
            <w:tcW w:w="1239" w:type="pct"/>
            <w:vAlign w:val="center"/>
          </w:tcPr>
          <w:p w14:paraId="1AAAE273" w14:textId="77777777" w:rsidR="00A01891" w:rsidRPr="0075485D" w:rsidRDefault="00A01891" w:rsidP="00E44076">
            <w:pPr>
              <w:pStyle w:val="TableText0"/>
            </w:pPr>
            <w:r w:rsidRPr="0075485D">
              <w:t>ENZAMET (2022)</w:t>
            </w:r>
          </w:p>
          <w:p w14:paraId="28BE1000" w14:textId="77777777" w:rsidR="00A01891" w:rsidRPr="0075485D" w:rsidRDefault="00A01891" w:rsidP="00E44076">
            <w:pPr>
              <w:pStyle w:val="TableText0"/>
            </w:pPr>
            <w:r w:rsidRPr="0075485D">
              <w:t xml:space="preserve">Median 68mths follow up </w:t>
            </w:r>
          </w:p>
        </w:tc>
        <w:tc>
          <w:tcPr>
            <w:tcW w:w="310" w:type="pct"/>
            <w:vMerge/>
            <w:vAlign w:val="center"/>
          </w:tcPr>
          <w:p w14:paraId="1E7888A6" w14:textId="77777777" w:rsidR="00A01891" w:rsidRPr="0075485D" w:rsidRDefault="00A01891" w:rsidP="00E44076">
            <w:pPr>
              <w:pStyle w:val="TableText0"/>
              <w:jc w:val="center"/>
            </w:pPr>
          </w:p>
        </w:tc>
        <w:tc>
          <w:tcPr>
            <w:tcW w:w="775" w:type="pct"/>
            <w:vAlign w:val="center"/>
          </w:tcPr>
          <w:p w14:paraId="111F0812" w14:textId="77777777" w:rsidR="00A01891" w:rsidRPr="0075485D" w:rsidRDefault="00A01891" w:rsidP="00E44076">
            <w:pPr>
              <w:pStyle w:val="TableText0"/>
              <w:jc w:val="center"/>
            </w:pPr>
            <w:r w:rsidRPr="0075485D">
              <w:t>208/563 (36.9%)</w:t>
            </w:r>
          </w:p>
        </w:tc>
        <w:tc>
          <w:tcPr>
            <w:tcW w:w="392" w:type="pct"/>
            <w:vAlign w:val="center"/>
          </w:tcPr>
          <w:p w14:paraId="6E85641E" w14:textId="77777777" w:rsidR="00A01891" w:rsidRPr="0075485D" w:rsidRDefault="00A01891" w:rsidP="00E44076">
            <w:pPr>
              <w:pStyle w:val="TableText0"/>
              <w:jc w:val="center"/>
            </w:pPr>
            <w:r w:rsidRPr="0075485D">
              <w:t>NR</w:t>
            </w:r>
          </w:p>
        </w:tc>
        <w:tc>
          <w:tcPr>
            <w:tcW w:w="775" w:type="pct"/>
            <w:vAlign w:val="center"/>
          </w:tcPr>
          <w:p w14:paraId="0E5EBAFA" w14:textId="77777777" w:rsidR="00A01891" w:rsidRPr="0075485D" w:rsidRDefault="00A01891" w:rsidP="00E44076">
            <w:pPr>
              <w:pStyle w:val="TableText0"/>
              <w:jc w:val="center"/>
            </w:pPr>
            <w:r w:rsidRPr="0075485D">
              <w:t>268/562 (47.7%)</w:t>
            </w:r>
          </w:p>
        </w:tc>
        <w:tc>
          <w:tcPr>
            <w:tcW w:w="699" w:type="pct"/>
            <w:vAlign w:val="center"/>
          </w:tcPr>
          <w:p w14:paraId="6337C7D5" w14:textId="77777777" w:rsidR="00A01891" w:rsidRPr="0075485D" w:rsidRDefault="00A01891" w:rsidP="00E44076">
            <w:pPr>
              <w:pStyle w:val="TableText0"/>
              <w:jc w:val="center"/>
            </w:pPr>
            <w:r w:rsidRPr="0075485D">
              <w:t>NR</w:t>
            </w:r>
          </w:p>
        </w:tc>
        <w:tc>
          <w:tcPr>
            <w:tcW w:w="811" w:type="pct"/>
            <w:gridSpan w:val="2"/>
            <w:vAlign w:val="center"/>
          </w:tcPr>
          <w:p w14:paraId="6DFA2D5D" w14:textId="4F2EF7AA" w:rsidR="00A01891" w:rsidRPr="0075485D" w:rsidRDefault="00A01891" w:rsidP="00E44076">
            <w:pPr>
              <w:pStyle w:val="TableText0"/>
              <w:jc w:val="center"/>
              <w:rPr>
                <w:b/>
                <w:bCs w:val="0"/>
              </w:rPr>
            </w:pPr>
            <w:r w:rsidRPr="0075485D">
              <w:rPr>
                <w:b/>
                <w:bCs w:val="0"/>
              </w:rPr>
              <w:t>0.70 (0.58</w:t>
            </w:r>
            <w:r w:rsidR="008D2D85" w:rsidRPr="0075485D">
              <w:rPr>
                <w:b/>
                <w:bCs w:val="0"/>
              </w:rPr>
              <w:t xml:space="preserve">, </w:t>
            </w:r>
            <w:r w:rsidRPr="0075485D">
              <w:rPr>
                <w:b/>
                <w:bCs w:val="0"/>
              </w:rPr>
              <w:t xml:space="preserve">0.84) </w:t>
            </w:r>
          </w:p>
        </w:tc>
      </w:tr>
      <w:tr w:rsidR="00A01891" w:rsidRPr="0075485D" w14:paraId="774EE1F3" w14:textId="77777777" w:rsidTr="008D2D85">
        <w:tc>
          <w:tcPr>
            <w:tcW w:w="1239" w:type="pct"/>
            <w:vAlign w:val="center"/>
          </w:tcPr>
          <w:p w14:paraId="0FEB8864" w14:textId="77777777" w:rsidR="00A01891" w:rsidRPr="0075485D" w:rsidRDefault="00A01891" w:rsidP="00E44076">
            <w:pPr>
              <w:pStyle w:val="TableText0"/>
              <w:ind w:left="249"/>
            </w:pPr>
            <w:r w:rsidRPr="0075485D">
              <w:t>No planned docetaxel</w:t>
            </w:r>
            <w:r w:rsidRPr="0075485D">
              <w:rPr>
                <w:vertAlign w:val="superscript"/>
              </w:rPr>
              <w:t>c</w:t>
            </w:r>
          </w:p>
        </w:tc>
        <w:tc>
          <w:tcPr>
            <w:tcW w:w="310" w:type="pct"/>
            <w:vMerge/>
            <w:vAlign w:val="center"/>
          </w:tcPr>
          <w:p w14:paraId="59DC0B70" w14:textId="77777777" w:rsidR="00A01891" w:rsidRPr="0075485D" w:rsidRDefault="00A01891" w:rsidP="00E44076">
            <w:pPr>
              <w:pStyle w:val="TableText0"/>
              <w:jc w:val="center"/>
            </w:pPr>
          </w:p>
        </w:tc>
        <w:tc>
          <w:tcPr>
            <w:tcW w:w="775" w:type="pct"/>
            <w:vAlign w:val="center"/>
          </w:tcPr>
          <w:p w14:paraId="69AFC0D8" w14:textId="77777777" w:rsidR="00A01891" w:rsidRPr="0075485D" w:rsidRDefault="00A01891" w:rsidP="00E44076">
            <w:pPr>
              <w:pStyle w:val="TableText0"/>
              <w:jc w:val="center"/>
            </w:pPr>
            <w:r w:rsidRPr="0075485D">
              <w:t>100/310</w:t>
            </w:r>
            <w:r w:rsidRPr="0075485D">
              <w:rPr>
                <w:vertAlign w:val="superscript"/>
              </w:rPr>
              <w:t>d</w:t>
            </w:r>
            <w:r w:rsidRPr="0075485D">
              <w:t xml:space="preserve"> (32.4%)</w:t>
            </w:r>
          </w:p>
        </w:tc>
        <w:tc>
          <w:tcPr>
            <w:tcW w:w="392" w:type="pct"/>
            <w:vAlign w:val="center"/>
          </w:tcPr>
          <w:p w14:paraId="168613A9" w14:textId="77777777" w:rsidR="00A01891" w:rsidRPr="0075485D" w:rsidRDefault="00A01891" w:rsidP="00E44076">
            <w:pPr>
              <w:pStyle w:val="TableText0"/>
              <w:jc w:val="center"/>
            </w:pPr>
            <w:r w:rsidRPr="0075485D">
              <w:t>NR</w:t>
            </w:r>
          </w:p>
        </w:tc>
        <w:tc>
          <w:tcPr>
            <w:tcW w:w="775" w:type="pct"/>
            <w:vAlign w:val="center"/>
          </w:tcPr>
          <w:p w14:paraId="30ACF12B" w14:textId="77777777" w:rsidR="00A01891" w:rsidRPr="0075485D" w:rsidRDefault="00A01891" w:rsidP="00E44076">
            <w:pPr>
              <w:pStyle w:val="TableText0"/>
              <w:jc w:val="center"/>
            </w:pPr>
            <w:r w:rsidRPr="0075485D">
              <w:t>145/312</w:t>
            </w:r>
            <w:r w:rsidRPr="0075485D">
              <w:rPr>
                <w:vertAlign w:val="superscript"/>
              </w:rPr>
              <w:t>d</w:t>
            </w:r>
            <w:r w:rsidRPr="0075485D">
              <w:t xml:space="preserve"> (46.5%)</w:t>
            </w:r>
          </w:p>
        </w:tc>
        <w:tc>
          <w:tcPr>
            <w:tcW w:w="699" w:type="pct"/>
            <w:vAlign w:val="center"/>
          </w:tcPr>
          <w:p w14:paraId="75ACCFFE" w14:textId="77777777" w:rsidR="00A01891" w:rsidRPr="0075485D" w:rsidRDefault="00A01891" w:rsidP="00E44076">
            <w:pPr>
              <w:pStyle w:val="TableText0"/>
              <w:jc w:val="center"/>
            </w:pPr>
            <w:r w:rsidRPr="0075485D">
              <w:t>NR</w:t>
            </w:r>
          </w:p>
        </w:tc>
        <w:tc>
          <w:tcPr>
            <w:tcW w:w="811" w:type="pct"/>
            <w:gridSpan w:val="2"/>
            <w:vAlign w:val="center"/>
          </w:tcPr>
          <w:p w14:paraId="01B42728" w14:textId="57E01CAF" w:rsidR="00A01891" w:rsidRPr="0075485D" w:rsidRDefault="00A01891" w:rsidP="00E44076">
            <w:pPr>
              <w:pStyle w:val="TableText0"/>
              <w:jc w:val="center"/>
              <w:rPr>
                <w:b/>
                <w:bCs w:val="0"/>
              </w:rPr>
            </w:pPr>
            <w:r w:rsidRPr="0075485D">
              <w:rPr>
                <w:b/>
                <w:bCs w:val="0"/>
              </w:rPr>
              <w:t>0.60 (0.47</w:t>
            </w:r>
            <w:r w:rsidR="008D2D85" w:rsidRPr="0075485D">
              <w:rPr>
                <w:b/>
                <w:bCs w:val="0"/>
              </w:rPr>
              <w:t xml:space="preserve">, </w:t>
            </w:r>
            <w:r w:rsidRPr="0075485D">
              <w:rPr>
                <w:b/>
                <w:bCs w:val="0"/>
              </w:rPr>
              <w:t>0.78)</w:t>
            </w:r>
            <w:r w:rsidRPr="0075485D">
              <w:rPr>
                <w:vertAlign w:val="superscript"/>
              </w:rPr>
              <w:t>c</w:t>
            </w:r>
          </w:p>
        </w:tc>
      </w:tr>
      <w:tr w:rsidR="00A01891" w:rsidRPr="0075485D" w14:paraId="71B9E0E9" w14:textId="77777777" w:rsidTr="008D2D85">
        <w:tc>
          <w:tcPr>
            <w:tcW w:w="1239" w:type="pct"/>
            <w:vAlign w:val="center"/>
          </w:tcPr>
          <w:p w14:paraId="283F1EDE" w14:textId="77777777" w:rsidR="00A01891" w:rsidRPr="0075485D" w:rsidRDefault="00A01891" w:rsidP="00E44076">
            <w:pPr>
              <w:pStyle w:val="TableText0"/>
              <w:ind w:left="249"/>
            </w:pPr>
            <w:r w:rsidRPr="0075485D">
              <w:t>Planned docetaxel</w:t>
            </w:r>
          </w:p>
        </w:tc>
        <w:tc>
          <w:tcPr>
            <w:tcW w:w="310" w:type="pct"/>
            <w:vMerge/>
            <w:vAlign w:val="center"/>
          </w:tcPr>
          <w:p w14:paraId="188FF14F" w14:textId="77777777" w:rsidR="00A01891" w:rsidRPr="0075485D" w:rsidRDefault="00A01891" w:rsidP="00E44076">
            <w:pPr>
              <w:pStyle w:val="TableText0"/>
              <w:jc w:val="right"/>
            </w:pPr>
          </w:p>
        </w:tc>
        <w:tc>
          <w:tcPr>
            <w:tcW w:w="775" w:type="pct"/>
            <w:vAlign w:val="center"/>
          </w:tcPr>
          <w:p w14:paraId="65292230" w14:textId="77777777" w:rsidR="00A01891" w:rsidRPr="0075485D" w:rsidRDefault="00A01891" w:rsidP="00E44076">
            <w:pPr>
              <w:pStyle w:val="TableText0"/>
              <w:jc w:val="center"/>
            </w:pPr>
            <w:r w:rsidRPr="0075485D">
              <w:t>108/253</w:t>
            </w:r>
            <w:r w:rsidRPr="0075485D">
              <w:rPr>
                <w:vertAlign w:val="superscript"/>
              </w:rPr>
              <w:t>d</w:t>
            </w:r>
            <w:r w:rsidRPr="0075485D">
              <w:t xml:space="preserve"> (42.7%)</w:t>
            </w:r>
          </w:p>
        </w:tc>
        <w:tc>
          <w:tcPr>
            <w:tcW w:w="392" w:type="pct"/>
            <w:vAlign w:val="center"/>
          </w:tcPr>
          <w:p w14:paraId="76117801" w14:textId="77777777" w:rsidR="00A01891" w:rsidRPr="0075485D" w:rsidRDefault="00A01891" w:rsidP="00E44076">
            <w:pPr>
              <w:pStyle w:val="TableText0"/>
              <w:jc w:val="center"/>
            </w:pPr>
            <w:r w:rsidRPr="0075485D">
              <w:t>NR</w:t>
            </w:r>
          </w:p>
        </w:tc>
        <w:tc>
          <w:tcPr>
            <w:tcW w:w="775" w:type="pct"/>
            <w:vAlign w:val="center"/>
          </w:tcPr>
          <w:p w14:paraId="1735C623" w14:textId="77777777" w:rsidR="00A01891" w:rsidRPr="0075485D" w:rsidRDefault="00A01891" w:rsidP="00E44076">
            <w:pPr>
              <w:pStyle w:val="TableText0"/>
              <w:jc w:val="center"/>
            </w:pPr>
            <w:r w:rsidRPr="0075485D">
              <w:t>123/250</w:t>
            </w:r>
            <w:r w:rsidRPr="0075485D">
              <w:rPr>
                <w:vertAlign w:val="superscript"/>
              </w:rPr>
              <w:t>d</w:t>
            </w:r>
            <w:r w:rsidRPr="0075485D">
              <w:t xml:space="preserve"> (49.2%)</w:t>
            </w:r>
          </w:p>
        </w:tc>
        <w:tc>
          <w:tcPr>
            <w:tcW w:w="699" w:type="pct"/>
            <w:vAlign w:val="center"/>
          </w:tcPr>
          <w:p w14:paraId="04FEE54A" w14:textId="77777777" w:rsidR="00A01891" w:rsidRPr="0075485D" w:rsidRDefault="00A01891" w:rsidP="00E44076">
            <w:pPr>
              <w:pStyle w:val="TableText0"/>
              <w:jc w:val="center"/>
            </w:pPr>
            <w:r w:rsidRPr="0075485D">
              <w:t>NR</w:t>
            </w:r>
          </w:p>
        </w:tc>
        <w:tc>
          <w:tcPr>
            <w:tcW w:w="811" w:type="pct"/>
            <w:gridSpan w:val="2"/>
            <w:vAlign w:val="center"/>
          </w:tcPr>
          <w:p w14:paraId="41AF00AE" w14:textId="4BB93CF1" w:rsidR="00A01891" w:rsidRPr="0075485D" w:rsidRDefault="00A01891" w:rsidP="00E44076">
            <w:pPr>
              <w:pStyle w:val="TableText0"/>
              <w:jc w:val="center"/>
              <w:rPr>
                <w:b/>
                <w:bCs w:val="0"/>
              </w:rPr>
            </w:pPr>
            <w:r w:rsidRPr="0075485D">
              <w:rPr>
                <w:b/>
                <w:bCs w:val="0"/>
              </w:rPr>
              <w:t>0.82 (0.63</w:t>
            </w:r>
            <w:r w:rsidR="008D2D85" w:rsidRPr="0075485D">
              <w:rPr>
                <w:b/>
                <w:bCs w:val="0"/>
              </w:rPr>
              <w:t xml:space="preserve">, </w:t>
            </w:r>
            <w:r w:rsidRPr="0075485D">
              <w:rPr>
                <w:b/>
                <w:bCs w:val="0"/>
              </w:rPr>
              <w:t>1.06)</w:t>
            </w:r>
          </w:p>
        </w:tc>
      </w:tr>
      <w:tr w:rsidR="00A01891" w:rsidRPr="0075485D" w14:paraId="46E01686" w14:textId="77777777" w:rsidTr="008D2D85">
        <w:tc>
          <w:tcPr>
            <w:tcW w:w="1239" w:type="pct"/>
            <w:shd w:val="clear" w:color="auto" w:fill="F2F2F2" w:themeFill="background1" w:themeFillShade="F2"/>
            <w:vAlign w:val="center"/>
          </w:tcPr>
          <w:p w14:paraId="02F63259" w14:textId="77777777" w:rsidR="00A01891" w:rsidRPr="0075485D" w:rsidRDefault="00A01891" w:rsidP="00E44076">
            <w:pPr>
              <w:pStyle w:val="TableText0"/>
              <w:ind w:left="-35"/>
              <w:jc w:val="right"/>
              <w:rPr>
                <w:b/>
                <w:bCs w:val="0"/>
              </w:rPr>
            </w:pPr>
            <w:r w:rsidRPr="0075485D">
              <w:rPr>
                <w:b/>
                <w:bCs w:val="0"/>
              </w:rPr>
              <w:t>Pooled ENZA (no docetaxel)</w:t>
            </w:r>
          </w:p>
        </w:tc>
        <w:tc>
          <w:tcPr>
            <w:tcW w:w="310" w:type="pct"/>
            <w:vMerge/>
            <w:shd w:val="clear" w:color="auto" w:fill="F2F2F2" w:themeFill="background1" w:themeFillShade="F2"/>
            <w:vAlign w:val="center"/>
          </w:tcPr>
          <w:p w14:paraId="39F642CB" w14:textId="77777777" w:rsidR="00A01891" w:rsidRPr="0075485D" w:rsidRDefault="00A01891" w:rsidP="00E44076">
            <w:pPr>
              <w:pStyle w:val="TableText0"/>
              <w:jc w:val="right"/>
            </w:pPr>
          </w:p>
        </w:tc>
        <w:tc>
          <w:tcPr>
            <w:tcW w:w="775" w:type="pct"/>
            <w:shd w:val="clear" w:color="auto" w:fill="F2F2F2" w:themeFill="background1" w:themeFillShade="F2"/>
            <w:vAlign w:val="center"/>
          </w:tcPr>
          <w:p w14:paraId="376D4402" w14:textId="77777777" w:rsidR="00A01891" w:rsidRPr="0075485D" w:rsidRDefault="00A01891" w:rsidP="00E44076">
            <w:pPr>
              <w:pStyle w:val="TableText0"/>
              <w:jc w:val="center"/>
            </w:pPr>
            <w:r w:rsidRPr="0075485D">
              <w:t>254/884 (28.7%)</w:t>
            </w:r>
          </w:p>
        </w:tc>
        <w:tc>
          <w:tcPr>
            <w:tcW w:w="392" w:type="pct"/>
            <w:shd w:val="clear" w:color="auto" w:fill="F2F2F2" w:themeFill="background1" w:themeFillShade="F2"/>
            <w:vAlign w:val="center"/>
          </w:tcPr>
          <w:p w14:paraId="75D6DE89" w14:textId="77777777" w:rsidR="00A01891" w:rsidRPr="0075485D" w:rsidRDefault="00A01891" w:rsidP="00E44076">
            <w:pPr>
              <w:pStyle w:val="TableText0"/>
              <w:jc w:val="center"/>
            </w:pPr>
            <w:r w:rsidRPr="0075485D">
              <w:t>NR</w:t>
            </w:r>
          </w:p>
        </w:tc>
        <w:tc>
          <w:tcPr>
            <w:tcW w:w="775" w:type="pct"/>
            <w:shd w:val="clear" w:color="auto" w:fill="F2F2F2" w:themeFill="background1" w:themeFillShade="F2"/>
            <w:vAlign w:val="center"/>
          </w:tcPr>
          <w:p w14:paraId="4F24177E" w14:textId="77777777" w:rsidR="00A01891" w:rsidRPr="0075485D" w:rsidRDefault="00A01891" w:rsidP="00E44076">
            <w:pPr>
              <w:pStyle w:val="TableText0"/>
              <w:jc w:val="center"/>
            </w:pPr>
            <w:r w:rsidRPr="0075485D">
              <w:t>347/888 (39.1%)</w:t>
            </w:r>
          </w:p>
        </w:tc>
        <w:tc>
          <w:tcPr>
            <w:tcW w:w="699" w:type="pct"/>
            <w:shd w:val="clear" w:color="auto" w:fill="F2F2F2" w:themeFill="background1" w:themeFillShade="F2"/>
            <w:vAlign w:val="center"/>
          </w:tcPr>
          <w:p w14:paraId="36A62201" w14:textId="77777777" w:rsidR="00A01891" w:rsidRPr="0075485D" w:rsidRDefault="00A01891" w:rsidP="00E44076">
            <w:pPr>
              <w:pStyle w:val="TableText0"/>
              <w:jc w:val="center"/>
            </w:pPr>
            <w:r w:rsidRPr="0075485D">
              <w:t>NR</w:t>
            </w:r>
          </w:p>
        </w:tc>
        <w:tc>
          <w:tcPr>
            <w:tcW w:w="811" w:type="pct"/>
            <w:gridSpan w:val="2"/>
            <w:shd w:val="clear" w:color="auto" w:fill="F2F2F2" w:themeFill="background1" w:themeFillShade="F2"/>
            <w:vAlign w:val="center"/>
          </w:tcPr>
          <w:p w14:paraId="1E73430D" w14:textId="77777777" w:rsidR="00A01891" w:rsidRPr="0075485D" w:rsidRDefault="00A01891" w:rsidP="00E44076">
            <w:pPr>
              <w:pStyle w:val="TableText0"/>
              <w:jc w:val="center"/>
              <w:rPr>
                <w:b/>
                <w:bCs w:val="0"/>
              </w:rPr>
            </w:pPr>
            <w:r w:rsidRPr="0075485D">
              <w:rPr>
                <w:b/>
                <w:bCs w:val="0"/>
              </w:rPr>
              <w:t>0.63 (0.54, 0.75)</w:t>
            </w:r>
          </w:p>
        </w:tc>
      </w:tr>
      <w:tr w:rsidR="00A01891" w:rsidRPr="0075485D" w14:paraId="5CEE712A" w14:textId="77777777" w:rsidTr="008D2D85">
        <w:tc>
          <w:tcPr>
            <w:tcW w:w="1239" w:type="pct"/>
            <w:shd w:val="clear" w:color="auto" w:fill="F2F2F2" w:themeFill="background1" w:themeFillShade="F2"/>
            <w:vAlign w:val="center"/>
          </w:tcPr>
          <w:p w14:paraId="1DCCF37D" w14:textId="77777777" w:rsidR="00A01891" w:rsidRPr="0075485D" w:rsidRDefault="00A01891" w:rsidP="00E44076">
            <w:pPr>
              <w:pStyle w:val="TableText0"/>
              <w:ind w:left="-35"/>
              <w:jc w:val="right"/>
              <w:rPr>
                <w:b/>
                <w:bCs w:val="0"/>
              </w:rPr>
            </w:pPr>
            <w:r w:rsidRPr="0075485D">
              <w:rPr>
                <w:b/>
                <w:bCs w:val="0"/>
              </w:rPr>
              <w:t>Pooled ENZA (ITT)</w:t>
            </w:r>
          </w:p>
        </w:tc>
        <w:tc>
          <w:tcPr>
            <w:tcW w:w="310" w:type="pct"/>
            <w:vMerge/>
            <w:shd w:val="clear" w:color="auto" w:fill="F2F2F2" w:themeFill="background1" w:themeFillShade="F2"/>
            <w:vAlign w:val="center"/>
          </w:tcPr>
          <w:p w14:paraId="5AA5CFF6" w14:textId="77777777" w:rsidR="00A01891" w:rsidRPr="0075485D" w:rsidRDefault="00A01891" w:rsidP="00E44076">
            <w:pPr>
              <w:pStyle w:val="TableText0"/>
              <w:jc w:val="right"/>
            </w:pPr>
          </w:p>
        </w:tc>
        <w:tc>
          <w:tcPr>
            <w:tcW w:w="775" w:type="pct"/>
            <w:shd w:val="clear" w:color="auto" w:fill="F2F2F2" w:themeFill="background1" w:themeFillShade="F2"/>
            <w:vAlign w:val="center"/>
          </w:tcPr>
          <w:p w14:paraId="2627EA22" w14:textId="77777777" w:rsidR="00A01891" w:rsidRPr="0075485D" w:rsidRDefault="00A01891" w:rsidP="00E44076">
            <w:pPr>
              <w:pStyle w:val="TableText0"/>
              <w:jc w:val="center"/>
            </w:pPr>
            <w:r w:rsidRPr="0075485D">
              <w:t>362/1137(31.8%)</w:t>
            </w:r>
          </w:p>
        </w:tc>
        <w:tc>
          <w:tcPr>
            <w:tcW w:w="392" w:type="pct"/>
            <w:shd w:val="clear" w:color="auto" w:fill="F2F2F2" w:themeFill="background1" w:themeFillShade="F2"/>
            <w:vAlign w:val="center"/>
          </w:tcPr>
          <w:p w14:paraId="644DE50E" w14:textId="77777777" w:rsidR="00A01891" w:rsidRPr="0075485D" w:rsidRDefault="00A01891" w:rsidP="00E44076">
            <w:pPr>
              <w:pStyle w:val="TableText0"/>
              <w:jc w:val="center"/>
            </w:pPr>
            <w:r w:rsidRPr="0075485D">
              <w:t>NR</w:t>
            </w:r>
          </w:p>
        </w:tc>
        <w:tc>
          <w:tcPr>
            <w:tcW w:w="775" w:type="pct"/>
            <w:shd w:val="clear" w:color="auto" w:fill="F2F2F2" w:themeFill="background1" w:themeFillShade="F2"/>
            <w:vAlign w:val="center"/>
          </w:tcPr>
          <w:p w14:paraId="1B592799" w14:textId="77777777" w:rsidR="00A01891" w:rsidRPr="0075485D" w:rsidRDefault="00A01891" w:rsidP="00E44076">
            <w:pPr>
              <w:pStyle w:val="TableText0"/>
              <w:jc w:val="center"/>
            </w:pPr>
            <w:r w:rsidRPr="0075485D">
              <w:t>470/1138 (41.3%)</w:t>
            </w:r>
          </w:p>
        </w:tc>
        <w:tc>
          <w:tcPr>
            <w:tcW w:w="699" w:type="pct"/>
            <w:shd w:val="clear" w:color="auto" w:fill="F2F2F2" w:themeFill="background1" w:themeFillShade="F2"/>
            <w:vAlign w:val="center"/>
          </w:tcPr>
          <w:p w14:paraId="4650E66F" w14:textId="77777777" w:rsidR="00A01891" w:rsidRPr="0075485D" w:rsidRDefault="00A01891" w:rsidP="00E44076">
            <w:pPr>
              <w:pStyle w:val="TableText0"/>
              <w:jc w:val="center"/>
            </w:pPr>
            <w:r w:rsidRPr="0075485D">
              <w:t>NR</w:t>
            </w:r>
          </w:p>
        </w:tc>
        <w:tc>
          <w:tcPr>
            <w:tcW w:w="811" w:type="pct"/>
            <w:gridSpan w:val="2"/>
            <w:shd w:val="clear" w:color="auto" w:fill="F2F2F2" w:themeFill="background1" w:themeFillShade="F2"/>
            <w:vAlign w:val="center"/>
          </w:tcPr>
          <w:p w14:paraId="28A4FF9A" w14:textId="77777777" w:rsidR="00A01891" w:rsidRPr="0075485D" w:rsidRDefault="00A01891" w:rsidP="00E44076">
            <w:pPr>
              <w:pStyle w:val="TableText0"/>
              <w:jc w:val="center"/>
              <w:rPr>
                <w:b/>
                <w:bCs w:val="0"/>
              </w:rPr>
            </w:pPr>
            <w:r w:rsidRPr="0075485D">
              <w:rPr>
                <w:b/>
                <w:bCs w:val="0"/>
              </w:rPr>
              <w:t>0.68 (0.59, 0.78)</w:t>
            </w:r>
          </w:p>
        </w:tc>
      </w:tr>
      <w:tr w:rsidR="00A01891" w:rsidRPr="0075485D" w14:paraId="28A24E46" w14:textId="77777777" w:rsidTr="008D2D85">
        <w:trPr>
          <w:trHeight w:val="56"/>
        </w:trPr>
        <w:tc>
          <w:tcPr>
            <w:tcW w:w="1239" w:type="pct"/>
            <w:vAlign w:val="center"/>
          </w:tcPr>
          <w:p w14:paraId="42783744" w14:textId="77777777" w:rsidR="00A01891" w:rsidRPr="0075485D" w:rsidRDefault="00A01891" w:rsidP="00E44076">
            <w:pPr>
              <w:pStyle w:val="TableText0"/>
            </w:pPr>
            <w:r w:rsidRPr="0075485D">
              <w:t>TITAN</w:t>
            </w:r>
            <w:r w:rsidRPr="0075485D">
              <w:rPr>
                <w:vertAlign w:val="superscript"/>
              </w:rPr>
              <w:t xml:space="preserve"> </w:t>
            </w:r>
            <w:r w:rsidRPr="0075485D">
              <w:t>(2021)</w:t>
            </w:r>
            <w:r w:rsidRPr="0075485D">
              <w:rPr>
                <w:vertAlign w:val="superscript"/>
              </w:rPr>
              <w:t>c</w:t>
            </w:r>
          </w:p>
          <w:p w14:paraId="18ED11D5" w14:textId="77777777" w:rsidR="00A01891" w:rsidRPr="0075485D" w:rsidRDefault="00A01891" w:rsidP="00E44076">
            <w:pPr>
              <w:pStyle w:val="TableText0"/>
            </w:pPr>
            <w:r w:rsidRPr="0075485D">
              <w:t>Median 44mths follow up</w:t>
            </w:r>
          </w:p>
        </w:tc>
        <w:tc>
          <w:tcPr>
            <w:tcW w:w="310" w:type="pct"/>
            <w:vAlign w:val="center"/>
          </w:tcPr>
          <w:p w14:paraId="59D1E1F5" w14:textId="77777777" w:rsidR="00A01891" w:rsidRPr="0075485D" w:rsidRDefault="00A01891" w:rsidP="00E44076">
            <w:pPr>
              <w:pStyle w:val="TableText0"/>
              <w:jc w:val="center"/>
            </w:pPr>
            <w:r w:rsidRPr="0075485D">
              <w:t>APA</w:t>
            </w:r>
          </w:p>
        </w:tc>
        <w:tc>
          <w:tcPr>
            <w:tcW w:w="775" w:type="pct"/>
            <w:vAlign w:val="center"/>
          </w:tcPr>
          <w:p w14:paraId="63D65C14" w14:textId="77777777" w:rsidR="00A01891" w:rsidRPr="0075485D" w:rsidRDefault="00A01891" w:rsidP="00E44076">
            <w:pPr>
              <w:pStyle w:val="TableText0"/>
              <w:jc w:val="center"/>
            </w:pPr>
            <w:r w:rsidRPr="0075485D">
              <w:t>170/525 (32.4%)</w:t>
            </w:r>
          </w:p>
        </w:tc>
        <w:tc>
          <w:tcPr>
            <w:tcW w:w="392" w:type="pct"/>
            <w:vAlign w:val="center"/>
          </w:tcPr>
          <w:p w14:paraId="31975092" w14:textId="77777777" w:rsidR="00A01891" w:rsidRPr="0075485D" w:rsidRDefault="00A01891" w:rsidP="00E44076">
            <w:pPr>
              <w:pStyle w:val="TableText0"/>
              <w:jc w:val="center"/>
            </w:pPr>
            <w:r w:rsidRPr="0075485D">
              <w:t>NR</w:t>
            </w:r>
          </w:p>
        </w:tc>
        <w:tc>
          <w:tcPr>
            <w:tcW w:w="775" w:type="pct"/>
            <w:vAlign w:val="center"/>
          </w:tcPr>
          <w:p w14:paraId="14FABAB2" w14:textId="77777777" w:rsidR="00A01891" w:rsidRPr="0075485D" w:rsidRDefault="00A01891" w:rsidP="00E44076">
            <w:pPr>
              <w:pStyle w:val="TableText0"/>
              <w:jc w:val="center"/>
            </w:pPr>
            <w:r w:rsidRPr="0075485D">
              <w:t>235/527 (44.6%)</w:t>
            </w:r>
          </w:p>
        </w:tc>
        <w:tc>
          <w:tcPr>
            <w:tcW w:w="699" w:type="pct"/>
            <w:vAlign w:val="center"/>
          </w:tcPr>
          <w:p w14:paraId="71D90757" w14:textId="77777777" w:rsidR="00A01891" w:rsidRPr="0075485D" w:rsidRDefault="00A01891" w:rsidP="00E44076">
            <w:pPr>
              <w:pStyle w:val="TableText0"/>
              <w:jc w:val="center"/>
            </w:pPr>
            <w:r w:rsidRPr="0075485D">
              <w:t>52.2(41.9- NR)</w:t>
            </w:r>
          </w:p>
        </w:tc>
        <w:tc>
          <w:tcPr>
            <w:tcW w:w="811" w:type="pct"/>
            <w:gridSpan w:val="2"/>
            <w:vAlign w:val="center"/>
          </w:tcPr>
          <w:p w14:paraId="2DFB9C27" w14:textId="1C63BB73" w:rsidR="00A01891" w:rsidRPr="0075485D" w:rsidRDefault="00A01891" w:rsidP="00E44076">
            <w:pPr>
              <w:pStyle w:val="TableText0"/>
              <w:jc w:val="center"/>
              <w:rPr>
                <w:b/>
                <w:bCs w:val="0"/>
              </w:rPr>
            </w:pPr>
            <w:r w:rsidRPr="0075485D">
              <w:rPr>
                <w:b/>
                <w:bCs w:val="0"/>
              </w:rPr>
              <w:t>0.65 (0.53</w:t>
            </w:r>
            <w:r w:rsidR="008D2D85" w:rsidRPr="0075485D">
              <w:rPr>
                <w:b/>
                <w:bCs w:val="0"/>
              </w:rPr>
              <w:t xml:space="preserve">, </w:t>
            </w:r>
            <w:r w:rsidRPr="0075485D">
              <w:rPr>
                <w:b/>
                <w:bCs w:val="0"/>
              </w:rPr>
              <w:t>0.79)</w:t>
            </w:r>
            <w:r w:rsidRPr="0075485D">
              <w:rPr>
                <w:vertAlign w:val="superscript"/>
              </w:rPr>
              <w:t>c</w:t>
            </w:r>
            <w:r w:rsidRPr="0075485D">
              <w:rPr>
                <w:b/>
                <w:bCs w:val="0"/>
              </w:rPr>
              <w:t xml:space="preserve"> </w:t>
            </w:r>
          </w:p>
        </w:tc>
      </w:tr>
      <w:tr w:rsidR="00A01891" w:rsidRPr="0075485D" w14:paraId="59D6D722" w14:textId="77777777" w:rsidTr="008D2D85">
        <w:tc>
          <w:tcPr>
            <w:tcW w:w="4203" w:type="pct"/>
            <w:gridSpan w:val="7"/>
            <w:shd w:val="clear" w:color="auto" w:fill="F2F2F2" w:themeFill="background1" w:themeFillShade="F2"/>
            <w:vAlign w:val="center"/>
          </w:tcPr>
          <w:p w14:paraId="75A19F8E" w14:textId="77777777" w:rsidR="00A01891" w:rsidRPr="0075485D" w:rsidRDefault="00A01891" w:rsidP="00E44076">
            <w:pPr>
              <w:pStyle w:val="TableText0"/>
              <w:jc w:val="right"/>
            </w:pPr>
            <w:r w:rsidRPr="0075485D">
              <w:rPr>
                <w:b/>
              </w:rPr>
              <w:t>ITC enzalutamide (ARCHES) vs apalutamide (TITAN)</w:t>
            </w:r>
          </w:p>
        </w:tc>
        <w:tc>
          <w:tcPr>
            <w:tcW w:w="797" w:type="pct"/>
            <w:shd w:val="clear" w:color="auto" w:fill="F2F2F2" w:themeFill="background1" w:themeFillShade="F2"/>
            <w:vAlign w:val="center"/>
          </w:tcPr>
          <w:p w14:paraId="5472F967" w14:textId="77777777" w:rsidR="00A01891" w:rsidRPr="0075485D" w:rsidRDefault="00A01891" w:rsidP="00E44076">
            <w:pPr>
              <w:pStyle w:val="TableText0"/>
              <w:jc w:val="center"/>
              <w:rPr>
                <w:b/>
                <w:bCs w:val="0"/>
              </w:rPr>
            </w:pPr>
            <w:r w:rsidRPr="0075485D">
              <w:t>1.02 (0.76, 1.36)</w:t>
            </w:r>
          </w:p>
        </w:tc>
      </w:tr>
      <w:tr w:rsidR="00A01891" w:rsidRPr="0075485D" w14:paraId="0B608636" w14:textId="77777777" w:rsidTr="008D2D85">
        <w:tc>
          <w:tcPr>
            <w:tcW w:w="4203" w:type="pct"/>
            <w:gridSpan w:val="7"/>
            <w:shd w:val="clear" w:color="auto" w:fill="F2F2F2" w:themeFill="background1" w:themeFillShade="F2"/>
            <w:vAlign w:val="center"/>
          </w:tcPr>
          <w:p w14:paraId="220810B7" w14:textId="77777777" w:rsidR="00A01891" w:rsidRPr="0075485D" w:rsidRDefault="00A01891" w:rsidP="00E44076">
            <w:pPr>
              <w:pStyle w:val="TableText0"/>
              <w:jc w:val="right"/>
              <w:rPr>
                <w:b/>
              </w:rPr>
            </w:pPr>
            <w:r w:rsidRPr="0075485D">
              <w:rPr>
                <w:b/>
              </w:rPr>
              <w:t>ITC enzalutamide (pooled ARCHES+ ENZAMET no docetaxel subgroup) vs apalutamide (TITAN)</w:t>
            </w:r>
          </w:p>
        </w:tc>
        <w:tc>
          <w:tcPr>
            <w:tcW w:w="797" w:type="pct"/>
            <w:shd w:val="clear" w:color="auto" w:fill="F2F2F2" w:themeFill="background1" w:themeFillShade="F2"/>
            <w:vAlign w:val="center"/>
          </w:tcPr>
          <w:p w14:paraId="2A75FC65" w14:textId="77777777" w:rsidR="00A01891" w:rsidRPr="0075485D" w:rsidRDefault="00A01891" w:rsidP="00E44076">
            <w:pPr>
              <w:pStyle w:val="TableText0"/>
              <w:jc w:val="center"/>
              <w:rPr>
                <w:b/>
                <w:bCs w:val="0"/>
              </w:rPr>
            </w:pPr>
            <w:r w:rsidRPr="0075485D">
              <w:t>0.97 (0.75, 1.26)</w:t>
            </w:r>
          </w:p>
        </w:tc>
      </w:tr>
      <w:tr w:rsidR="00A01891" w:rsidRPr="0075485D" w14:paraId="7B946FF8" w14:textId="77777777" w:rsidTr="008D2D85">
        <w:tc>
          <w:tcPr>
            <w:tcW w:w="4203" w:type="pct"/>
            <w:gridSpan w:val="7"/>
            <w:shd w:val="clear" w:color="auto" w:fill="F2F2F2" w:themeFill="background1" w:themeFillShade="F2"/>
            <w:vAlign w:val="center"/>
          </w:tcPr>
          <w:p w14:paraId="11097F17" w14:textId="77777777" w:rsidR="00A01891" w:rsidRPr="0075485D" w:rsidRDefault="00A01891" w:rsidP="00E44076">
            <w:pPr>
              <w:pStyle w:val="TableText0"/>
              <w:jc w:val="right"/>
              <w:rPr>
                <w:b/>
              </w:rPr>
            </w:pPr>
            <w:r w:rsidRPr="0075485D">
              <w:rPr>
                <w:b/>
              </w:rPr>
              <w:t>ITC enzalutamide (pooled ARCHES+ ENZAMET ITT) vs apalutamide (TITAN)</w:t>
            </w:r>
          </w:p>
        </w:tc>
        <w:tc>
          <w:tcPr>
            <w:tcW w:w="797" w:type="pct"/>
            <w:shd w:val="clear" w:color="auto" w:fill="F2F2F2" w:themeFill="background1" w:themeFillShade="F2"/>
            <w:vAlign w:val="center"/>
          </w:tcPr>
          <w:p w14:paraId="345D550C" w14:textId="77777777" w:rsidR="00A01891" w:rsidRPr="0075485D" w:rsidRDefault="00A01891" w:rsidP="00E44076">
            <w:pPr>
              <w:pStyle w:val="TableText0"/>
              <w:jc w:val="center"/>
            </w:pPr>
            <w:r w:rsidRPr="0075485D">
              <w:t>1.05 (0.82, 1.34)</w:t>
            </w:r>
          </w:p>
        </w:tc>
      </w:tr>
    </w:tbl>
    <w:p w14:paraId="0898694B" w14:textId="60F0B3F9" w:rsidR="00A01891" w:rsidRPr="00F32398" w:rsidRDefault="00A01891" w:rsidP="00B90B63">
      <w:pPr>
        <w:pStyle w:val="TableFooter"/>
        <w:keepNext/>
      </w:pPr>
      <w:r w:rsidRPr="00F32398">
        <w:rPr>
          <w:b/>
          <w:bCs/>
        </w:rPr>
        <w:t>Bold</w:t>
      </w:r>
      <w:r w:rsidRPr="00F32398">
        <w:t xml:space="preserve"> typography indicates statistically significant results. The submission’s meta-analyses were rerun pooling using inverse variance weighting rather than by sample size using Cochrane review manager 5.4.1.</w:t>
      </w:r>
    </w:p>
    <w:p w14:paraId="5A0C20CF" w14:textId="77777777" w:rsidR="00A01891" w:rsidRPr="00B1011F" w:rsidRDefault="00A01891" w:rsidP="00B90B63">
      <w:pPr>
        <w:pStyle w:val="TableFooter"/>
        <w:keepNext/>
        <w:rPr>
          <w:sz w:val="20"/>
        </w:rPr>
      </w:pPr>
      <w:r>
        <w:t xml:space="preserve">Source: compiled during the evaluation based on data presented in Tables 2.5-1, 2.5-13, 2.5-15, 2.5-2, 2.5-12, and 2.5-14 </w:t>
      </w:r>
      <w:r w:rsidRPr="00D13A3E">
        <w:t xml:space="preserve">of the </w:t>
      </w:r>
      <w:r>
        <w:t>submission and the published trial reports.</w:t>
      </w:r>
    </w:p>
    <w:p w14:paraId="1E5398BE" w14:textId="77777777" w:rsidR="00A01891" w:rsidRDefault="00A01891" w:rsidP="00B90B63">
      <w:pPr>
        <w:pStyle w:val="TableFooter"/>
        <w:keepNext/>
        <w:rPr>
          <w:rFonts w:eastAsia="Calibri"/>
        </w:rPr>
      </w:pPr>
      <w:r>
        <w:rPr>
          <w:rFonts w:eastAsia="Calibri"/>
        </w:rPr>
        <w:t xml:space="preserve">ADT=androgen deprivation therapy; APA=apalutamide; </w:t>
      </w:r>
      <w:r w:rsidRPr="00B40358">
        <w:rPr>
          <w:rFonts w:eastAsia="Calibri"/>
        </w:rPr>
        <w:t xml:space="preserve">CI=confidence interval; </w:t>
      </w:r>
      <w:r>
        <w:rPr>
          <w:rFonts w:eastAsia="Calibri"/>
        </w:rPr>
        <w:t xml:space="preserve">ENZA=enzalutamide; HR=hazard ratio; ITC=indirect treatment comparison; </w:t>
      </w:r>
      <w:r w:rsidRPr="00B40358">
        <w:rPr>
          <w:rFonts w:eastAsia="Calibri"/>
        </w:rPr>
        <w:t>n=number of participants reporting data; N=total participants in group</w:t>
      </w:r>
      <w:r>
        <w:rPr>
          <w:rFonts w:eastAsia="Calibri"/>
        </w:rPr>
        <w:t xml:space="preserve">; NE=not evaluable; </w:t>
      </w:r>
      <w:r w:rsidRPr="001B3F42">
        <w:rPr>
          <w:rFonts w:eastAsia="Calibri"/>
        </w:rPr>
        <w:t xml:space="preserve">NR=not </w:t>
      </w:r>
      <w:r>
        <w:rPr>
          <w:rFonts w:eastAsia="Calibri"/>
        </w:rPr>
        <w:t>reached; NSAA=nonsteroidal antiandrogen.</w:t>
      </w:r>
    </w:p>
    <w:p w14:paraId="081767F3" w14:textId="77777777" w:rsidR="00A01891" w:rsidRDefault="00A01891" w:rsidP="00B90B63">
      <w:pPr>
        <w:pStyle w:val="FooterTableFigure"/>
        <w:keepNext/>
      </w:pPr>
      <w:r w:rsidRPr="00E412F7">
        <w:rPr>
          <w:vertAlign w:val="superscript"/>
        </w:rPr>
        <w:t>a</w:t>
      </w:r>
      <w:r>
        <w:tab/>
        <w:t>placebo +ADT for ARCHES and TITAN and NSAA +ADT in ENZAMET.</w:t>
      </w:r>
    </w:p>
    <w:p w14:paraId="04FB8E3A" w14:textId="77777777" w:rsidR="00A01891" w:rsidRDefault="00A01891" w:rsidP="00B90B63">
      <w:pPr>
        <w:pStyle w:val="FooterTableFigure"/>
        <w:keepNext/>
        <w:spacing w:after="0"/>
      </w:pPr>
      <w:r>
        <w:rPr>
          <w:vertAlign w:val="superscript"/>
        </w:rPr>
        <w:t>b</w:t>
      </w:r>
      <w:r>
        <w:tab/>
      </w:r>
      <w:r w:rsidRPr="00490143">
        <w:t>Radiographic</w:t>
      </w:r>
      <w:r>
        <w:t xml:space="preserve"> PFS in ARCHES and TITAN and Clinical PFS in ENZAMET.</w:t>
      </w:r>
    </w:p>
    <w:p w14:paraId="418BFC58" w14:textId="77777777" w:rsidR="00A01891" w:rsidRPr="00682C0B" w:rsidRDefault="00A01891" w:rsidP="00B90B63">
      <w:pPr>
        <w:pStyle w:val="FooterTableFigure"/>
        <w:keepNext/>
        <w:spacing w:after="0"/>
      </w:pPr>
      <w:r w:rsidRPr="00E412F7">
        <w:rPr>
          <w:vertAlign w:val="superscript"/>
        </w:rPr>
        <w:t>c</w:t>
      </w:r>
      <w:r>
        <w:tab/>
        <w:t>Data used in the submission’s butcher ITC.</w:t>
      </w:r>
    </w:p>
    <w:p w14:paraId="325C9B6E" w14:textId="67B9E2D8" w:rsidR="00A01891" w:rsidRPr="008248F0" w:rsidRDefault="00A01891" w:rsidP="001C69CB">
      <w:pPr>
        <w:pStyle w:val="In-tableHeading"/>
        <w:ind w:left="165" w:hanging="165"/>
        <w:rPr>
          <w:lang w:val="en-AU"/>
        </w:rPr>
      </w:pPr>
      <w:r w:rsidRPr="00E412F7">
        <w:rPr>
          <w:b w:val="0"/>
          <w:vertAlign w:val="superscript"/>
        </w:rPr>
        <w:t>d</w:t>
      </w:r>
      <w:r>
        <w:rPr>
          <w:vertAlign w:val="superscript"/>
        </w:rPr>
        <w:tab/>
      </w:r>
      <w:r w:rsidRPr="008248F0">
        <w:rPr>
          <w:rFonts w:eastAsia="Times New Roman" w:cs="Arial"/>
          <w:b w:val="0"/>
          <w:sz w:val="18"/>
          <w:lang w:val="en-AU"/>
        </w:rPr>
        <w:t>From Davies et al 2019 published report for ENZAMET. These Ns were inconsistent with Ns reported in Davies 2019 which were 309 and 313 for the no planned docetaxel subgroup and 254 and 249 in the planned docetaxel subgroup in the enzalutamide +ADT and NSAA+ADT treatment arms respectively.</w:t>
      </w:r>
    </w:p>
    <w:p w14:paraId="25C38E2C" w14:textId="77777777" w:rsidR="00A01891" w:rsidRPr="00056ECF" w:rsidRDefault="00A01891" w:rsidP="00A01891">
      <w:pPr>
        <w:pStyle w:val="3-BodyText"/>
        <w:numPr>
          <w:ilvl w:val="0"/>
          <w:numId w:val="0"/>
        </w:numPr>
        <w:ind w:left="720" w:hanging="720"/>
        <w:rPr>
          <w:color w:val="0066FF"/>
          <w:lang w:val="en-US"/>
        </w:rPr>
      </w:pPr>
    </w:p>
    <w:p w14:paraId="5A320533" w14:textId="47C0F34B" w:rsidR="00A01891" w:rsidRPr="008248F0" w:rsidRDefault="00A01891" w:rsidP="00A01891">
      <w:pPr>
        <w:pStyle w:val="Caption"/>
        <w:rPr>
          <w:rStyle w:val="CommentReference"/>
          <w:rFonts w:eastAsiaTheme="majorEastAsia" w:cstheme="majorBidi"/>
          <w:b/>
          <w:szCs w:val="24"/>
        </w:rPr>
      </w:pPr>
      <w:bookmarkStart w:id="31" w:name="_Ref123902405"/>
      <w:r>
        <w:rPr>
          <w:rStyle w:val="CommentReference"/>
          <w:rFonts w:eastAsiaTheme="majorEastAsia" w:cstheme="majorBidi"/>
          <w:b/>
          <w:szCs w:val="24"/>
        </w:rPr>
        <w:t>Figure</w:t>
      </w:r>
      <w:r w:rsidRPr="00D6076E">
        <w:rPr>
          <w:rStyle w:val="CommentReference"/>
          <w:rFonts w:eastAsiaTheme="majorEastAsia" w:cstheme="majorBidi"/>
          <w:b/>
          <w:szCs w:val="24"/>
        </w:rPr>
        <w:t xml:space="preserve"> </w:t>
      </w:r>
      <w:r>
        <w:rPr>
          <w:rStyle w:val="CommentReference"/>
          <w:rFonts w:eastAsiaTheme="majorEastAsia" w:cstheme="majorBidi"/>
          <w:b/>
          <w:szCs w:val="24"/>
        </w:rPr>
        <w:fldChar w:fldCharType="begin"/>
      </w:r>
      <w:r>
        <w:rPr>
          <w:rStyle w:val="CommentReference"/>
          <w:rFonts w:eastAsiaTheme="majorEastAsia" w:cstheme="majorBidi"/>
          <w:b/>
          <w:szCs w:val="24"/>
        </w:rPr>
        <w:instrText xml:space="preserve"> SEQ Figure \* ARABIC </w:instrText>
      </w:r>
      <w:r>
        <w:rPr>
          <w:rStyle w:val="CommentReference"/>
          <w:rFonts w:eastAsiaTheme="majorEastAsia" w:cstheme="majorBidi"/>
          <w:b/>
          <w:szCs w:val="24"/>
        </w:rPr>
        <w:fldChar w:fldCharType="separate"/>
      </w:r>
      <w:r w:rsidR="00307E3A">
        <w:rPr>
          <w:rStyle w:val="CommentReference"/>
          <w:rFonts w:eastAsiaTheme="majorEastAsia" w:cstheme="majorBidi"/>
          <w:b/>
          <w:noProof/>
          <w:szCs w:val="24"/>
        </w:rPr>
        <w:t>1</w:t>
      </w:r>
      <w:r>
        <w:rPr>
          <w:rStyle w:val="CommentReference"/>
          <w:rFonts w:eastAsiaTheme="majorEastAsia" w:cstheme="majorBidi"/>
          <w:b/>
          <w:szCs w:val="24"/>
        </w:rPr>
        <w:fldChar w:fldCharType="end"/>
      </w:r>
      <w:bookmarkEnd w:id="31"/>
      <w:r w:rsidRPr="00D6076E">
        <w:rPr>
          <w:rStyle w:val="CommentReference"/>
          <w:rFonts w:eastAsiaTheme="majorEastAsia" w:cstheme="majorBidi"/>
          <w:b/>
          <w:szCs w:val="24"/>
        </w:rPr>
        <w:t>:</w:t>
      </w:r>
      <w:r>
        <w:rPr>
          <w:rStyle w:val="CommentReference"/>
          <w:rFonts w:eastAsiaTheme="majorEastAsia" w:cstheme="majorBidi"/>
          <w:b/>
          <w:szCs w:val="24"/>
        </w:rPr>
        <w:t xml:space="preserve"> </w:t>
      </w:r>
      <w:r w:rsidRPr="008248F0">
        <w:rPr>
          <w:rStyle w:val="CommentReference"/>
          <w:b/>
          <w:szCs w:val="24"/>
        </w:rPr>
        <w:t>Kaplan-Meier plot of PFS (ITT populations)</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4820"/>
      </w:tblGrid>
      <w:tr w:rsidR="00A01891" w14:paraId="12BE43A1" w14:textId="77777777" w:rsidTr="00E44076">
        <w:tc>
          <w:tcPr>
            <w:tcW w:w="4531" w:type="dxa"/>
          </w:tcPr>
          <w:p w14:paraId="4BFE5FDA" w14:textId="77777777" w:rsidR="00A01891" w:rsidRPr="0055690B" w:rsidRDefault="00A01891" w:rsidP="00E44076">
            <w:pPr>
              <w:pStyle w:val="FooterTableFigure"/>
              <w:keepNext/>
              <w:keepLines/>
              <w:spacing w:after="0"/>
              <w:rPr>
                <w:b/>
                <w:vertAlign w:val="superscript"/>
              </w:rPr>
            </w:pPr>
            <w:r>
              <w:rPr>
                <w:b/>
              </w:rPr>
              <w:t>ARCHES</w:t>
            </w:r>
            <w:r>
              <w:rPr>
                <w:b/>
                <w:vertAlign w:val="superscript"/>
              </w:rPr>
              <w:t>a</w:t>
            </w:r>
          </w:p>
        </w:tc>
        <w:tc>
          <w:tcPr>
            <w:tcW w:w="4820" w:type="dxa"/>
          </w:tcPr>
          <w:p w14:paraId="78AFFE5E" w14:textId="77777777" w:rsidR="00A01891" w:rsidRPr="0055690B" w:rsidRDefault="00A01891" w:rsidP="00E44076">
            <w:pPr>
              <w:pStyle w:val="FooterTableFigure"/>
              <w:keepNext/>
              <w:keepLines/>
              <w:spacing w:after="0"/>
              <w:rPr>
                <w:b/>
                <w:vertAlign w:val="superscript"/>
              </w:rPr>
            </w:pPr>
            <w:r>
              <w:rPr>
                <w:b/>
              </w:rPr>
              <w:t>ENZAMET</w:t>
            </w:r>
            <w:r>
              <w:rPr>
                <w:b/>
                <w:vertAlign w:val="superscript"/>
              </w:rPr>
              <w:t>b</w:t>
            </w:r>
          </w:p>
        </w:tc>
      </w:tr>
      <w:tr w:rsidR="00A01891" w14:paraId="70206055" w14:textId="77777777" w:rsidTr="00E44076">
        <w:tc>
          <w:tcPr>
            <w:tcW w:w="4531" w:type="dxa"/>
          </w:tcPr>
          <w:p w14:paraId="2835251F" w14:textId="77777777" w:rsidR="00A01891" w:rsidRDefault="00A01891" w:rsidP="00E44076">
            <w:pPr>
              <w:pStyle w:val="FooterTableFigure"/>
              <w:keepNext/>
              <w:keepLines/>
              <w:spacing w:after="0"/>
              <w:rPr>
                <w:b/>
              </w:rPr>
            </w:pPr>
            <w:r>
              <w:rPr>
                <w:b/>
                <w:noProof/>
              </w:rPr>
              <w:drawing>
                <wp:inline distT="0" distB="0" distL="0" distR="0" wp14:anchorId="4FE9CF0E" wp14:editId="1C2AABA3">
                  <wp:extent cx="3086100" cy="2202180"/>
                  <wp:effectExtent l="0" t="0" r="0" b="7620"/>
                  <wp:docPr id="1" name="Picture 1" descr="Figure 1: Kaplan-Meier plot of PFS (ITT populations)&#10;AR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Kaplan-Meier plot of PFS (ITT populations)&#10;ARC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202180"/>
                          </a:xfrm>
                          <a:prstGeom prst="rect">
                            <a:avLst/>
                          </a:prstGeom>
                          <a:noFill/>
                        </pic:spPr>
                      </pic:pic>
                    </a:graphicData>
                  </a:graphic>
                </wp:inline>
              </w:drawing>
            </w:r>
          </w:p>
        </w:tc>
        <w:tc>
          <w:tcPr>
            <w:tcW w:w="4820" w:type="dxa"/>
          </w:tcPr>
          <w:p w14:paraId="19DDE17E" w14:textId="77777777" w:rsidR="00A01891" w:rsidRDefault="00A01891" w:rsidP="00E44076">
            <w:pPr>
              <w:pStyle w:val="FooterTableFigure"/>
              <w:keepNext/>
              <w:keepLines/>
              <w:spacing w:after="0"/>
              <w:rPr>
                <w:b/>
              </w:rPr>
            </w:pPr>
            <w:r>
              <w:rPr>
                <w:b/>
                <w:noProof/>
              </w:rPr>
              <w:drawing>
                <wp:inline distT="0" distB="0" distL="0" distR="0" wp14:anchorId="735B7900" wp14:editId="1F73C486">
                  <wp:extent cx="2910840" cy="2354580"/>
                  <wp:effectExtent l="0" t="0" r="3810" b="7620"/>
                  <wp:docPr id="2" name="Picture 2" descr="Figure 1: Kaplan-Meier plot of PFS (ITT populations)&#10;ENZ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of PFS (ITT populations)&#10;ENZAM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0840" cy="2354580"/>
                          </a:xfrm>
                          <a:prstGeom prst="rect">
                            <a:avLst/>
                          </a:prstGeom>
                          <a:noFill/>
                        </pic:spPr>
                      </pic:pic>
                    </a:graphicData>
                  </a:graphic>
                </wp:inline>
              </w:drawing>
            </w:r>
          </w:p>
        </w:tc>
      </w:tr>
      <w:tr w:rsidR="00A01891" w14:paraId="7DE17CB5" w14:textId="77777777" w:rsidTr="00E44076">
        <w:trPr>
          <w:trHeight w:val="118"/>
        </w:trPr>
        <w:tc>
          <w:tcPr>
            <w:tcW w:w="4531" w:type="dxa"/>
          </w:tcPr>
          <w:p w14:paraId="251C9A9C" w14:textId="77777777" w:rsidR="00A01891" w:rsidRPr="0055690B" w:rsidRDefault="00A01891" w:rsidP="00E44076">
            <w:pPr>
              <w:pStyle w:val="FooterTableFigure"/>
              <w:keepNext/>
              <w:keepLines/>
              <w:spacing w:after="0"/>
              <w:rPr>
                <w:b/>
                <w:vertAlign w:val="superscript"/>
              </w:rPr>
            </w:pPr>
            <w:r>
              <w:rPr>
                <w:b/>
              </w:rPr>
              <w:t>TITAN</w:t>
            </w:r>
            <w:r>
              <w:rPr>
                <w:b/>
                <w:vertAlign w:val="superscript"/>
              </w:rPr>
              <w:t>a</w:t>
            </w:r>
          </w:p>
        </w:tc>
        <w:tc>
          <w:tcPr>
            <w:tcW w:w="4820" w:type="dxa"/>
          </w:tcPr>
          <w:p w14:paraId="556424B8" w14:textId="77777777" w:rsidR="00A01891" w:rsidRDefault="00A01891" w:rsidP="00E44076">
            <w:pPr>
              <w:pStyle w:val="FooterTableFigure"/>
              <w:keepNext/>
              <w:keepLines/>
              <w:spacing w:after="0"/>
              <w:rPr>
                <w:b/>
              </w:rPr>
            </w:pPr>
          </w:p>
        </w:tc>
      </w:tr>
      <w:tr w:rsidR="00A01891" w14:paraId="0D90BC25" w14:textId="77777777" w:rsidTr="00E44076">
        <w:tc>
          <w:tcPr>
            <w:tcW w:w="4531" w:type="dxa"/>
          </w:tcPr>
          <w:p w14:paraId="4E7A321A" w14:textId="77777777" w:rsidR="00A01891" w:rsidRDefault="00A01891" w:rsidP="00E44076">
            <w:pPr>
              <w:pStyle w:val="FooterTableFigure"/>
              <w:keepNext/>
              <w:keepLines/>
              <w:spacing w:after="0"/>
              <w:rPr>
                <w:b/>
              </w:rPr>
            </w:pPr>
            <w:r>
              <w:rPr>
                <w:b/>
                <w:noProof/>
              </w:rPr>
              <w:drawing>
                <wp:inline distT="0" distB="0" distL="0" distR="0" wp14:anchorId="3FBAF4A4" wp14:editId="79CF92FA">
                  <wp:extent cx="2933700" cy="2225040"/>
                  <wp:effectExtent l="0" t="0" r="0" b="3810"/>
                  <wp:docPr id="3" name="Picture 3" descr="Figure 1: Kaplan-Meier plot of PFS (ITT populations)&#10;TI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Kaplan-Meier plot of PFS (ITT populations)&#10;TIT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2225040"/>
                          </a:xfrm>
                          <a:prstGeom prst="rect">
                            <a:avLst/>
                          </a:prstGeom>
                          <a:noFill/>
                        </pic:spPr>
                      </pic:pic>
                    </a:graphicData>
                  </a:graphic>
                </wp:inline>
              </w:drawing>
            </w:r>
          </w:p>
        </w:tc>
        <w:tc>
          <w:tcPr>
            <w:tcW w:w="4820" w:type="dxa"/>
          </w:tcPr>
          <w:p w14:paraId="40E0DD25" w14:textId="77777777" w:rsidR="00A01891" w:rsidRDefault="00A01891" w:rsidP="00E44076">
            <w:pPr>
              <w:pStyle w:val="FooterTableFigure"/>
              <w:keepNext/>
              <w:keepLines/>
              <w:spacing w:after="0"/>
              <w:rPr>
                <w:b/>
              </w:rPr>
            </w:pPr>
          </w:p>
        </w:tc>
      </w:tr>
    </w:tbl>
    <w:p w14:paraId="048E99E8" w14:textId="77777777" w:rsidR="00A01891" w:rsidRDefault="00A01891" w:rsidP="00A01891">
      <w:pPr>
        <w:pStyle w:val="FooterTableFigure"/>
        <w:keepNext/>
        <w:keepLines/>
      </w:pPr>
      <w:r>
        <w:t>Source: Figures 2-3, 2-17 and 2-23 of the submission.</w:t>
      </w:r>
    </w:p>
    <w:p w14:paraId="6DB3112D" w14:textId="77777777" w:rsidR="00A01891" w:rsidRDefault="00A01891" w:rsidP="00A01891">
      <w:pPr>
        <w:pStyle w:val="FooterTableFigure"/>
        <w:keepNext/>
        <w:keepLines/>
      </w:pPr>
      <w:r>
        <w:t>ADT=androgen deprivation therapy; CI=confidence interval; HR=hazard ratio; ITT=intention-to-treat; KM=Kaplan-Meier; NR=not reached; PFS=progression free survival; rPFS=radiographic progression free survival.</w:t>
      </w:r>
    </w:p>
    <w:p w14:paraId="09A6D886" w14:textId="77777777" w:rsidR="00A01891" w:rsidRDefault="00A01891" w:rsidP="00A01891">
      <w:pPr>
        <w:pStyle w:val="FooterTableFigure"/>
        <w:keepNext/>
        <w:keepLines/>
      </w:pPr>
      <w:r>
        <w:rPr>
          <w:vertAlign w:val="superscript"/>
        </w:rPr>
        <w:t>a</w:t>
      </w:r>
      <w:r>
        <w:tab/>
        <w:t>Radiographic progression free survival</w:t>
      </w:r>
    </w:p>
    <w:p w14:paraId="60CD32D1" w14:textId="77777777" w:rsidR="00A01891" w:rsidRPr="00FE70C3" w:rsidRDefault="00A01891" w:rsidP="00A01891">
      <w:pPr>
        <w:pStyle w:val="FooterTableFigure"/>
        <w:rPr>
          <w:rFonts w:eastAsia="Calibri"/>
        </w:rPr>
      </w:pPr>
      <w:r>
        <w:rPr>
          <w:vertAlign w:val="superscript"/>
        </w:rPr>
        <w:t>b</w:t>
      </w:r>
      <w:r>
        <w:tab/>
        <w:t>Clinical progression free survival</w:t>
      </w:r>
    </w:p>
    <w:p w14:paraId="3B236739" w14:textId="2EDAF7F9" w:rsidR="00A01891" w:rsidRPr="009D6CE0" w:rsidRDefault="00A01891" w:rsidP="00A01891">
      <w:pPr>
        <w:pStyle w:val="TableFigureHeading"/>
      </w:pPr>
      <w:bookmarkStart w:id="32" w:name="_Ref123902423"/>
      <w:r>
        <w:rPr>
          <w:rStyle w:val="CommentReference"/>
          <w:b/>
          <w:szCs w:val="24"/>
        </w:rPr>
        <w:t>Figure</w:t>
      </w:r>
      <w:r w:rsidRPr="00D6076E">
        <w:rPr>
          <w:rStyle w:val="CommentReference"/>
          <w:b/>
          <w:szCs w:val="24"/>
        </w:rPr>
        <w:t xml:space="preserve"> </w:t>
      </w:r>
      <w:r>
        <w:rPr>
          <w:rStyle w:val="CommentReference"/>
          <w:b/>
          <w:szCs w:val="24"/>
        </w:rPr>
        <w:fldChar w:fldCharType="begin"/>
      </w:r>
      <w:r>
        <w:rPr>
          <w:rStyle w:val="CommentReference"/>
          <w:b/>
          <w:szCs w:val="24"/>
        </w:rPr>
        <w:instrText xml:space="preserve"> SEQ Figure \* ARABIC </w:instrText>
      </w:r>
      <w:r>
        <w:rPr>
          <w:rStyle w:val="CommentReference"/>
          <w:b/>
          <w:szCs w:val="24"/>
        </w:rPr>
        <w:fldChar w:fldCharType="separate"/>
      </w:r>
      <w:r w:rsidR="00307E3A">
        <w:rPr>
          <w:rStyle w:val="CommentReference"/>
          <w:b/>
          <w:noProof/>
          <w:szCs w:val="24"/>
        </w:rPr>
        <w:t>2</w:t>
      </w:r>
      <w:r>
        <w:rPr>
          <w:rStyle w:val="CommentReference"/>
          <w:b/>
          <w:szCs w:val="24"/>
        </w:rPr>
        <w:fldChar w:fldCharType="end"/>
      </w:r>
      <w:bookmarkEnd w:id="32"/>
      <w:r w:rsidRPr="00D6076E">
        <w:rPr>
          <w:rStyle w:val="CommentReference"/>
          <w:b/>
          <w:szCs w:val="24"/>
        </w:rPr>
        <w:t xml:space="preserve">: </w:t>
      </w:r>
      <w:r w:rsidRPr="008248F0">
        <w:rPr>
          <w:rStyle w:val="CommentReference"/>
          <w:b/>
          <w:szCs w:val="24"/>
        </w:rPr>
        <w:t>Kaplan-Meier plot of OS (ITT populations)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20"/>
        <w:gridCol w:w="4394"/>
      </w:tblGrid>
      <w:tr w:rsidR="00A01891" w14:paraId="79E007AB" w14:textId="77777777" w:rsidTr="00E44076">
        <w:tc>
          <w:tcPr>
            <w:tcW w:w="4820" w:type="dxa"/>
          </w:tcPr>
          <w:p w14:paraId="583BD3BE" w14:textId="77777777" w:rsidR="00A01891" w:rsidRPr="00393A40" w:rsidRDefault="00A01891" w:rsidP="00E44076">
            <w:pPr>
              <w:pStyle w:val="FooterTableFigure"/>
              <w:keepNext/>
              <w:keepLines/>
              <w:spacing w:after="0"/>
              <w:rPr>
                <w:b/>
                <w:vertAlign w:val="superscript"/>
              </w:rPr>
            </w:pPr>
            <w:r>
              <w:rPr>
                <w:b/>
              </w:rPr>
              <w:t>ARCHES 2022 median 44.6mth follow up</w:t>
            </w:r>
          </w:p>
        </w:tc>
        <w:tc>
          <w:tcPr>
            <w:tcW w:w="4394" w:type="dxa"/>
          </w:tcPr>
          <w:p w14:paraId="0A36F84B" w14:textId="77777777" w:rsidR="00A01891" w:rsidRPr="00393A40" w:rsidRDefault="00A01891" w:rsidP="00E44076">
            <w:pPr>
              <w:pStyle w:val="FooterTableFigure"/>
              <w:keepNext/>
              <w:keepLines/>
              <w:spacing w:after="0"/>
              <w:rPr>
                <w:b/>
                <w:vertAlign w:val="superscript"/>
              </w:rPr>
            </w:pPr>
            <w:r>
              <w:rPr>
                <w:b/>
              </w:rPr>
              <w:t xml:space="preserve">ENZAMET 2019 Median 34mth follow up </w:t>
            </w:r>
            <w:r w:rsidRPr="0055690B">
              <w:rPr>
                <w:bCs/>
              </w:rPr>
              <w:t xml:space="preserve">(KM plot was not provided </w:t>
            </w:r>
            <w:r>
              <w:rPr>
                <w:bCs/>
              </w:rPr>
              <w:t xml:space="preserve">in the submission </w:t>
            </w:r>
            <w:r w:rsidRPr="0055690B">
              <w:rPr>
                <w:bCs/>
              </w:rPr>
              <w:t xml:space="preserve">for </w:t>
            </w:r>
            <w:r>
              <w:rPr>
                <w:bCs/>
              </w:rPr>
              <w:t xml:space="preserve">the </w:t>
            </w:r>
            <w:r w:rsidRPr="0055690B">
              <w:rPr>
                <w:bCs/>
              </w:rPr>
              <w:t>latest 2022 data cut, after 68mth median follow up)</w:t>
            </w:r>
          </w:p>
        </w:tc>
      </w:tr>
      <w:tr w:rsidR="00A01891" w14:paraId="6CAC8C5F" w14:textId="77777777" w:rsidTr="00E44076">
        <w:tc>
          <w:tcPr>
            <w:tcW w:w="4820" w:type="dxa"/>
          </w:tcPr>
          <w:p w14:paraId="229334B1" w14:textId="77777777" w:rsidR="00A01891" w:rsidRDefault="00A01891" w:rsidP="00E44076">
            <w:pPr>
              <w:pStyle w:val="FooterTableFigure"/>
              <w:keepNext/>
              <w:keepLines/>
              <w:spacing w:after="0"/>
              <w:rPr>
                <w:b/>
              </w:rPr>
            </w:pPr>
            <w:r>
              <w:rPr>
                <w:b/>
                <w:noProof/>
              </w:rPr>
              <w:drawing>
                <wp:inline distT="0" distB="0" distL="0" distR="0" wp14:anchorId="1F61439C" wp14:editId="70858E44">
                  <wp:extent cx="3063240" cy="2110740"/>
                  <wp:effectExtent l="0" t="0" r="3810" b="3810"/>
                  <wp:docPr id="5" name="Picture 5" descr="Figure 2: Kaplan-Meier plot of OS (ITT populations)&#10;ARCHES 2022 median 44.6mth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Kaplan-Meier plot of OS (ITT populations)&#10;ARCHES 2022 median 44.6mth follow 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3240" cy="2110740"/>
                          </a:xfrm>
                          <a:prstGeom prst="rect">
                            <a:avLst/>
                          </a:prstGeom>
                          <a:noFill/>
                        </pic:spPr>
                      </pic:pic>
                    </a:graphicData>
                  </a:graphic>
                </wp:inline>
              </w:drawing>
            </w:r>
          </w:p>
        </w:tc>
        <w:tc>
          <w:tcPr>
            <w:tcW w:w="4394" w:type="dxa"/>
          </w:tcPr>
          <w:p w14:paraId="045930AA" w14:textId="77777777" w:rsidR="00A01891" w:rsidRDefault="00A01891" w:rsidP="00E44076">
            <w:pPr>
              <w:pStyle w:val="FooterTableFigure"/>
              <w:keepNext/>
              <w:keepLines/>
              <w:spacing w:after="0"/>
              <w:rPr>
                <w:b/>
              </w:rPr>
            </w:pPr>
            <w:r>
              <w:rPr>
                <w:b/>
                <w:noProof/>
              </w:rPr>
              <w:drawing>
                <wp:inline distT="0" distB="0" distL="0" distR="0" wp14:anchorId="42B245B1" wp14:editId="1FB1F037">
                  <wp:extent cx="2705100" cy="2019300"/>
                  <wp:effectExtent l="0" t="0" r="0" b="0"/>
                  <wp:docPr id="6" name="Picture 6" descr="Figure 2: Kaplan-Meier plot of OS (ITT populations)&#10;ENZAMET 2019 Median 34mth follow up (KM plot was not provided in the submission for the latest 2022 data cut, after 68mth median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 Kaplan-Meier plot of OS (ITT populations)&#10;ENZAMET 2019 Median 34mth follow up (KM plot was not provided in the submission for the latest 2022 data cut, after 68mth median follow 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5100" cy="2019300"/>
                          </a:xfrm>
                          <a:prstGeom prst="rect">
                            <a:avLst/>
                          </a:prstGeom>
                          <a:noFill/>
                        </pic:spPr>
                      </pic:pic>
                    </a:graphicData>
                  </a:graphic>
                </wp:inline>
              </w:drawing>
            </w:r>
          </w:p>
        </w:tc>
      </w:tr>
      <w:tr w:rsidR="00A01891" w14:paraId="52C79005" w14:textId="77777777" w:rsidTr="00E44076">
        <w:trPr>
          <w:trHeight w:val="118"/>
        </w:trPr>
        <w:tc>
          <w:tcPr>
            <w:tcW w:w="4820" w:type="dxa"/>
          </w:tcPr>
          <w:p w14:paraId="32921591" w14:textId="77777777" w:rsidR="00A01891" w:rsidRDefault="00A01891" w:rsidP="00E44076">
            <w:pPr>
              <w:pStyle w:val="FooterTableFigure"/>
              <w:keepNext/>
              <w:keepLines/>
              <w:spacing w:after="0"/>
              <w:rPr>
                <w:b/>
              </w:rPr>
            </w:pPr>
            <w:r>
              <w:rPr>
                <w:b/>
              </w:rPr>
              <w:t>TITAN 2021 median 44mth follow up</w:t>
            </w:r>
          </w:p>
        </w:tc>
        <w:tc>
          <w:tcPr>
            <w:tcW w:w="4394" w:type="dxa"/>
          </w:tcPr>
          <w:p w14:paraId="29523BA9" w14:textId="77777777" w:rsidR="00A01891" w:rsidRDefault="00A01891" w:rsidP="00E44076">
            <w:pPr>
              <w:pStyle w:val="FooterTableFigure"/>
              <w:keepNext/>
              <w:keepLines/>
              <w:spacing w:after="0"/>
              <w:rPr>
                <w:b/>
              </w:rPr>
            </w:pPr>
          </w:p>
        </w:tc>
      </w:tr>
      <w:tr w:rsidR="00A01891" w14:paraId="61FF17B8" w14:textId="77777777" w:rsidTr="00E44076">
        <w:tc>
          <w:tcPr>
            <w:tcW w:w="4820" w:type="dxa"/>
          </w:tcPr>
          <w:p w14:paraId="4CECF08C" w14:textId="77777777" w:rsidR="00A01891" w:rsidRDefault="00A01891" w:rsidP="00E44076">
            <w:pPr>
              <w:pStyle w:val="FooterTableFigure"/>
              <w:keepNext/>
              <w:keepLines/>
              <w:spacing w:after="0"/>
              <w:rPr>
                <w:b/>
              </w:rPr>
            </w:pPr>
            <w:r>
              <w:rPr>
                <w:b/>
                <w:noProof/>
              </w:rPr>
              <w:drawing>
                <wp:inline distT="0" distB="0" distL="0" distR="0" wp14:anchorId="4860AE8A" wp14:editId="6A096E27">
                  <wp:extent cx="3002280" cy="1996440"/>
                  <wp:effectExtent l="0" t="0" r="7620" b="3810"/>
                  <wp:docPr id="7" name="Picture 7" descr="Figure 2: Kaplan-Meier plot of OS (ITT populations)&#10;TITAN 2021 median 44mth follow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2: Kaplan-Meier plot of OS (ITT populations)&#10;TITAN 2021 median 44mth follow 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2280" cy="1996440"/>
                          </a:xfrm>
                          <a:prstGeom prst="rect">
                            <a:avLst/>
                          </a:prstGeom>
                          <a:noFill/>
                        </pic:spPr>
                      </pic:pic>
                    </a:graphicData>
                  </a:graphic>
                </wp:inline>
              </w:drawing>
            </w:r>
          </w:p>
        </w:tc>
        <w:tc>
          <w:tcPr>
            <w:tcW w:w="4394" w:type="dxa"/>
          </w:tcPr>
          <w:p w14:paraId="38D517CE" w14:textId="77777777" w:rsidR="00A01891" w:rsidRDefault="00A01891" w:rsidP="00E44076">
            <w:pPr>
              <w:pStyle w:val="FooterTableFigure"/>
              <w:keepNext/>
              <w:keepLines/>
              <w:spacing w:after="0"/>
              <w:rPr>
                <w:b/>
              </w:rPr>
            </w:pPr>
          </w:p>
        </w:tc>
      </w:tr>
    </w:tbl>
    <w:p w14:paraId="123DDE8A" w14:textId="77777777" w:rsidR="00A01891" w:rsidRDefault="00A01891" w:rsidP="00A01891">
      <w:pPr>
        <w:pStyle w:val="FooterTableFigure"/>
        <w:keepNext/>
        <w:keepLines/>
        <w:spacing w:after="0"/>
      </w:pPr>
      <w:r>
        <w:t>Source: Figures 2-4, 2-14 and 2-22 of the submission.</w:t>
      </w:r>
    </w:p>
    <w:p w14:paraId="2C8B67DD" w14:textId="38F42F73" w:rsidR="00A01891" w:rsidRDefault="00A01891" w:rsidP="008E1354">
      <w:pPr>
        <w:pStyle w:val="In-tableHeading"/>
        <w:spacing w:after="120"/>
        <w:rPr>
          <w:rFonts w:eastAsia="Times New Roman" w:cs="Arial"/>
          <w:b w:val="0"/>
          <w:snapToGrid w:val="0"/>
          <w:sz w:val="18"/>
          <w:szCs w:val="22"/>
          <w:lang w:val="en-AU"/>
        </w:rPr>
      </w:pPr>
      <w:r w:rsidRPr="008248F0">
        <w:rPr>
          <w:rFonts w:eastAsia="Times New Roman" w:cs="Arial"/>
          <w:b w:val="0"/>
          <w:snapToGrid w:val="0"/>
          <w:sz w:val="18"/>
          <w:szCs w:val="22"/>
          <w:lang w:val="en-AU"/>
        </w:rPr>
        <w:t>ADT=androgen deprivation therapy; CI=confidence interval; ENZA=enzalutamide; HR=hazard ratio; ITT=intention-to-treat; KM=Kaplan-Meier; NE=not evaluable; NR=not reached; OS=overall survival; PBO=placebo.</w:t>
      </w:r>
    </w:p>
    <w:p w14:paraId="7B1C551C" w14:textId="2EB466DB" w:rsidR="00A01891" w:rsidRPr="003757AB" w:rsidRDefault="00A01891" w:rsidP="00A01891">
      <w:pPr>
        <w:pStyle w:val="3-BodyText"/>
        <w:rPr>
          <w:color w:val="0066FF"/>
        </w:rPr>
      </w:pPr>
      <w:r>
        <w:rPr>
          <w:rFonts w:cstheme="minorHAnsi"/>
        </w:rPr>
        <w:t>All trials demonstrated superior PFS and OS for NHA versus standard of care.</w:t>
      </w:r>
      <w:r w:rsidRPr="00EC5836">
        <w:rPr>
          <w:snapToGrid/>
          <w:color w:val="0066FF"/>
          <w:lang w:val="en-US"/>
        </w:rPr>
        <w:t xml:space="preserve"> </w:t>
      </w:r>
      <w:r>
        <w:rPr>
          <w:rFonts w:cstheme="minorHAnsi"/>
        </w:rPr>
        <w:t xml:space="preserve">ARCHES showed statistically significantly </w:t>
      </w:r>
      <w:r w:rsidRPr="00682F98">
        <w:rPr>
          <w:rFonts w:cstheme="minorHAnsi"/>
        </w:rPr>
        <w:t xml:space="preserve">better rPFS </w:t>
      </w:r>
      <w:r>
        <w:rPr>
          <w:rFonts w:cstheme="minorHAnsi"/>
        </w:rPr>
        <w:t xml:space="preserve">for enzalutamide versus placebo, with a </w:t>
      </w:r>
      <w:r w:rsidRPr="00682F98">
        <w:rPr>
          <w:rFonts w:cstheme="minorHAnsi"/>
        </w:rPr>
        <w:t xml:space="preserve">61% </w:t>
      </w:r>
      <w:r>
        <w:rPr>
          <w:rFonts w:cstheme="minorHAnsi"/>
        </w:rPr>
        <w:t xml:space="preserve">reduction in the risk of rPFS or death </w:t>
      </w:r>
      <w:r w:rsidRPr="00682F98">
        <w:rPr>
          <w:rFonts w:cstheme="minorHAnsi"/>
        </w:rPr>
        <w:t>(HR</w:t>
      </w:r>
      <w:r w:rsidR="008D2D85">
        <w:rPr>
          <w:rFonts w:cstheme="minorHAnsi"/>
        </w:rPr>
        <w:t xml:space="preserve"> =</w:t>
      </w:r>
      <w:r w:rsidRPr="00682F98">
        <w:rPr>
          <w:rFonts w:cstheme="minorHAnsi"/>
        </w:rPr>
        <w:t xml:space="preserve"> 0.39; 95% CI: 0.30</w:t>
      </w:r>
      <w:r w:rsidR="008D2D85">
        <w:rPr>
          <w:rFonts w:cstheme="minorHAnsi"/>
        </w:rPr>
        <w:t xml:space="preserve">, </w:t>
      </w:r>
      <w:r w:rsidRPr="00682F98">
        <w:rPr>
          <w:rFonts w:cstheme="minorHAnsi"/>
        </w:rPr>
        <w:t xml:space="preserve">0.50; p-value </w:t>
      </w:r>
      <w:r w:rsidR="00174628" w:rsidRPr="00682F98">
        <w:rPr>
          <w:rFonts w:cstheme="minorHAnsi"/>
        </w:rPr>
        <w:t>&lt;</w:t>
      </w:r>
      <w:r w:rsidR="00174628">
        <w:rPr>
          <w:rFonts w:cstheme="minorHAnsi"/>
        </w:rPr>
        <w:t> </w:t>
      </w:r>
      <w:r w:rsidRPr="00682F98">
        <w:rPr>
          <w:rFonts w:cstheme="minorHAnsi"/>
        </w:rPr>
        <w:t>0.001).</w:t>
      </w:r>
      <w:r>
        <w:rPr>
          <w:rFonts w:cstheme="minorHAnsi"/>
        </w:rPr>
        <w:t xml:space="preserve"> Similarly, in TITAN, t</w:t>
      </w:r>
      <w:r w:rsidRPr="00682F98">
        <w:rPr>
          <w:rFonts w:cstheme="minorHAnsi"/>
        </w:rPr>
        <w:t>here was a 52% lower risk of rPFS or death in the apalutamide</w:t>
      </w:r>
      <w:r>
        <w:rPr>
          <w:rFonts w:cstheme="minorHAnsi"/>
        </w:rPr>
        <w:t xml:space="preserve"> + ADT</w:t>
      </w:r>
      <w:r w:rsidRPr="00682F98">
        <w:rPr>
          <w:rFonts w:cstheme="minorHAnsi"/>
        </w:rPr>
        <w:t xml:space="preserve"> arm (HR</w:t>
      </w:r>
      <w:r w:rsidR="008D2D85">
        <w:rPr>
          <w:rFonts w:cstheme="minorHAnsi"/>
        </w:rPr>
        <w:t xml:space="preserve"> =</w:t>
      </w:r>
      <w:r w:rsidRPr="00682F98">
        <w:rPr>
          <w:rFonts w:cstheme="minorHAnsi"/>
        </w:rPr>
        <w:t xml:space="preserve"> 0.48; 95% CI: 0.39</w:t>
      </w:r>
      <w:r w:rsidR="008D2D85">
        <w:rPr>
          <w:rFonts w:cstheme="minorHAnsi"/>
        </w:rPr>
        <w:t xml:space="preserve">, </w:t>
      </w:r>
      <w:r w:rsidRPr="00682F98">
        <w:rPr>
          <w:rFonts w:cstheme="minorHAnsi"/>
        </w:rPr>
        <w:t>0.60; p-value &lt; 0.001)</w:t>
      </w:r>
      <w:r>
        <w:rPr>
          <w:rFonts w:cstheme="minorHAnsi"/>
        </w:rPr>
        <w:t>, compared to placebo + ADT. In ENZAMET, there was a 60% lower risk of</w:t>
      </w:r>
      <w:r w:rsidRPr="00682F98">
        <w:rPr>
          <w:rFonts w:cstheme="minorHAnsi"/>
        </w:rPr>
        <w:t xml:space="preserve"> </w:t>
      </w:r>
      <w:r>
        <w:rPr>
          <w:rFonts w:cstheme="minorHAnsi"/>
        </w:rPr>
        <w:t xml:space="preserve">clinical PFS (imaging, symptoms, signs) in the enzalutamide arm compared with NSAA </w:t>
      </w:r>
      <w:r w:rsidRPr="00682F98">
        <w:rPr>
          <w:rFonts w:cstheme="minorHAnsi"/>
        </w:rPr>
        <w:t>(HR</w:t>
      </w:r>
      <w:r w:rsidR="008D2D85">
        <w:rPr>
          <w:rFonts w:cstheme="minorHAnsi"/>
        </w:rPr>
        <w:t xml:space="preserve"> =</w:t>
      </w:r>
      <w:r w:rsidRPr="00682F98">
        <w:rPr>
          <w:rFonts w:cstheme="minorHAnsi"/>
        </w:rPr>
        <w:t xml:space="preserve"> 0.40; 95% CI: 0.33</w:t>
      </w:r>
      <w:r w:rsidR="008D2D85">
        <w:rPr>
          <w:rFonts w:cstheme="minorHAnsi"/>
        </w:rPr>
        <w:t xml:space="preserve">, </w:t>
      </w:r>
      <w:r w:rsidRPr="00682F98">
        <w:rPr>
          <w:rFonts w:cstheme="minorHAnsi"/>
        </w:rPr>
        <w:t>0.49; p-value &lt; 0.001)</w:t>
      </w:r>
      <w:r>
        <w:rPr>
          <w:rFonts w:cstheme="minorHAnsi"/>
        </w:rPr>
        <w:t>. C</w:t>
      </w:r>
      <w:r w:rsidRPr="00AE236A">
        <w:rPr>
          <w:rFonts w:cstheme="minorHAnsi"/>
        </w:rPr>
        <w:t>linical PFS risk was significantly reduced</w:t>
      </w:r>
      <w:r>
        <w:rPr>
          <w:rFonts w:cstheme="minorHAnsi"/>
        </w:rPr>
        <w:t xml:space="preserve"> in patients with and without planned docetaxel</w:t>
      </w:r>
      <w:r w:rsidRPr="00AE236A">
        <w:rPr>
          <w:rFonts w:cstheme="minorHAnsi"/>
        </w:rPr>
        <w:t xml:space="preserve"> (HR</w:t>
      </w:r>
      <w:r w:rsidR="008D2D85">
        <w:rPr>
          <w:rFonts w:cstheme="minorHAnsi"/>
        </w:rPr>
        <w:t xml:space="preserve"> = 0.48; </w:t>
      </w:r>
      <w:r>
        <w:rPr>
          <w:rFonts w:cstheme="minorHAnsi"/>
        </w:rPr>
        <w:t>95%</w:t>
      </w:r>
      <w:r w:rsidR="008D2D85">
        <w:rPr>
          <w:rFonts w:cstheme="minorHAnsi"/>
        </w:rPr>
        <w:t xml:space="preserve"> </w:t>
      </w:r>
      <w:r>
        <w:rPr>
          <w:rFonts w:cstheme="minorHAnsi"/>
        </w:rPr>
        <w:t>CI: 0.37</w:t>
      </w:r>
      <w:r w:rsidR="008D2D85">
        <w:rPr>
          <w:rFonts w:cstheme="minorHAnsi"/>
        </w:rPr>
        <w:t xml:space="preserve">, </w:t>
      </w:r>
      <w:r>
        <w:rPr>
          <w:rFonts w:cstheme="minorHAnsi"/>
        </w:rPr>
        <w:t xml:space="preserve">0.62 and </w:t>
      </w:r>
      <w:r w:rsidR="008D2D85">
        <w:rPr>
          <w:rFonts w:cstheme="minorHAnsi"/>
        </w:rPr>
        <w:t xml:space="preserve">HR = </w:t>
      </w:r>
      <w:r w:rsidRPr="00AE236A">
        <w:rPr>
          <w:rFonts w:cstheme="minorHAnsi"/>
        </w:rPr>
        <w:t>0.34</w:t>
      </w:r>
      <w:r w:rsidR="008D2D85">
        <w:rPr>
          <w:rFonts w:cstheme="minorHAnsi"/>
        </w:rPr>
        <w:t xml:space="preserve">; 95% CI: </w:t>
      </w:r>
      <w:r w:rsidRPr="00AE236A">
        <w:rPr>
          <w:rFonts w:cstheme="minorHAnsi"/>
        </w:rPr>
        <w:t>0.26</w:t>
      </w:r>
      <w:r w:rsidR="008D2D85">
        <w:rPr>
          <w:rFonts w:cstheme="minorHAnsi"/>
        </w:rPr>
        <w:t xml:space="preserve">, </w:t>
      </w:r>
      <w:r w:rsidRPr="00AE236A">
        <w:rPr>
          <w:rFonts w:cstheme="minorHAnsi"/>
        </w:rPr>
        <w:t>0.44</w:t>
      </w:r>
      <w:r>
        <w:rPr>
          <w:rFonts w:cstheme="minorHAnsi"/>
        </w:rPr>
        <w:t xml:space="preserve"> respectively)</w:t>
      </w:r>
      <w:r w:rsidRPr="00AE236A">
        <w:rPr>
          <w:rFonts w:cstheme="minorHAnsi"/>
        </w:rPr>
        <w:t>.</w:t>
      </w:r>
      <w:r>
        <w:rPr>
          <w:rFonts w:cstheme="minorHAnsi"/>
        </w:rPr>
        <w:t xml:space="preserve"> </w:t>
      </w:r>
      <w:r w:rsidRPr="00A620F9">
        <w:rPr>
          <w:snapToGrid/>
          <w:lang w:val="en-US"/>
        </w:rPr>
        <w:t>For OS</w:t>
      </w:r>
      <w:r>
        <w:rPr>
          <w:snapToGrid/>
          <w:lang w:val="en-US"/>
        </w:rPr>
        <w:t xml:space="preserve">, </w:t>
      </w:r>
      <w:r w:rsidR="006B0701">
        <w:rPr>
          <w:snapToGrid/>
          <w:lang w:val="en-US"/>
        </w:rPr>
        <w:t>at</w:t>
      </w:r>
      <w:r w:rsidR="006B0701">
        <w:rPr>
          <w:rFonts w:cstheme="minorHAnsi"/>
        </w:rPr>
        <w:t xml:space="preserve"> </w:t>
      </w:r>
      <w:r w:rsidR="008D2D85">
        <w:rPr>
          <w:rFonts w:cstheme="minorHAnsi"/>
        </w:rPr>
        <w:t>a</w:t>
      </w:r>
      <w:r>
        <w:rPr>
          <w:rFonts w:cstheme="minorHAnsi"/>
        </w:rPr>
        <w:t>ll follow up assessment points, the NHAs demonstrated a 30-35% reduction in the risk of death versus control in the ITT populations.</w:t>
      </w:r>
    </w:p>
    <w:p w14:paraId="08FA0C7C" w14:textId="3316545C" w:rsidR="00A01891" w:rsidRPr="0075485D" w:rsidRDefault="00A01891" w:rsidP="00A01891">
      <w:pPr>
        <w:pStyle w:val="3-BodyText"/>
        <w:rPr>
          <w:color w:val="0066FF"/>
        </w:rPr>
      </w:pPr>
      <w:r w:rsidRPr="0075485D">
        <w:rPr>
          <w:rFonts w:cstheme="minorHAnsi"/>
        </w:rPr>
        <w:t>There was no statistically significant improvement in OS for enzalutamide + ADT in the pre-planned docetaxel subgroup of ENZAMET (i.e., triple therapy). This differed to results from trials for abiraterone (PEACE 1</w:t>
      </w:r>
      <w:r w:rsidRPr="0075485D">
        <w:rPr>
          <w:rStyle w:val="FootnoteReference"/>
          <w:rFonts w:cstheme="minorHAnsi"/>
        </w:rPr>
        <w:footnoteReference w:id="12"/>
      </w:r>
      <w:r w:rsidRPr="0075485D">
        <w:rPr>
          <w:rFonts w:cstheme="minorHAnsi"/>
        </w:rPr>
        <w:t>) and darolutamide (ARARENS</w:t>
      </w:r>
      <w:r w:rsidRPr="0075485D">
        <w:rPr>
          <w:rStyle w:val="FootnoteReference"/>
          <w:rFonts w:cstheme="minorHAnsi"/>
        </w:rPr>
        <w:footnoteReference w:id="13"/>
      </w:r>
      <w:r w:rsidRPr="0075485D">
        <w:rPr>
          <w:rFonts w:cstheme="minorHAnsi"/>
        </w:rPr>
        <w:t>) where triple therapy (NHA + ADT + docetaxel) was found to be superior to docetaxel + ADT for OS. The reason for the difference in the results for enzalutamide was uncertain, however may be influenced by differences in trial populations and trial design</w:t>
      </w:r>
      <w:r w:rsidR="00C13B7B">
        <w:rPr>
          <w:rFonts w:cstheme="minorHAnsi"/>
        </w:rPr>
        <w:t xml:space="preserve"> and a more actively managed control group in ENZAMET (NHA + ADT + docetaxel vs NSAA + ADT + docetaxel)</w:t>
      </w:r>
      <w:r w:rsidR="00C13B7B" w:rsidRPr="0075485D">
        <w:rPr>
          <w:rFonts w:cstheme="minorHAnsi"/>
        </w:rPr>
        <w:t xml:space="preserve">. </w:t>
      </w:r>
      <w:r w:rsidRPr="0075485D">
        <w:rPr>
          <w:rFonts w:cstheme="minorHAnsi"/>
        </w:rPr>
        <w:t xml:space="preserve">For example, a higher proportion of, enrolled patients in ARASENS (86%) and PEACE 1 (100%) had confirmed M1 status indicating de-novo metastatic disease, whereas only 61% of patients from ENZAMET had confirmed M1 status </w:t>
      </w:r>
      <w:bookmarkStart w:id="33" w:name="_Hlk124328011"/>
      <w:r w:rsidRPr="0075485D">
        <w:rPr>
          <w:rFonts w:cstheme="minorHAnsi"/>
        </w:rPr>
        <w:t>(71.8% in the pre-planned docetaxel subgroup).</w:t>
      </w:r>
      <w:bookmarkEnd w:id="33"/>
      <w:r w:rsidRPr="0075485D">
        <w:rPr>
          <w:rFonts w:cstheme="minorHAnsi"/>
        </w:rPr>
        <w:t xml:space="preserve"> U</w:t>
      </w:r>
      <w:r w:rsidRPr="0075485D">
        <w:t>pdated ENZAMET OS results after 68 months of follow-up showed the subgroup of patients with M1 status at diagnosis treated with triple therapy did experience a significant OS benefit (HR</w:t>
      </w:r>
      <w:r w:rsidR="008D2D85" w:rsidRPr="0075485D">
        <w:t xml:space="preserve"> </w:t>
      </w:r>
      <w:r w:rsidRPr="0075485D">
        <w:t>=</w:t>
      </w:r>
      <w:r w:rsidR="008D2D85" w:rsidRPr="0075485D">
        <w:t xml:space="preserve"> </w:t>
      </w:r>
      <w:r w:rsidRPr="0075485D">
        <w:t>0.73</w:t>
      </w:r>
      <w:r w:rsidR="008D2D85" w:rsidRPr="0075485D">
        <w:t>;</w:t>
      </w:r>
      <w:r w:rsidRPr="0075485D">
        <w:t xml:space="preserve"> 95%</w:t>
      </w:r>
      <w:r w:rsidR="008D2D85" w:rsidRPr="0075485D">
        <w:t xml:space="preserve"> </w:t>
      </w:r>
      <w:r w:rsidRPr="0075485D">
        <w:t>CI</w:t>
      </w:r>
      <w:r w:rsidR="008D2D85" w:rsidRPr="0075485D">
        <w:t>:</w:t>
      </w:r>
      <w:r w:rsidRPr="0075485D">
        <w:t xml:space="preserve"> 0.55</w:t>
      </w:r>
      <w:r w:rsidR="008D2D85" w:rsidRPr="0075485D">
        <w:t xml:space="preserve">, </w:t>
      </w:r>
      <w:r w:rsidRPr="0075485D">
        <w:t>0.99)</w:t>
      </w:r>
      <w:r w:rsidRPr="0075485D">
        <w:rPr>
          <w:rStyle w:val="FootnoteReference"/>
        </w:rPr>
        <w:footnoteReference w:id="14"/>
      </w:r>
      <w:r w:rsidRPr="0075485D">
        <w:t>. ENZAMET was also an open label study whereas PEACE 1 an</w:t>
      </w:r>
      <w:r w:rsidR="00BE1089" w:rsidRPr="0075485D">
        <w:t>d</w:t>
      </w:r>
      <w:r w:rsidRPr="0075485D">
        <w:t xml:space="preserve"> ARASENS were double blind, this may have affected treatment choices of patients and clinicians in ENZAMET, particularly for patients in the control arms.</w:t>
      </w:r>
    </w:p>
    <w:p w14:paraId="7BBDA784" w14:textId="6881AD6B" w:rsidR="00A01891" w:rsidRPr="0075485D" w:rsidRDefault="00A01891" w:rsidP="00A01891">
      <w:pPr>
        <w:pStyle w:val="3-BodyText"/>
        <w:rPr>
          <w:color w:val="0066FF"/>
        </w:rPr>
      </w:pPr>
      <w:r w:rsidRPr="0075485D">
        <w:rPr>
          <w:rFonts w:cstheme="minorHAnsi"/>
        </w:rPr>
        <w:t xml:space="preserve">No significant differences were </w:t>
      </w:r>
      <w:r w:rsidR="008923E0">
        <w:rPr>
          <w:rFonts w:cstheme="minorHAnsi"/>
        </w:rPr>
        <w:t xml:space="preserve">demonstrated </w:t>
      </w:r>
      <w:r w:rsidR="00521F7F" w:rsidRPr="0075485D">
        <w:rPr>
          <w:rFonts w:cstheme="minorHAnsi"/>
        </w:rPr>
        <w:t>between enzalutamide and apalutamide</w:t>
      </w:r>
      <w:r w:rsidR="00521F7F">
        <w:rPr>
          <w:rFonts w:cstheme="minorHAnsi"/>
        </w:rPr>
        <w:t xml:space="preserve"> </w:t>
      </w:r>
      <w:r w:rsidR="008923E0">
        <w:rPr>
          <w:rFonts w:cstheme="minorHAnsi"/>
        </w:rPr>
        <w:t xml:space="preserve">in </w:t>
      </w:r>
      <w:r w:rsidR="00521F7F">
        <w:rPr>
          <w:rFonts w:cstheme="minorHAnsi"/>
        </w:rPr>
        <w:t xml:space="preserve">terms of </w:t>
      </w:r>
      <w:r w:rsidR="008923E0">
        <w:rPr>
          <w:rFonts w:cstheme="minorHAnsi"/>
        </w:rPr>
        <w:t>PFS or OS for any of the indirect treatment comparisons presented</w:t>
      </w:r>
      <w:r w:rsidRPr="0075485D">
        <w:rPr>
          <w:rFonts w:cstheme="minorHAnsi"/>
        </w:rPr>
        <w:t xml:space="preserve">. </w:t>
      </w:r>
    </w:p>
    <w:p w14:paraId="35D0752E" w14:textId="769B38F7" w:rsidR="00A01891" w:rsidRPr="0075485D" w:rsidRDefault="00A01891" w:rsidP="00A01891">
      <w:pPr>
        <w:pStyle w:val="3-BodyText"/>
        <w:rPr>
          <w:color w:val="0066FF"/>
        </w:rPr>
      </w:pPr>
      <w:r w:rsidRPr="0075485D">
        <w:t xml:space="preserve">Results for secondary outcomes also either numerically and/or statistically favoured enzalutamide compared to placebo/NSAA groups. Treatment with NHAs was associated with significant improvements in PSA progression, time to next antineoplastic therapy, time to castration resistance, time to SSE/SRE (ARCHES only), but not for pain progression (defined as a 30% or greater increase in BPI-SF item scores). </w:t>
      </w:r>
    </w:p>
    <w:p w14:paraId="192C33DD" w14:textId="7E8AF0DF" w:rsidR="00A01891" w:rsidRPr="0075485D" w:rsidRDefault="00A01891" w:rsidP="00A01891">
      <w:pPr>
        <w:pStyle w:val="3-BodyText"/>
      </w:pPr>
      <w:r w:rsidRPr="0075485D">
        <w:t xml:space="preserve">Results of subgroup analyses were also generally consistent with the ITT analyses. Some of the subgroups had small number of patients and events, and results need to be taken with caution. Efficacy of enzalutamide in terms of OS in mHSPC patients was not affected by ECOG status, comorbidities or docetaxel contra-indications. The effect for enzalutamide for disease volume varied in ARCHES and ENZAMET, with similar effect by disease volume in ARCHES </w:t>
      </w:r>
      <w:r w:rsidR="006B0701" w:rsidRPr="0075485D">
        <w:t>(</w:t>
      </w:r>
      <w:r w:rsidRPr="0075485D">
        <w:t>HR</w:t>
      </w:r>
      <w:r w:rsidR="006B0701" w:rsidRPr="0075485D">
        <w:t xml:space="preserve"> =</w:t>
      </w:r>
      <w:r w:rsidRPr="0075485D">
        <w:t xml:space="preserve"> 0.66</w:t>
      </w:r>
      <w:r w:rsidR="006B0701" w:rsidRPr="0075485D">
        <w:t>)</w:t>
      </w:r>
      <w:r w:rsidRPr="0075485D">
        <w:t xml:space="preserve"> for both high and low volume disease, however the difference in the low volume group did not reach statistical significance likely due to the smaller sample size. In ENZAMET, the effect of enzalutamide versus NSAA was larger in the low volume subgroup </w:t>
      </w:r>
      <w:r w:rsidR="008D2D85" w:rsidRPr="0075485D">
        <w:t>(</w:t>
      </w:r>
      <w:r w:rsidRPr="0075485D">
        <w:t>HR</w:t>
      </w:r>
      <w:r w:rsidR="008D2D85" w:rsidRPr="0075485D">
        <w:t xml:space="preserve"> = 0.43; </w:t>
      </w:r>
      <w:r w:rsidRPr="0075485D">
        <w:t>95% CI: 0.26, 0.72</w:t>
      </w:r>
      <w:r w:rsidR="008D2D85" w:rsidRPr="0075485D">
        <w:t>)</w:t>
      </w:r>
      <w:r w:rsidRPr="0075485D">
        <w:t xml:space="preserve"> versus in the high-volume group</w:t>
      </w:r>
      <w:r w:rsidR="008D2D85" w:rsidRPr="0075485D">
        <w:t xml:space="preserve"> (HR = 0.80; 95% CI: 0.59, 1.07)</w:t>
      </w:r>
      <w:r w:rsidRPr="0075485D">
        <w:t>. This may be due to the different treatments received in these stratums, as a larger proportion of high-volume patients were selected for pre-planned docetaxel treatment. Apalutamide was effective against placebo for OS irrespective of disease volume, however the effect was numerically larger in the low volume group (HR</w:t>
      </w:r>
      <w:r w:rsidR="008D2D85" w:rsidRPr="0075485D">
        <w:t xml:space="preserve"> =</w:t>
      </w:r>
      <w:r w:rsidRPr="0075485D">
        <w:t xml:space="preserve"> 0.52</w:t>
      </w:r>
      <w:r w:rsidR="008D2D85" w:rsidRPr="0075485D">
        <w:t>)</w:t>
      </w:r>
      <w:r w:rsidRPr="0075485D">
        <w:t xml:space="preserve"> versus in the high-volume group</w:t>
      </w:r>
      <w:r w:rsidR="008D2D85" w:rsidRPr="0075485D">
        <w:t xml:space="preserve"> (HR = 0.72</w:t>
      </w:r>
      <w:r w:rsidRPr="0075485D">
        <w:t>).</w:t>
      </w:r>
    </w:p>
    <w:p w14:paraId="4FCE6A12" w14:textId="497821D6" w:rsidR="00A01891" w:rsidRPr="0075485D" w:rsidRDefault="00A01891" w:rsidP="00A01891">
      <w:pPr>
        <w:pStyle w:val="3-BodyText"/>
        <w:rPr>
          <w:color w:val="0066FF"/>
        </w:rPr>
      </w:pPr>
      <w:r w:rsidRPr="0075485D">
        <w:rPr>
          <w:color w:val="000000" w:themeColor="text1"/>
        </w:rPr>
        <w:t xml:space="preserve">In ARCHES and TITAN, deterioration in quality of life was defined as a 10-point decrease in </w:t>
      </w:r>
      <w:r w:rsidRPr="0075485D">
        <w:t xml:space="preserve">Functional Assessment of Cancer Therapy – Prostate (FACT-P) total score. </w:t>
      </w:r>
      <w:r w:rsidRPr="0075485D">
        <w:rPr>
          <w:rFonts w:cstheme="minorHAnsi"/>
        </w:rPr>
        <w:t xml:space="preserve">Comparing enzalutamide and apalutamide groups to the placebo group, there was no difference in the time to deterioration of quality of life based on the FACT-P total score. In ENZAMET, Overall Health related Quality of Life (OHRQL) was measured using the European Organisation for Research and Treatment of Cancer (EORTC) core quality-of-life questionnaire and </w:t>
      </w:r>
      <w:r w:rsidRPr="0075485D">
        <w:t>QLM-PR25 and EQ5D. Enzalutamide was associated with worsening of self-reported fatigue, cognitive function, and physical function, but not OHRQL. Enzalutamide was however associated with improved deterioration-free survival for OHRQL, physical function, and cognitive function because delays in disease progression outweighed early deteriorations in these aspects of health-related quality of life.</w:t>
      </w:r>
    </w:p>
    <w:p w14:paraId="6066C1B9" w14:textId="77777777" w:rsidR="00A01891" w:rsidRPr="00C9624D" w:rsidRDefault="00A01891" w:rsidP="00A01891">
      <w:pPr>
        <w:pStyle w:val="4-SubsectionHeading"/>
      </w:pPr>
      <w:bookmarkStart w:id="34" w:name="_Toc22897642"/>
      <w:bookmarkStart w:id="35" w:name="_Toc124324277"/>
      <w:bookmarkStart w:id="36" w:name="_Toc124862871"/>
      <w:r w:rsidRPr="00C9624D">
        <w:t>Comparative harms</w:t>
      </w:r>
      <w:bookmarkEnd w:id="34"/>
      <w:bookmarkEnd w:id="35"/>
      <w:bookmarkEnd w:id="36"/>
    </w:p>
    <w:p w14:paraId="6122AE3F" w14:textId="3DB41317" w:rsidR="00A01891" w:rsidRDefault="00A01891" w:rsidP="00A01891">
      <w:pPr>
        <w:pStyle w:val="3-BodyText"/>
        <w:rPr>
          <w:color w:val="0066FF"/>
        </w:rPr>
      </w:pPr>
      <w:r>
        <w:fldChar w:fldCharType="begin"/>
      </w:r>
      <w:r>
        <w:instrText xml:space="preserve"> REF _Ref123902569 \h </w:instrText>
      </w:r>
      <w:r>
        <w:fldChar w:fldCharType="separate"/>
      </w:r>
      <w:r w:rsidR="00307E3A">
        <w:t xml:space="preserve">Table </w:t>
      </w:r>
      <w:r w:rsidR="00307E3A">
        <w:rPr>
          <w:noProof/>
        </w:rPr>
        <w:t>5</w:t>
      </w:r>
      <w:r>
        <w:fldChar w:fldCharType="end"/>
      </w:r>
      <w:r w:rsidRPr="007F5056">
        <w:t xml:space="preserve"> summarises </w:t>
      </w:r>
      <w:r>
        <w:t>treatment emergent</w:t>
      </w:r>
      <w:r w:rsidRPr="005E1708">
        <w:t xml:space="preserve"> adverse events (</w:t>
      </w:r>
      <w:r>
        <w:t>TE</w:t>
      </w:r>
      <w:r w:rsidRPr="005E1708">
        <w:t xml:space="preserve">AEs) in </w:t>
      </w:r>
      <w:r>
        <w:t>ARCHES, ENZAMET and TITAN</w:t>
      </w:r>
      <w:r w:rsidRPr="005E1708">
        <w:t>.</w:t>
      </w:r>
    </w:p>
    <w:p w14:paraId="0A839123" w14:textId="16930C44" w:rsidR="00A01891" w:rsidRPr="00D86231" w:rsidRDefault="00A01891" w:rsidP="00A01891">
      <w:pPr>
        <w:pStyle w:val="TableFigureHeading"/>
        <w:rPr>
          <w:rStyle w:val="CommentReference"/>
          <w:b/>
          <w:szCs w:val="24"/>
        </w:rPr>
      </w:pPr>
      <w:bookmarkStart w:id="37" w:name="_Ref123902569"/>
      <w:r>
        <w:t xml:space="preserve">Table </w:t>
      </w:r>
      <w:fldSimple w:instr=" SEQ Table \* ARABIC ">
        <w:r w:rsidR="00307E3A">
          <w:rPr>
            <w:noProof/>
          </w:rPr>
          <w:t>5</w:t>
        </w:r>
      </w:fldSimple>
      <w:bookmarkEnd w:id="37"/>
      <w:r>
        <w:t xml:space="preserve">: </w:t>
      </w:r>
      <w:r w:rsidRPr="00D86231">
        <w:rPr>
          <w:rStyle w:val="CommentReference"/>
          <w:b/>
          <w:szCs w:val="24"/>
        </w:rPr>
        <w:t>Summary of key adverse events in the trials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09"/>
        <w:gridCol w:w="709"/>
        <w:gridCol w:w="992"/>
        <w:gridCol w:w="709"/>
        <w:gridCol w:w="708"/>
        <w:gridCol w:w="993"/>
        <w:gridCol w:w="708"/>
        <w:gridCol w:w="709"/>
        <w:gridCol w:w="992"/>
      </w:tblGrid>
      <w:tr w:rsidR="00A01891" w:rsidRPr="0075485D" w14:paraId="5389F5DC" w14:textId="77777777" w:rsidTr="00843891">
        <w:tc>
          <w:tcPr>
            <w:tcW w:w="1838" w:type="dxa"/>
            <w:tcBorders>
              <w:bottom w:val="nil"/>
            </w:tcBorders>
            <w:vAlign w:val="center"/>
          </w:tcPr>
          <w:p w14:paraId="7463B4EB" w14:textId="77777777" w:rsidR="00A01891" w:rsidRPr="0075485D" w:rsidRDefault="00A01891" w:rsidP="00E44076">
            <w:pPr>
              <w:pStyle w:val="In-tableHeading"/>
            </w:pPr>
            <w:r w:rsidRPr="0075485D">
              <w:t>Trial ID</w:t>
            </w:r>
          </w:p>
        </w:tc>
        <w:tc>
          <w:tcPr>
            <w:tcW w:w="2410" w:type="dxa"/>
            <w:gridSpan w:val="3"/>
            <w:vAlign w:val="center"/>
          </w:tcPr>
          <w:p w14:paraId="302086F8" w14:textId="77777777" w:rsidR="00A01891" w:rsidRPr="0075485D" w:rsidRDefault="00A01891" w:rsidP="00E44076">
            <w:pPr>
              <w:pStyle w:val="In-tableHeading"/>
              <w:jc w:val="center"/>
            </w:pPr>
            <w:r w:rsidRPr="0075485D">
              <w:t>ARCHES</w:t>
            </w:r>
          </w:p>
        </w:tc>
        <w:tc>
          <w:tcPr>
            <w:tcW w:w="2410" w:type="dxa"/>
            <w:gridSpan w:val="3"/>
            <w:vAlign w:val="center"/>
          </w:tcPr>
          <w:p w14:paraId="6AE6ABA3" w14:textId="77777777" w:rsidR="00A01891" w:rsidRPr="0075485D" w:rsidRDefault="00A01891" w:rsidP="00E44076">
            <w:pPr>
              <w:pStyle w:val="In-tableHeading"/>
              <w:jc w:val="center"/>
            </w:pPr>
            <w:r w:rsidRPr="0075485D">
              <w:t>ENZAMET</w:t>
            </w:r>
          </w:p>
        </w:tc>
        <w:tc>
          <w:tcPr>
            <w:tcW w:w="2409" w:type="dxa"/>
            <w:gridSpan w:val="3"/>
          </w:tcPr>
          <w:p w14:paraId="2E537A5C" w14:textId="77777777" w:rsidR="00A01891" w:rsidRPr="0075485D" w:rsidRDefault="00A01891" w:rsidP="00E44076">
            <w:pPr>
              <w:pStyle w:val="In-tableHeading"/>
              <w:jc w:val="center"/>
            </w:pPr>
            <w:r w:rsidRPr="0075485D">
              <w:t>TITAN</w:t>
            </w:r>
          </w:p>
        </w:tc>
      </w:tr>
      <w:tr w:rsidR="00A01891" w:rsidRPr="0075485D" w14:paraId="7A8ABD80" w14:textId="77777777" w:rsidTr="00843891">
        <w:tc>
          <w:tcPr>
            <w:tcW w:w="1838" w:type="dxa"/>
            <w:tcBorders>
              <w:top w:val="nil"/>
            </w:tcBorders>
            <w:vAlign w:val="center"/>
          </w:tcPr>
          <w:p w14:paraId="6EA9DBF9" w14:textId="77777777" w:rsidR="00A01891" w:rsidRPr="0075485D" w:rsidRDefault="00A01891" w:rsidP="00E44076">
            <w:pPr>
              <w:pStyle w:val="In-tableHeading"/>
              <w:jc w:val="center"/>
            </w:pPr>
          </w:p>
        </w:tc>
        <w:tc>
          <w:tcPr>
            <w:tcW w:w="709" w:type="dxa"/>
            <w:vAlign w:val="center"/>
          </w:tcPr>
          <w:p w14:paraId="0568E49C" w14:textId="77777777" w:rsidR="00A01891" w:rsidRPr="0075485D" w:rsidRDefault="00A01891" w:rsidP="00E44076">
            <w:pPr>
              <w:pStyle w:val="In-tableHeading"/>
              <w:jc w:val="center"/>
            </w:pPr>
            <w:r w:rsidRPr="0075485D">
              <w:t>ENZA</w:t>
            </w:r>
          </w:p>
          <w:p w14:paraId="2416DF9C" w14:textId="77777777" w:rsidR="00A01891" w:rsidRPr="0075485D" w:rsidRDefault="00A01891" w:rsidP="00E44076">
            <w:pPr>
              <w:pStyle w:val="In-tableHeading"/>
              <w:jc w:val="center"/>
            </w:pPr>
            <w:r w:rsidRPr="0075485D">
              <w:t>N=572</w:t>
            </w:r>
          </w:p>
          <w:p w14:paraId="1C8D1A39" w14:textId="77777777" w:rsidR="00A01891" w:rsidRPr="0075485D" w:rsidRDefault="00A01891" w:rsidP="00E44076">
            <w:pPr>
              <w:pStyle w:val="In-tableHeading"/>
              <w:jc w:val="center"/>
            </w:pPr>
            <w:r w:rsidRPr="0075485D">
              <w:t xml:space="preserve"> n (%)</w:t>
            </w:r>
          </w:p>
        </w:tc>
        <w:tc>
          <w:tcPr>
            <w:tcW w:w="709" w:type="dxa"/>
            <w:vAlign w:val="center"/>
          </w:tcPr>
          <w:p w14:paraId="6C33B92C" w14:textId="77777777" w:rsidR="00A01891" w:rsidRPr="0075485D" w:rsidRDefault="00A01891" w:rsidP="00E44076">
            <w:pPr>
              <w:pStyle w:val="In-tableHeading"/>
              <w:jc w:val="center"/>
            </w:pPr>
            <w:r w:rsidRPr="0075485D">
              <w:t>PBO</w:t>
            </w:r>
          </w:p>
          <w:p w14:paraId="1753BD3B" w14:textId="77777777" w:rsidR="00A01891" w:rsidRPr="0075485D" w:rsidRDefault="00A01891" w:rsidP="00E44076">
            <w:pPr>
              <w:pStyle w:val="In-tableHeading"/>
              <w:jc w:val="center"/>
            </w:pPr>
            <w:r w:rsidRPr="0075485D">
              <w:t>N=574</w:t>
            </w:r>
          </w:p>
          <w:p w14:paraId="028F37CF" w14:textId="77777777" w:rsidR="00A01891" w:rsidRPr="0075485D" w:rsidRDefault="00A01891" w:rsidP="00E44076">
            <w:pPr>
              <w:pStyle w:val="In-tableHeading"/>
              <w:jc w:val="center"/>
            </w:pPr>
            <w:r w:rsidRPr="0075485D">
              <w:t>n (%)</w:t>
            </w:r>
          </w:p>
        </w:tc>
        <w:tc>
          <w:tcPr>
            <w:tcW w:w="992" w:type="dxa"/>
            <w:vAlign w:val="center"/>
          </w:tcPr>
          <w:p w14:paraId="4B5CBC97" w14:textId="77777777" w:rsidR="00A01891" w:rsidRPr="0075485D" w:rsidRDefault="00A01891" w:rsidP="00E44076">
            <w:pPr>
              <w:pStyle w:val="In-tableHeading"/>
              <w:jc w:val="center"/>
            </w:pPr>
            <w:r w:rsidRPr="0075485D">
              <w:t>RD</w:t>
            </w:r>
          </w:p>
          <w:p w14:paraId="3FBBD622" w14:textId="77777777" w:rsidR="00A01891" w:rsidRPr="0075485D" w:rsidRDefault="00A01891" w:rsidP="00E44076">
            <w:pPr>
              <w:pStyle w:val="In-tableHeading"/>
              <w:jc w:val="center"/>
            </w:pPr>
            <w:r w:rsidRPr="0075485D">
              <w:t>(95% CI)</w:t>
            </w:r>
          </w:p>
        </w:tc>
        <w:tc>
          <w:tcPr>
            <w:tcW w:w="709" w:type="dxa"/>
            <w:vAlign w:val="center"/>
          </w:tcPr>
          <w:p w14:paraId="2412A8B3" w14:textId="77777777" w:rsidR="00A01891" w:rsidRPr="0075485D" w:rsidRDefault="00A01891" w:rsidP="00E44076">
            <w:pPr>
              <w:pStyle w:val="In-tableHeading"/>
              <w:jc w:val="center"/>
            </w:pPr>
            <w:r w:rsidRPr="0075485D">
              <w:t>ENZA</w:t>
            </w:r>
          </w:p>
          <w:p w14:paraId="7ADEA667" w14:textId="77777777" w:rsidR="00A01891" w:rsidRPr="0075485D" w:rsidRDefault="00A01891" w:rsidP="00E44076">
            <w:pPr>
              <w:pStyle w:val="In-tableHeading"/>
              <w:jc w:val="center"/>
            </w:pPr>
            <w:r w:rsidRPr="0075485D">
              <w:t>N=563</w:t>
            </w:r>
          </w:p>
          <w:p w14:paraId="4AA2B348" w14:textId="77777777" w:rsidR="00A01891" w:rsidRPr="0075485D" w:rsidRDefault="00A01891" w:rsidP="00E44076">
            <w:pPr>
              <w:pStyle w:val="In-tableHeading"/>
              <w:jc w:val="center"/>
            </w:pPr>
            <w:r w:rsidRPr="0075485D">
              <w:t>n (%)</w:t>
            </w:r>
          </w:p>
        </w:tc>
        <w:tc>
          <w:tcPr>
            <w:tcW w:w="708" w:type="dxa"/>
            <w:vAlign w:val="center"/>
          </w:tcPr>
          <w:p w14:paraId="5EC4A05B" w14:textId="77777777" w:rsidR="00A01891" w:rsidRPr="0075485D" w:rsidRDefault="00A01891" w:rsidP="00E44076">
            <w:pPr>
              <w:pStyle w:val="In-tableHeading"/>
              <w:jc w:val="center"/>
            </w:pPr>
            <w:r w:rsidRPr="0075485D">
              <w:t>NSAA</w:t>
            </w:r>
          </w:p>
          <w:p w14:paraId="38489CAC" w14:textId="77777777" w:rsidR="00A01891" w:rsidRPr="0075485D" w:rsidRDefault="00A01891" w:rsidP="00E44076">
            <w:pPr>
              <w:pStyle w:val="In-tableHeading"/>
              <w:jc w:val="center"/>
            </w:pPr>
            <w:r w:rsidRPr="0075485D">
              <w:t>N=558</w:t>
            </w:r>
          </w:p>
          <w:p w14:paraId="54AF559D" w14:textId="77777777" w:rsidR="00A01891" w:rsidRPr="0075485D" w:rsidRDefault="00A01891" w:rsidP="00E44076">
            <w:pPr>
              <w:pStyle w:val="In-tableHeading"/>
              <w:jc w:val="center"/>
            </w:pPr>
            <w:r w:rsidRPr="0075485D">
              <w:t>n (%)</w:t>
            </w:r>
          </w:p>
        </w:tc>
        <w:tc>
          <w:tcPr>
            <w:tcW w:w="993" w:type="dxa"/>
            <w:vAlign w:val="center"/>
          </w:tcPr>
          <w:p w14:paraId="65744DC9" w14:textId="77777777" w:rsidR="00A01891" w:rsidRPr="0075485D" w:rsidRDefault="00A01891" w:rsidP="00E44076">
            <w:pPr>
              <w:pStyle w:val="In-tableHeading"/>
              <w:jc w:val="center"/>
            </w:pPr>
            <w:r w:rsidRPr="0075485D">
              <w:t>RD</w:t>
            </w:r>
          </w:p>
          <w:p w14:paraId="39D90B7C" w14:textId="77777777" w:rsidR="00A01891" w:rsidRPr="0075485D" w:rsidRDefault="00A01891" w:rsidP="00E44076">
            <w:pPr>
              <w:pStyle w:val="In-tableHeading"/>
              <w:jc w:val="center"/>
            </w:pPr>
            <w:r w:rsidRPr="0075485D">
              <w:t>(95% CI)</w:t>
            </w:r>
          </w:p>
        </w:tc>
        <w:tc>
          <w:tcPr>
            <w:tcW w:w="708" w:type="dxa"/>
            <w:vAlign w:val="center"/>
          </w:tcPr>
          <w:p w14:paraId="569A6A5D" w14:textId="77777777" w:rsidR="00A01891" w:rsidRPr="0075485D" w:rsidRDefault="00A01891" w:rsidP="00E44076">
            <w:pPr>
              <w:pStyle w:val="In-tableHeading"/>
              <w:jc w:val="center"/>
            </w:pPr>
            <w:r w:rsidRPr="0075485D">
              <w:t>APA</w:t>
            </w:r>
          </w:p>
          <w:p w14:paraId="7CEF5536" w14:textId="77777777" w:rsidR="00A01891" w:rsidRPr="0075485D" w:rsidRDefault="00A01891" w:rsidP="00E44076">
            <w:pPr>
              <w:pStyle w:val="In-tableHeading"/>
              <w:jc w:val="center"/>
            </w:pPr>
            <w:r w:rsidRPr="0075485D">
              <w:t>N=524</w:t>
            </w:r>
          </w:p>
          <w:p w14:paraId="04A4FA3F" w14:textId="77777777" w:rsidR="00A01891" w:rsidRPr="0075485D" w:rsidRDefault="00A01891" w:rsidP="00E44076">
            <w:pPr>
              <w:pStyle w:val="In-tableHeading"/>
              <w:jc w:val="center"/>
            </w:pPr>
            <w:r w:rsidRPr="0075485D">
              <w:t>n (%)</w:t>
            </w:r>
          </w:p>
        </w:tc>
        <w:tc>
          <w:tcPr>
            <w:tcW w:w="709" w:type="dxa"/>
            <w:vAlign w:val="center"/>
          </w:tcPr>
          <w:p w14:paraId="4820FFA7" w14:textId="77777777" w:rsidR="00A01891" w:rsidRPr="0075485D" w:rsidRDefault="00A01891" w:rsidP="00E44076">
            <w:pPr>
              <w:pStyle w:val="In-tableHeading"/>
              <w:jc w:val="center"/>
            </w:pPr>
            <w:r w:rsidRPr="0075485D">
              <w:t>PBO</w:t>
            </w:r>
          </w:p>
          <w:p w14:paraId="34FC8F6C" w14:textId="77777777" w:rsidR="00A01891" w:rsidRPr="0075485D" w:rsidRDefault="00A01891" w:rsidP="00E44076">
            <w:pPr>
              <w:pStyle w:val="In-tableHeading"/>
              <w:jc w:val="center"/>
            </w:pPr>
            <w:r w:rsidRPr="0075485D">
              <w:t>N=527</w:t>
            </w:r>
          </w:p>
          <w:p w14:paraId="5816EF56" w14:textId="77777777" w:rsidR="00A01891" w:rsidRPr="0075485D" w:rsidRDefault="00A01891" w:rsidP="00E44076">
            <w:pPr>
              <w:pStyle w:val="In-tableHeading"/>
              <w:jc w:val="center"/>
            </w:pPr>
            <w:r w:rsidRPr="0075485D">
              <w:t>n (%)</w:t>
            </w:r>
          </w:p>
        </w:tc>
        <w:tc>
          <w:tcPr>
            <w:tcW w:w="992" w:type="dxa"/>
            <w:vAlign w:val="center"/>
          </w:tcPr>
          <w:p w14:paraId="02E88C90" w14:textId="77777777" w:rsidR="00A01891" w:rsidRPr="0075485D" w:rsidRDefault="00A01891" w:rsidP="00E44076">
            <w:pPr>
              <w:pStyle w:val="In-tableHeading"/>
              <w:jc w:val="center"/>
            </w:pPr>
            <w:r w:rsidRPr="0075485D">
              <w:t>RD</w:t>
            </w:r>
          </w:p>
          <w:p w14:paraId="2E652D61" w14:textId="77777777" w:rsidR="00A01891" w:rsidRPr="0075485D" w:rsidRDefault="00A01891" w:rsidP="00E44076">
            <w:pPr>
              <w:pStyle w:val="In-tableHeading"/>
              <w:jc w:val="center"/>
            </w:pPr>
            <w:r w:rsidRPr="0075485D">
              <w:t>(95% CI)</w:t>
            </w:r>
          </w:p>
        </w:tc>
      </w:tr>
      <w:tr w:rsidR="00A01891" w:rsidRPr="0075485D" w14:paraId="20E19C3A" w14:textId="77777777" w:rsidTr="00843891">
        <w:tc>
          <w:tcPr>
            <w:tcW w:w="1838" w:type="dxa"/>
            <w:vAlign w:val="center"/>
          </w:tcPr>
          <w:p w14:paraId="3794D17C" w14:textId="77777777" w:rsidR="00A01891" w:rsidRPr="0075485D" w:rsidRDefault="00A01891" w:rsidP="00E44076">
            <w:pPr>
              <w:pStyle w:val="In-tableHeading"/>
              <w:rPr>
                <w:b w:val="0"/>
              </w:rPr>
            </w:pPr>
            <w:r w:rsidRPr="0075485D">
              <w:rPr>
                <w:b w:val="0"/>
              </w:rPr>
              <w:t>Any TEAE</w:t>
            </w:r>
          </w:p>
        </w:tc>
        <w:tc>
          <w:tcPr>
            <w:tcW w:w="709" w:type="dxa"/>
            <w:vAlign w:val="center"/>
          </w:tcPr>
          <w:p w14:paraId="633550CB" w14:textId="77777777" w:rsidR="00A01891" w:rsidRPr="0075485D" w:rsidRDefault="00A01891" w:rsidP="00E44076">
            <w:pPr>
              <w:pStyle w:val="In-tableHeading"/>
              <w:jc w:val="center"/>
              <w:rPr>
                <w:b w:val="0"/>
              </w:rPr>
            </w:pPr>
            <w:r w:rsidRPr="0075485D">
              <w:rPr>
                <w:b w:val="0"/>
              </w:rPr>
              <w:t>520</w:t>
            </w:r>
          </w:p>
          <w:p w14:paraId="0F697848" w14:textId="77777777" w:rsidR="00A01891" w:rsidRPr="0075485D" w:rsidRDefault="00A01891" w:rsidP="00E44076">
            <w:pPr>
              <w:pStyle w:val="In-tableHeading"/>
              <w:jc w:val="center"/>
              <w:rPr>
                <w:b w:val="0"/>
              </w:rPr>
            </w:pPr>
            <w:r w:rsidRPr="0075485D">
              <w:rPr>
                <w:b w:val="0"/>
              </w:rPr>
              <w:t>(90.9)</w:t>
            </w:r>
          </w:p>
        </w:tc>
        <w:tc>
          <w:tcPr>
            <w:tcW w:w="709" w:type="dxa"/>
            <w:vAlign w:val="center"/>
          </w:tcPr>
          <w:p w14:paraId="5C381149" w14:textId="77777777" w:rsidR="00A01891" w:rsidRPr="0075485D" w:rsidRDefault="00A01891" w:rsidP="00E44076">
            <w:pPr>
              <w:pStyle w:val="In-tableHeading"/>
              <w:jc w:val="center"/>
              <w:rPr>
                <w:b w:val="0"/>
              </w:rPr>
            </w:pPr>
            <w:r w:rsidRPr="0075485D">
              <w:rPr>
                <w:b w:val="0"/>
              </w:rPr>
              <w:t>504</w:t>
            </w:r>
          </w:p>
          <w:p w14:paraId="6DFC0106" w14:textId="77777777" w:rsidR="00A01891" w:rsidRPr="0075485D" w:rsidRDefault="00A01891" w:rsidP="00E44076">
            <w:pPr>
              <w:pStyle w:val="In-tableHeading"/>
              <w:jc w:val="center"/>
              <w:rPr>
                <w:b w:val="0"/>
              </w:rPr>
            </w:pPr>
            <w:r w:rsidRPr="0075485D">
              <w:rPr>
                <w:b w:val="0"/>
              </w:rPr>
              <w:t>(87.8)</w:t>
            </w:r>
          </w:p>
        </w:tc>
        <w:tc>
          <w:tcPr>
            <w:tcW w:w="992" w:type="dxa"/>
            <w:vAlign w:val="center"/>
          </w:tcPr>
          <w:p w14:paraId="77C02568" w14:textId="77777777" w:rsidR="00A01891" w:rsidRPr="0075485D" w:rsidRDefault="00A01891" w:rsidP="00E44076">
            <w:pPr>
              <w:pStyle w:val="In-tableHeading"/>
              <w:jc w:val="center"/>
              <w:rPr>
                <w:b w:val="0"/>
              </w:rPr>
            </w:pPr>
            <w:r w:rsidRPr="0075485D">
              <w:rPr>
                <w:b w:val="0"/>
              </w:rPr>
              <w:t>0.03</w:t>
            </w:r>
          </w:p>
          <w:p w14:paraId="21680C15" w14:textId="77777777" w:rsidR="00A01891" w:rsidRPr="0075485D" w:rsidRDefault="00A01891" w:rsidP="00E44076">
            <w:pPr>
              <w:pStyle w:val="In-tableHeading"/>
              <w:jc w:val="center"/>
              <w:rPr>
                <w:b w:val="0"/>
              </w:rPr>
            </w:pPr>
            <w:r w:rsidRPr="0075485D">
              <w:rPr>
                <w:b w:val="0"/>
              </w:rPr>
              <w:t>(-0.00, 0.07)</w:t>
            </w:r>
          </w:p>
        </w:tc>
        <w:tc>
          <w:tcPr>
            <w:tcW w:w="709" w:type="dxa"/>
            <w:vAlign w:val="center"/>
          </w:tcPr>
          <w:p w14:paraId="2FA43A80" w14:textId="77777777" w:rsidR="00A01891" w:rsidRPr="0075485D" w:rsidRDefault="00A01891" w:rsidP="00E44076">
            <w:pPr>
              <w:pStyle w:val="In-tableHeading"/>
              <w:jc w:val="center"/>
              <w:rPr>
                <w:b w:val="0"/>
              </w:rPr>
            </w:pPr>
            <w:r w:rsidRPr="0075485D">
              <w:rPr>
                <w:b w:val="0"/>
              </w:rPr>
              <w:t>563</w:t>
            </w:r>
          </w:p>
          <w:p w14:paraId="4A65152B" w14:textId="77777777" w:rsidR="00A01891" w:rsidRPr="0075485D" w:rsidRDefault="00A01891" w:rsidP="00E44076">
            <w:pPr>
              <w:pStyle w:val="In-tableHeading"/>
              <w:jc w:val="center"/>
              <w:rPr>
                <w:b w:val="0"/>
              </w:rPr>
            </w:pPr>
            <w:r w:rsidRPr="0075485D">
              <w:rPr>
                <w:b w:val="0"/>
              </w:rPr>
              <w:t>(100)</w:t>
            </w:r>
          </w:p>
        </w:tc>
        <w:tc>
          <w:tcPr>
            <w:tcW w:w="708" w:type="dxa"/>
            <w:vAlign w:val="center"/>
          </w:tcPr>
          <w:p w14:paraId="22E9F634" w14:textId="77777777" w:rsidR="00A01891" w:rsidRPr="0075485D" w:rsidRDefault="00A01891" w:rsidP="00E44076">
            <w:pPr>
              <w:pStyle w:val="In-tableHeading"/>
              <w:jc w:val="center"/>
              <w:rPr>
                <w:b w:val="0"/>
              </w:rPr>
            </w:pPr>
            <w:r w:rsidRPr="0075485D">
              <w:rPr>
                <w:b w:val="0"/>
              </w:rPr>
              <w:t>548</w:t>
            </w:r>
          </w:p>
          <w:p w14:paraId="0496EBBB" w14:textId="77777777" w:rsidR="00A01891" w:rsidRPr="0075485D" w:rsidRDefault="00A01891" w:rsidP="00E44076">
            <w:pPr>
              <w:pStyle w:val="In-tableHeading"/>
              <w:jc w:val="center"/>
              <w:rPr>
                <w:b w:val="0"/>
              </w:rPr>
            </w:pPr>
            <w:r w:rsidRPr="0075485D">
              <w:rPr>
                <w:b w:val="0"/>
              </w:rPr>
              <w:t>(98.2)</w:t>
            </w:r>
          </w:p>
        </w:tc>
        <w:tc>
          <w:tcPr>
            <w:tcW w:w="993" w:type="dxa"/>
            <w:vAlign w:val="center"/>
          </w:tcPr>
          <w:p w14:paraId="2CDE194F" w14:textId="77777777" w:rsidR="00A01891" w:rsidRPr="0075485D" w:rsidRDefault="00A01891" w:rsidP="00E44076">
            <w:pPr>
              <w:pStyle w:val="In-tableHeading"/>
              <w:jc w:val="center"/>
              <w:rPr>
                <w:b w:val="0"/>
                <w:bCs/>
              </w:rPr>
            </w:pPr>
            <w:r w:rsidRPr="0075485D">
              <w:rPr>
                <w:b w:val="0"/>
                <w:bCs/>
              </w:rPr>
              <w:t>0.02</w:t>
            </w:r>
          </w:p>
          <w:p w14:paraId="5F7DC443" w14:textId="77777777" w:rsidR="00A01891" w:rsidRPr="0075485D" w:rsidRDefault="00A01891" w:rsidP="00E44076">
            <w:pPr>
              <w:pStyle w:val="In-tableHeading"/>
              <w:jc w:val="center"/>
              <w:rPr>
                <w:b w:val="0"/>
                <w:bCs/>
              </w:rPr>
            </w:pPr>
            <w:r w:rsidRPr="0075485D">
              <w:rPr>
                <w:b w:val="0"/>
                <w:bCs/>
              </w:rPr>
              <w:t>(0.01, 0.03)</w:t>
            </w:r>
          </w:p>
        </w:tc>
        <w:tc>
          <w:tcPr>
            <w:tcW w:w="708" w:type="dxa"/>
            <w:vAlign w:val="center"/>
          </w:tcPr>
          <w:p w14:paraId="76DF3300" w14:textId="77777777" w:rsidR="00A01891" w:rsidRPr="0075485D" w:rsidRDefault="00A01891" w:rsidP="00E44076">
            <w:pPr>
              <w:pStyle w:val="In-tableHeading"/>
              <w:jc w:val="center"/>
              <w:rPr>
                <w:b w:val="0"/>
              </w:rPr>
            </w:pPr>
            <w:r w:rsidRPr="0075485D">
              <w:rPr>
                <w:b w:val="0"/>
              </w:rPr>
              <w:t>507 (96.8)</w:t>
            </w:r>
          </w:p>
        </w:tc>
        <w:tc>
          <w:tcPr>
            <w:tcW w:w="709" w:type="dxa"/>
            <w:vAlign w:val="center"/>
          </w:tcPr>
          <w:p w14:paraId="6BB48015" w14:textId="77777777" w:rsidR="00A01891" w:rsidRPr="0075485D" w:rsidRDefault="00A01891" w:rsidP="00E44076">
            <w:pPr>
              <w:pStyle w:val="In-tableHeading"/>
              <w:jc w:val="center"/>
              <w:rPr>
                <w:b w:val="0"/>
              </w:rPr>
            </w:pPr>
            <w:r w:rsidRPr="0075485D">
              <w:rPr>
                <w:b w:val="0"/>
              </w:rPr>
              <w:t>509 (96.6)</w:t>
            </w:r>
          </w:p>
        </w:tc>
        <w:tc>
          <w:tcPr>
            <w:tcW w:w="992" w:type="dxa"/>
            <w:vAlign w:val="center"/>
          </w:tcPr>
          <w:p w14:paraId="06A293DA" w14:textId="77777777" w:rsidR="00A01891" w:rsidRPr="0075485D" w:rsidRDefault="00A01891" w:rsidP="00E44076">
            <w:pPr>
              <w:pStyle w:val="In-tableHeading"/>
              <w:jc w:val="center"/>
              <w:rPr>
                <w:b w:val="0"/>
              </w:rPr>
            </w:pPr>
            <w:r w:rsidRPr="0075485D">
              <w:rPr>
                <w:b w:val="0"/>
              </w:rPr>
              <w:t>0.00</w:t>
            </w:r>
          </w:p>
          <w:p w14:paraId="260ECD2A" w14:textId="77777777" w:rsidR="00A01891" w:rsidRPr="0075485D" w:rsidRDefault="00A01891" w:rsidP="00E44076">
            <w:pPr>
              <w:pStyle w:val="In-tableHeading"/>
              <w:jc w:val="center"/>
              <w:rPr>
                <w:b w:val="0"/>
              </w:rPr>
            </w:pPr>
            <w:r w:rsidRPr="0075485D">
              <w:rPr>
                <w:b w:val="0"/>
              </w:rPr>
              <w:t>(-0.02, 0.02)</w:t>
            </w:r>
          </w:p>
        </w:tc>
      </w:tr>
      <w:tr w:rsidR="00A01891" w:rsidRPr="0075485D" w14:paraId="3F4FDE49" w14:textId="77777777" w:rsidTr="00843891">
        <w:tc>
          <w:tcPr>
            <w:tcW w:w="1838" w:type="dxa"/>
            <w:vAlign w:val="center"/>
          </w:tcPr>
          <w:p w14:paraId="0A3319FE" w14:textId="77777777" w:rsidR="00A01891" w:rsidRPr="0075485D" w:rsidRDefault="00A01891" w:rsidP="00E44076">
            <w:pPr>
              <w:pStyle w:val="In-tableHeading"/>
              <w:rPr>
                <w:b w:val="0"/>
              </w:rPr>
            </w:pPr>
            <w:r w:rsidRPr="0075485D">
              <w:rPr>
                <w:b w:val="0"/>
              </w:rPr>
              <w:t>Grade 3-4 TEAE</w:t>
            </w:r>
          </w:p>
        </w:tc>
        <w:tc>
          <w:tcPr>
            <w:tcW w:w="709" w:type="dxa"/>
            <w:vAlign w:val="center"/>
          </w:tcPr>
          <w:p w14:paraId="6578CC3C" w14:textId="77777777" w:rsidR="00A01891" w:rsidRPr="0075485D" w:rsidRDefault="00A01891" w:rsidP="00E44076">
            <w:pPr>
              <w:pStyle w:val="In-tableHeading"/>
              <w:jc w:val="center"/>
              <w:rPr>
                <w:b w:val="0"/>
              </w:rPr>
            </w:pPr>
            <w:r w:rsidRPr="0075485D">
              <w:rPr>
                <w:b w:val="0"/>
              </w:rPr>
              <w:t>224</w:t>
            </w:r>
          </w:p>
          <w:p w14:paraId="66400504" w14:textId="77777777" w:rsidR="00A01891" w:rsidRPr="0075485D" w:rsidRDefault="00A01891" w:rsidP="00E44076">
            <w:pPr>
              <w:pStyle w:val="In-tableHeading"/>
              <w:jc w:val="center"/>
              <w:rPr>
                <w:b w:val="0"/>
              </w:rPr>
            </w:pPr>
            <w:r w:rsidRPr="0075485D">
              <w:rPr>
                <w:b w:val="0"/>
              </w:rPr>
              <w:t>(39.2)</w:t>
            </w:r>
          </w:p>
        </w:tc>
        <w:tc>
          <w:tcPr>
            <w:tcW w:w="709" w:type="dxa"/>
            <w:vAlign w:val="center"/>
          </w:tcPr>
          <w:p w14:paraId="410D67E2" w14:textId="77777777" w:rsidR="00A01891" w:rsidRPr="0075485D" w:rsidRDefault="00A01891" w:rsidP="00E44076">
            <w:pPr>
              <w:pStyle w:val="In-tableHeading"/>
              <w:jc w:val="center"/>
              <w:rPr>
                <w:b w:val="0"/>
              </w:rPr>
            </w:pPr>
            <w:r w:rsidRPr="0075485D">
              <w:rPr>
                <w:b w:val="0"/>
              </w:rPr>
              <w:t>160</w:t>
            </w:r>
          </w:p>
          <w:p w14:paraId="3A57257D" w14:textId="77777777" w:rsidR="00A01891" w:rsidRPr="0075485D" w:rsidRDefault="00A01891" w:rsidP="00E44076">
            <w:pPr>
              <w:pStyle w:val="In-tableHeading"/>
              <w:jc w:val="center"/>
              <w:rPr>
                <w:b w:val="0"/>
              </w:rPr>
            </w:pPr>
            <w:r w:rsidRPr="0075485D">
              <w:rPr>
                <w:b w:val="0"/>
              </w:rPr>
              <w:t>(27.9)</w:t>
            </w:r>
          </w:p>
        </w:tc>
        <w:tc>
          <w:tcPr>
            <w:tcW w:w="992" w:type="dxa"/>
            <w:vAlign w:val="center"/>
          </w:tcPr>
          <w:p w14:paraId="3C4604D3" w14:textId="77777777" w:rsidR="00A01891" w:rsidRPr="0075485D" w:rsidRDefault="00A01891" w:rsidP="00E44076">
            <w:pPr>
              <w:pStyle w:val="In-tableHeading"/>
              <w:jc w:val="center"/>
              <w:rPr>
                <w:b w:val="0"/>
              </w:rPr>
            </w:pPr>
            <w:r w:rsidRPr="0075485D">
              <w:rPr>
                <w:b w:val="0"/>
              </w:rPr>
              <w:t>0.11</w:t>
            </w:r>
          </w:p>
          <w:p w14:paraId="6533F961" w14:textId="77777777" w:rsidR="00A01891" w:rsidRPr="0075485D" w:rsidRDefault="00A01891" w:rsidP="00E44076">
            <w:pPr>
              <w:pStyle w:val="In-tableHeading"/>
              <w:jc w:val="center"/>
              <w:rPr>
                <w:b w:val="0"/>
              </w:rPr>
            </w:pPr>
            <w:r w:rsidRPr="0075485D">
              <w:rPr>
                <w:b w:val="0"/>
              </w:rPr>
              <w:t>(0.06, 0.17)</w:t>
            </w:r>
          </w:p>
        </w:tc>
        <w:tc>
          <w:tcPr>
            <w:tcW w:w="709" w:type="dxa"/>
            <w:vAlign w:val="center"/>
          </w:tcPr>
          <w:p w14:paraId="15F2D934" w14:textId="77777777" w:rsidR="00A01891" w:rsidRPr="0075485D" w:rsidRDefault="00A01891" w:rsidP="00E44076">
            <w:pPr>
              <w:pStyle w:val="In-tableHeading"/>
              <w:jc w:val="center"/>
              <w:rPr>
                <w:b w:val="0"/>
              </w:rPr>
            </w:pPr>
            <w:r w:rsidRPr="0075485D">
              <w:rPr>
                <w:b w:val="0"/>
              </w:rPr>
              <w:t>315</w:t>
            </w:r>
          </w:p>
          <w:p w14:paraId="20836700" w14:textId="77777777" w:rsidR="00A01891" w:rsidRPr="0075485D" w:rsidRDefault="00A01891" w:rsidP="00E44076">
            <w:pPr>
              <w:pStyle w:val="In-tableHeading"/>
              <w:jc w:val="center"/>
              <w:rPr>
                <w:b w:val="0"/>
              </w:rPr>
            </w:pPr>
            <w:r w:rsidRPr="0075485D">
              <w:rPr>
                <w:b w:val="0"/>
              </w:rPr>
              <w:t>(56.0)</w:t>
            </w:r>
          </w:p>
        </w:tc>
        <w:tc>
          <w:tcPr>
            <w:tcW w:w="708" w:type="dxa"/>
            <w:vAlign w:val="center"/>
          </w:tcPr>
          <w:p w14:paraId="6C132CEF" w14:textId="77777777" w:rsidR="00A01891" w:rsidRPr="0075485D" w:rsidRDefault="00A01891" w:rsidP="00E44076">
            <w:pPr>
              <w:pStyle w:val="In-tableHeading"/>
              <w:jc w:val="center"/>
              <w:rPr>
                <w:b w:val="0"/>
              </w:rPr>
            </w:pPr>
            <w:r w:rsidRPr="0075485D">
              <w:rPr>
                <w:b w:val="0"/>
              </w:rPr>
              <w:t>234</w:t>
            </w:r>
          </w:p>
          <w:p w14:paraId="36AFC708" w14:textId="77777777" w:rsidR="00A01891" w:rsidRPr="0075485D" w:rsidRDefault="00A01891" w:rsidP="00E44076">
            <w:pPr>
              <w:pStyle w:val="In-tableHeading"/>
              <w:jc w:val="center"/>
              <w:rPr>
                <w:b w:val="0"/>
              </w:rPr>
            </w:pPr>
            <w:r w:rsidRPr="0075485D">
              <w:rPr>
                <w:b w:val="0"/>
              </w:rPr>
              <w:t>(41.9)</w:t>
            </w:r>
          </w:p>
        </w:tc>
        <w:tc>
          <w:tcPr>
            <w:tcW w:w="993" w:type="dxa"/>
            <w:vAlign w:val="center"/>
          </w:tcPr>
          <w:p w14:paraId="107361A4" w14:textId="77777777" w:rsidR="00A01891" w:rsidRPr="0075485D" w:rsidRDefault="00A01891" w:rsidP="00E44076">
            <w:pPr>
              <w:pStyle w:val="In-tableHeading"/>
              <w:jc w:val="center"/>
              <w:rPr>
                <w:b w:val="0"/>
                <w:bCs/>
              </w:rPr>
            </w:pPr>
            <w:r w:rsidRPr="0075485D">
              <w:rPr>
                <w:b w:val="0"/>
                <w:bCs/>
              </w:rPr>
              <w:t>0.14</w:t>
            </w:r>
          </w:p>
          <w:p w14:paraId="35757AFD" w14:textId="77777777" w:rsidR="00A01891" w:rsidRPr="0075485D" w:rsidRDefault="00A01891" w:rsidP="00E44076">
            <w:pPr>
              <w:pStyle w:val="In-tableHeading"/>
              <w:jc w:val="center"/>
              <w:rPr>
                <w:b w:val="0"/>
                <w:bCs/>
              </w:rPr>
            </w:pPr>
            <w:r w:rsidRPr="0075485D">
              <w:rPr>
                <w:b w:val="0"/>
                <w:bCs/>
              </w:rPr>
              <w:t>(0.08, 0.20)</w:t>
            </w:r>
          </w:p>
        </w:tc>
        <w:tc>
          <w:tcPr>
            <w:tcW w:w="708" w:type="dxa"/>
            <w:vAlign w:val="center"/>
          </w:tcPr>
          <w:p w14:paraId="76FC0E67" w14:textId="77777777" w:rsidR="00A01891" w:rsidRPr="0075485D" w:rsidRDefault="00A01891" w:rsidP="00E44076">
            <w:pPr>
              <w:pStyle w:val="In-tableHeading"/>
              <w:jc w:val="center"/>
              <w:rPr>
                <w:b w:val="0"/>
              </w:rPr>
            </w:pPr>
            <w:r w:rsidRPr="0075485D">
              <w:rPr>
                <w:b w:val="0"/>
              </w:rPr>
              <w:t>221 (42.2)</w:t>
            </w:r>
          </w:p>
        </w:tc>
        <w:tc>
          <w:tcPr>
            <w:tcW w:w="709" w:type="dxa"/>
            <w:vAlign w:val="center"/>
          </w:tcPr>
          <w:p w14:paraId="3EC18519" w14:textId="77777777" w:rsidR="00A01891" w:rsidRPr="0075485D" w:rsidRDefault="00A01891" w:rsidP="00E44076">
            <w:pPr>
              <w:pStyle w:val="In-tableHeading"/>
              <w:jc w:val="center"/>
              <w:rPr>
                <w:b w:val="0"/>
              </w:rPr>
            </w:pPr>
            <w:r w:rsidRPr="0075485D">
              <w:rPr>
                <w:b w:val="0"/>
              </w:rPr>
              <w:t>215 (40.8)</w:t>
            </w:r>
          </w:p>
        </w:tc>
        <w:tc>
          <w:tcPr>
            <w:tcW w:w="992" w:type="dxa"/>
            <w:vAlign w:val="center"/>
          </w:tcPr>
          <w:p w14:paraId="211BD757" w14:textId="77777777" w:rsidR="00A01891" w:rsidRPr="0075485D" w:rsidRDefault="00A01891" w:rsidP="00E44076">
            <w:pPr>
              <w:pStyle w:val="In-tableHeading"/>
              <w:jc w:val="center"/>
              <w:rPr>
                <w:b w:val="0"/>
              </w:rPr>
            </w:pPr>
            <w:r w:rsidRPr="0075485D">
              <w:rPr>
                <w:b w:val="0"/>
              </w:rPr>
              <w:t>0.01</w:t>
            </w:r>
          </w:p>
          <w:p w14:paraId="4420F47B" w14:textId="77777777" w:rsidR="00A01891" w:rsidRPr="0075485D" w:rsidRDefault="00A01891" w:rsidP="00E44076">
            <w:pPr>
              <w:pStyle w:val="In-tableHeading"/>
              <w:jc w:val="center"/>
              <w:rPr>
                <w:b w:val="0"/>
              </w:rPr>
            </w:pPr>
            <w:r w:rsidRPr="0075485D">
              <w:rPr>
                <w:b w:val="0"/>
              </w:rPr>
              <w:t>(-0.05, 0.07)</w:t>
            </w:r>
          </w:p>
        </w:tc>
      </w:tr>
      <w:tr w:rsidR="00A01891" w:rsidRPr="0075485D" w14:paraId="642B95A5" w14:textId="77777777" w:rsidTr="00843891">
        <w:tc>
          <w:tcPr>
            <w:tcW w:w="1838" w:type="dxa"/>
            <w:vAlign w:val="center"/>
          </w:tcPr>
          <w:p w14:paraId="760F7AEC" w14:textId="77777777" w:rsidR="00A01891" w:rsidRPr="0075485D" w:rsidRDefault="00A01891" w:rsidP="00E44076">
            <w:pPr>
              <w:pStyle w:val="In-tableHeading"/>
              <w:rPr>
                <w:b w:val="0"/>
              </w:rPr>
            </w:pPr>
            <w:r w:rsidRPr="0075485D">
              <w:rPr>
                <w:b w:val="0"/>
              </w:rPr>
              <w:t>SAE</w:t>
            </w:r>
          </w:p>
        </w:tc>
        <w:tc>
          <w:tcPr>
            <w:tcW w:w="709" w:type="dxa"/>
            <w:vAlign w:val="center"/>
          </w:tcPr>
          <w:p w14:paraId="4AEB98DC" w14:textId="77777777" w:rsidR="00A01891" w:rsidRPr="0075485D" w:rsidRDefault="00A01891" w:rsidP="00E44076">
            <w:pPr>
              <w:pStyle w:val="In-tableHeading"/>
              <w:jc w:val="center"/>
              <w:rPr>
                <w:b w:val="0"/>
              </w:rPr>
            </w:pPr>
            <w:r w:rsidRPr="0075485D">
              <w:rPr>
                <w:b w:val="0"/>
              </w:rPr>
              <w:t>104 (18.2)*</w:t>
            </w:r>
          </w:p>
        </w:tc>
        <w:tc>
          <w:tcPr>
            <w:tcW w:w="709" w:type="dxa"/>
            <w:vAlign w:val="center"/>
          </w:tcPr>
          <w:p w14:paraId="4B5403C4" w14:textId="77777777" w:rsidR="00A01891" w:rsidRPr="0075485D" w:rsidRDefault="00A01891" w:rsidP="00E44076">
            <w:pPr>
              <w:pStyle w:val="In-tableHeading"/>
              <w:jc w:val="center"/>
              <w:rPr>
                <w:b w:val="0"/>
              </w:rPr>
            </w:pPr>
            <w:r w:rsidRPr="0075485D">
              <w:rPr>
                <w:b w:val="0"/>
              </w:rPr>
              <w:t>112 (19.5)*</w:t>
            </w:r>
          </w:p>
        </w:tc>
        <w:tc>
          <w:tcPr>
            <w:tcW w:w="992" w:type="dxa"/>
            <w:vAlign w:val="center"/>
          </w:tcPr>
          <w:p w14:paraId="712159DB" w14:textId="77777777" w:rsidR="00A01891" w:rsidRPr="0075485D" w:rsidRDefault="00A01891" w:rsidP="00E44076">
            <w:pPr>
              <w:pStyle w:val="In-tableHeading"/>
              <w:jc w:val="center"/>
              <w:rPr>
                <w:b w:val="0"/>
              </w:rPr>
            </w:pPr>
            <w:r w:rsidRPr="0075485D">
              <w:rPr>
                <w:b w:val="0"/>
              </w:rPr>
              <w:t>-0.01</w:t>
            </w:r>
          </w:p>
          <w:p w14:paraId="278116BA" w14:textId="77777777" w:rsidR="00A01891" w:rsidRPr="0075485D" w:rsidRDefault="00A01891" w:rsidP="00E44076">
            <w:pPr>
              <w:pStyle w:val="In-tableHeading"/>
              <w:jc w:val="center"/>
              <w:rPr>
                <w:b w:val="0"/>
              </w:rPr>
            </w:pPr>
            <w:r w:rsidRPr="0075485D">
              <w:rPr>
                <w:b w:val="0"/>
              </w:rPr>
              <w:t>(-0.06, 0.03)</w:t>
            </w:r>
          </w:p>
        </w:tc>
        <w:tc>
          <w:tcPr>
            <w:tcW w:w="709" w:type="dxa"/>
            <w:vAlign w:val="center"/>
          </w:tcPr>
          <w:p w14:paraId="1E51B444" w14:textId="77777777" w:rsidR="00A01891" w:rsidRPr="0075485D" w:rsidRDefault="00A01891" w:rsidP="00E44076">
            <w:pPr>
              <w:pStyle w:val="In-tableHeading"/>
              <w:jc w:val="center"/>
              <w:rPr>
                <w:b w:val="0"/>
              </w:rPr>
            </w:pPr>
            <w:r w:rsidRPr="0075485D">
              <w:rPr>
                <w:b w:val="0"/>
              </w:rPr>
              <w:t>235</w:t>
            </w:r>
          </w:p>
          <w:p w14:paraId="3F7D4E40" w14:textId="77777777" w:rsidR="00A01891" w:rsidRPr="0075485D" w:rsidRDefault="00A01891" w:rsidP="00E44076">
            <w:pPr>
              <w:pStyle w:val="In-tableHeading"/>
              <w:jc w:val="center"/>
              <w:rPr>
                <w:b w:val="0"/>
              </w:rPr>
            </w:pPr>
            <w:r w:rsidRPr="0075485D">
              <w:rPr>
                <w:b w:val="0"/>
              </w:rPr>
              <w:t>(41.7)</w:t>
            </w:r>
          </w:p>
        </w:tc>
        <w:tc>
          <w:tcPr>
            <w:tcW w:w="708" w:type="dxa"/>
            <w:vAlign w:val="center"/>
          </w:tcPr>
          <w:p w14:paraId="452FB3E8" w14:textId="77777777" w:rsidR="00A01891" w:rsidRPr="0075485D" w:rsidRDefault="00A01891" w:rsidP="00E44076">
            <w:pPr>
              <w:pStyle w:val="In-tableHeading"/>
              <w:jc w:val="center"/>
              <w:rPr>
                <w:b w:val="0"/>
              </w:rPr>
            </w:pPr>
            <w:r w:rsidRPr="0075485D">
              <w:rPr>
                <w:b w:val="0"/>
              </w:rPr>
              <w:t>189</w:t>
            </w:r>
          </w:p>
          <w:p w14:paraId="5215B022" w14:textId="77777777" w:rsidR="00A01891" w:rsidRPr="0075485D" w:rsidRDefault="00A01891" w:rsidP="00E44076">
            <w:pPr>
              <w:pStyle w:val="In-tableHeading"/>
              <w:jc w:val="center"/>
              <w:rPr>
                <w:b w:val="0"/>
              </w:rPr>
            </w:pPr>
            <w:r w:rsidRPr="0075485D">
              <w:rPr>
                <w:b w:val="0"/>
              </w:rPr>
              <w:t>(33.9)</w:t>
            </w:r>
          </w:p>
        </w:tc>
        <w:tc>
          <w:tcPr>
            <w:tcW w:w="993" w:type="dxa"/>
            <w:vAlign w:val="center"/>
          </w:tcPr>
          <w:p w14:paraId="2512F4ED" w14:textId="77777777" w:rsidR="00A01891" w:rsidRPr="0075485D" w:rsidRDefault="00A01891" w:rsidP="00E44076">
            <w:pPr>
              <w:pStyle w:val="In-tableHeading"/>
              <w:jc w:val="center"/>
              <w:rPr>
                <w:b w:val="0"/>
                <w:bCs/>
              </w:rPr>
            </w:pPr>
            <w:r w:rsidRPr="0075485D">
              <w:rPr>
                <w:b w:val="0"/>
                <w:bCs/>
              </w:rPr>
              <w:t>0.08</w:t>
            </w:r>
          </w:p>
          <w:p w14:paraId="634AE324" w14:textId="77777777" w:rsidR="00A01891" w:rsidRPr="0075485D" w:rsidRDefault="00A01891" w:rsidP="00E44076">
            <w:pPr>
              <w:pStyle w:val="In-tableHeading"/>
              <w:jc w:val="center"/>
              <w:rPr>
                <w:b w:val="0"/>
                <w:bCs/>
              </w:rPr>
            </w:pPr>
            <w:r w:rsidRPr="0075485D">
              <w:rPr>
                <w:b w:val="0"/>
                <w:bCs/>
              </w:rPr>
              <w:t>(0.02, 0.14)</w:t>
            </w:r>
          </w:p>
        </w:tc>
        <w:tc>
          <w:tcPr>
            <w:tcW w:w="708" w:type="dxa"/>
            <w:vAlign w:val="center"/>
          </w:tcPr>
          <w:p w14:paraId="4AF8BB03" w14:textId="77777777" w:rsidR="00A01891" w:rsidRPr="0075485D" w:rsidRDefault="00A01891" w:rsidP="00E44076">
            <w:pPr>
              <w:pStyle w:val="In-tableHeading"/>
              <w:jc w:val="center"/>
              <w:rPr>
                <w:b w:val="0"/>
              </w:rPr>
            </w:pPr>
            <w:r w:rsidRPr="0075485D">
              <w:rPr>
                <w:b w:val="0"/>
              </w:rPr>
              <w:t>104 (19.8)</w:t>
            </w:r>
          </w:p>
        </w:tc>
        <w:tc>
          <w:tcPr>
            <w:tcW w:w="709" w:type="dxa"/>
            <w:vAlign w:val="center"/>
          </w:tcPr>
          <w:p w14:paraId="432B4140" w14:textId="77777777" w:rsidR="00A01891" w:rsidRPr="0075485D" w:rsidRDefault="00A01891" w:rsidP="00E44076">
            <w:pPr>
              <w:pStyle w:val="In-tableHeading"/>
              <w:jc w:val="center"/>
              <w:rPr>
                <w:b w:val="0"/>
              </w:rPr>
            </w:pPr>
            <w:r w:rsidRPr="0075485D">
              <w:rPr>
                <w:b w:val="0"/>
              </w:rPr>
              <w:t>107 (20.3)</w:t>
            </w:r>
          </w:p>
        </w:tc>
        <w:tc>
          <w:tcPr>
            <w:tcW w:w="992" w:type="dxa"/>
            <w:vAlign w:val="center"/>
          </w:tcPr>
          <w:p w14:paraId="6D7301F3" w14:textId="77777777" w:rsidR="00A01891" w:rsidRPr="0075485D" w:rsidRDefault="00A01891" w:rsidP="00E44076">
            <w:pPr>
              <w:pStyle w:val="In-tableHeading"/>
              <w:jc w:val="center"/>
              <w:rPr>
                <w:b w:val="0"/>
              </w:rPr>
            </w:pPr>
            <w:r w:rsidRPr="0075485D">
              <w:rPr>
                <w:b w:val="0"/>
              </w:rPr>
              <w:t>-0.00</w:t>
            </w:r>
          </w:p>
          <w:p w14:paraId="701EAEFA" w14:textId="77777777" w:rsidR="00A01891" w:rsidRPr="0075485D" w:rsidRDefault="00A01891" w:rsidP="00E44076">
            <w:pPr>
              <w:pStyle w:val="In-tableHeading"/>
              <w:jc w:val="center"/>
              <w:rPr>
                <w:b w:val="0"/>
              </w:rPr>
            </w:pPr>
            <w:r w:rsidRPr="0075485D">
              <w:rPr>
                <w:b w:val="0"/>
              </w:rPr>
              <w:t>(-0.05, 0.04)</w:t>
            </w:r>
          </w:p>
        </w:tc>
      </w:tr>
      <w:tr w:rsidR="00A01891" w:rsidRPr="0075485D" w14:paraId="3F44314C" w14:textId="77777777" w:rsidTr="00843891">
        <w:tc>
          <w:tcPr>
            <w:tcW w:w="1838" w:type="dxa"/>
            <w:tcBorders>
              <w:bottom w:val="single" w:sz="4" w:space="0" w:color="auto"/>
            </w:tcBorders>
            <w:vAlign w:val="center"/>
          </w:tcPr>
          <w:p w14:paraId="7718B946" w14:textId="77777777" w:rsidR="00A01891" w:rsidRPr="0075485D" w:rsidRDefault="00A01891" w:rsidP="00E44076">
            <w:pPr>
              <w:pStyle w:val="TableText0"/>
            </w:pPr>
            <w:r w:rsidRPr="0075485D">
              <w:t>TEAE leading to death</w:t>
            </w:r>
          </w:p>
        </w:tc>
        <w:tc>
          <w:tcPr>
            <w:tcW w:w="709" w:type="dxa"/>
            <w:tcBorders>
              <w:bottom w:val="single" w:sz="4" w:space="0" w:color="auto"/>
            </w:tcBorders>
            <w:vAlign w:val="center"/>
          </w:tcPr>
          <w:p w14:paraId="0A88A692" w14:textId="77777777" w:rsidR="00A01891" w:rsidRPr="0075485D" w:rsidRDefault="00A01891" w:rsidP="00E44076">
            <w:pPr>
              <w:pStyle w:val="TableText0"/>
              <w:jc w:val="center"/>
            </w:pPr>
            <w:r w:rsidRPr="0075485D">
              <w:t>30</w:t>
            </w:r>
          </w:p>
          <w:p w14:paraId="376AF77F" w14:textId="77777777" w:rsidR="00A01891" w:rsidRPr="0075485D" w:rsidRDefault="00A01891" w:rsidP="00E44076">
            <w:pPr>
              <w:pStyle w:val="TableText0"/>
              <w:jc w:val="center"/>
            </w:pPr>
            <w:r w:rsidRPr="0075485D">
              <w:t>(5.2)</w:t>
            </w:r>
          </w:p>
        </w:tc>
        <w:tc>
          <w:tcPr>
            <w:tcW w:w="709" w:type="dxa"/>
            <w:tcBorders>
              <w:bottom w:val="single" w:sz="4" w:space="0" w:color="auto"/>
            </w:tcBorders>
            <w:vAlign w:val="center"/>
          </w:tcPr>
          <w:p w14:paraId="1DA58F6B" w14:textId="77777777" w:rsidR="00A01891" w:rsidRPr="0075485D" w:rsidRDefault="00A01891" w:rsidP="00E44076">
            <w:pPr>
              <w:pStyle w:val="TableText0"/>
              <w:jc w:val="center"/>
            </w:pPr>
            <w:r w:rsidRPr="0075485D">
              <w:t>12</w:t>
            </w:r>
          </w:p>
          <w:p w14:paraId="737BABE6" w14:textId="77777777" w:rsidR="00A01891" w:rsidRPr="0075485D" w:rsidRDefault="00A01891" w:rsidP="00E44076">
            <w:pPr>
              <w:pStyle w:val="TableText0"/>
              <w:jc w:val="center"/>
            </w:pPr>
            <w:r w:rsidRPr="0075485D">
              <w:t>(2.1)</w:t>
            </w:r>
          </w:p>
        </w:tc>
        <w:tc>
          <w:tcPr>
            <w:tcW w:w="992" w:type="dxa"/>
            <w:tcBorders>
              <w:bottom w:val="single" w:sz="4" w:space="0" w:color="auto"/>
            </w:tcBorders>
            <w:vAlign w:val="center"/>
          </w:tcPr>
          <w:p w14:paraId="6A7E80F3" w14:textId="77777777" w:rsidR="00A01891" w:rsidRPr="0075485D" w:rsidRDefault="00A01891" w:rsidP="00E44076">
            <w:pPr>
              <w:pStyle w:val="TableText0"/>
              <w:jc w:val="center"/>
              <w:rPr>
                <w:bCs w:val="0"/>
              </w:rPr>
            </w:pPr>
            <w:r w:rsidRPr="0075485D">
              <w:rPr>
                <w:bCs w:val="0"/>
              </w:rPr>
              <w:t>0.03</w:t>
            </w:r>
          </w:p>
          <w:p w14:paraId="1225E7C9" w14:textId="77777777" w:rsidR="00A01891" w:rsidRPr="0075485D" w:rsidRDefault="00A01891" w:rsidP="00E44076">
            <w:pPr>
              <w:pStyle w:val="TableText0"/>
              <w:jc w:val="center"/>
              <w:rPr>
                <w:bCs w:val="0"/>
              </w:rPr>
            </w:pPr>
            <w:r w:rsidRPr="0075485D">
              <w:rPr>
                <w:bCs w:val="0"/>
              </w:rPr>
              <w:t>(0.01, 0.05)</w:t>
            </w:r>
          </w:p>
        </w:tc>
        <w:tc>
          <w:tcPr>
            <w:tcW w:w="709" w:type="dxa"/>
            <w:tcBorders>
              <w:bottom w:val="single" w:sz="4" w:space="0" w:color="auto"/>
            </w:tcBorders>
            <w:vAlign w:val="center"/>
          </w:tcPr>
          <w:p w14:paraId="5339C703" w14:textId="77777777" w:rsidR="00A01891" w:rsidRPr="0075485D" w:rsidRDefault="00A01891" w:rsidP="00E44076">
            <w:pPr>
              <w:pStyle w:val="TableText0"/>
              <w:jc w:val="center"/>
            </w:pPr>
            <w:r w:rsidRPr="0075485D">
              <w:t>8</w:t>
            </w:r>
          </w:p>
          <w:p w14:paraId="6A949262" w14:textId="77777777" w:rsidR="00A01891" w:rsidRPr="0075485D" w:rsidRDefault="00A01891" w:rsidP="00E44076">
            <w:pPr>
              <w:pStyle w:val="TableText0"/>
              <w:jc w:val="center"/>
            </w:pPr>
            <w:r w:rsidRPr="0075485D">
              <w:t>(1.4)</w:t>
            </w:r>
          </w:p>
        </w:tc>
        <w:tc>
          <w:tcPr>
            <w:tcW w:w="708" w:type="dxa"/>
            <w:tcBorders>
              <w:bottom w:val="single" w:sz="4" w:space="0" w:color="auto"/>
            </w:tcBorders>
            <w:vAlign w:val="center"/>
          </w:tcPr>
          <w:p w14:paraId="60C0A0B4" w14:textId="77777777" w:rsidR="00A01891" w:rsidRPr="0075485D" w:rsidRDefault="00A01891" w:rsidP="00E44076">
            <w:pPr>
              <w:pStyle w:val="TableText0"/>
              <w:jc w:val="center"/>
            </w:pPr>
            <w:r w:rsidRPr="0075485D">
              <w:t>13</w:t>
            </w:r>
          </w:p>
          <w:p w14:paraId="58E1F0D5" w14:textId="77777777" w:rsidR="00A01891" w:rsidRPr="0075485D" w:rsidRDefault="00A01891" w:rsidP="00E44076">
            <w:pPr>
              <w:pStyle w:val="TableText0"/>
              <w:jc w:val="center"/>
            </w:pPr>
            <w:r w:rsidRPr="0075485D">
              <w:t>(2.3)</w:t>
            </w:r>
          </w:p>
        </w:tc>
        <w:tc>
          <w:tcPr>
            <w:tcW w:w="993" w:type="dxa"/>
            <w:tcBorders>
              <w:bottom w:val="single" w:sz="4" w:space="0" w:color="auto"/>
            </w:tcBorders>
            <w:vAlign w:val="center"/>
          </w:tcPr>
          <w:p w14:paraId="6EE0F43E" w14:textId="77777777" w:rsidR="00A01891" w:rsidRPr="0075485D" w:rsidRDefault="00A01891" w:rsidP="00E44076">
            <w:pPr>
              <w:pStyle w:val="TableText0"/>
              <w:jc w:val="center"/>
            </w:pPr>
            <w:r w:rsidRPr="0075485D">
              <w:t>-0.01</w:t>
            </w:r>
          </w:p>
          <w:p w14:paraId="4706D8B2" w14:textId="77777777" w:rsidR="00A01891" w:rsidRPr="0075485D" w:rsidRDefault="00A01891" w:rsidP="00E44076">
            <w:pPr>
              <w:pStyle w:val="TableText0"/>
              <w:jc w:val="center"/>
            </w:pPr>
            <w:r w:rsidRPr="0075485D">
              <w:t>(-0.03, 0.01)</w:t>
            </w:r>
          </w:p>
        </w:tc>
        <w:tc>
          <w:tcPr>
            <w:tcW w:w="708" w:type="dxa"/>
            <w:tcBorders>
              <w:bottom w:val="single" w:sz="4" w:space="0" w:color="auto"/>
            </w:tcBorders>
            <w:vAlign w:val="center"/>
          </w:tcPr>
          <w:p w14:paraId="6CB40D56" w14:textId="77777777" w:rsidR="00A01891" w:rsidRPr="0075485D" w:rsidRDefault="00A01891" w:rsidP="00E44076">
            <w:pPr>
              <w:pStyle w:val="TableText0"/>
              <w:jc w:val="center"/>
            </w:pPr>
            <w:r w:rsidRPr="0075485D">
              <w:t>10</w:t>
            </w:r>
          </w:p>
          <w:p w14:paraId="527092EE" w14:textId="77777777" w:rsidR="00A01891" w:rsidRPr="0075485D" w:rsidRDefault="00A01891" w:rsidP="00E44076">
            <w:pPr>
              <w:pStyle w:val="TableText0"/>
              <w:jc w:val="center"/>
            </w:pPr>
            <w:r w:rsidRPr="0075485D">
              <w:t>(1.9)</w:t>
            </w:r>
          </w:p>
        </w:tc>
        <w:tc>
          <w:tcPr>
            <w:tcW w:w="709" w:type="dxa"/>
            <w:tcBorders>
              <w:bottom w:val="single" w:sz="4" w:space="0" w:color="auto"/>
            </w:tcBorders>
            <w:vAlign w:val="center"/>
          </w:tcPr>
          <w:p w14:paraId="43C18383" w14:textId="77777777" w:rsidR="00A01891" w:rsidRPr="0075485D" w:rsidRDefault="00A01891" w:rsidP="00E44076">
            <w:pPr>
              <w:pStyle w:val="TableText0"/>
              <w:jc w:val="center"/>
            </w:pPr>
            <w:r w:rsidRPr="0075485D">
              <w:t>16</w:t>
            </w:r>
          </w:p>
          <w:p w14:paraId="71DF0444" w14:textId="77777777" w:rsidR="00A01891" w:rsidRPr="0075485D" w:rsidRDefault="00A01891" w:rsidP="00E44076">
            <w:pPr>
              <w:pStyle w:val="TableText0"/>
              <w:jc w:val="center"/>
            </w:pPr>
            <w:r w:rsidRPr="0075485D">
              <w:t>(3.0)</w:t>
            </w:r>
          </w:p>
        </w:tc>
        <w:tc>
          <w:tcPr>
            <w:tcW w:w="992" w:type="dxa"/>
            <w:tcBorders>
              <w:bottom w:val="single" w:sz="4" w:space="0" w:color="auto"/>
            </w:tcBorders>
            <w:vAlign w:val="center"/>
          </w:tcPr>
          <w:p w14:paraId="13B39014" w14:textId="77777777" w:rsidR="00A01891" w:rsidRPr="0075485D" w:rsidRDefault="00A01891" w:rsidP="00E44076">
            <w:pPr>
              <w:pStyle w:val="TableText0"/>
              <w:jc w:val="center"/>
            </w:pPr>
            <w:r w:rsidRPr="0075485D">
              <w:t>-0.01</w:t>
            </w:r>
          </w:p>
          <w:p w14:paraId="6AAB0DFA" w14:textId="77777777" w:rsidR="00A01891" w:rsidRPr="0075485D" w:rsidRDefault="00A01891" w:rsidP="00E44076">
            <w:pPr>
              <w:pStyle w:val="TableText0"/>
              <w:jc w:val="center"/>
            </w:pPr>
            <w:r w:rsidRPr="0075485D">
              <w:t>(-0.03, 0.01)</w:t>
            </w:r>
          </w:p>
        </w:tc>
      </w:tr>
      <w:tr w:rsidR="00A01891" w:rsidRPr="0075485D" w14:paraId="59331D30" w14:textId="77777777" w:rsidTr="00843891">
        <w:tc>
          <w:tcPr>
            <w:tcW w:w="1838" w:type="dxa"/>
            <w:tcBorders>
              <w:bottom w:val="single" w:sz="4" w:space="0" w:color="auto"/>
            </w:tcBorders>
            <w:vAlign w:val="center"/>
          </w:tcPr>
          <w:p w14:paraId="362405A7" w14:textId="77777777" w:rsidR="00A01891" w:rsidRPr="0075485D" w:rsidRDefault="00A01891" w:rsidP="00E44076">
            <w:pPr>
              <w:pStyle w:val="TableText0"/>
            </w:pPr>
            <w:r w:rsidRPr="0075485D">
              <w:t>TEAE leading to discontinuation</w:t>
            </w:r>
          </w:p>
        </w:tc>
        <w:tc>
          <w:tcPr>
            <w:tcW w:w="709" w:type="dxa"/>
            <w:tcBorders>
              <w:bottom w:val="single" w:sz="4" w:space="0" w:color="auto"/>
            </w:tcBorders>
            <w:vAlign w:val="center"/>
          </w:tcPr>
          <w:p w14:paraId="1EF9B7BA" w14:textId="77777777" w:rsidR="00A01891" w:rsidRPr="0075485D" w:rsidRDefault="00A01891" w:rsidP="00E44076">
            <w:pPr>
              <w:pStyle w:val="TableText0"/>
              <w:jc w:val="center"/>
            </w:pPr>
            <w:r w:rsidRPr="0075485D">
              <w:t>41</w:t>
            </w:r>
          </w:p>
          <w:p w14:paraId="6D0A2F29" w14:textId="77777777" w:rsidR="00A01891" w:rsidRPr="0075485D" w:rsidRDefault="00A01891" w:rsidP="00E44076">
            <w:pPr>
              <w:pStyle w:val="TableText0"/>
              <w:jc w:val="center"/>
            </w:pPr>
            <w:r w:rsidRPr="0075485D">
              <w:t>(7.2)*</w:t>
            </w:r>
          </w:p>
        </w:tc>
        <w:tc>
          <w:tcPr>
            <w:tcW w:w="709" w:type="dxa"/>
            <w:tcBorders>
              <w:bottom w:val="single" w:sz="4" w:space="0" w:color="auto"/>
            </w:tcBorders>
            <w:vAlign w:val="center"/>
          </w:tcPr>
          <w:p w14:paraId="3AC03ADF" w14:textId="77777777" w:rsidR="00A01891" w:rsidRPr="0075485D" w:rsidRDefault="00A01891" w:rsidP="00E44076">
            <w:pPr>
              <w:pStyle w:val="TableText0"/>
              <w:jc w:val="center"/>
            </w:pPr>
            <w:r w:rsidRPr="0075485D">
              <w:t>30</w:t>
            </w:r>
          </w:p>
          <w:p w14:paraId="7B9F43F7" w14:textId="77777777" w:rsidR="00A01891" w:rsidRPr="0075485D" w:rsidRDefault="00A01891" w:rsidP="00E44076">
            <w:pPr>
              <w:pStyle w:val="TableText0"/>
              <w:jc w:val="center"/>
            </w:pPr>
            <w:r w:rsidRPr="0075485D">
              <w:t>(5.2)*</w:t>
            </w:r>
          </w:p>
        </w:tc>
        <w:tc>
          <w:tcPr>
            <w:tcW w:w="992" w:type="dxa"/>
            <w:tcBorders>
              <w:bottom w:val="single" w:sz="4" w:space="0" w:color="auto"/>
            </w:tcBorders>
            <w:vAlign w:val="center"/>
          </w:tcPr>
          <w:p w14:paraId="27FF5B76" w14:textId="77777777" w:rsidR="00A01891" w:rsidRPr="0075485D" w:rsidRDefault="00A01891" w:rsidP="00E44076">
            <w:pPr>
              <w:pStyle w:val="TableText0"/>
              <w:jc w:val="center"/>
            </w:pPr>
            <w:r w:rsidRPr="0075485D">
              <w:t>0.02</w:t>
            </w:r>
          </w:p>
          <w:p w14:paraId="0A6473BF" w14:textId="77777777" w:rsidR="00A01891" w:rsidRPr="0075485D" w:rsidRDefault="00A01891" w:rsidP="00E44076">
            <w:pPr>
              <w:pStyle w:val="TableText0"/>
              <w:jc w:val="center"/>
            </w:pPr>
            <w:r w:rsidRPr="0075485D">
              <w:t>(-0.01, 0.05)</w:t>
            </w:r>
          </w:p>
        </w:tc>
        <w:tc>
          <w:tcPr>
            <w:tcW w:w="709" w:type="dxa"/>
            <w:tcBorders>
              <w:bottom w:val="single" w:sz="4" w:space="0" w:color="auto"/>
            </w:tcBorders>
            <w:vAlign w:val="center"/>
          </w:tcPr>
          <w:p w14:paraId="4AB90A80" w14:textId="77777777" w:rsidR="00A01891" w:rsidRPr="0075485D" w:rsidRDefault="00A01891" w:rsidP="00E44076">
            <w:pPr>
              <w:pStyle w:val="TableText0"/>
              <w:jc w:val="center"/>
            </w:pPr>
            <w:r w:rsidRPr="0075485D">
              <w:t>33</w:t>
            </w:r>
          </w:p>
          <w:p w14:paraId="37D4BF78" w14:textId="77777777" w:rsidR="00A01891" w:rsidRPr="0075485D" w:rsidRDefault="00A01891" w:rsidP="00E44076">
            <w:pPr>
              <w:pStyle w:val="TableText0"/>
              <w:jc w:val="center"/>
            </w:pPr>
            <w:r w:rsidRPr="0075485D">
              <w:t>(5.9)</w:t>
            </w:r>
          </w:p>
        </w:tc>
        <w:tc>
          <w:tcPr>
            <w:tcW w:w="708" w:type="dxa"/>
            <w:tcBorders>
              <w:bottom w:val="single" w:sz="4" w:space="0" w:color="auto"/>
            </w:tcBorders>
            <w:vAlign w:val="center"/>
          </w:tcPr>
          <w:p w14:paraId="77C238CE" w14:textId="77777777" w:rsidR="00A01891" w:rsidRPr="0075485D" w:rsidRDefault="00A01891" w:rsidP="00E44076">
            <w:pPr>
              <w:pStyle w:val="TableText0"/>
              <w:jc w:val="center"/>
            </w:pPr>
            <w:r w:rsidRPr="0075485D">
              <w:t>14</w:t>
            </w:r>
          </w:p>
          <w:p w14:paraId="710A2B59" w14:textId="77777777" w:rsidR="00A01891" w:rsidRPr="0075485D" w:rsidRDefault="00A01891" w:rsidP="00E44076">
            <w:pPr>
              <w:pStyle w:val="TableText0"/>
              <w:jc w:val="center"/>
            </w:pPr>
            <w:r w:rsidRPr="0075485D">
              <w:t>(2.5)</w:t>
            </w:r>
          </w:p>
        </w:tc>
        <w:tc>
          <w:tcPr>
            <w:tcW w:w="993" w:type="dxa"/>
            <w:tcBorders>
              <w:bottom w:val="single" w:sz="4" w:space="0" w:color="auto"/>
            </w:tcBorders>
            <w:vAlign w:val="center"/>
          </w:tcPr>
          <w:p w14:paraId="2E2DE08E" w14:textId="77777777" w:rsidR="00A01891" w:rsidRPr="0075485D" w:rsidRDefault="00A01891" w:rsidP="00E44076">
            <w:pPr>
              <w:pStyle w:val="TableText0"/>
              <w:jc w:val="center"/>
            </w:pPr>
            <w:r w:rsidRPr="0075485D">
              <w:t>0.03</w:t>
            </w:r>
          </w:p>
          <w:p w14:paraId="310C7EBB" w14:textId="77777777" w:rsidR="00A01891" w:rsidRPr="0075485D" w:rsidRDefault="00A01891" w:rsidP="00E44076">
            <w:pPr>
              <w:pStyle w:val="TableText0"/>
              <w:jc w:val="center"/>
            </w:pPr>
            <w:r w:rsidRPr="0075485D">
              <w:t>(0.01, 0.06)</w:t>
            </w:r>
          </w:p>
        </w:tc>
        <w:tc>
          <w:tcPr>
            <w:tcW w:w="708" w:type="dxa"/>
            <w:tcBorders>
              <w:bottom w:val="single" w:sz="4" w:space="0" w:color="auto"/>
            </w:tcBorders>
            <w:vAlign w:val="center"/>
          </w:tcPr>
          <w:p w14:paraId="476688ED" w14:textId="77777777" w:rsidR="00A01891" w:rsidRPr="0075485D" w:rsidRDefault="00A01891" w:rsidP="00E44076">
            <w:pPr>
              <w:pStyle w:val="TableText0"/>
              <w:jc w:val="center"/>
            </w:pPr>
            <w:r w:rsidRPr="0075485D">
              <w:t>42</w:t>
            </w:r>
          </w:p>
          <w:p w14:paraId="439FC064" w14:textId="77777777" w:rsidR="00A01891" w:rsidRPr="0075485D" w:rsidRDefault="00A01891" w:rsidP="00E44076">
            <w:pPr>
              <w:pStyle w:val="TableText0"/>
              <w:jc w:val="center"/>
            </w:pPr>
            <w:r w:rsidRPr="0075485D">
              <w:t>(8.0)</w:t>
            </w:r>
          </w:p>
        </w:tc>
        <w:tc>
          <w:tcPr>
            <w:tcW w:w="709" w:type="dxa"/>
            <w:tcBorders>
              <w:bottom w:val="single" w:sz="4" w:space="0" w:color="auto"/>
            </w:tcBorders>
            <w:vAlign w:val="center"/>
          </w:tcPr>
          <w:p w14:paraId="62A4A36D" w14:textId="77777777" w:rsidR="00A01891" w:rsidRPr="0075485D" w:rsidRDefault="00A01891" w:rsidP="00E44076">
            <w:pPr>
              <w:pStyle w:val="TableText0"/>
              <w:jc w:val="center"/>
            </w:pPr>
            <w:r w:rsidRPr="0075485D">
              <w:t>28</w:t>
            </w:r>
          </w:p>
          <w:p w14:paraId="611E8A67" w14:textId="77777777" w:rsidR="00A01891" w:rsidRPr="0075485D" w:rsidRDefault="00A01891" w:rsidP="00E44076">
            <w:pPr>
              <w:pStyle w:val="TableText0"/>
              <w:jc w:val="center"/>
            </w:pPr>
            <w:r w:rsidRPr="0075485D">
              <w:t>(5.3)</w:t>
            </w:r>
          </w:p>
        </w:tc>
        <w:tc>
          <w:tcPr>
            <w:tcW w:w="992" w:type="dxa"/>
            <w:tcBorders>
              <w:bottom w:val="single" w:sz="4" w:space="0" w:color="auto"/>
            </w:tcBorders>
            <w:vAlign w:val="center"/>
          </w:tcPr>
          <w:p w14:paraId="6BB06A48" w14:textId="77777777" w:rsidR="00A01891" w:rsidRPr="0075485D" w:rsidRDefault="00A01891" w:rsidP="00E44076">
            <w:pPr>
              <w:pStyle w:val="TableText0"/>
              <w:jc w:val="center"/>
            </w:pPr>
            <w:r w:rsidRPr="0075485D">
              <w:t>0.03</w:t>
            </w:r>
          </w:p>
          <w:p w14:paraId="69EA3654" w14:textId="77777777" w:rsidR="00A01891" w:rsidRPr="0075485D" w:rsidRDefault="00A01891" w:rsidP="00E44076">
            <w:pPr>
              <w:pStyle w:val="TableText0"/>
              <w:jc w:val="center"/>
            </w:pPr>
            <w:r w:rsidRPr="0075485D">
              <w:t>(-0.00, 0.06)</w:t>
            </w:r>
          </w:p>
        </w:tc>
      </w:tr>
    </w:tbl>
    <w:p w14:paraId="57DEE7AC" w14:textId="77777777" w:rsidR="00A01891" w:rsidRPr="00DD1269" w:rsidRDefault="00A01891" w:rsidP="00A01891">
      <w:pPr>
        <w:pStyle w:val="FooterTableFigure"/>
        <w:jc w:val="left"/>
      </w:pPr>
      <w:r w:rsidRPr="00DD1269">
        <w:t>Source: Table 2.5-18, 2.5-19, and 2.5-21 of the submission; Table 37, ARCHES CSR; Table 13, ENZAMET CSR.</w:t>
      </w:r>
    </w:p>
    <w:p w14:paraId="1D6AA387" w14:textId="77777777" w:rsidR="00A01891" w:rsidRDefault="00A01891" w:rsidP="00A01891">
      <w:pPr>
        <w:pStyle w:val="FooterTableFigure"/>
        <w:jc w:val="left"/>
      </w:pPr>
      <w:r>
        <w:t>AE=adverse event; CI=confidence interval; ENZA=enzalutamide; NSAA=</w:t>
      </w:r>
      <w:r>
        <w:rPr>
          <w:rFonts w:eastAsia="Calibri"/>
        </w:rPr>
        <w:t>nonsteroidal antiandrogen;</w:t>
      </w:r>
      <w:r>
        <w:t xml:space="preserve"> PBO=placebo; RD=risk difference; </w:t>
      </w:r>
      <w:r w:rsidRPr="00DD1269">
        <w:t>SAE=serious adverse event; TEAE=treatment-emergent adverse event</w:t>
      </w:r>
      <w:r>
        <w:t>.</w:t>
      </w:r>
      <w:r w:rsidRPr="00DD1269">
        <w:br/>
        <w:t>* Data cut-off 14 October 2018</w:t>
      </w:r>
    </w:p>
    <w:p w14:paraId="1F10370E" w14:textId="77777777" w:rsidR="00A01891" w:rsidRPr="003330C9" w:rsidRDefault="00A01891" w:rsidP="00A01891">
      <w:pPr>
        <w:pStyle w:val="3-BodyText"/>
        <w:rPr>
          <w:color w:val="0066FF"/>
        </w:rPr>
      </w:pPr>
      <w:bookmarkStart w:id="38" w:name="_Toc22897643"/>
      <w:r w:rsidRPr="003330C9">
        <w:t>Safety outcomes reported in ARCHES and ENZAMET were consistent with the known safety profile of enzalutamide. Enzalutamide has been available as a treatment for mCRPC since 2012 in the US and 2013 in Europe and more recently for m0CRPC.</w:t>
      </w:r>
      <w:r w:rsidRPr="003330C9">
        <w:rPr>
          <w:color w:val="0066FF"/>
        </w:rPr>
        <w:t xml:space="preserve"> </w:t>
      </w:r>
    </w:p>
    <w:p w14:paraId="4C1CD2BA" w14:textId="77777777" w:rsidR="00A01891" w:rsidRPr="003330C9" w:rsidRDefault="00A01891" w:rsidP="00A01891">
      <w:pPr>
        <w:pStyle w:val="3-BodyText"/>
        <w:rPr>
          <w:color w:val="0066FF"/>
        </w:rPr>
      </w:pPr>
      <w:bookmarkStart w:id="39" w:name="_Ref124330430"/>
      <w:r w:rsidRPr="003330C9">
        <w:t>ARCHES and TITAN had similar proportions of patients who experienced any TEAE, SAE and TEAE leading to discontinuation. However, in ARCHES, Grade 3 or 4 TEAEs and TEAEs leading to death were significantly higher in patients treated with enzalutamide compared to placebo. This was not the case in TITAN for apalutamide compared to placebo. Compared to control, enzalutamide treatment was associated with significantly more frequently reported hot flushes, fatigue, arthralgia, hypertension, nausea, asthenia, dizziness and falls, whereas apalutamide treatment was associated with more hot flushes (similar to enzalutamide), greater weight gain, diarrhoea, pruritus and rash and a small increase in ischaemic heart disease and ischaemic cerebrovascular events.</w:t>
      </w:r>
      <w:bookmarkEnd w:id="39"/>
    </w:p>
    <w:p w14:paraId="08CCFDB8" w14:textId="77777777" w:rsidR="00A01891" w:rsidRPr="003330C9" w:rsidRDefault="00A01891" w:rsidP="00A01891">
      <w:pPr>
        <w:pStyle w:val="3-BodyText"/>
        <w:rPr>
          <w:color w:val="0066FF"/>
        </w:rPr>
      </w:pPr>
      <w:r w:rsidRPr="003330C9">
        <w:rPr>
          <w:rFonts w:ascii="Calibri" w:hAnsi="Calibri"/>
          <w:snapToGrid/>
        </w:rPr>
        <w:t>The submission did not present any ITCs comparing safety outcomes across the trials. The submission noted that in m0CRPC, the PBAC had previously considered that a claim that darolutamide was non-inferior in terms of safety to apalutamide and enzalutamide was reasonable (Darolutamide PSD, March 2021).</w:t>
      </w:r>
    </w:p>
    <w:p w14:paraId="3B2E2EA5" w14:textId="77777777" w:rsidR="00A01891" w:rsidRPr="00C9624D" w:rsidRDefault="00A01891" w:rsidP="00A01891">
      <w:pPr>
        <w:pStyle w:val="4-SubsectionHeading"/>
      </w:pPr>
      <w:bookmarkStart w:id="40" w:name="_Toc124324278"/>
      <w:bookmarkStart w:id="41" w:name="_Toc124862872"/>
      <w:r w:rsidRPr="00C9624D">
        <w:t>Benefits/harms</w:t>
      </w:r>
      <w:bookmarkEnd w:id="38"/>
      <w:bookmarkEnd w:id="40"/>
      <w:bookmarkEnd w:id="41"/>
    </w:p>
    <w:p w14:paraId="75C04F9F" w14:textId="7433A74F" w:rsidR="00A01891" w:rsidRPr="00061868" w:rsidRDefault="00A01891" w:rsidP="00A01891">
      <w:pPr>
        <w:pStyle w:val="3-BodyText"/>
        <w:rPr>
          <w:rStyle w:val="CommentReference"/>
          <w:rFonts w:asciiTheme="minorHAnsi" w:hAnsiTheme="minorHAnsi"/>
          <w:b w:val="0"/>
          <w:sz w:val="24"/>
          <w:szCs w:val="24"/>
          <w:lang w:val="en-US"/>
        </w:rPr>
      </w:pPr>
      <w:r w:rsidRPr="00061868">
        <w:rPr>
          <w:snapToGrid/>
          <w:lang w:val="en-US"/>
        </w:rPr>
        <w:t xml:space="preserve">A summary of the comparative benefits and harms for enzalutamide versus placebo is presented </w:t>
      </w:r>
      <w:r w:rsidRPr="00061868">
        <w:rPr>
          <w:lang w:val="en-US"/>
        </w:rPr>
        <w:t xml:space="preserve">in </w:t>
      </w:r>
      <w:r w:rsidRPr="00061868">
        <w:rPr>
          <w:lang w:val="en-US"/>
        </w:rPr>
        <w:fldChar w:fldCharType="begin"/>
      </w:r>
      <w:r w:rsidRPr="00061868">
        <w:rPr>
          <w:lang w:val="en-US"/>
        </w:rPr>
        <w:instrText xml:space="preserve"> REF _Ref104805037 \h </w:instrText>
      </w:r>
      <w:r w:rsidRPr="00061868">
        <w:rPr>
          <w:lang w:val="en-US"/>
        </w:rPr>
      </w:r>
      <w:r w:rsidRPr="00061868">
        <w:rPr>
          <w:lang w:val="en-US"/>
        </w:rPr>
        <w:fldChar w:fldCharType="separate"/>
      </w:r>
      <w:r w:rsidR="00307E3A">
        <w:t xml:space="preserve">Table </w:t>
      </w:r>
      <w:r w:rsidR="00307E3A">
        <w:rPr>
          <w:noProof/>
        </w:rPr>
        <w:t>6</w:t>
      </w:r>
      <w:r w:rsidRPr="00061868">
        <w:rPr>
          <w:lang w:val="en-US"/>
        </w:rPr>
        <w:fldChar w:fldCharType="end"/>
      </w:r>
      <w:r w:rsidRPr="00D2155B">
        <w:t>.</w:t>
      </w:r>
    </w:p>
    <w:p w14:paraId="6DBB853D" w14:textId="3D75747D" w:rsidR="00A01891" w:rsidRPr="00D2155B" w:rsidRDefault="00A01891" w:rsidP="00BB44C1">
      <w:pPr>
        <w:pStyle w:val="Caption"/>
        <w:rPr>
          <w:rStyle w:val="CommentReference"/>
          <w:b/>
          <w:szCs w:val="24"/>
        </w:rPr>
      </w:pPr>
      <w:bookmarkStart w:id="42" w:name="_Ref104805037"/>
      <w:r>
        <w:t xml:space="preserve">Table </w:t>
      </w:r>
      <w:fldSimple w:instr=" SEQ Table \* ARABIC ">
        <w:r w:rsidR="00307E3A">
          <w:rPr>
            <w:noProof/>
          </w:rPr>
          <w:t>6</w:t>
        </w:r>
      </w:fldSimple>
      <w:bookmarkEnd w:id="42"/>
      <w:r>
        <w:t xml:space="preserve">: </w:t>
      </w:r>
      <w:r w:rsidRPr="00D2155B">
        <w:rPr>
          <w:rStyle w:val="CommentReference"/>
          <w:b/>
          <w:szCs w:val="24"/>
        </w:rPr>
        <w:t xml:space="preserve">Summary of comparative benefits and harms for </w:t>
      </w:r>
      <w:r>
        <w:rPr>
          <w:rStyle w:val="CommentReference"/>
          <w:b/>
          <w:szCs w:val="24"/>
        </w:rPr>
        <w:t>enzalutamide and placebo</w:t>
      </w:r>
    </w:p>
    <w:tbl>
      <w:tblPr>
        <w:tblW w:w="5000" w:type="pct"/>
        <w:tblLayout w:type="fixed"/>
        <w:tblCellMar>
          <w:left w:w="28" w:type="dxa"/>
          <w:right w:w="28" w:type="dxa"/>
        </w:tblCellMar>
        <w:tblLook w:val="04A0" w:firstRow="1" w:lastRow="0" w:firstColumn="1" w:lastColumn="0" w:noHBand="0" w:noVBand="1"/>
      </w:tblPr>
      <w:tblGrid>
        <w:gridCol w:w="9017"/>
      </w:tblGrid>
      <w:tr w:rsidR="00A01891" w:rsidRPr="005E1708" w14:paraId="0DAB5C67" w14:textId="77777777" w:rsidTr="00E44076">
        <w:trPr>
          <w:cantSplit/>
        </w:trPr>
        <w:tc>
          <w:tcPr>
            <w:tcW w:w="5000" w:type="pct"/>
            <w:tcBorders>
              <w:top w:val="single" w:sz="4" w:space="0" w:color="auto"/>
              <w:left w:val="single" w:sz="4" w:space="0" w:color="auto"/>
              <w:bottom w:val="double" w:sz="4" w:space="0" w:color="auto"/>
              <w:right w:val="single" w:sz="4" w:space="0" w:color="auto"/>
            </w:tcBorders>
            <w:shd w:val="clear" w:color="auto" w:fill="auto"/>
            <w:vAlign w:val="center"/>
          </w:tcPr>
          <w:p w14:paraId="4DF36660" w14:textId="77777777" w:rsidR="00A01891" w:rsidRPr="005E1708" w:rsidRDefault="00A01891" w:rsidP="00BB44C1">
            <w:pPr>
              <w:pStyle w:val="In-tableHeading"/>
              <w:rPr>
                <w:lang w:val="en-AU"/>
              </w:rPr>
            </w:pPr>
            <w:r w:rsidRPr="005E1708">
              <w:rPr>
                <w:lang w:val="en-AU"/>
              </w:rPr>
              <w:t>Benefits</w:t>
            </w:r>
          </w:p>
        </w:tc>
      </w:tr>
    </w:tbl>
    <w:tbl>
      <w:tblPr>
        <w:tblStyle w:val="TableGrid"/>
        <w:tblW w:w="5000" w:type="pct"/>
        <w:tblLayout w:type="fixed"/>
        <w:tblCellMar>
          <w:left w:w="28" w:type="dxa"/>
          <w:right w:w="28" w:type="dxa"/>
        </w:tblCellMar>
        <w:tblLook w:val="04A0" w:firstRow="1" w:lastRow="0" w:firstColumn="1" w:lastColumn="0" w:noHBand="0" w:noVBand="1"/>
      </w:tblPr>
      <w:tblGrid>
        <w:gridCol w:w="3114"/>
        <w:gridCol w:w="1416"/>
        <w:gridCol w:w="1277"/>
        <w:gridCol w:w="1625"/>
        <w:gridCol w:w="1585"/>
      </w:tblGrid>
      <w:tr w:rsidR="00A01891" w:rsidRPr="005E1708" w14:paraId="0202346A" w14:textId="77777777" w:rsidTr="004901F0">
        <w:trPr>
          <w:trHeight w:val="20"/>
        </w:trPr>
        <w:tc>
          <w:tcPr>
            <w:tcW w:w="1727" w:type="pct"/>
            <w:tcBorders>
              <w:bottom w:val="single" w:sz="4" w:space="0" w:color="auto"/>
            </w:tcBorders>
            <w:shd w:val="clear" w:color="auto" w:fill="auto"/>
          </w:tcPr>
          <w:p w14:paraId="020481A3" w14:textId="77777777" w:rsidR="00A01891" w:rsidRPr="005E1708" w:rsidRDefault="00A01891" w:rsidP="00BB44C1">
            <w:pPr>
              <w:pStyle w:val="In-tableHeading"/>
              <w:rPr>
                <w:lang w:val="en-AU"/>
              </w:rPr>
            </w:pPr>
            <w:r>
              <w:rPr>
                <w:lang w:val="en-AU"/>
              </w:rPr>
              <w:t>Trial</w:t>
            </w:r>
          </w:p>
        </w:tc>
        <w:tc>
          <w:tcPr>
            <w:tcW w:w="785" w:type="pct"/>
            <w:tcBorders>
              <w:bottom w:val="single" w:sz="4" w:space="0" w:color="auto"/>
            </w:tcBorders>
            <w:shd w:val="clear" w:color="auto" w:fill="auto"/>
          </w:tcPr>
          <w:p w14:paraId="01EDEFC2" w14:textId="77777777" w:rsidR="00A01891" w:rsidRPr="005E1708" w:rsidRDefault="00A01891" w:rsidP="00BB44C1">
            <w:pPr>
              <w:pStyle w:val="In-tableHeading"/>
              <w:jc w:val="center"/>
              <w:rPr>
                <w:lang w:val="en-AU"/>
              </w:rPr>
            </w:pPr>
            <w:r>
              <w:rPr>
                <w:lang w:val="en-AU"/>
              </w:rPr>
              <w:t>ENZA</w:t>
            </w:r>
          </w:p>
        </w:tc>
        <w:tc>
          <w:tcPr>
            <w:tcW w:w="708" w:type="pct"/>
            <w:tcBorders>
              <w:bottom w:val="single" w:sz="4" w:space="0" w:color="auto"/>
            </w:tcBorders>
            <w:shd w:val="clear" w:color="auto" w:fill="auto"/>
          </w:tcPr>
          <w:p w14:paraId="20139908" w14:textId="77777777" w:rsidR="00A01891" w:rsidRPr="005E1708" w:rsidRDefault="00A01891" w:rsidP="00BB44C1">
            <w:pPr>
              <w:pStyle w:val="In-tableHeading"/>
              <w:jc w:val="center"/>
              <w:rPr>
                <w:lang w:val="en-AU"/>
              </w:rPr>
            </w:pPr>
            <w:r w:rsidRPr="005E1708">
              <w:rPr>
                <w:lang w:val="en-AU"/>
              </w:rPr>
              <w:t>Placebo</w:t>
            </w:r>
          </w:p>
        </w:tc>
        <w:tc>
          <w:tcPr>
            <w:tcW w:w="901" w:type="pct"/>
            <w:tcBorders>
              <w:bottom w:val="single" w:sz="4" w:space="0" w:color="auto"/>
            </w:tcBorders>
            <w:shd w:val="clear" w:color="auto" w:fill="auto"/>
          </w:tcPr>
          <w:p w14:paraId="2AE2912F" w14:textId="77777777" w:rsidR="00A01891" w:rsidRPr="005E1708" w:rsidRDefault="00A01891" w:rsidP="00BB44C1">
            <w:pPr>
              <w:pStyle w:val="In-tableHeading"/>
              <w:jc w:val="center"/>
              <w:rPr>
                <w:rFonts w:asciiTheme="minorHAnsi" w:hAnsiTheme="minorHAnsi"/>
                <w:lang w:val="en-AU"/>
              </w:rPr>
            </w:pPr>
            <w:r w:rsidRPr="005E1708">
              <w:rPr>
                <w:lang w:val="en-AU"/>
              </w:rPr>
              <w:t>Absolute Difference</w:t>
            </w:r>
          </w:p>
        </w:tc>
        <w:tc>
          <w:tcPr>
            <w:tcW w:w="879" w:type="pct"/>
            <w:tcBorders>
              <w:bottom w:val="single" w:sz="4" w:space="0" w:color="auto"/>
            </w:tcBorders>
            <w:shd w:val="clear" w:color="auto" w:fill="auto"/>
          </w:tcPr>
          <w:p w14:paraId="50E87CA2" w14:textId="77777777" w:rsidR="00A01891" w:rsidRPr="005E1708" w:rsidRDefault="00A01891" w:rsidP="00BB44C1">
            <w:pPr>
              <w:pStyle w:val="In-tableHeading"/>
              <w:jc w:val="center"/>
              <w:rPr>
                <w:lang w:val="en-AU"/>
              </w:rPr>
            </w:pPr>
            <w:r w:rsidRPr="005E1708">
              <w:rPr>
                <w:lang w:val="en-AU"/>
              </w:rPr>
              <w:t>HR (95% CI)</w:t>
            </w:r>
          </w:p>
        </w:tc>
      </w:tr>
      <w:tr w:rsidR="00A01891" w:rsidRPr="005E1708" w14:paraId="2FEBEB97" w14:textId="77777777" w:rsidTr="004901F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166A7" w14:textId="77777777" w:rsidR="00A01891" w:rsidRPr="005E1708" w:rsidRDefault="00A01891" w:rsidP="00BB44C1">
            <w:pPr>
              <w:pStyle w:val="In-tableHeading"/>
              <w:rPr>
                <w:lang w:val="en-AU"/>
              </w:rPr>
            </w:pPr>
            <w:r>
              <w:rPr>
                <w:lang w:val="en-AU"/>
              </w:rPr>
              <w:t>Progression free survival</w:t>
            </w:r>
          </w:p>
        </w:tc>
      </w:tr>
      <w:tr w:rsidR="00A01891" w:rsidRPr="005E1708" w14:paraId="58DF2181" w14:textId="77777777" w:rsidTr="004901F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8B9BEF3" w14:textId="77777777" w:rsidR="00A01891" w:rsidRPr="005E1708" w:rsidRDefault="00A01891" w:rsidP="00BB44C1">
            <w:pPr>
              <w:pStyle w:val="TableText0"/>
              <w:widowControl w:val="0"/>
            </w:pPr>
            <w:r w:rsidRPr="006F1A41">
              <w:rPr>
                <w:b/>
              </w:rPr>
              <w:t>ARCHES</w:t>
            </w:r>
            <w:r>
              <w:rPr>
                <w:b/>
              </w:rPr>
              <w:t xml:space="preserve"> (2019)</w:t>
            </w:r>
          </w:p>
        </w:tc>
      </w:tr>
      <w:tr w:rsidR="00A01891" w:rsidRPr="005E1708" w14:paraId="57F1CDE4"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031538AB" w14:textId="77777777" w:rsidR="00A01891" w:rsidRPr="005E1708" w:rsidRDefault="00A01891" w:rsidP="00BB44C1">
            <w:pPr>
              <w:pStyle w:val="TableText0"/>
              <w:widowControl w:val="0"/>
            </w:pPr>
            <w:r w:rsidRPr="005E1708">
              <w:t>Progressed, n</w:t>
            </w:r>
            <w:r>
              <w:t>/N</w:t>
            </w:r>
            <w:r w:rsidRPr="005E1708">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02BB3B0" w14:textId="77777777" w:rsidR="00A01891" w:rsidRPr="005E1708" w:rsidRDefault="00A01891" w:rsidP="00BB44C1">
            <w:pPr>
              <w:pStyle w:val="TableText0"/>
              <w:widowControl w:val="0"/>
              <w:jc w:val="center"/>
            </w:pPr>
            <w:r>
              <w:t>91/574 (15.9%)</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799504B" w14:textId="77777777" w:rsidR="00A01891" w:rsidRPr="005E1708" w:rsidRDefault="00A01891" w:rsidP="00BB44C1">
            <w:pPr>
              <w:pStyle w:val="TableText0"/>
              <w:widowControl w:val="0"/>
              <w:jc w:val="center"/>
            </w:pPr>
            <w:r>
              <w:t>201/576 (34.9%)</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1FAA0033" w14:textId="77777777" w:rsidR="00A01891" w:rsidRPr="005E1708" w:rsidRDefault="00A01891" w:rsidP="00BB44C1">
            <w:pPr>
              <w:pStyle w:val="TableText0"/>
              <w:widowControl w:val="0"/>
              <w:jc w:val="center"/>
            </w:pPr>
            <w:r w:rsidRPr="005E1708">
              <w:t>-</w:t>
            </w:r>
          </w:p>
        </w:tc>
        <w:tc>
          <w:tcPr>
            <w:tcW w:w="879" w:type="pct"/>
            <w:vMerge w:val="restart"/>
            <w:tcBorders>
              <w:top w:val="single" w:sz="4" w:space="0" w:color="auto"/>
              <w:left w:val="single" w:sz="4" w:space="0" w:color="auto"/>
              <w:right w:val="single" w:sz="4" w:space="0" w:color="auto"/>
            </w:tcBorders>
            <w:shd w:val="clear" w:color="auto" w:fill="auto"/>
            <w:vAlign w:val="center"/>
          </w:tcPr>
          <w:p w14:paraId="57D66BC8" w14:textId="77777777" w:rsidR="00A01891" w:rsidRPr="005E1708" w:rsidRDefault="00A01891" w:rsidP="00BB44C1">
            <w:pPr>
              <w:pStyle w:val="TableText0"/>
              <w:widowControl w:val="0"/>
              <w:jc w:val="center"/>
              <w:rPr>
                <w:b/>
                <w:bCs w:val="0"/>
              </w:rPr>
            </w:pPr>
            <w:r w:rsidRPr="00841653">
              <w:rPr>
                <w:b/>
                <w:bCs w:val="0"/>
              </w:rPr>
              <w:t>0.39 (0.30-0.50)</w:t>
            </w:r>
          </w:p>
        </w:tc>
      </w:tr>
      <w:tr w:rsidR="00A01891" w:rsidRPr="005E1708" w14:paraId="339E8915"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727495CB" w14:textId="77777777" w:rsidR="00A01891" w:rsidRPr="005E1708" w:rsidRDefault="00A01891" w:rsidP="00BB44C1">
            <w:pPr>
              <w:pStyle w:val="TableText0"/>
              <w:widowControl w:val="0"/>
            </w:pPr>
            <w:r w:rsidRPr="005E1708">
              <w:t xml:space="preserve">Median </w:t>
            </w:r>
            <w:r>
              <w:t>rPFS,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DA37126" w14:textId="77777777" w:rsidR="00A01891" w:rsidRPr="005E1708" w:rsidRDefault="00A01891" w:rsidP="00BB44C1">
            <w:pPr>
              <w:pStyle w:val="TableText0"/>
              <w:widowControl w:val="0"/>
              <w:jc w:val="center"/>
              <w:rPr>
                <w:rFonts w:cs="Times New Roman"/>
                <w:szCs w:val="20"/>
              </w:rPr>
            </w:pPr>
            <w:r>
              <w:t>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238A7EF" w14:textId="77777777" w:rsidR="00A01891" w:rsidRPr="005E1708" w:rsidRDefault="00A01891" w:rsidP="00BB44C1">
            <w:pPr>
              <w:pStyle w:val="TableText0"/>
              <w:widowControl w:val="0"/>
              <w:jc w:val="center"/>
              <w:rPr>
                <w:rFonts w:cs="Times New Roman"/>
                <w:szCs w:val="20"/>
              </w:rPr>
            </w:pPr>
            <w:r>
              <w:t>19.0 (16.6-22.2)</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528F294E" w14:textId="77777777" w:rsidR="00A01891" w:rsidRPr="005E1708" w:rsidRDefault="00A01891" w:rsidP="00BB44C1">
            <w:pPr>
              <w:pStyle w:val="TableText0"/>
              <w:widowControl w:val="0"/>
              <w:jc w:val="center"/>
            </w:pPr>
            <w:r>
              <w:t>NE</w:t>
            </w:r>
          </w:p>
        </w:tc>
        <w:tc>
          <w:tcPr>
            <w:tcW w:w="879" w:type="pct"/>
            <w:vMerge/>
            <w:tcBorders>
              <w:left w:val="single" w:sz="4" w:space="0" w:color="auto"/>
              <w:right w:val="single" w:sz="4" w:space="0" w:color="auto"/>
            </w:tcBorders>
            <w:shd w:val="clear" w:color="auto" w:fill="auto"/>
          </w:tcPr>
          <w:p w14:paraId="593078FE" w14:textId="77777777" w:rsidR="00A01891" w:rsidRPr="005E1708" w:rsidRDefault="00A01891" w:rsidP="00BB44C1">
            <w:pPr>
              <w:pStyle w:val="TableText0"/>
              <w:widowControl w:val="0"/>
              <w:jc w:val="center"/>
              <w:rPr>
                <w:szCs w:val="20"/>
              </w:rPr>
            </w:pPr>
          </w:p>
        </w:tc>
      </w:tr>
      <w:tr w:rsidR="00A01891" w:rsidRPr="005E1708" w14:paraId="6BA01B84"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63FDB82E" w14:textId="77777777" w:rsidR="00A01891" w:rsidRPr="005E1708" w:rsidRDefault="00A01891" w:rsidP="00BB44C1">
            <w:pPr>
              <w:pStyle w:val="TableText0"/>
              <w:widowControl w:val="0"/>
            </w:pPr>
            <w:r w:rsidRPr="005E1708">
              <w:t xml:space="preserve">% </w:t>
            </w:r>
            <w:r>
              <w:t>not progressed at 12 months (95% CI)</w:t>
            </w:r>
            <w:r w:rsidRPr="005E1708">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78F967A" w14:textId="77777777" w:rsidR="00A01891" w:rsidRPr="005E1708" w:rsidRDefault="00A01891" w:rsidP="00BB44C1">
            <w:pPr>
              <w:pStyle w:val="TableText0"/>
              <w:widowControl w:val="0"/>
              <w:jc w:val="center"/>
            </w:pPr>
            <w:r>
              <w:t>84.5 (NR)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A8C9105" w14:textId="77777777" w:rsidR="00A01891" w:rsidRPr="005E1708" w:rsidRDefault="00A01891" w:rsidP="00BB44C1">
            <w:pPr>
              <w:pStyle w:val="TableText0"/>
              <w:widowControl w:val="0"/>
              <w:jc w:val="center"/>
              <w:rPr>
                <w:szCs w:val="20"/>
              </w:rPr>
            </w:pPr>
            <w:r>
              <w:rPr>
                <w:szCs w:val="20"/>
              </w:rPr>
              <w:t>63.7 (NR)</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DA470B0" w14:textId="77777777" w:rsidR="00A01891" w:rsidRPr="005E1708" w:rsidRDefault="00A01891" w:rsidP="00BB44C1">
            <w:pPr>
              <w:pStyle w:val="TableText0"/>
              <w:widowControl w:val="0"/>
              <w:jc w:val="center"/>
            </w:pPr>
            <w:r>
              <w:t>20.8%</w:t>
            </w:r>
          </w:p>
        </w:tc>
        <w:tc>
          <w:tcPr>
            <w:tcW w:w="879" w:type="pct"/>
            <w:vMerge/>
            <w:tcBorders>
              <w:left w:val="single" w:sz="4" w:space="0" w:color="auto"/>
              <w:right w:val="single" w:sz="4" w:space="0" w:color="auto"/>
            </w:tcBorders>
            <w:shd w:val="clear" w:color="auto" w:fill="auto"/>
          </w:tcPr>
          <w:p w14:paraId="28840427" w14:textId="77777777" w:rsidR="00A01891" w:rsidRPr="005E1708" w:rsidRDefault="00A01891" w:rsidP="00BB44C1">
            <w:pPr>
              <w:pStyle w:val="TableText0"/>
              <w:widowControl w:val="0"/>
              <w:jc w:val="center"/>
            </w:pPr>
          </w:p>
        </w:tc>
      </w:tr>
      <w:tr w:rsidR="00A01891" w:rsidRPr="005E1708" w14:paraId="659747C1"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784C7E80" w14:textId="77777777" w:rsidR="00A01891" w:rsidRPr="005E1708" w:rsidRDefault="00A01891" w:rsidP="00BB44C1">
            <w:pPr>
              <w:pStyle w:val="TableText0"/>
              <w:widowControl w:val="0"/>
            </w:pPr>
            <w:r>
              <w:t>% not progressed at 18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99DF5E7" w14:textId="77777777" w:rsidR="00A01891" w:rsidRPr="005E1708" w:rsidRDefault="00A01891" w:rsidP="00BB44C1">
            <w:pPr>
              <w:pStyle w:val="TableText0"/>
              <w:widowControl w:val="0"/>
              <w:jc w:val="center"/>
            </w:pPr>
            <w:r>
              <w:t>76.5 (NR)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BEF6D12" w14:textId="77777777" w:rsidR="00A01891" w:rsidRPr="005E1708" w:rsidRDefault="00A01891" w:rsidP="00BB44C1">
            <w:pPr>
              <w:pStyle w:val="TableText0"/>
              <w:widowControl w:val="0"/>
              <w:jc w:val="center"/>
              <w:rPr>
                <w:szCs w:val="20"/>
              </w:rPr>
            </w:pPr>
            <w:r>
              <w:rPr>
                <w:szCs w:val="20"/>
              </w:rPr>
              <w:t>51.7 (NR)</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1B381053" w14:textId="77777777" w:rsidR="00A01891" w:rsidRPr="005E1708" w:rsidRDefault="00A01891" w:rsidP="00BB44C1">
            <w:pPr>
              <w:pStyle w:val="TableText0"/>
              <w:widowControl w:val="0"/>
              <w:jc w:val="center"/>
            </w:pPr>
            <w:r>
              <w:t>24.8%</w:t>
            </w:r>
          </w:p>
        </w:tc>
        <w:tc>
          <w:tcPr>
            <w:tcW w:w="879" w:type="pct"/>
            <w:vMerge/>
            <w:tcBorders>
              <w:left w:val="single" w:sz="4" w:space="0" w:color="auto"/>
              <w:right w:val="single" w:sz="4" w:space="0" w:color="auto"/>
            </w:tcBorders>
            <w:shd w:val="clear" w:color="auto" w:fill="auto"/>
          </w:tcPr>
          <w:p w14:paraId="50D71040" w14:textId="77777777" w:rsidR="00A01891" w:rsidRPr="005E1708" w:rsidRDefault="00A01891" w:rsidP="00BB44C1">
            <w:pPr>
              <w:pStyle w:val="TableText0"/>
              <w:widowControl w:val="0"/>
              <w:jc w:val="center"/>
            </w:pPr>
          </w:p>
        </w:tc>
      </w:tr>
      <w:tr w:rsidR="00A01891" w:rsidRPr="005E1708" w14:paraId="1E487334" w14:textId="77777777" w:rsidTr="004901F0">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A8B584" w14:textId="77777777" w:rsidR="00A01891" w:rsidRPr="005E1708" w:rsidRDefault="00A01891" w:rsidP="00BB44C1">
            <w:pPr>
              <w:pStyle w:val="TableText0"/>
              <w:widowControl w:val="0"/>
            </w:pPr>
            <w:r w:rsidRPr="006F1A41">
              <w:rPr>
                <w:b/>
              </w:rPr>
              <w:t>ENZAMET</w:t>
            </w:r>
            <w:r>
              <w:rPr>
                <w:b/>
              </w:rPr>
              <w:t xml:space="preserve"> (2019)</w:t>
            </w:r>
          </w:p>
        </w:tc>
      </w:tr>
      <w:tr w:rsidR="00A01891" w:rsidRPr="005E1708" w14:paraId="642D85C8"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5C785B3E" w14:textId="77777777" w:rsidR="00A01891" w:rsidRPr="006F1A41" w:rsidRDefault="00A01891" w:rsidP="00BB44C1">
            <w:pPr>
              <w:pStyle w:val="TableText0"/>
              <w:widowControl w:val="0"/>
              <w:rPr>
                <w:b/>
              </w:rPr>
            </w:pPr>
            <w:r w:rsidRPr="005E1708">
              <w:t>Progressed, n</w:t>
            </w:r>
            <w:r>
              <w:t>/N</w:t>
            </w:r>
            <w:r w:rsidRPr="005E1708">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051530F" w14:textId="77777777" w:rsidR="00A01891" w:rsidRPr="005E1708" w:rsidRDefault="00A01891" w:rsidP="00BB44C1">
            <w:pPr>
              <w:pStyle w:val="TableText0"/>
              <w:widowControl w:val="0"/>
              <w:jc w:val="center"/>
            </w:pPr>
            <w:r>
              <w:t>167/563 (29.7%)</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AEC31C1" w14:textId="77777777" w:rsidR="00A01891" w:rsidRPr="005E1708" w:rsidRDefault="00A01891" w:rsidP="00BB44C1">
            <w:pPr>
              <w:pStyle w:val="TableText0"/>
              <w:widowControl w:val="0"/>
              <w:jc w:val="center"/>
            </w:pPr>
            <w:r>
              <w:t>320/562 (56.9%)</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23D81A4" w14:textId="77777777" w:rsidR="00A01891" w:rsidRPr="005E1708" w:rsidRDefault="00A01891" w:rsidP="00BB44C1">
            <w:pPr>
              <w:pStyle w:val="TableText0"/>
              <w:widowControl w:val="0"/>
              <w:jc w:val="center"/>
            </w:pPr>
            <w:r>
              <w:t>-</w:t>
            </w:r>
          </w:p>
        </w:tc>
        <w:tc>
          <w:tcPr>
            <w:tcW w:w="879" w:type="pct"/>
            <w:vMerge w:val="restart"/>
            <w:tcBorders>
              <w:left w:val="single" w:sz="4" w:space="0" w:color="auto"/>
              <w:right w:val="single" w:sz="4" w:space="0" w:color="auto"/>
            </w:tcBorders>
            <w:shd w:val="clear" w:color="auto" w:fill="auto"/>
            <w:vAlign w:val="center"/>
          </w:tcPr>
          <w:p w14:paraId="3CA36A30" w14:textId="77777777" w:rsidR="00A01891" w:rsidRPr="009D72C6" w:rsidRDefault="00A01891" w:rsidP="00BB44C1">
            <w:pPr>
              <w:pStyle w:val="TableText0"/>
              <w:widowControl w:val="0"/>
              <w:jc w:val="center"/>
              <w:rPr>
                <w:b/>
              </w:rPr>
            </w:pPr>
            <w:r w:rsidRPr="009D72C6">
              <w:rPr>
                <w:b/>
              </w:rPr>
              <w:t>0.40 (0.33-0.49)</w:t>
            </w:r>
          </w:p>
        </w:tc>
      </w:tr>
      <w:tr w:rsidR="00A01891" w:rsidRPr="005E1708" w14:paraId="5CD774BB"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41723B66" w14:textId="77777777" w:rsidR="00A01891" w:rsidRPr="005E1708" w:rsidRDefault="00A01891" w:rsidP="00BB44C1">
            <w:pPr>
              <w:pStyle w:val="TableText0"/>
              <w:widowControl w:val="0"/>
            </w:pPr>
            <w:r w:rsidRPr="005E1708">
              <w:t xml:space="preserve">Median </w:t>
            </w:r>
            <w:r>
              <w:t>clinical PFS,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65D878D" w14:textId="77777777" w:rsidR="00A01891" w:rsidRPr="005E1708" w:rsidRDefault="00A01891" w:rsidP="00BB44C1">
            <w:pPr>
              <w:pStyle w:val="TableText0"/>
              <w:widowControl w:val="0"/>
              <w:jc w:val="center"/>
            </w:pPr>
            <w:r>
              <w:t>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D2621B5" w14:textId="77777777" w:rsidR="00A01891" w:rsidRPr="005E1708" w:rsidRDefault="00A01891" w:rsidP="00BB44C1">
            <w:pPr>
              <w:pStyle w:val="TableText0"/>
              <w:widowControl w:val="0"/>
              <w:jc w:val="center"/>
            </w:pPr>
            <w:r>
              <w:t>NR</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1AE815C4" w14:textId="77777777" w:rsidR="00A01891" w:rsidRPr="005E1708" w:rsidRDefault="00A01891" w:rsidP="00BB44C1">
            <w:pPr>
              <w:pStyle w:val="TableText0"/>
              <w:widowControl w:val="0"/>
              <w:jc w:val="center"/>
            </w:pPr>
            <w:r>
              <w:t>NE</w:t>
            </w:r>
          </w:p>
        </w:tc>
        <w:tc>
          <w:tcPr>
            <w:tcW w:w="879" w:type="pct"/>
            <w:vMerge/>
            <w:tcBorders>
              <w:left w:val="single" w:sz="4" w:space="0" w:color="auto"/>
              <w:right w:val="single" w:sz="4" w:space="0" w:color="auto"/>
            </w:tcBorders>
            <w:shd w:val="clear" w:color="auto" w:fill="auto"/>
          </w:tcPr>
          <w:p w14:paraId="5497C117" w14:textId="77777777" w:rsidR="00A01891" w:rsidRPr="005E1708" w:rsidRDefault="00A01891" w:rsidP="00BB44C1">
            <w:pPr>
              <w:pStyle w:val="TableText0"/>
              <w:widowControl w:val="0"/>
              <w:jc w:val="center"/>
            </w:pPr>
          </w:p>
        </w:tc>
      </w:tr>
      <w:tr w:rsidR="00A01891" w:rsidRPr="005E1708" w14:paraId="4BCD65C9"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50A620EB" w14:textId="77777777" w:rsidR="00A01891" w:rsidRPr="005E1708" w:rsidRDefault="00A01891" w:rsidP="00BB44C1">
            <w:pPr>
              <w:pStyle w:val="TableText0"/>
              <w:widowControl w:val="0"/>
            </w:pPr>
            <w:r w:rsidRPr="005E1708">
              <w:t xml:space="preserve">% </w:t>
            </w:r>
            <w:r>
              <w:t>not progressed at 12 months (95% CI)^</w:t>
            </w:r>
            <w:r w:rsidRPr="005E1708">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049C24C" w14:textId="77777777" w:rsidR="00A01891" w:rsidRDefault="00A01891" w:rsidP="00BB44C1">
            <w:pPr>
              <w:pStyle w:val="TableText0"/>
              <w:widowControl w:val="0"/>
              <w:jc w:val="center"/>
            </w:pPr>
            <w:r>
              <w:t>90</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8AF98CD" w14:textId="77777777" w:rsidR="00A01891" w:rsidRDefault="00A01891" w:rsidP="00BB44C1">
            <w:pPr>
              <w:pStyle w:val="TableText0"/>
              <w:widowControl w:val="0"/>
              <w:jc w:val="center"/>
            </w:pPr>
            <w:r>
              <w:t>75</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0385DD59" w14:textId="77777777" w:rsidR="00A01891" w:rsidRDefault="00A01891" w:rsidP="00BB44C1">
            <w:pPr>
              <w:pStyle w:val="TableText0"/>
              <w:widowControl w:val="0"/>
              <w:jc w:val="center"/>
            </w:pPr>
            <w:r>
              <w:t>15%</w:t>
            </w:r>
          </w:p>
        </w:tc>
        <w:tc>
          <w:tcPr>
            <w:tcW w:w="879" w:type="pct"/>
            <w:vMerge/>
            <w:tcBorders>
              <w:left w:val="single" w:sz="4" w:space="0" w:color="auto"/>
              <w:right w:val="single" w:sz="4" w:space="0" w:color="auto"/>
            </w:tcBorders>
            <w:shd w:val="clear" w:color="auto" w:fill="auto"/>
          </w:tcPr>
          <w:p w14:paraId="41894FF6" w14:textId="77777777" w:rsidR="00A01891" w:rsidRPr="005E1708" w:rsidRDefault="00A01891" w:rsidP="00BB44C1">
            <w:pPr>
              <w:pStyle w:val="TableText0"/>
              <w:widowControl w:val="0"/>
              <w:jc w:val="center"/>
            </w:pPr>
          </w:p>
        </w:tc>
      </w:tr>
      <w:tr w:rsidR="00A01891" w:rsidRPr="005E1708" w14:paraId="04EE2E63"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21C6AC8F" w14:textId="77777777" w:rsidR="00A01891" w:rsidRPr="005E1708" w:rsidRDefault="00A01891" w:rsidP="00BB44C1">
            <w:pPr>
              <w:pStyle w:val="TableText0"/>
              <w:widowControl w:val="0"/>
            </w:pPr>
            <w:r>
              <w:t>% not progressed at 18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DD6A9F0" w14:textId="77777777" w:rsidR="00A01891" w:rsidRDefault="00A01891" w:rsidP="00BB44C1">
            <w:pPr>
              <w:pStyle w:val="TableText0"/>
              <w:widowControl w:val="0"/>
              <w:jc w:val="center"/>
            </w:pPr>
            <w:r>
              <w:t>85</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F423AAD" w14:textId="77777777" w:rsidR="00A01891" w:rsidRDefault="00A01891" w:rsidP="00BB44C1">
            <w:pPr>
              <w:pStyle w:val="TableText0"/>
              <w:widowControl w:val="0"/>
              <w:jc w:val="center"/>
            </w:pPr>
            <w:r>
              <w:t>63</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7AD1B431" w14:textId="77777777" w:rsidR="00A01891" w:rsidRDefault="00A01891" w:rsidP="00BB44C1">
            <w:pPr>
              <w:pStyle w:val="TableText0"/>
              <w:widowControl w:val="0"/>
              <w:jc w:val="center"/>
            </w:pPr>
            <w:r>
              <w:t>22%</w:t>
            </w:r>
          </w:p>
        </w:tc>
        <w:tc>
          <w:tcPr>
            <w:tcW w:w="879" w:type="pct"/>
            <w:vMerge/>
            <w:tcBorders>
              <w:left w:val="single" w:sz="4" w:space="0" w:color="auto"/>
              <w:right w:val="single" w:sz="4" w:space="0" w:color="auto"/>
            </w:tcBorders>
            <w:shd w:val="clear" w:color="auto" w:fill="auto"/>
          </w:tcPr>
          <w:p w14:paraId="59FAC897" w14:textId="77777777" w:rsidR="00A01891" w:rsidRPr="005E1708" w:rsidRDefault="00A01891" w:rsidP="00BB44C1">
            <w:pPr>
              <w:pStyle w:val="TableText0"/>
              <w:widowControl w:val="0"/>
              <w:jc w:val="center"/>
            </w:pPr>
          </w:p>
        </w:tc>
      </w:tr>
      <w:tr w:rsidR="00A01891" w:rsidRPr="005E1708" w14:paraId="02670399" w14:textId="77777777" w:rsidTr="004901F0">
        <w:trPr>
          <w:trHeight w:val="2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40764429" w14:textId="77777777" w:rsidR="00A01891" w:rsidRPr="005E1708" w:rsidRDefault="00A01891" w:rsidP="00BB44C1">
            <w:pPr>
              <w:pStyle w:val="TableText0"/>
              <w:widowControl w:val="0"/>
            </w:pPr>
            <w:r>
              <w:t>% not progressed at 48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421BB94" w14:textId="77777777" w:rsidR="00A01891" w:rsidRDefault="00A01891" w:rsidP="00BB44C1">
            <w:pPr>
              <w:pStyle w:val="TableText0"/>
              <w:widowControl w:val="0"/>
              <w:jc w:val="center"/>
            </w:pPr>
            <w:r>
              <w:t>63</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D25D8B5" w14:textId="77777777" w:rsidR="00A01891" w:rsidRDefault="00A01891" w:rsidP="00BB44C1">
            <w:pPr>
              <w:pStyle w:val="TableText0"/>
              <w:widowControl w:val="0"/>
              <w:jc w:val="center"/>
            </w:pPr>
            <w:r>
              <w:t>31</w:t>
            </w:r>
          </w:p>
        </w:tc>
        <w:tc>
          <w:tcPr>
            <w:tcW w:w="901" w:type="pct"/>
            <w:tcBorders>
              <w:top w:val="single" w:sz="4" w:space="0" w:color="auto"/>
              <w:left w:val="single" w:sz="4" w:space="0" w:color="auto"/>
              <w:bottom w:val="single" w:sz="4" w:space="0" w:color="auto"/>
              <w:right w:val="single" w:sz="4" w:space="0" w:color="auto"/>
            </w:tcBorders>
            <w:shd w:val="clear" w:color="auto" w:fill="auto"/>
          </w:tcPr>
          <w:p w14:paraId="5FF77D94" w14:textId="77777777" w:rsidR="00A01891" w:rsidRDefault="00A01891" w:rsidP="00BB44C1">
            <w:pPr>
              <w:pStyle w:val="TableText0"/>
              <w:widowControl w:val="0"/>
              <w:jc w:val="center"/>
            </w:pPr>
            <w:r>
              <w:t>32%</w:t>
            </w:r>
          </w:p>
        </w:tc>
        <w:tc>
          <w:tcPr>
            <w:tcW w:w="879" w:type="pct"/>
            <w:vMerge/>
            <w:tcBorders>
              <w:left w:val="single" w:sz="4" w:space="0" w:color="auto"/>
              <w:bottom w:val="nil"/>
              <w:right w:val="single" w:sz="4" w:space="0" w:color="auto"/>
            </w:tcBorders>
            <w:shd w:val="clear" w:color="auto" w:fill="auto"/>
          </w:tcPr>
          <w:p w14:paraId="34999146" w14:textId="77777777" w:rsidR="00A01891" w:rsidRPr="005E1708" w:rsidRDefault="00A01891" w:rsidP="00BB44C1">
            <w:pPr>
              <w:pStyle w:val="TableText0"/>
              <w:widowControl w:val="0"/>
              <w:jc w:val="center"/>
            </w:pPr>
          </w:p>
        </w:tc>
      </w:tr>
      <w:tr w:rsidR="00A01891" w:rsidRPr="005E1708" w14:paraId="6EDF1F09" w14:textId="77777777" w:rsidTr="004901F0">
        <w:trPr>
          <w:trHeight w:val="73"/>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01BDE7" w14:textId="77777777" w:rsidR="00A01891" w:rsidRPr="005E1708" w:rsidRDefault="00A01891" w:rsidP="00BB44C1">
            <w:pPr>
              <w:pStyle w:val="TableText0"/>
              <w:widowControl w:val="0"/>
            </w:pPr>
            <w:r>
              <w:rPr>
                <w:b/>
                <w:bCs w:val="0"/>
              </w:rPr>
              <w:t>Overall survival</w:t>
            </w:r>
            <w:r w:rsidRPr="005E1708">
              <w:rPr>
                <w:b/>
                <w:bCs w:val="0"/>
              </w:rPr>
              <w:t xml:space="preserve"> </w:t>
            </w:r>
          </w:p>
        </w:tc>
      </w:tr>
      <w:tr w:rsidR="00A01891" w:rsidRPr="005E1708" w14:paraId="74117427" w14:textId="77777777" w:rsidTr="004901F0">
        <w:trPr>
          <w:trHeight w:val="7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B67E21" w14:textId="77777777" w:rsidR="00A01891" w:rsidRPr="00FA714E" w:rsidRDefault="00A01891" w:rsidP="00BB44C1">
            <w:pPr>
              <w:pStyle w:val="TableText0"/>
            </w:pPr>
            <w:r w:rsidRPr="00FA714E">
              <w:rPr>
                <w:b/>
              </w:rPr>
              <w:t>ARCHES (2022)</w:t>
            </w:r>
            <w:r>
              <w:t xml:space="preserve"> - Median 44.6 months follow up</w:t>
            </w:r>
          </w:p>
        </w:tc>
      </w:tr>
      <w:tr w:rsidR="00A01891" w:rsidRPr="005E1708" w14:paraId="13D2D79D"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5CA1F6E6" w14:textId="77777777" w:rsidR="00A01891" w:rsidRPr="005E1708" w:rsidRDefault="00A01891" w:rsidP="00BB44C1">
            <w:pPr>
              <w:pStyle w:val="TableText0"/>
              <w:widowControl w:val="0"/>
            </w:pPr>
            <w:r w:rsidRPr="005E1708">
              <w:t xml:space="preserve">Deaths, n/N (%)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4C89CF2A" w14:textId="77777777" w:rsidR="00A01891" w:rsidRPr="005E1708" w:rsidRDefault="00A01891" w:rsidP="00BB44C1">
            <w:pPr>
              <w:pStyle w:val="TableText0"/>
              <w:widowControl w:val="0"/>
              <w:jc w:val="center"/>
              <w:rPr>
                <w:szCs w:val="20"/>
              </w:rPr>
            </w:pPr>
            <w:r>
              <w:t>154/574 (26.8%)</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DDD5087" w14:textId="77777777" w:rsidR="00A01891" w:rsidRPr="005E1708" w:rsidRDefault="00A01891" w:rsidP="00BB44C1">
            <w:pPr>
              <w:pStyle w:val="TableText0"/>
              <w:widowControl w:val="0"/>
              <w:rPr>
                <w:szCs w:val="20"/>
              </w:rPr>
            </w:pPr>
            <w:r>
              <w:t>202/576 (35.1%)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0E6735D2" w14:textId="77777777" w:rsidR="00A01891" w:rsidRPr="005E1708" w:rsidRDefault="00A01891" w:rsidP="00BB44C1">
            <w:pPr>
              <w:pStyle w:val="TableText0"/>
              <w:widowControl w:val="0"/>
              <w:jc w:val="center"/>
            </w:pPr>
            <w:r w:rsidRPr="005E1708">
              <w:t>-</w:t>
            </w:r>
          </w:p>
        </w:tc>
        <w:tc>
          <w:tcPr>
            <w:tcW w:w="879" w:type="pct"/>
            <w:vMerge w:val="restart"/>
            <w:tcBorders>
              <w:top w:val="nil"/>
              <w:left w:val="single" w:sz="4" w:space="0" w:color="auto"/>
              <w:right w:val="single" w:sz="4" w:space="0" w:color="auto"/>
            </w:tcBorders>
            <w:shd w:val="clear" w:color="auto" w:fill="auto"/>
            <w:vAlign w:val="center"/>
          </w:tcPr>
          <w:p w14:paraId="2888668C" w14:textId="77777777" w:rsidR="00A01891" w:rsidRPr="005E1708" w:rsidRDefault="00A01891" w:rsidP="00BB44C1">
            <w:pPr>
              <w:pStyle w:val="TableText0"/>
              <w:widowControl w:val="0"/>
              <w:jc w:val="center"/>
            </w:pPr>
            <w:r w:rsidRPr="00E832DA">
              <w:rPr>
                <w:b/>
                <w:bCs w:val="0"/>
              </w:rPr>
              <w:t>0.66 (0.53-0.81)</w:t>
            </w:r>
          </w:p>
        </w:tc>
      </w:tr>
      <w:tr w:rsidR="00A01891" w:rsidRPr="005E1708" w14:paraId="369C84DE"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1AA651D8" w14:textId="77777777" w:rsidR="00A01891" w:rsidRPr="005E1708" w:rsidRDefault="00A01891" w:rsidP="00BB44C1">
            <w:pPr>
              <w:pStyle w:val="TableText0"/>
              <w:widowControl w:val="0"/>
            </w:pPr>
            <w:r>
              <w:t>Median OS,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99E7A98" w14:textId="77777777" w:rsidR="00A01891" w:rsidRPr="005E1708" w:rsidRDefault="00A01891" w:rsidP="00BB44C1">
            <w:pPr>
              <w:pStyle w:val="TableText0"/>
              <w:widowControl w:val="0"/>
              <w:jc w:val="center"/>
              <w:rPr>
                <w:szCs w:val="20"/>
              </w:rPr>
            </w:pPr>
            <w:r>
              <w:rPr>
                <w:szCs w:val="20"/>
              </w:rPr>
              <w:t>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FD22316" w14:textId="77777777" w:rsidR="00A01891" w:rsidRPr="005E1708" w:rsidRDefault="00A01891" w:rsidP="00BB44C1">
            <w:pPr>
              <w:pStyle w:val="TableText0"/>
              <w:widowControl w:val="0"/>
              <w:jc w:val="center"/>
              <w:rPr>
                <w:szCs w:val="20"/>
              </w:rPr>
            </w:pPr>
            <w:r>
              <w:t>NR (49.7 to NR)</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4B98E539" w14:textId="77777777" w:rsidR="00A01891" w:rsidRPr="005E1708" w:rsidRDefault="00A01891" w:rsidP="00BB44C1">
            <w:pPr>
              <w:pStyle w:val="TableText0"/>
              <w:widowControl w:val="0"/>
              <w:jc w:val="center"/>
            </w:pPr>
            <w:r>
              <w:t>NE</w:t>
            </w:r>
          </w:p>
        </w:tc>
        <w:tc>
          <w:tcPr>
            <w:tcW w:w="879" w:type="pct"/>
            <w:vMerge/>
            <w:tcBorders>
              <w:left w:val="single" w:sz="4" w:space="0" w:color="auto"/>
              <w:right w:val="single" w:sz="4" w:space="0" w:color="auto"/>
            </w:tcBorders>
            <w:shd w:val="clear" w:color="auto" w:fill="auto"/>
            <w:vAlign w:val="center"/>
          </w:tcPr>
          <w:p w14:paraId="439E9A91" w14:textId="77777777" w:rsidR="00A01891" w:rsidRPr="005E1708" w:rsidRDefault="00A01891" w:rsidP="00BB44C1">
            <w:pPr>
              <w:pStyle w:val="TableText0"/>
              <w:widowControl w:val="0"/>
              <w:rPr>
                <w:b/>
                <w:bCs w:val="0"/>
              </w:rPr>
            </w:pPr>
          </w:p>
        </w:tc>
      </w:tr>
      <w:tr w:rsidR="00A01891" w:rsidRPr="005E1708" w14:paraId="2D35C79C"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2DA20A79" w14:textId="77777777" w:rsidR="00A01891" w:rsidRDefault="00A01891" w:rsidP="00BB44C1">
            <w:pPr>
              <w:pStyle w:val="TableText0"/>
              <w:widowControl w:val="0"/>
            </w:pPr>
            <w:r>
              <w:t xml:space="preserve">% Alive at 12 </w:t>
            </w:r>
            <w:r w:rsidRPr="005E1708">
              <w:t>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C7884EC" w14:textId="77777777" w:rsidR="00A01891" w:rsidRDefault="00A01891" w:rsidP="00BB44C1">
            <w:pPr>
              <w:pStyle w:val="TableText0"/>
              <w:widowControl w:val="0"/>
              <w:jc w:val="center"/>
              <w:rPr>
                <w:szCs w:val="20"/>
              </w:rPr>
            </w:pPr>
            <w:r>
              <w:rPr>
                <w:szCs w:val="20"/>
              </w:rPr>
              <w:t>95.5 (NR)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69017B7" w14:textId="77777777" w:rsidR="00A01891" w:rsidRDefault="00A01891" w:rsidP="00BB44C1">
            <w:pPr>
              <w:pStyle w:val="TableText0"/>
              <w:widowControl w:val="0"/>
              <w:jc w:val="center"/>
            </w:pPr>
            <w:r>
              <w:t>93.9 (NR)</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10EABA59" w14:textId="77777777" w:rsidR="00A01891" w:rsidRPr="005E1708" w:rsidRDefault="00A01891" w:rsidP="00BB44C1">
            <w:pPr>
              <w:pStyle w:val="TableText0"/>
              <w:widowControl w:val="0"/>
              <w:jc w:val="center"/>
            </w:pPr>
            <w:r>
              <w:t>1.6%</w:t>
            </w:r>
          </w:p>
        </w:tc>
        <w:tc>
          <w:tcPr>
            <w:tcW w:w="879" w:type="pct"/>
            <w:vMerge/>
            <w:tcBorders>
              <w:left w:val="single" w:sz="4" w:space="0" w:color="auto"/>
              <w:right w:val="single" w:sz="4" w:space="0" w:color="auto"/>
            </w:tcBorders>
            <w:shd w:val="clear" w:color="auto" w:fill="auto"/>
            <w:vAlign w:val="center"/>
          </w:tcPr>
          <w:p w14:paraId="17FBAD58" w14:textId="77777777" w:rsidR="00A01891" w:rsidRPr="005E1708" w:rsidRDefault="00A01891" w:rsidP="00BB44C1">
            <w:pPr>
              <w:pStyle w:val="TableText0"/>
              <w:widowControl w:val="0"/>
              <w:rPr>
                <w:b/>
                <w:bCs w:val="0"/>
              </w:rPr>
            </w:pPr>
          </w:p>
        </w:tc>
      </w:tr>
      <w:tr w:rsidR="00A01891" w:rsidRPr="005E1708" w14:paraId="5908F23B"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03377FD2" w14:textId="77777777" w:rsidR="00A01891" w:rsidRDefault="00A01891" w:rsidP="00BB44C1">
            <w:pPr>
              <w:pStyle w:val="TableText0"/>
              <w:widowControl w:val="0"/>
            </w:pPr>
            <w:r>
              <w:t xml:space="preserve">% Alive at 18 </w:t>
            </w:r>
            <w:r w:rsidRPr="005E1708">
              <w:t>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32F4E18" w14:textId="77777777" w:rsidR="00A01891" w:rsidRDefault="00A01891" w:rsidP="00BB44C1">
            <w:pPr>
              <w:pStyle w:val="TableText0"/>
              <w:widowControl w:val="0"/>
              <w:jc w:val="center"/>
              <w:rPr>
                <w:szCs w:val="20"/>
              </w:rPr>
            </w:pPr>
            <w:r>
              <w:rPr>
                <w:szCs w:val="20"/>
              </w:rPr>
              <w:t>89.9 (NR)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8D3A80B" w14:textId="77777777" w:rsidR="00A01891" w:rsidRDefault="00A01891" w:rsidP="00BB44C1">
            <w:pPr>
              <w:pStyle w:val="TableText0"/>
              <w:widowControl w:val="0"/>
              <w:jc w:val="center"/>
            </w:pPr>
            <w:r>
              <w:t>89.4 (NR)</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7AE276BE" w14:textId="77777777" w:rsidR="00A01891" w:rsidRPr="005E1708" w:rsidRDefault="00A01891" w:rsidP="00BB44C1">
            <w:pPr>
              <w:pStyle w:val="TableText0"/>
              <w:widowControl w:val="0"/>
              <w:jc w:val="center"/>
            </w:pPr>
            <w:r>
              <w:t>0.5%</w:t>
            </w:r>
          </w:p>
        </w:tc>
        <w:tc>
          <w:tcPr>
            <w:tcW w:w="879" w:type="pct"/>
            <w:vMerge/>
            <w:tcBorders>
              <w:left w:val="single" w:sz="4" w:space="0" w:color="auto"/>
              <w:right w:val="single" w:sz="4" w:space="0" w:color="auto"/>
            </w:tcBorders>
            <w:shd w:val="clear" w:color="auto" w:fill="auto"/>
            <w:vAlign w:val="center"/>
          </w:tcPr>
          <w:p w14:paraId="5CF25DE5" w14:textId="77777777" w:rsidR="00A01891" w:rsidRPr="005E1708" w:rsidRDefault="00A01891" w:rsidP="00BB44C1">
            <w:pPr>
              <w:pStyle w:val="TableText0"/>
              <w:widowControl w:val="0"/>
              <w:rPr>
                <w:b/>
                <w:bCs w:val="0"/>
              </w:rPr>
            </w:pPr>
          </w:p>
        </w:tc>
      </w:tr>
      <w:tr w:rsidR="00A01891" w:rsidRPr="005E1708" w14:paraId="422F5952"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4741ABAF" w14:textId="77777777" w:rsidR="00A01891" w:rsidRDefault="00A01891" w:rsidP="00BB44C1">
            <w:pPr>
              <w:pStyle w:val="TableText0"/>
              <w:widowControl w:val="0"/>
            </w:pPr>
            <w:r>
              <w:t>% Alive at 24 months (95%CI)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D6421C8" w14:textId="77777777" w:rsidR="00A01891" w:rsidRDefault="00A01891" w:rsidP="00BB44C1">
            <w:pPr>
              <w:pStyle w:val="TableText0"/>
              <w:widowControl w:val="0"/>
              <w:jc w:val="center"/>
              <w:rPr>
                <w:szCs w:val="20"/>
              </w:rPr>
            </w:pPr>
            <w:r>
              <w:rPr>
                <w:szCs w:val="20"/>
              </w:rPr>
              <w:t>88.9 (NR)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570BAE4" w14:textId="77777777" w:rsidR="00A01891" w:rsidRDefault="00A01891" w:rsidP="00BB44C1">
            <w:pPr>
              <w:pStyle w:val="TableText0"/>
              <w:widowControl w:val="0"/>
              <w:jc w:val="center"/>
            </w:pPr>
            <w:r>
              <w:t>83.3 (NR)</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10BE9060" w14:textId="77777777" w:rsidR="00A01891" w:rsidRPr="005E1708" w:rsidRDefault="00A01891" w:rsidP="00BB44C1">
            <w:pPr>
              <w:pStyle w:val="TableText0"/>
              <w:widowControl w:val="0"/>
              <w:jc w:val="center"/>
            </w:pPr>
            <w:r>
              <w:t>5.6%</w:t>
            </w:r>
          </w:p>
        </w:tc>
        <w:tc>
          <w:tcPr>
            <w:tcW w:w="879" w:type="pct"/>
            <w:vMerge/>
            <w:tcBorders>
              <w:left w:val="single" w:sz="4" w:space="0" w:color="auto"/>
              <w:right w:val="single" w:sz="4" w:space="0" w:color="auto"/>
            </w:tcBorders>
            <w:shd w:val="clear" w:color="auto" w:fill="auto"/>
            <w:vAlign w:val="center"/>
          </w:tcPr>
          <w:p w14:paraId="79B57AA7" w14:textId="77777777" w:rsidR="00A01891" w:rsidRPr="005E1708" w:rsidRDefault="00A01891" w:rsidP="00BB44C1">
            <w:pPr>
              <w:pStyle w:val="TableText0"/>
              <w:widowControl w:val="0"/>
              <w:rPr>
                <w:b/>
                <w:bCs w:val="0"/>
              </w:rPr>
            </w:pPr>
          </w:p>
        </w:tc>
      </w:tr>
      <w:tr w:rsidR="00A01891" w:rsidRPr="005E1708" w14:paraId="271D7612"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2D8273FC" w14:textId="77777777" w:rsidR="00A01891" w:rsidRDefault="00A01891" w:rsidP="00BB44C1">
            <w:pPr>
              <w:pStyle w:val="TableText0"/>
              <w:widowControl w:val="0"/>
            </w:pPr>
            <w:r>
              <w:t>% Alive at 36 months (95%CI)^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0A8522F" w14:textId="77777777" w:rsidR="00A01891" w:rsidRDefault="00A01891" w:rsidP="00BB44C1">
            <w:pPr>
              <w:pStyle w:val="TableText0"/>
              <w:widowControl w:val="0"/>
              <w:jc w:val="center"/>
              <w:rPr>
                <w:szCs w:val="20"/>
              </w:rPr>
            </w:pPr>
            <w:r>
              <w:rPr>
                <w:szCs w:val="20"/>
              </w:rPr>
              <w:t>82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54657B10" w14:textId="77777777" w:rsidR="00A01891" w:rsidRDefault="00A01891" w:rsidP="00BB44C1">
            <w:pPr>
              <w:pStyle w:val="TableText0"/>
              <w:widowControl w:val="0"/>
              <w:jc w:val="center"/>
            </w:pPr>
            <w:r>
              <w:t>69</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542EF22C" w14:textId="77777777" w:rsidR="00A01891" w:rsidRPr="005E1708" w:rsidRDefault="00A01891" w:rsidP="00BB44C1">
            <w:pPr>
              <w:pStyle w:val="TableText0"/>
              <w:widowControl w:val="0"/>
              <w:jc w:val="center"/>
            </w:pPr>
            <w:r>
              <w:t>13%</w:t>
            </w:r>
          </w:p>
        </w:tc>
        <w:tc>
          <w:tcPr>
            <w:tcW w:w="879" w:type="pct"/>
            <w:vMerge/>
            <w:tcBorders>
              <w:left w:val="single" w:sz="4" w:space="0" w:color="auto"/>
              <w:right w:val="single" w:sz="4" w:space="0" w:color="auto"/>
            </w:tcBorders>
            <w:shd w:val="clear" w:color="auto" w:fill="auto"/>
            <w:vAlign w:val="center"/>
          </w:tcPr>
          <w:p w14:paraId="280D73BA" w14:textId="77777777" w:rsidR="00A01891" w:rsidRPr="005E1708" w:rsidRDefault="00A01891" w:rsidP="00BB44C1">
            <w:pPr>
              <w:pStyle w:val="TableText0"/>
              <w:widowControl w:val="0"/>
              <w:rPr>
                <w:b/>
                <w:bCs w:val="0"/>
              </w:rPr>
            </w:pPr>
          </w:p>
        </w:tc>
      </w:tr>
      <w:tr w:rsidR="00A01891" w:rsidRPr="005E1708" w14:paraId="7F674D2E"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30475FAA" w14:textId="77777777" w:rsidR="00A01891" w:rsidRDefault="00A01891" w:rsidP="00BB44C1">
            <w:pPr>
              <w:pStyle w:val="TableText0"/>
              <w:widowControl w:val="0"/>
            </w:pPr>
            <w:r>
              <w:t>% Alive at 48 months (95%CI)^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D2DCF67" w14:textId="77777777" w:rsidR="00A01891" w:rsidRDefault="00A01891" w:rsidP="00BB44C1">
            <w:pPr>
              <w:pStyle w:val="TableText0"/>
              <w:widowControl w:val="0"/>
              <w:jc w:val="center"/>
              <w:rPr>
                <w:szCs w:val="20"/>
              </w:rPr>
            </w:pPr>
            <w:r>
              <w:rPr>
                <w:szCs w:val="20"/>
              </w:rPr>
              <w:t>70</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17A89AC" w14:textId="77777777" w:rsidR="00A01891" w:rsidRDefault="00A01891" w:rsidP="00BB44C1">
            <w:pPr>
              <w:pStyle w:val="TableText0"/>
              <w:widowControl w:val="0"/>
              <w:jc w:val="center"/>
            </w:pPr>
            <w:r>
              <w:t>57</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75004A7F" w14:textId="77777777" w:rsidR="00A01891" w:rsidRPr="005E1708" w:rsidRDefault="00A01891" w:rsidP="00BB44C1">
            <w:pPr>
              <w:pStyle w:val="TableText0"/>
              <w:widowControl w:val="0"/>
              <w:jc w:val="center"/>
            </w:pPr>
            <w:r>
              <w:t>13%</w:t>
            </w:r>
          </w:p>
        </w:tc>
        <w:tc>
          <w:tcPr>
            <w:tcW w:w="879" w:type="pct"/>
            <w:vMerge/>
            <w:tcBorders>
              <w:left w:val="single" w:sz="4" w:space="0" w:color="auto"/>
              <w:right w:val="single" w:sz="4" w:space="0" w:color="auto"/>
            </w:tcBorders>
            <w:shd w:val="clear" w:color="auto" w:fill="auto"/>
            <w:vAlign w:val="center"/>
          </w:tcPr>
          <w:p w14:paraId="2736E120" w14:textId="77777777" w:rsidR="00A01891" w:rsidRPr="005E1708" w:rsidRDefault="00A01891" w:rsidP="00BB44C1">
            <w:pPr>
              <w:pStyle w:val="TableText0"/>
              <w:widowControl w:val="0"/>
              <w:rPr>
                <w:b/>
                <w:bCs w:val="0"/>
              </w:rPr>
            </w:pPr>
          </w:p>
        </w:tc>
      </w:tr>
      <w:tr w:rsidR="00A01891" w:rsidRPr="005E1708" w14:paraId="255E3E83" w14:textId="77777777" w:rsidTr="004901F0">
        <w:trPr>
          <w:trHeight w:val="26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908E5A2" w14:textId="77777777" w:rsidR="00A01891" w:rsidRPr="00FA714E" w:rsidRDefault="00A01891" w:rsidP="00BB44C1">
            <w:pPr>
              <w:pStyle w:val="TableText0"/>
              <w:widowControl w:val="0"/>
              <w:rPr>
                <w:bCs w:val="0"/>
              </w:rPr>
            </w:pPr>
            <w:r>
              <w:rPr>
                <w:b/>
                <w:bCs w:val="0"/>
              </w:rPr>
              <w:t xml:space="preserve">ENZAMET (2022) </w:t>
            </w:r>
            <w:r>
              <w:rPr>
                <w:bCs w:val="0"/>
              </w:rPr>
              <w:t>– Median 68 months follow up</w:t>
            </w:r>
          </w:p>
        </w:tc>
      </w:tr>
      <w:tr w:rsidR="00A01891" w:rsidRPr="005E1708" w14:paraId="5C9DAAFD"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2B90E615" w14:textId="77777777" w:rsidR="00A01891" w:rsidRDefault="00A01891" w:rsidP="00BB44C1">
            <w:pPr>
              <w:pStyle w:val="TableText0"/>
              <w:widowControl w:val="0"/>
            </w:pPr>
            <w:r w:rsidRPr="005E1708">
              <w:t xml:space="preserve">Deaths, n/N (%)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0D779D6" w14:textId="77777777" w:rsidR="00A01891" w:rsidRDefault="00A01891" w:rsidP="00BB44C1">
            <w:pPr>
              <w:pStyle w:val="TableText0"/>
              <w:widowControl w:val="0"/>
              <w:jc w:val="center"/>
              <w:rPr>
                <w:szCs w:val="20"/>
              </w:rPr>
            </w:pPr>
            <w:r>
              <w:t>208/563 (36.9%)</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569E827" w14:textId="77777777" w:rsidR="00A01891" w:rsidRDefault="00A01891" w:rsidP="00BB44C1">
            <w:pPr>
              <w:pStyle w:val="TableText0"/>
              <w:widowControl w:val="0"/>
              <w:jc w:val="center"/>
            </w:pPr>
            <w:r>
              <w:t>268/562 (47.7%)</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1AFBD8BE" w14:textId="77777777" w:rsidR="00A01891" w:rsidRPr="005E1708" w:rsidRDefault="00A01891" w:rsidP="00BB44C1">
            <w:pPr>
              <w:pStyle w:val="TableText0"/>
              <w:widowControl w:val="0"/>
              <w:jc w:val="center"/>
            </w:pPr>
            <w:r>
              <w:t>-</w:t>
            </w:r>
          </w:p>
        </w:tc>
        <w:tc>
          <w:tcPr>
            <w:tcW w:w="879" w:type="pct"/>
            <w:vMerge w:val="restart"/>
            <w:tcBorders>
              <w:top w:val="single" w:sz="4" w:space="0" w:color="auto"/>
              <w:left w:val="single" w:sz="4" w:space="0" w:color="auto"/>
              <w:right w:val="single" w:sz="4" w:space="0" w:color="auto"/>
            </w:tcBorders>
            <w:shd w:val="clear" w:color="auto" w:fill="auto"/>
            <w:vAlign w:val="center"/>
          </w:tcPr>
          <w:p w14:paraId="4AB6A9D2" w14:textId="77777777" w:rsidR="00A01891" w:rsidRPr="005E1708" w:rsidRDefault="00A01891" w:rsidP="00BB44C1">
            <w:pPr>
              <w:pStyle w:val="TableText0"/>
              <w:widowControl w:val="0"/>
              <w:jc w:val="center"/>
              <w:rPr>
                <w:b/>
                <w:bCs w:val="0"/>
              </w:rPr>
            </w:pPr>
            <w:r w:rsidRPr="00E832DA">
              <w:rPr>
                <w:b/>
                <w:bCs w:val="0"/>
              </w:rPr>
              <w:t>0.70 (0.58-0.84)</w:t>
            </w:r>
          </w:p>
        </w:tc>
      </w:tr>
      <w:tr w:rsidR="00A01891" w:rsidRPr="005E1708" w14:paraId="4594F53A"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27B5939D" w14:textId="77777777" w:rsidR="00A01891" w:rsidRDefault="00A01891" w:rsidP="00BB44C1">
            <w:pPr>
              <w:pStyle w:val="TableText0"/>
              <w:widowControl w:val="0"/>
            </w:pPr>
            <w:r>
              <w:t>Median OS, 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BECB07E" w14:textId="77777777" w:rsidR="00A01891" w:rsidRDefault="00A01891" w:rsidP="00BB44C1">
            <w:pPr>
              <w:pStyle w:val="TableText0"/>
              <w:widowControl w:val="0"/>
              <w:jc w:val="center"/>
              <w:rPr>
                <w:szCs w:val="20"/>
              </w:rPr>
            </w:pPr>
            <w:r>
              <w:rPr>
                <w:szCs w:val="20"/>
              </w:rPr>
              <w:t>NR</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423BD666" w14:textId="77777777" w:rsidR="00A01891" w:rsidRDefault="00A01891" w:rsidP="00BB44C1">
            <w:pPr>
              <w:pStyle w:val="TableText0"/>
              <w:widowControl w:val="0"/>
              <w:jc w:val="center"/>
            </w:pPr>
            <w:r>
              <w:t>NR</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0C9CCE04" w14:textId="77777777" w:rsidR="00A01891" w:rsidRPr="005E1708" w:rsidRDefault="00A01891" w:rsidP="00BB44C1">
            <w:pPr>
              <w:pStyle w:val="TableText0"/>
              <w:widowControl w:val="0"/>
              <w:jc w:val="center"/>
            </w:pPr>
            <w:r>
              <w:t>NE</w:t>
            </w:r>
          </w:p>
        </w:tc>
        <w:tc>
          <w:tcPr>
            <w:tcW w:w="879" w:type="pct"/>
            <w:vMerge/>
            <w:tcBorders>
              <w:left w:val="single" w:sz="4" w:space="0" w:color="auto"/>
              <w:right w:val="single" w:sz="4" w:space="0" w:color="auto"/>
            </w:tcBorders>
            <w:shd w:val="clear" w:color="auto" w:fill="auto"/>
            <w:vAlign w:val="center"/>
          </w:tcPr>
          <w:p w14:paraId="76982373" w14:textId="77777777" w:rsidR="00A01891" w:rsidRPr="005E1708" w:rsidRDefault="00A01891" w:rsidP="00BB44C1">
            <w:pPr>
              <w:pStyle w:val="TableText0"/>
              <w:widowControl w:val="0"/>
              <w:rPr>
                <w:b/>
                <w:bCs w:val="0"/>
              </w:rPr>
            </w:pPr>
          </w:p>
        </w:tc>
      </w:tr>
      <w:tr w:rsidR="00A01891" w:rsidRPr="005E1708" w14:paraId="72067A4B" w14:textId="77777777" w:rsidTr="004901F0">
        <w:trPr>
          <w:trHeight w:val="261"/>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7E90950C" w14:textId="77777777" w:rsidR="00A01891" w:rsidRDefault="00A01891" w:rsidP="00BB44C1">
            <w:pPr>
              <w:pStyle w:val="TableText0"/>
              <w:widowControl w:val="0"/>
            </w:pPr>
            <w:r>
              <w:t xml:space="preserve">% Alive at 12 </w:t>
            </w:r>
            <w:r w:rsidRPr="005E1708">
              <w:t>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BB2EB8B" w14:textId="77777777" w:rsidR="00A01891" w:rsidRDefault="00A01891" w:rsidP="00BB44C1">
            <w:pPr>
              <w:pStyle w:val="TableText0"/>
              <w:widowControl w:val="0"/>
              <w:jc w:val="center"/>
              <w:rPr>
                <w:szCs w:val="20"/>
              </w:rPr>
            </w:pPr>
            <w:r w:rsidRPr="00B02929">
              <w:rPr>
                <w:szCs w:val="20"/>
              </w:rPr>
              <w:t>96.6 (94.7, 97.8)</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6A02E279" w14:textId="77777777" w:rsidR="00A01891" w:rsidRDefault="00A01891" w:rsidP="00BB44C1">
            <w:pPr>
              <w:pStyle w:val="TableText0"/>
              <w:widowControl w:val="0"/>
              <w:jc w:val="center"/>
            </w:pPr>
            <w:r w:rsidRPr="00B02929">
              <w:t>95.7 (93.6, 97.1)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0BB737E4" w14:textId="77777777" w:rsidR="00A01891" w:rsidRPr="005E1708" w:rsidRDefault="00A01891" w:rsidP="00BB44C1">
            <w:pPr>
              <w:pStyle w:val="TableText0"/>
              <w:widowControl w:val="0"/>
              <w:jc w:val="center"/>
            </w:pPr>
            <w:r>
              <w:t>0.9%</w:t>
            </w:r>
          </w:p>
        </w:tc>
        <w:tc>
          <w:tcPr>
            <w:tcW w:w="879" w:type="pct"/>
            <w:vMerge/>
            <w:tcBorders>
              <w:left w:val="single" w:sz="4" w:space="0" w:color="auto"/>
              <w:right w:val="single" w:sz="4" w:space="0" w:color="auto"/>
            </w:tcBorders>
            <w:shd w:val="clear" w:color="auto" w:fill="auto"/>
            <w:vAlign w:val="center"/>
          </w:tcPr>
          <w:p w14:paraId="0EE7E9F1" w14:textId="77777777" w:rsidR="00A01891" w:rsidRPr="005E1708" w:rsidRDefault="00A01891" w:rsidP="00BB44C1">
            <w:pPr>
              <w:pStyle w:val="TableText0"/>
              <w:widowControl w:val="0"/>
              <w:rPr>
                <w:b/>
                <w:bCs w:val="0"/>
              </w:rPr>
            </w:pPr>
          </w:p>
        </w:tc>
      </w:tr>
      <w:tr w:rsidR="00A01891" w:rsidRPr="005E1708" w14:paraId="658EEF0B" w14:textId="77777777" w:rsidTr="004901F0">
        <w:trPr>
          <w:trHeight w:val="119"/>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7D8E94D7" w14:textId="77777777" w:rsidR="00A01891" w:rsidRDefault="00A01891" w:rsidP="00BB44C1">
            <w:pPr>
              <w:pStyle w:val="TableText0"/>
              <w:widowControl w:val="0"/>
            </w:pPr>
            <w:r>
              <w:t xml:space="preserve">% Alive at 24 </w:t>
            </w:r>
            <w:r w:rsidRPr="005E1708">
              <w:t>months (95% 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1F0F736" w14:textId="77777777" w:rsidR="00A01891" w:rsidRDefault="00A01891" w:rsidP="00BB44C1">
            <w:pPr>
              <w:pStyle w:val="TableText0"/>
              <w:widowControl w:val="0"/>
              <w:jc w:val="center"/>
              <w:rPr>
                <w:szCs w:val="20"/>
              </w:rPr>
            </w:pPr>
            <w:r w:rsidRPr="00B02929">
              <w:rPr>
                <w:szCs w:val="20"/>
              </w:rPr>
              <w:t>89.1 (86.2, 91.4)</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7448BD3D" w14:textId="77777777" w:rsidR="00A01891" w:rsidRDefault="00A01891" w:rsidP="00BB44C1">
            <w:pPr>
              <w:pStyle w:val="TableText0"/>
              <w:widowControl w:val="0"/>
              <w:jc w:val="center"/>
            </w:pPr>
            <w:r w:rsidRPr="00B02929">
              <w:t>84.7 (81.4, 87.4)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2590B935" w14:textId="77777777" w:rsidR="00A01891" w:rsidRPr="005E1708" w:rsidRDefault="00A01891" w:rsidP="00BB44C1">
            <w:pPr>
              <w:pStyle w:val="TableText0"/>
              <w:widowControl w:val="0"/>
              <w:jc w:val="center"/>
            </w:pPr>
            <w:r>
              <w:t>4.4%</w:t>
            </w:r>
          </w:p>
        </w:tc>
        <w:tc>
          <w:tcPr>
            <w:tcW w:w="879" w:type="pct"/>
            <w:vMerge/>
            <w:tcBorders>
              <w:left w:val="single" w:sz="4" w:space="0" w:color="auto"/>
              <w:right w:val="single" w:sz="4" w:space="0" w:color="auto"/>
            </w:tcBorders>
            <w:shd w:val="clear" w:color="auto" w:fill="auto"/>
            <w:vAlign w:val="center"/>
          </w:tcPr>
          <w:p w14:paraId="3C1DFD65" w14:textId="77777777" w:rsidR="00A01891" w:rsidRPr="005E1708" w:rsidRDefault="00A01891" w:rsidP="00BB44C1">
            <w:pPr>
              <w:pStyle w:val="TableText0"/>
              <w:widowControl w:val="0"/>
              <w:rPr>
                <w:b/>
                <w:bCs w:val="0"/>
              </w:rPr>
            </w:pPr>
          </w:p>
        </w:tc>
      </w:tr>
      <w:tr w:rsidR="00A01891" w:rsidRPr="005E1708" w14:paraId="60394624" w14:textId="77777777" w:rsidTr="004901F0">
        <w:trPr>
          <w:trHeight w:val="60"/>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377573A8" w14:textId="77777777" w:rsidR="00A01891" w:rsidRDefault="00A01891" w:rsidP="00BB44C1">
            <w:pPr>
              <w:pStyle w:val="TableText0"/>
              <w:widowControl w:val="0"/>
            </w:pPr>
            <w:r>
              <w:t>% Alive at 36 months (95%CI)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FE2B4C5" w14:textId="77777777" w:rsidR="00A01891" w:rsidRDefault="00A01891" w:rsidP="00BB44C1">
            <w:pPr>
              <w:pStyle w:val="TableText0"/>
              <w:widowControl w:val="0"/>
              <w:jc w:val="center"/>
              <w:rPr>
                <w:szCs w:val="20"/>
              </w:rPr>
            </w:pPr>
            <w:r w:rsidRPr="00B02929">
              <w:rPr>
                <w:szCs w:val="20"/>
              </w:rPr>
              <w:t>79.7 (75.4, 83.3)</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73DC102" w14:textId="77777777" w:rsidR="00A01891" w:rsidRDefault="00A01891" w:rsidP="00BB44C1">
            <w:pPr>
              <w:pStyle w:val="TableText0"/>
              <w:widowControl w:val="0"/>
              <w:jc w:val="center"/>
            </w:pPr>
            <w:r w:rsidRPr="00B02929">
              <w:t>72.4 (67.8, 76.4)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07224298" w14:textId="77777777" w:rsidR="00A01891" w:rsidRPr="005E1708" w:rsidRDefault="00A01891" w:rsidP="00BB44C1">
            <w:pPr>
              <w:pStyle w:val="TableText0"/>
              <w:widowControl w:val="0"/>
              <w:jc w:val="center"/>
            </w:pPr>
            <w:r>
              <w:t>7.3%</w:t>
            </w:r>
          </w:p>
        </w:tc>
        <w:tc>
          <w:tcPr>
            <w:tcW w:w="879" w:type="pct"/>
            <w:vMerge/>
            <w:tcBorders>
              <w:left w:val="single" w:sz="4" w:space="0" w:color="auto"/>
              <w:right w:val="single" w:sz="4" w:space="0" w:color="auto"/>
            </w:tcBorders>
            <w:shd w:val="clear" w:color="auto" w:fill="auto"/>
            <w:vAlign w:val="center"/>
          </w:tcPr>
          <w:p w14:paraId="48618507" w14:textId="77777777" w:rsidR="00A01891" w:rsidRPr="005E1708" w:rsidRDefault="00A01891" w:rsidP="00BB44C1">
            <w:pPr>
              <w:pStyle w:val="TableText0"/>
              <w:widowControl w:val="0"/>
              <w:rPr>
                <w:b/>
                <w:bCs w:val="0"/>
              </w:rPr>
            </w:pPr>
          </w:p>
        </w:tc>
      </w:tr>
      <w:tr w:rsidR="00A01891" w:rsidRPr="005E1708" w14:paraId="234AEF3F" w14:textId="77777777" w:rsidTr="004901F0">
        <w:trPr>
          <w:trHeight w:val="157"/>
        </w:trPr>
        <w:tc>
          <w:tcPr>
            <w:tcW w:w="1727" w:type="pct"/>
            <w:tcBorders>
              <w:top w:val="single" w:sz="4" w:space="0" w:color="auto"/>
              <w:left w:val="single" w:sz="4" w:space="0" w:color="auto"/>
              <w:bottom w:val="single" w:sz="4" w:space="0" w:color="auto"/>
              <w:right w:val="single" w:sz="4" w:space="0" w:color="auto"/>
            </w:tcBorders>
            <w:shd w:val="clear" w:color="auto" w:fill="auto"/>
          </w:tcPr>
          <w:p w14:paraId="1044C2CD" w14:textId="77777777" w:rsidR="00A01891" w:rsidRDefault="00A01891" w:rsidP="00BB44C1">
            <w:pPr>
              <w:pStyle w:val="TableText0"/>
              <w:widowControl w:val="0"/>
            </w:pPr>
            <w:r>
              <w:t>% Alive at 48 months (95%CI)^</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8F1DF48" w14:textId="77777777" w:rsidR="00A01891" w:rsidRDefault="00A01891" w:rsidP="00BB44C1">
            <w:pPr>
              <w:pStyle w:val="TableText0"/>
              <w:widowControl w:val="0"/>
              <w:jc w:val="center"/>
              <w:rPr>
                <w:szCs w:val="20"/>
              </w:rPr>
            </w:pPr>
            <w:r>
              <w:rPr>
                <w:szCs w:val="20"/>
              </w:rPr>
              <w:t>72</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320F9876" w14:textId="77777777" w:rsidR="00A01891" w:rsidRDefault="00A01891" w:rsidP="00BB44C1">
            <w:pPr>
              <w:pStyle w:val="TableText0"/>
              <w:widowControl w:val="0"/>
              <w:jc w:val="center"/>
            </w:pPr>
            <w:r>
              <w:t>63</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1B58AF66" w14:textId="77777777" w:rsidR="00A01891" w:rsidRPr="005E1708" w:rsidRDefault="00A01891" w:rsidP="00BB44C1">
            <w:pPr>
              <w:pStyle w:val="TableText0"/>
              <w:widowControl w:val="0"/>
              <w:jc w:val="center"/>
            </w:pPr>
            <w:r>
              <w:t>9%</w:t>
            </w:r>
          </w:p>
        </w:tc>
        <w:tc>
          <w:tcPr>
            <w:tcW w:w="879" w:type="pct"/>
            <w:vMerge/>
            <w:tcBorders>
              <w:left w:val="single" w:sz="4" w:space="0" w:color="auto"/>
              <w:right w:val="single" w:sz="4" w:space="0" w:color="auto"/>
            </w:tcBorders>
            <w:shd w:val="clear" w:color="auto" w:fill="auto"/>
            <w:vAlign w:val="center"/>
          </w:tcPr>
          <w:p w14:paraId="344DAF4D" w14:textId="77777777" w:rsidR="00A01891" w:rsidRPr="005E1708" w:rsidRDefault="00A01891" w:rsidP="00BB44C1">
            <w:pPr>
              <w:pStyle w:val="TableText0"/>
              <w:widowControl w:val="0"/>
              <w:rPr>
                <w:b/>
                <w:bCs w:val="0"/>
              </w:rPr>
            </w:pPr>
          </w:p>
        </w:tc>
      </w:tr>
      <w:tr w:rsidR="00A01891" w:rsidRPr="005E1708" w14:paraId="17501F3B" w14:textId="77777777" w:rsidTr="004901F0">
        <w:trPr>
          <w:trHeight w:val="20"/>
        </w:trPr>
        <w:tc>
          <w:tcPr>
            <w:tcW w:w="5000" w:type="pct"/>
            <w:gridSpan w:val="5"/>
            <w:tcBorders>
              <w:top w:val="double" w:sz="4" w:space="0" w:color="auto"/>
              <w:left w:val="single" w:sz="4" w:space="0" w:color="auto"/>
              <w:bottom w:val="single" w:sz="4" w:space="0" w:color="auto"/>
              <w:right w:val="single" w:sz="4" w:space="0" w:color="auto"/>
            </w:tcBorders>
            <w:shd w:val="clear" w:color="auto" w:fill="auto"/>
          </w:tcPr>
          <w:p w14:paraId="0CC9084D" w14:textId="77777777" w:rsidR="00A01891" w:rsidRPr="005E1708" w:rsidRDefault="00A01891" w:rsidP="00BB44C1">
            <w:pPr>
              <w:pStyle w:val="TableText0"/>
              <w:widowControl w:val="0"/>
              <w:rPr>
                <w:b/>
                <w:bCs w:val="0"/>
              </w:rPr>
            </w:pPr>
            <w:r w:rsidRPr="005E1708">
              <w:rPr>
                <w:b/>
                <w:bCs w:val="0"/>
              </w:rPr>
              <w:t>Harms</w:t>
            </w:r>
          </w:p>
        </w:tc>
      </w:tr>
    </w:tbl>
    <w:tbl>
      <w:tblPr>
        <w:tblW w:w="5000" w:type="pct"/>
        <w:tblLayout w:type="fixed"/>
        <w:tblCellMar>
          <w:left w:w="28" w:type="dxa"/>
          <w:right w:w="28" w:type="dxa"/>
        </w:tblCellMar>
        <w:tblLook w:val="04A0" w:firstRow="1" w:lastRow="0" w:firstColumn="1" w:lastColumn="0" w:noHBand="0" w:noVBand="1"/>
      </w:tblPr>
      <w:tblGrid>
        <w:gridCol w:w="1969"/>
        <w:gridCol w:w="1571"/>
        <w:gridCol w:w="1558"/>
        <w:gridCol w:w="994"/>
        <w:gridCol w:w="994"/>
        <w:gridCol w:w="1931"/>
      </w:tblGrid>
      <w:tr w:rsidR="00A01891" w:rsidRPr="005E1708" w14:paraId="4CE06AE1" w14:textId="77777777" w:rsidTr="00E44076">
        <w:trPr>
          <w:trHeight w:val="229"/>
        </w:trPr>
        <w:tc>
          <w:tcPr>
            <w:tcW w:w="10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CAE92E" w14:textId="77777777" w:rsidR="00A01891" w:rsidRPr="005E1708" w:rsidRDefault="00A01891" w:rsidP="00BB44C1">
            <w:pPr>
              <w:pStyle w:val="In-tableHeading"/>
              <w:rPr>
                <w:lang w:val="en-AU"/>
              </w:rPr>
            </w:pPr>
            <w:r w:rsidRPr="005E1708">
              <w:rPr>
                <w:lang w:val="en-AU"/>
              </w:rPr>
              <w:t xml:space="preserve">Key study drug related </w:t>
            </w:r>
            <w:r>
              <w:rPr>
                <w:lang w:val="en-AU"/>
              </w:rPr>
              <w:t>TE</w:t>
            </w:r>
            <w:r w:rsidRPr="005E1708">
              <w:rPr>
                <w:lang w:val="en-AU"/>
              </w:rPr>
              <w:t>AEs</w:t>
            </w:r>
          </w:p>
        </w:tc>
        <w:tc>
          <w:tcPr>
            <w:tcW w:w="871" w:type="pct"/>
            <w:vMerge w:val="restart"/>
            <w:tcBorders>
              <w:top w:val="single" w:sz="4" w:space="0" w:color="auto"/>
              <w:left w:val="single" w:sz="4" w:space="0" w:color="auto"/>
              <w:bottom w:val="single" w:sz="4" w:space="0" w:color="auto"/>
              <w:right w:val="single" w:sz="4" w:space="0" w:color="auto"/>
            </w:tcBorders>
            <w:vAlign w:val="center"/>
          </w:tcPr>
          <w:p w14:paraId="3E60863E" w14:textId="77777777" w:rsidR="00A01891" w:rsidRDefault="00A01891" w:rsidP="00BB44C1">
            <w:pPr>
              <w:pStyle w:val="In-tableHeading"/>
              <w:jc w:val="center"/>
              <w:rPr>
                <w:lang w:val="en-AU"/>
              </w:rPr>
            </w:pPr>
            <w:r>
              <w:rPr>
                <w:lang w:val="en-AU"/>
              </w:rPr>
              <w:t>NHA</w:t>
            </w:r>
          </w:p>
          <w:p w14:paraId="180ACE2B" w14:textId="77777777" w:rsidR="00A01891" w:rsidRPr="005E1708" w:rsidRDefault="00A01891" w:rsidP="00BB44C1">
            <w:pPr>
              <w:pStyle w:val="In-tableHeading"/>
              <w:jc w:val="center"/>
              <w:rPr>
                <w:lang w:val="en-AU"/>
              </w:rPr>
            </w:pPr>
            <w:r>
              <w:rPr>
                <w:lang w:val="en-AU"/>
              </w:rPr>
              <w:t>n/N (%)</w:t>
            </w:r>
          </w:p>
        </w:tc>
        <w:tc>
          <w:tcPr>
            <w:tcW w:w="864" w:type="pct"/>
            <w:vMerge w:val="restart"/>
            <w:tcBorders>
              <w:top w:val="single" w:sz="4" w:space="0" w:color="auto"/>
              <w:left w:val="single" w:sz="4" w:space="0" w:color="auto"/>
              <w:bottom w:val="single" w:sz="4" w:space="0" w:color="auto"/>
              <w:right w:val="single" w:sz="4" w:space="0" w:color="auto"/>
            </w:tcBorders>
            <w:vAlign w:val="center"/>
          </w:tcPr>
          <w:p w14:paraId="719412B2" w14:textId="77777777" w:rsidR="00A01891" w:rsidRDefault="00A01891" w:rsidP="00BB44C1">
            <w:pPr>
              <w:pStyle w:val="In-tableHeading"/>
              <w:jc w:val="center"/>
              <w:rPr>
                <w:lang w:val="en-AU"/>
              </w:rPr>
            </w:pPr>
            <w:r w:rsidRPr="005E1708">
              <w:rPr>
                <w:lang w:val="en-AU"/>
              </w:rPr>
              <w:t>Placebo</w:t>
            </w:r>
          </w:p>
          <w:p w14:paraId="589E3704" w14:textId="77777777" w:rsidR="00A01891" w:rsidRPr="005E1708" w:rsidRDefault="00A01891" w:rsidP="00BB44C1">
            <w:pPr>
              <w:pStyle w:val="In-tableHeading"/>
              <w:jc w:val="center"/>
              <w:rPr>
                <w:lang w:val="en-AU"/>
              </w:rPr>
            </w:pPr>
            <w:r>
              <w:rPr>
                <w:lang w:val="en-AU"/>
              </w:rPr>
              <w:t>n/N (%)</w:t>
            </w:r>
          </w:p>
        </w:tc>
        <w:tc>
          <w:tcPr>
            <w:tcW w:w="1102" w:type="pct"/>
            <w:gridSpan w:val="2"/>
            <w:tcBorders>
              <w:top w:val="single" w:sz="4" w:space="0" w:color="auto"/>
              <w:left w:val="single" w:sz="4" w:space="0" w:color="auto"/>
              <w:bottom w:val="single" w:sz="4" w:space="0" w:color="auto"/>
              <w:right w:val="single" w:sz="4" w:space="0" w:color="auto"/>
            </w:tcBorders>
            <w:vAlign w:val="center"/>
          </w:tcPr>
          <w:p w14:paraId="48B17423" w14:textId="77777777" w:rsidR="00A01891" w:rsidRPr="005E1708" w:rsidRDefault="00A01891" w:rsidP="00BB44C1">
            <w:pPr>
              <w:pStyle w:val="In-tableHeading"/>
              <w:jc w:val="center"/>
              <w:rPr>
                <w:lang w:val="en-AU"/>
              </w:rPr>
            </w:pPr>
            <w:r>
              <w:rPr>
                <w:lang w:val="en-AU"/>
              </w:rPr>
              <w:t>Event rate/100 PY</w:t>
            </w:r>
          </w:p>
        </w:tc>
        <w:tc>
          <w:tcPr>
            <w:tcW w:w="1071" w:type="pct"/>
            <w:vMerge w:val="restart"/>
            <w:tcBorders>
              <w:top w:val="single" w:sz="4" w:space="0" w:color="auto"/>
              <w:left w:val="single" w:sz="4" w:space="0" w:color="auto"/>
              <w:bottom w:val="single" w:sz="4" w:space="0" w:color="auto"/>
              <w:right w:val="single" w:sz="4" w:space="0" w:color="auto"/>
            </w:tcBorders>
            <w:vAlign w:val="center"/>
          </w:tcPr>
          <w:p w14:paraId="5AC13AD4" w14:textId="77777777" w:rsidR="00A01891" w:rsidRPr="005E1708" w:rsidRDefault="00A01891" w:rsidP="00BB44C1">
            <w:pPr>
              <w:pStyle w:val="In-tableHeading"/>
              <w:jc w:val="center"/>
              <w:rPr>
                <w:lang w:val="en-AU"/>
              </w:rPr>
            </w:pPr>
            <w:r w:rsidRPr="005E1708">
              <w:rPr>
                <w:lang w:val="en-AU"/>
              </w:rPr>
              <w:t>RD</w:t>
            </w:r>
          </w:p>
          <w:p w14:paraId="41FAC83C" w14:textId="77777777" w:rsidR="00A01891" w:rsidRPr="005E1708" w:rsidRDefault="00A01891" w:rsidP="00BB44C1">
            <w:pPr>
              <w:pStyle w:val="In-tableHeading"/>
              <w:jc w:val="center"/>
              <w:rPr>
                <w:lang w:val="en-AU"/>
              </w:rPr>
            </w:pPr>
            <w:r w:rsidRPr="005E1708">
              <w:rPr>
                <w:lang w:val="en-AU"/>
              </w:rPr>
              <w:t>(95% CI)</w:t>
            </w:r>
          </w:p>
        </w:tc>
      </w:tr>
      <w:tr w:rsidR="00A01891" w:rsidRPr="005E1708" w14:paraId="2653B77E" w14:textId="77777777" w:rsidTr="00843891">
        <w:trPr>
          <w:trHeight w:val="60"/>
        </w:trPr>
        <w:tc>
          <w:tcPr>
            <w:tcW w:w="10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7125B5" w14:textId="77777777" w:rsidR="00A01891" w:rsidRPr="005E1708" w:rsidRDefault="00A01891" w:rsidP="00BB44C1">
            <w:pPr>
              <w:pStyle w:val="In-tableHeading"/>
              <w:rPr>
                <w:lang w:val="en-AU"/>
              </w:rPr>
            </w:pPr>
          </w:p>
        </w:tc>
        <w:tc>
          <w:tcPr>
            <w:tcW w:w="871" w:type="pct"/>
            <w:vMerge/>
            <w:tcBorders>
              <w:top w:val="single" w:sz="4" w:space="0" w:color="auto"/>
              <w:left w:val="single" w:sz="4" w:space="0" w:color="auto"/>
              <w:bottom w:val="single" w:sz="4" w:space="0" w:color="auto"/>
              <w:right w:val="single" w:sz="4" w:space="0" w:color="auto"/>
            </w:tcBorders>
            <w:vAlign w:val="center"/>
          </w:tcPr>
          <w:p w14:paraId="07C08725" w14:textId="77777777" w:rsidR="00A01891" w:rsidRPr="005E1708" w:rsidRDefault="00A01891" w:rsidP="00BB44C1">
            <w:pPr>
              <w:pStyle w:val="In-tableHeading"/>
              <w:rPr>
                <w:lang w:val="en-AU"/>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000D499F" w14:textId="77777777" w:rsidR="00A01891" w:rsidRPr="005E1708" w:rsidRDefault="00A01891" w:rsidP="00BB44C1">
            <w:pPr>
              <w:pStyle w:val="In-tableHeading"/>
              <w:rPr>
                <w:lang w:val="en-AU"/>
              </w:rPr>
            </w:pPr>
          </w:p>
        </w:tc>
        <w:tc>
          <w:tcPr>
            <w:tcW w:w="551" w:type="pct"/>
            <w:tcBorders>
              <w:top w:val="single" w:sz="4" w:space="0" w:color="auto"/>
              <w:left w:val="single" w:sz="4" w:space="0" w:color="auto"/>
              <w:bottom w:val="single" w:sz="4" w:space="0" w:color="auto"/>
              <w:right w:val="single" w:sz="4" w:space="0" w:color="auto"/>
            </w:tcBorders>
            <w:vAlign w:val="center"/>
          </w:tcPr>
          <w:p w14:paraId="18CE0E90" w14:textId="77777777" w:rsidR="00A01891" w:rsidRPr="005E1708" w:rsidRDefault="00A01891" w:rsidP="00BB44C1">
            <w:pPr>
              <w:pStyle w:val="In-tableHeading"/>
              <w:jc w:val="center"/>
              <w:rPr>
                <w:lang w:val="en-AU"/>
              </w:rPr>
            </w:pPr>
            <w:r>
              <w:rPr>
                <w:lang w:val="en-AU"/>
              </w:rPr>
              <w:t>ENZA</w:t>
            </w:r>
          </w:p>
        </w:tc>
        <w:tc>
          <w:tcPr>
            <w:tcW w:w="551" w:type="pct"/>
            <w:tcBorders>
              <w:top w:val="single" w:sz="4" w:space="0" w:color="auto"/>
              <w:left w:val="single" w:sz="4" w:space="0" w:color="auto"/>
              <w:bottom w:val="single" w:sz="4" w:space="0" w:color="auto"/>
              <w:right w:val="single" w:sz="4" w:space="0" w:color="auto"/>
            </w:tcBorders>
            <w:vAlign w:val="center"/>
          </w:tcPr>
          <w:p w14:paraId="34116DD3" w14:textId="77777777" w:rsidR="00A01891" w:rsidRPr="005E1708" w:rsidRDefault="00A01891" w:rsidP="00BB44C1">
            <w:pPr>
              <w:pStyle w:val="In-tableHeading"/>
              <w:jc w:val="center"/>
              <w:rPr>
                <w:lang w:val="en-AU"/>
              </w:rPr>
            </w:pPr>
            <w:r>
              <w:rPr>
                <w:lang w:val="en-AU"/>
              </w:rPr>
              <w:t>PBO</w:t>
            </w:r>
          </w:p>
        </w:tc>
        <w:tc>
          <w:tcPr>
            <w:tcW w:w="1071" w:type="pct"/>
            <w:vMerge/>
            <w:tcBorders>
              <w:top w:val="single" w:sz="4" w:space="0" w:color="auto"/>
              <w:left w:val="single" w:sz="4" w:space="0" w:color="auto"/>
              <w:bottom w:val="single" w:sz="4" w:space="0" w:color="auto"/>
              <w:right w:val="single" w:sz="4" w:space="0" w:color="auto"/>
            </w:tcBorders>
            <w:vAlign w:val="center"/>
          </w:tcPr>
          <w:p w14:paraId="1BAF120A" w14:textId="77777777" w:rsidR="00A01891" w:rsidRPr="005E1708" w:rsidRDefault="00A01891" w:rsidP="00BB44C1">
            <w:pPr>
              <w:pStyle w:val="In-tableHeading"/>
              <w:rPr>
                <w:lang w:val="en-AU"/>
              </w:rPr>
            </w:pPr>
          </w:p>
        </w:tc>
      </w:tr>
      <w:tr w:rsidR="00A01891" w:rsidRPr="005E1708" w14:paraId="1574AE10" w14:textId="77777777" w:rsidTr="00E44076">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B3168A" w14:textId="77777777" w:rsidR="00A01891" w:rsidRPr="005E1708" w:rsidRDefault="00A01891" w:rsidP="00BB44C1">
            <w:pPr>
              <w:pStyle w:val="TableText0"/>
              <w:rPr>
                <w:b/>
                <w:bCs w:val="0"/>
              </w:rPr>
            </w:pPr>
            <w:r>
              <w:rPr>
                <w:b/>
                <w:bCs w:val="0"/>
              </w:rPr>
              <w:t>ARCHES (2022)</w:t>
            </w:r>
          </w:p>
        </w:tc>
      </w:tr>
      <w:tr w:rsidR="00A01891" w:rsidRPr="005E1708" w14:paraId="468F3447" w14:textId="77777777" w:rsidTr="00E44076">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38464E17" w14:textId="77777777" w:rsidR="00A01891" w:rsidRPr="005E1708" w:rsidRDefault="00A01891" w:rsidP="00BB44C1">
            <w:pPr>
              <w:pStyle w:val="TableText0"/>
            </w:pPr>
            <w:r w:rsidRPr="005E1708">
              <w:t xml:space="preserve">Grade 3-4 </w:t>
            </w:r>
            <w:r>
              <w:t>TE</w:t>
            </w:r>
            <w:r w:rsidRPr="005E1708">
              <w:t>AEs</w:t>
            </w:r>
          </w:p>
        </w:tc>
        <w:tc>
          <w:tcPr>
            <w:tcW w:w="871" w:type="pct"/>
            <w:tcBorders>
              <w:top w:val="single" w:sz="4" w:space="0" w:color="auto"/>
              <w:left w:val="single" w:sz="4" w:space="0" w:color="auto"/>
              <w:bottom w:val="single" w:sz="4" w:space="0" w:color="auto"/>
              <w:right w:val="single" w:sz="4" w:space="0" w:color="auto"/>
            </w:tcBorders>
            <w:vAlign w:val="center"/>
          </w:tcPr>
          <w:p w14:paraId="7C2E9D9F" w14:textId="77777777" w:rsidR="00A01891" w:rsidRPr="005E1708" w:rsidRDefault="00A01891" w:rsidP="00BB44C1">
            <w:pPr>
              <w:pStyle w:val="TableText0"/>
              <w:jc w:val="center"/>
            </w:pPr>
            <w:r>
              <w:t>224/572 (39.2)</w:t>
            </w:r>
          </w:p>
        </w:tc>
        <w:tc>
          <w:tcPr>
            <w:tcW w:w="864" w:type="pct"/>
            <w:tcBorders>
              <w:top w:val="single" w:sz="4" w:space="0" w:color="auto"/>
              <w:left w:val="single" w:sz="4" w:space="0" w:color="auto"/>
              <w:bottom w:val="single" w:sz="4" w:space="0" w:color="auto"/>
              <w:right w:val="single" w:sz="4" w:space="0" w:color="auto"/>
            </w:tcBorders>
            <w:vAlign w:val="center"/>
          </w:tcPr>
          <w:p w14:paraId="2361D1BA" w14:textId="77777777" w:rsidR="00A01891" w:rsidRPr="005E1708" w:rsidRDefault="00A01891" w:rsidP="00BB44C1">
            <w:pPr>
              <w:pStyle w:val="TableText0"/>
              <w:jc w:val="center"/>
            </w:pPr>
            <w:r>
              <w:t>160/574 (27.9)</w:t>
            </w:r>
          </w:p>
        </w:tc>
        <w:tc>
          <w:tcPr>
            <w:tcW w:w="551" w:type="pct"/>
            <w:tcBorders>
              <w:top w:val="single" w:sz="4" w:space="0" w:color="auto"/>
              <w:left w:val="single" w:sz="4" w:space="0" w:color="auto"/>
              <w:bottom w:val="single" w:sz="4" w:space="0" w:color="auto"/>
              <w:right w:val="single" w:sz="4" w:space="0" w:color="auto"/>
            </w:tcBorders>
            <w:vAlign w:val="center"/>
          </w:tcPr>
          <w:p w14:paraId="7AB794DF" w14:textId="77777777" w:rsidR="00A01891" w:rsidRPr="00EF2FFD" w:rsidRDefault="00A01891" w:rsidP="00BB44C1">
            <w:pPr>
              <w:pStyle w:val="TableText0"/>
              <w:jc w:val="center"/>
            </w:pPr>
            <w:r w:rsidRPr="00EF2FFD">
              <w:t>14.7</w:t>
            </w:r>
          </w:p>
        </w:tc>
        <w:tc>
          <w:tcPr>
            <w:tcW w:w="551" w:type="pct"/>
            <w:tcBorders>
              <w:top w:val="single" w:sz="4" w:space="0" w:color="auto"/>
              <w:left w:val="single" w:sz="4" w:space="0" w:color="auto"/>
              <w:bottom w:val="single" w:sz="4" w:space="0" w:color="auto"/>
              <w:right w:val="single" w:sz="4" w:space="0" w:color="auto"/>
            </w:tcBorders>
            <w:vAlign w:val="center"/>
          </w:tcPr>
          <w:p w14:paraId="6FD73A13" w14:textId="77777777" w:rsidR="00A01891" w:rsidRPr="00EF2FFD" w:rsidRDefault="00A01891" w:rsidP="00BB44C1">
            <w:pPr>
              <w:pStyle w:val="TableText0"/>
              <w:jc w:val="center"/>
            </w:pPr>
            <w:r w:rsidRPr="00EF2FFD">
              <w:t>21.8</w:t>
            </w:r>
          </w:p>
        </w:tc>
        <w:tc>
          <w:tcPr>
            <w:tcW w:w="1071" w:type="pct"/>
            <w:tcBorders>
              <w:top w:val="single" w:sz="4" w:space="0" w:color="auto"/>
              <w:left w:val="single" w:sz="4" w:space="0" w:color="auto"/>
              <w:bottom w:val="single" w:sz="4" w:space="0" w:color="auto"/>
              <w:right w:val="single" w:sz="4" w:space="0" w:color="auto"/>
            </w:tcBorders>
            <w:vAlign w:val="center"/>
          </w:tcPr>
          <w:p w14:paraId="2EDBEFE7" w14:textId="77777777" w:rsidR="00A01891" w:rsidRPr="004901F0" w:rsidRDefault="00A01891" w:rsidP="00BB44C1">
            <w:pPr>
              <w:pStyle w:val="TableText0"/>
              <w:jc w:val="center"/>
              <w:rPr>
                <w:bCs w:val="0"/>
              </w:rPr>
            </w:pPr>
            <w:r w:rsidRPr="004901F0">
              <w:rPr>
                <w:bCs w:val="0"/>
              </w:rPr>
              <w:t>0.113 (0.059, 0.167)</w:t>
            </w:r>
          </w:p>
        </w:tc>
      </w:tr>
      <w:tr w:rsidR="00A01891" w:rsidRPr="005E1708" w14:paraId="62777C14" w14:textId="77777777" w:rsidTr="00E44076">
        <w:tc>
          <w:tcPr>
            <w:tcW w:w="1092" w:type="pct"/>
            <w:tcBorders>
              <w:top w:val="single" w:sz="4" w:space="0" w:color="auto"/>
              <w:left w:val="single" w:sz="4" w:space="0" w:color="auto"/>
              <w:bottom w:val="single" w:sz="4" w:space="0" w:color="auto"/>
              <w:right w:val="single" w:sz="4" w:space="0" w:color="auto"/>
            </w:tcBorders>
            <w:shd w:val="clear" w:color="auto" w:fill="auto"/>
          </w:tcPr>
          <w:p w14:paraId="7ED56CF1" w14:textId="77777777" w:rsidR="00A01891" w:rsidRPr="005E1708" w:rsidRDefault="00A01891" w:rsidP="00BB44C1">
            <w:pPr>
              <w:pStyle w:val="TableText0"/>
            </w:pPr>
            <w:r>
              <w:t>Grade 3-4 hypertension</w:t>
            </w:r>
          </w:p>
        </w:tc>
        <w:tc>
          <w:tcPr>
            <w:tcW w:w="871" w:type="pct"/>
            <w:tcBorders>
              <w:top w:val="single" w:sz="4" w:space="0" w:color="auto"/>
              <w:left w:val="single" w:sz="4" w:space="0" w:color="auto"/>
              <w:bottom w:val="single" w:sz="4" w:space="0" w:color="auto"/>
              <w:right w:val="single" w:sz="4" w:space="0" w:color="auto"/>
            </w:tcBorders>
          </w:tcPr>
          <w:p w14:paraId="5CC161FE" w14:textId="77777777" w:rsidR="00A01891" w:rsidRPr="005E1708" w:rsidRDefault="00A01891" w:rsidP="00BB44C1">
            <w:pPr>
              <w:pStyle w:val="TableText0"/>
              <w:jc w:val="center"/>
            </w:pPr>
            <w:r>
              <w:t>30/572 (5.2)</w:t>
            </w:r>
          </w:p>
        </w:tc>
        <w:tc>
          <w:tcPr>
            <w:tcW w:w="864" w:type="pct"/>
            <w:tcBorders>
              <w:top w:val="single" w:sz="4" w:space="0" w:color="auto"/>
              <w:left w:val="single" w:sz="4" w:space="0" w:color="auto"/>
              <w:bottom w:val="single" w:sz="4" w:space="0" w:color="auto"/>
              <w:right w:val="single" w:sz="4" w:space="0" w:color="auto"/>
            </w:tcBorders>
          </w:tcPr>
          <w:p w14:paraId="01D944A3" w14:textId="77777777" w:rsidR="00A01891" w:rsidRPr="005E1708" w:rsidRDefault="00A01891" w:rsidP="00BB44C1">
            <w:pPr>
              <w:pStyle w:val="TableText0"/>
              <w:jc w:val="center"/>
            </w:pPr>
            <w:r>
              <w:t>13/574 (2.3)</w:t>
            </w:r>
          </w:p>
        </w:tc>
        <w:tc>
          <w:tcPr>
            <w:tcW w:w="551" w:type="pct"/>
            <w:tcBorders>
              <w:top w:val="single" w:sz="4" w:space="0" w:color="auto"/>
              <w:left w:val="single" w:sz="4" w:space="0" w:color="auto"/>
              <w:bottom w:val="single" w:sz="4" w:space="0" w:color="auto"/>
              <w:right w:val="single" w:sz="4" w:space="0" w:color="auto"/>
            </w:tcBorders>
          </w:tcPr>
          <w:p w14:paraId="072AE242" w14:textId="77777777" w:rsidR="00A01891" w:rsidRPr="005E1708" w:rsidRDefault="00A01891" w:rsidP="00BB44C1">
            <w:pPr>
              <w:pStyle w:val="TableText0"/>
              <w:jc w:val="center"/>
            </w:pPr>
            <w:r>
              <w:t>2.0</w:t>
            </w:r>
          </w:p>
        </w:tc>
        <w:tc>
          <w:tcPr>
            <w:tcW w:w="551" w:type="pct"/>
            <w:tcBorders>
              <w:top w:val="single" w:sz="4" w:space="0" w:color="auto"/>
              <w:left w:val="single" w:sz="4" w:space="0" w:color="auto"/>
              <w:bottom w:val="single" w:sz="4" w:space="0" w:color="auto"/>
              <w:right w:val="single" w:sz="4" w:space="0" w:color="auto"/>
            </w:tcBorders>
          </w:tcPr>
          <w:p w14:paraId="1336A492" w14:textId="77777777" w:rsidR="00A01891" w:rsidRPr="005E1708" w:rsidRDefault="00A01891" w:rsidP="00BB44C1">
            <w:pPr>
              <w:pStyle w:val="TableText0"/>
              <w:jc w:val="center"/>
            </w:pPr>
            <w:r>
              <w:t>1.8</w:t>
            </w:r>
          </w:p>
        </w:tc>
        <w:tc>
          <w:tcPr>
            <w:tcW w:w="1071" w:type="pct"/>
            <w:tcBorders>
              <w:top w:val="single" w:sz="4" w:space="0" w:color="auto"/>
              <w:left w:val="single" w:sz="4" w:space="0" w:color="auto"/>
              <w:bottom w:val="single" w:sz="4" w:space="0" w:color="auto"/>
              <w:right w:val="single" w:sz="4" w:space="0" w:color="auto"/>
            </w:tcBorders>
          </w:tcPr>
          <w:p w14:paraId="32542E0D" w14:textId="77777777" w:rsidR="00A01891" w:rsidRPr="004901F0" w:rsidRDefault="00A01891" w:rsidP="00BB44C1">
            <w:pPr>
              <w:pStyle w:val="TableText0"/>
              <w:jc w:val="center"/>
              <w:rPr>
                <w:bCs w:val="0"/>
              </w:rPr>
            </w:pPr>
            <w:r w:rsidRPr="004901F0">
              <w:rPr>
                <w:bCs w:val="0"/>
              </w:rPr>
              <w:t>0.030 (0.008, 0.052)</w:t>
            </w:r>
          </w:p>
        </w:tc>
      </w:tr>
      <w:tr w:rsidR="00A01891" w:rsidRPr="005E1708" w14:paraId="57B3985B" w14:textId="77777777" w:rsidTr="00E44076">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DFFB2C" w14:textId="77777777" w:rsidR="00A01891" w:rsidRPr="005E1708" w:rsidRDefault="00A01891" w:rsidP="00BB44C1">
            <w:pPr>
              <w:pStyle w:val="TableText0"/>
              <w:rPr>
                <w:b/>
                <w:bCs w:val="0"/>
              </w:rPr>
            </w:pPr>
            <w:r>
              <w:rPr>
                <w:b/>
                <w:bCs w:val="0"/>
              </w:rPr>
              <w:t>ENZAMET (2019)</w:t>
            </w:r>
          </w:p>
        </w:tc>
      </w:tr>
      <w:tr w:rsidR="00A01891" w:rsidRPr="005E1708" w14:paraId="0CE22768" w14:textId="77777777" w:rsidTr="00E44076">
        <w:tc>
          <w:tcPr>
            <w:tcW w:w="1092" w:type="pct"/>
            <w:tcBorders>
              <w:top w:val="single" w:sz="4" w:space="0" w:color="auto"/>
              <w:left w:val="single" w:sz="4" w:space="0" w:color="auto"/>
              <w:bottom w:val="single" w:sz="4" w:space="0" w:color="auto"/>
              <w:right w:val="single" w:sz="4" w:space="0" w:color="auto"/>
            </w:tcBorders>
            <w:shd w:val="clear" w:color="auto" w:fill="auto"/>
          </w:tcPr>
          <w:p w14:paraId="1FE8BEF1" w14:textId="77777777" w:rsidR="00A01891" w:rsidRPr="005E1708" w:rsidRDefault="00A01891" w:rsidP="00BB44C1">
            <w:pPr>
              <w:pStyle w:val="TableText0"/>
            </w:pPr>
            <w:r w:rsidRPr="005E1708">
              <w:t xml:space="preserve">Grade 3-4 </w:t>
            </w:r>
            <w:r>
              <w:t>TE</w:t>
            </w:r>
            <w:r w:rsidRPr="005E1708">
              <w:t>AEs</w:t>
            </w:r>
          </w:p>
        </w:tc>
        <w:tc>
          <w:tcPr>
            <w:tcW w:w="871" w:type="pct"/>
            <w:tcBorders>
              <w:top w:val="single" w:sz="4" w:space="0" w:color="auto"/>
              <w:left w:val="single" w:sz="4" w:space="0" w:color="auto"/>
              <w:bottom w:val="single" w:sz="4" w:space="0" w:color="auto"/>
              <w:right w:val="single" w:sz="4" w:space="0" w:color="auto"/>
            </w:tcBorders>
          </w:tcPr>
          <w:p w14:paraId="3EF1DBE6" w14:textId="77777777" w:rsidR="00A01891" w:rsidRPr="005E1708" w:rsidRDefault="00A01891" w:rsidP="00BB44C1">
            <w:pPr>
              <w:pStyle w:val="TableText0"/>
              <w:jc w:val="center"/>
            </w:pPr>
            <w:r>
              <w:t>320/563 (56.8)</w:t>
            </w:r>
          </w:p>
        </w:tc>
        <w:tc>
          <w:tcPr>
            <w:tcW w:w="864" w:type="pct"/>
            <w:tcBorders>
              <w:top w:val="single" w:sz="4" w:space="0" w:color="auto"/>
              <w:left w:val="single" w:sz="4" w:space="0" w:color="auto"/>
              <w:bottom w:val="single" w:sz="4" w:space="0" w:color="auto"/>
              <w:right w:val="single" w:sz="4" w:space="0" w:color="auto"/>
            </w:tcBorders>
          </w:tcPr>
          <w:p w14:paraId="5F8DD0CF" w14:textId="77777777" w:rsidR="00A01891" w:rsidRPr="005E1708" w:rsidRDefault="00A01891" w:rsidP="00BB44C1">
            <w:pPr>
              <w:pStyle w:val="TableText0"/>
              <w:jc w:val="center"/>
            </w:pPr>
            <w:r>
              <w:t>237/558 (42.5)</w:t>
            </w:r>
          </w:p>
        </w:tc>
        <w:tc>
          <w:tcPr>
            <w:tcW w:w="551" w:type="pct"/>
            <w:tcBorders>
              <w:top w:val="single" w:sz="4" w:space="0" w:color="auto"/>
              <w:left w:val="single" w:sz="4" w:space="0" w:color="auto"/>
              <w:bottom w:val="single" w:sz="4" w:space="0" w:color="auto"/>
              <w:right w:val="single" w:sz="4" w:space="0" w:color="auto"/>
            </w:tcBorders>
            <w:vAlign w:val="center"/>
          </w:tcPr>
          <w:p w14:paraId="5E906F43" w14:textId="77777777" w:rsidR="00A01891" w:rsidRPr="005E1708" w:rsidRDefault="00A01891" w:rsidP="00BB44C1">
            <w:pPr>
              <w:pStyle w:val="TableText0"/>
              <w:jc w:val="center"/>
            </w:pPr>
            <w:r>
              <w:t>24.1</w:t>
            </w:r>
          </w:p>
        </w:tc>
        <w:tc>
          <w:tcPr>
            <w:tcW w:w="551" w:type="pct"/>
            <w:tcBorders>
              <w:top w:val="single" w:sz="4" w:space="0" w:color="auto"/>
              <w:left w:val="single" w:sz="4" w:space="0" w:color="auto"/>
              <w:bottom w:val="single" w:sz="4" w:space="0" w:color="auto"/>
              <w:right w:val="single" w:sz="4" w:space="0" w:color="auto"/>
            </w:tcBorders>
            <w:vAlign w:val="center"/>
          </w:tcPr>
          <w:p w14:paraId="660943EA" w14:textId="77777777" w:rsidR="00A01891" w:rsidRPr="005E1708" w:rsidRDefault="00A01891" w:rsidP="00BB44C1">
            <w:pPr>
              <w:pStyle w:val="TableText0"/>
              <w:jc w:val="center"/>
            </w:pPr>
            <w:r>
              <w:t>23.0</w:t>
            </w:r>
          </w:p>
        </w:tc>
        <w:tc>
          <w:tcPr>
            <w:tcW w:w="1071" w:type="pct"/>
            <w:tcBorders>
              <w:top w:val="single" w:sz="4" w:space="0" w:color="auto"/>
              <w:left w:val="single" w:sz="4" w:space="0" w:color="auto"/>
              <w:bottom w:val="single" w:sz="4" w:space="0" w:color="auto"/>
              <w:right w:val="single" w:sz="4" w:space="0" w:color="auto"/>
            </w:tcBorders>
            <w:vAlign w:val="center"/>
          </w:tcPr>
          <w:p w14:paraId="0C7F5B67" w14:textId="77777777" w:rsidR="00A01891" w:rsidRPr="004901F0" w:rsidRDefault="00A01891" w:rsidP="00BB44C1">
            <w:pPr>
              <w:pStyle w:val="TableText0"/>
              <w:jc w:val="center"/>
            </w:pPr>
            <w:r w:rsidRPr="004901F0">
              <w:t>0.144 (0.086, 0.202)</w:t>
            </w:r>
          </w:p>
        </w:tc>
      </w:tr>
      <w:tr w:rsidR="00A01891" w:rsidRPr="005E1708" w14:paraId="48D15EF5" w14:textId="77777777" w:rsidTr="00E44076">
        <w:tc>
          <w:tcPr>
            <w:tcW w:w="1092" w:type="pct"/>
            <w:tcBorders>
              <w:top w:val="single" w:sz="4" w:space="0" w:color="auto"/>
              <w:left w:val="single" w:sz="4" w:space="0" w:color="auto"/>
              <w:bottom w:val="single" w:sz="4" w:space="0" w:color="auto"/>
              <w:right w:val="single" w:sz="4" w:space="0" w:color="auto"/>
            </w:tcBorders>
            <w:shd w:val="clear" w:color="auto" w:fill="auto"/>
          </w:tcPr>
          <w:p w14:paraId="5B0E81F8" w14:textId="77777777" w:rsidR="00A01891" w:rsidRPr="005E1708" w:rsidRDefault="00A01891" w:rsidP="00BB44C1">
            <w:pPr>
              <w:pStyle w:val="TableText0"/>
            </w:pPr>
            <w:r>
              <w:t>Grade 3-4 hypertension</w:t>
            </w:r>
          </w:p>
        </w:tc>
        <w:tc>
          <w:tcPr>
            <w:tcW w:w="871" w:type="pct"/>
            <w:tcBorders>
              <w:top w:val="single" w:sz="4" w:space="0" w:color="auto"/>
              <w:left w:val="single" w:sz="4" w:space="0" w:color="auto"/>
              <w:bottom w:val="single" w:sz="4" w:space="0" w:color="auto"/>
              <w:right w:val="single" w:sz="4" w:space="0" w:color="auto"/>
            </w:tcBorders>
          </w:tcPr>
          <w:p w14:paraId="569CE1FB" w14:textId="77777777" w:rsidR="00A01891" w:rsidRPr="005E1708" w:rsidRDefault="00A01891" w:rsidP="00BB44C1">
            <w:pPr>
              <w:pStyle w:val="TableText0"/>
              <w:jc w:val="center"/>
            </w:pPr>
            <w:r>
              <w:t>43/563 (7.6)</w:t>
            </w:r>
          </w:p>
        </w:tc>
        <w:tc>
          <w:tcPr>
            <w:tcW w:w="864" w:type="pct"/>
            <w:tcBorders>
              <w:top w:val="single" w:sz="4" w:space="0" w:color="auto"/>
              <w:left w:val="single" w:sz="4" w:space="0" w:color="auto"/>
              <w:bottom w:val="single" w:sz="4" w:space="0" w:color="auto"/>
              <w:right w:val="single" w:sz="4" w:space="0" w:color="auto"/>
            </w:tcBorders>
          </w:tcPr>
          <w:p w14:paraId="5B9640AF" w14:textId="77777777" w:rsidR="00A01891" w:rsidRPr="005E1708" w:rsidRDefault="00A01891" w:rsidP="00BB44C1">
            <w:pPr>
              <w:pStyle w:val="TableText0"/>
              <w:jc w:val="center"/>
            </w:pPr>
            <w:r>
              <w:t>25/558 (4.5)</w:t>
            </w:r>
          </w:p>
        </w:tc>
        <w:tc>
          <w:tcPr>
            <w:tcW w:w="551" w:type="pct"/>
            <w:tcBorders>
              <w:top w:val="single" w:sz="4" w:space="0" w:color="auto"/>
              <w:left w:val="single" w:sz="4" w:space="0" w:color="auto"/>
              <w:bottom w:val="single" w:sz="4" w:space="0" w:color="auto"/>
              <w:right w:val="single" w:sz="4" w:space="0" w:color="auto"/>
            </w:tcBorders>
          </w:tcPr>
          <w:p w14:paraId="2E3C65FF" w14:textId="77777777" w:rsidR="00A01891" w:rsidRPr="005E1708" w:rsidRDefault="00A01891" w:rsidP="00BB44C1">
            <w:pPr>
              <w:pStyle w:val="TableText0"/>
              <w:jc w:val="center"/>
            </w:pPr>
            <w:r>
              <w:t>3.2</w:t>
            </w:r>
          </w:p>
        </w:tc>
        <w:tc>
          <w:tcPr>
            <w:tcW w:w="551" w:type="pct"/>
            <w:tcBorders>
              <w:top w:val="single" w:sz="4" w:space="0" w:color="auto"/>
              <w:left w:val="single" w:sz="4" w:space="0" w:color="auto"/>
              <w:bottom w:val="single" w:sz="4" w:space="0" w:color="auto"/>
              <w:right w:val="single" w:sz="4" w:space="0" w:color="auto"/>
            </w:tcBorders>
          </w:tcPr>
          <w:p w14:paraId="5E21BB1B" w14:textId="77777777" w:rsidR="00A01891" w:rsidRPr="005E1708" w:rsidRDefault="00A01891" w:rsidP="00BB44C1">
            <w:pPr>
              <w:pStyle w:val="TableText0"/>
              <w:jc w:val="center"/>
            </w:pPr>
            <w:r>
              <w:t>2.4</w:t>
            </w:r>
          </w:p>
        </w:tc>
        <w:tc>
          <w:tcPr>
            <w:tcW w:w="1071" w:type="pct"/>
            <w:tcBorders>
              <w:top w:val="single" w:sz="4" w:space="0" w:color="auto"/>
              <w:left w:val="single" w:sz="4" w:space="0" w:color="auto"/>
              <w:bottom w:val="single" w:sz="4" w:space="0" w:color="auto"/>
              <w:right w:val="single" w:sz="4" w:space="0" w:color="auto"/>
            </w:tcBorders>
          </w:tcPr>
          <w:p w14:paraId="4F13E1FC" w14:textId="77777777" w:rsidR="00A01891" w:rsidRPr="004901F0" w:rsidRDefault="00A01891" w:rsidP="00BB44C1">
            <w:pPr>
              <w:pStyle w:val="TableText0"/>
              <w:jc w:val="center"/>
            </w:pPr>
            <w:r w:rsidRPr="004901F0">
              <w:t>0.032 (0.004, 0.059)</w:t>
            </w:r>
          </w:p>
        </w:tc>
      </w:tr>
    </w:tbl>
    <w:p w14:paraId="2334B1C0" w14:textId="77777777" w:rsidR="00A01891" w:rsidRPr="005E1708" w:rsidRDefault="00A01891" w:rsidP="00BB44C1">
      <w:pPr>
        <w:pStyle w:val="FooterTableFigure"/>
        <w:keepNext/>
        <w:spacing w:after="0"/>
      </w:pPr>
      <w:r w:rsidRPr="005E1708">
        <w:rPr>
          <w:b/>
          <w:bCs/>
        </w:rPr>
        <w:t>Bold</w:t>
      </w:r>
      <w:r w:rsidRPr="005E1708">
        <w:t xml:space="preserve"> typography indicates statistically significant results.</w:t>
      </w:r>
    </w:p>
    <w:p w14:paraId="3793D6F0" w14:textId="77777777" w:rsidR="00A01891" w:rsidRPr="005E1708" w:rsidRDefault="00A01891" w:rsidP="00BB44C1">
      <w:pPr>
        <w:pStyle w:val="TableFooter"/>
        <w:keepNext/>
        <w:rPr>
          <w:sz w:val="20"/>
        </w:rPr>
      </w:pPr>
      <w:r w:rsidRPr="005E1708">
        <w:t>Source: Table 19, p79; Table 29, p92 of the submission</w:t>
      </w:r>
      <w:r>
        <w:t>; ENZAMET CSR</w:t>
      </w:r>
      <w:r w:rsidRPr="005E1708">
        <w:t>.</w:t>
      </w:r>
    </w:p>
    <w:p w14:paraId="3DA973E7" w14:textId="77777777" w:rsidR="00A01891" w:rsidRPr="005E1708" w:rsidRDefault="00A01891" w:rsidP="00BB44C1">
      <w:pPr>
        <w:pStyle w:val="TableFooter"/>
        <w:keepNext/>
        <w:rPr>
          <w:rFonts w:eastAsia="Calibri"/>
        </w:rPr>
      </w:pPr>
      <w:r w:rsidRPr="005E1708">
        <w:rPr>
          <w:rFonts w:eastAsia="Calibri"/>
        </w:rPr>
        <w:t>CI=confidence interval</w:t>
      </w:r>
      <w:r>
        <w:rPr>
          <w:rFonts w:eastAsia="Calibri"/>
        </w:rPr>
        <w:t>;</w:t>
      </w:r>
      <w:r w:rsidRPr="005E1708">
        <w:rPr>
          <w:rFonts w:eastAsia="Calibri"/>
        </w:rPr>
        <w:t xml:space="preserve"> </w:t>
      </w:r>
      <w:r>
        <w:rPr>
          <w:rFonts w:eastAsia="Calibri"/>
        </w:rPr>
        <w:t xml:space="preserve">ENZA=enzalutamide; </w:t>
      </w:r>
      <w:r w:rsidRPr="005E1708">
        <w:rPr>
          <w:rFonts w:eastAsia="Calibri"/>
        </w:rPr>
        <w:t>mCRPC=metastatic castration-resistant prostate cancer</w:t>
      </w:r>
      <w:r>
        <w:rPr>
          <w:rFonts w:eastAsia="Calibri"/>
        </w:rPr>
        <w:t>;</w:t>
      </w:r>
      <w:r w:rsidRPr="005E1708">
        <w:rPr>
          <w:rFonts w:eastAsia="Calibri"/>
        </w:rPr>
        <w:t xml:space="preserve"> n=number of participants reporting data; NE=not estimabl</w:t>
      </w:r>
      <w:r>
        <w:rPr>
          <w:rFonts w:eastAsia="Calibri"/>
        </w:rPr>
        <w:t xml:space="preserve">e; </w:t>
      </w:r>
      <w:r w:rsidRPr="005E1708">
        <w:rPr>
          <w:rFonts w:eastAsia="Calibri"/>
        </w:rPr>
        <w:t>OS=overall survival</w:t>
      </w:r>
    </w:p>
    <w:p w14:paraId="583547F3" w14:textId="0ACD1763" w:rsidR="00A01891" w:rsidRPr="0072416F" w:rsidRDefault="00A01891" w:rsidP="00A01891">
      <w:pPr>
        <w:pStyle w:val="FooterTableFigure"/>
      </w:pPr>
      <w:r>
        <w:t>^</w:t>
      </w:r>
      <w:r>
        <w:tab/>
        <w:t>estimated from published KM curves.</w:t>
      </w:r>
    </w:p>
    <w:p w14:paraId="0F161557" w14:textId="77777777" w:rsidR="00A01891" w:rsidRDefault="00A01891" w:rsidP="00A01891">
      <w:pPr>
        <w:pStyle w:val="3-BodyText"/>
      </w:pPr>
      <w:r>
        <w:t>On the basis of direct evidence from ARCHES and ENZAMET for every 100 patients treated with enzalutamide in comparison with standard of care (placebo or NSAA):</w:t>
      </w:r>
    </w:p>
    <w:p w14:paraId="5D3D58D6" w14:textId="77777777" w:rsidR="00A01891" w:rsidRPr="001645B5" w:rsidRDefault="00A01891" w:rsidP="00A01891">
      <w:pPr>
        <w:pStyle w:val="ListParagraph"/>
        <w:ind w:left="1134"/>
      </w:pPr>
      <w:r w:rsidRPr="001645B5">
        <w:t xml:space="preserve">Approximately </w:t>
      </w:r>
      <w:r>
        <w:t xml:space="preserve">15-21 additional patients at 12 months, 22-25 </w:t>
      </w:r>
      <w:r w:rsidRPr="001645B5">
        <w:t>additional patient</w:t>
      </w:r>
      <w:r>
        <w:t>s</w:t>
      </w:r>
      <w:r w:rsidRPr="001645B5">
        <w:t xml:space="preserve"> </w:t>
      </w:r>
      <w:r>
        <w:t xml:space="preserve">at 18 months and 32 patients at 48 months </w:t>
      </w:r>
      <w:r w:rsidRPr="001645B5">
        <w:t>will remain progression-free</w:t>
      </w:r>
      <w:r>
        <w:t>.</w:t>
      </w:r>
    </w:p>
    <w:p w14:paraId="1585E65B" w14:textId="77777777" w:rsidR="00A01891" w:rsidRPr="001645B5" w:rsidRDefault="00A01891" w:rsidP="00A01891">
      <w:pPr>
        <w:pStyle w:val="ListParagraph"/>
        <w:ind w:left="1134"/>
      </w:pPr>
      <w:r w:rsidRPr="001645B5">
        <w:t xml:space="preserve">Approximately </w:t>
      </w:r>
      <w:r>
        <w:t xml:space="preserve">9-13 </w:t>
      </w:r>
      <w:r w:rsidRPr="001645B5">
        <w:t xml:space="preserve">additional patients will remain alive after </w:t>
      </w:r>
      <w:r>
        <w:t>48</w:t>
      </w:r>
      <w:r w:rsidRPr="001645B5">
        <w:t xml:space="preserve"> months.</w:t>
      </w:r>
    </w:p>
    <w:p w14:paraId="4CE2F804" w14:textId="77777777" w:rsidR="00A01891" w:rsidRPr="001645B5" w:rsidRDefault="00A01891" w:rsidP="00A01891">
      <w:pPr>
        <w:pStyle w:val="ListParagraph"/>
        <w:ind w:left="1134"/>
      </w:pPr>
      <w:r w:rsidRPr="001645B5">
        <w:t xml:space="preserve">Approximately </w:t>
      </w:r>
      <w:r>
        <w:t xml:space="preserve">11-14 </w:t>
      </w:r>
      <w:r w:rsidRPr="001645B5">
        <w:t xml:space="preserve">additional patients will develop Grade 3 or 4 TEAEs related to enzalutamide, over a </w:t>
      </w:r>
      <w:r>
        <w:t>12-</w:t>
      </w:r>
      <w:r w:rsidRPr="001645B5">
        <w:t>month period.</w:t>
      </w:r>
    </w:p>
    <w:p w14:paraId="3A518BD1" w14:textId="77777777" w:rsidR="00A01891" w:rsidRPr="001645B5" w:rsidRDefault="00A01891" w:rsidP="00A01891">
      <w:pPr>
        <w:pStyle w:val="ListParagraph"/>
        <w:ind w:left="1134"/>
      </w:pPr>
      <w:r w:rsidRPr="001645B5">
        <w:t xml:space="preserve">Approximately </w:t>
      </w:r>
      <w:r>
        <w:t>3</w:t>
      </w:r>
      <w:r w:rsidRPr="001645B5">
        <w:t xml:space="preserve"> additional patients will develop </w:t>
      </w:r>
      <w:r>
        <w:t>Grade 3 or 4 hypertension</w:t>
      </w:r>
      <w:r w:rsidRPr="001645B5">
        <w:t xml:space="preserve">, over a </w:t>
      </w:r>
      <w:r>
        <w:t>12-</w:t>
      </w:r>
      <w:r w:rsidRPr="001645B5">
        <w:t>month period.</w:t>
      </w:r>
    </w:p>
    <w:p w14:paraId="656DAD03" w14:textId="77777777" w:rsidR="00A01891" w:rsidRPr="00C9624D" w:rsidRDefault="00A01891" w:rsidP="00A01891">
      <w:pPr>
        <w:pStyle w:val="4-SubsectionHeading"/>
      </w:pPr>
      <w:bookmarkStart w:id="43" w:name="_Toc22897644"/>
      <w:bookmarkStart w:id="44" w:name="_Toc124324279"/>
      <w:bookmarkStart w:id="45" w:name="_Toc124862873"/>
      <w:r w:rsidRPr="00C9624D">
        <w:t>Clinical claim</w:t>
      </w:r>
      <w:bookmarkEnd w:id="43"/>
      <w:bookmarkEnd w:id="44"/>
      <w:bookmarkEnd w:id="45"/>
    </w:p>
    <w:p w14:paraId="3B932EFF" w14:textId="4447E84E" w:rsidR="00A01891" w:rsidRPr="0075485D" w:rsidRDefault="00A01891" w:rsidP="00A01891">
      <w:pPr>
        <w:pStyle w:val="3-BodyText"/>
        <w:rPr>
          <w:rFonts w:eastAsia="Calibri"/>
        </w:rPr>
      </w:pPr>
      <w:r w:rsidRPr="0075485D">
        <w:rPr>
          <w:rFonts w:eastAsia="Calibri"/>
        </w:rPr>
        <w:t>The submission described enzalutamide + ADT as superior in terms of effectiveness and as inferior (but manageable) in terms of safety compared to ADT alone. The</w:t>
      </w:r>
      <w:r w:rsidR="00463D1B" w:rsidRPr="0075485D">
        <w:rPr>
          <w:rFonts w:eastAsia="Calibri"/>
        </w:rPr>
        <w:t xml:space="preserve"> ESC </w:t>
      </w:r>
      <w:r w:rsidR="00521F7F">
        <w:rPr>
          <w:rFonts w:eastAsia="Calibri"/>
        </w:rPr>
        <w:t xml:space="preserve">and PBAC </w:t>
      </w:r>
      <w:r w:rsidR="00463D1B" w:rsidRPr="0075485D">
        <w:rPr>
          <w:rFonts w:eastAsia="Calibri"/>
        </w:rPr>
        <w:t>considered that the</w:t>
      </w:r>
      <w:r w:rsidRPr="0075485D">
        <w:rPr>
          <w:rFonts w:eastAsia="Calibri"/>
        </w:rPr>
        <w:t xml:space="preserve">se claims were adequately supported by the trial evidence presented. </w:t>
      </w:r>
    </w:p>
    <w:p w14:paraId="187EBD7D" w14:textId="13D24890" w:rsidR="00A01891" w:rsidRDefault="00A01891" w:rsidP="00A01891">
      <w:pPr>
        <w:pStyle w:val="3-BodyText"/>
        <w:rPr>
          <w:rFonts w:eastAsia="Calibri"/>
        </w:rPr>
      </w:pPr>
      <w:r w:rsidRPr="0075485D">
        <w:t xml:space="preserve">The submission also described enzalutamide + ADT as non-inferior in terms of efficacy and safety compared to apalutamide + ADT for the treatment of mHSPC. The </w:t>
      </w:r>
      <w:r w:rsidR="00273330" w:rsidRPr="0075485D">
        <w:t xml:space="preserve">ESC considered that the </w:t>
      </w:r>
      <w:r w:rsidRPr="0075485D">
        <w:t xml:space="preserve">evidence presented in the submission adequately supported the claim of non-inferior efficacy as there were no significant differences between enzalutamide and apalutamide for PFS or OS in all ITC comparison sets. </w:t>
      </w:r>
      <w:r w:rsidR="00273330" w:rsidRPr="0075485D">
        <w:t>Although the submission did not present any ITCs for safety outcomes, t</w:t>
      </w:r>
      <w:r w:rsidRPr="0075485D">
        <w:t xml:space="preserve">he </w:t>
      </w:r>
      <w:r w:rsidR="00273330" w:rsidRPr="0075485D">
        <w:t xml:space="preserve">ESC </w:t>
      </w:r>
      <w:r w:rsidRPr="0075485D">
        <w:t>noted that in m0CRPC, the PBAC had previously considered enzalutamide, darolutamide and apalutamide were likely non-inferior in terms of safety (paragraph 7.7, Darolutamide PSD, March 2021). The reported AEs of enzalutamide and apalutamide from the included trials were consistent with their known safety profiles.</w:t>
      </w:r>
      <w:r w:rsidRPr="0075485D">
        <w:rPr>
          <w:rFonts w:eastAsia="Calibri"/>
        </w:rPr>
        <w:t xml:space="preserve"> </w:t>
      </w:r>
      <w:r w:rsidR="00521F7F">
        <w:rPr>
          <w:rFonts w:eastAsia="Calibri"/>
        </w:rPr>
        <w:t>The PBAC considered that the claims versus apalutamide were adequately supported by the data.</w:t>
      </w:r>
    </w:p>
    <w:p w14:paraId="51381783" w14:textId="77777777" w:rsidR="00A01891" w:rsidRPr="00C9624D" w:rsidRDefault="00A01891" w:rsidP="00A01891">
      <w:pPr>
        <w:pStyle w:val="4-SubsectionHeading"/>
      </w:pPr>
      <w:bookmarkStart w:id="46" w:name="_Toc22897645"/>
      <w:bookmarkStart w:id="47" w:name="_Toc124324280"/>
      <w:bookmarkStart w:id="48" w:name="_Toc124862874"/>
      <w:r w:rsidRPr="00C9624D">
        <w:t>Economic analysis</w:t>
      </w:r>
      <w:bookmarkEnd w:id="46"/>
      <w:bookmarkEnd w:id="47"/>
      <w:bookmarkEnd w:id="48"/>
      <w:r w:rsidRPr="00C9624D">
        <w:t xml:space="preserve"> </w:t>
      </w:r>
    </w:p>
    <w:p w14:paraId="6FEAD1C8" w14:textId="1C943677" w:rsidR="00A01891" w:rsidRPr="003061C2" w:rsidRDefault="00A01891" w:rsidP="00A01891">
      <w:pPr>
        <w:pStyle w:val="3-BodyText"/>
        <w:ind w:left="709" w:hanging="709"/>
        <w:rPr>
          <w:b/>
          <w:bCs/>
          <w:color w:val="0066FF"/>
          <w:lang w:val="en-US"/>
        </w:rPr>
      </w:pPr>
      <w:bookmarkStart w:id="49" w:name="_Toc22897647"/>
      <w:r>
        <w:t xml:space="preserve">Consistent with the clinical claim, the submission presented two economic evaluations for enzalutamide: i) a modelled economic evaluation versus standard of care and ii) a cost-minimisation </w:t>
      </w:r>
      <w:r w:rsidR="00273330">
        <w:t>appr</w:t>
      </w:r>
      <w:r w:rsidR="006A2BDA">
        <w:t>oa</w:t>
      </w:r>
      <w:r w:rsidR="00273330">
        <w:t xml:space="preserve">ch </w:t>
      </w:r>
      <w:r>
        <w:t>versus apalutamide. These are described separately below.</w:t>
      </w:r>
    </w:p>
    <w:p w14:paraId="1E7ED3A7" w14:textId="5031AED1" w:rsidR="00A01891" w:rsidRPr="003061C2" w:rsidRDefault="00A01891" w:rsidP="00A01891">
      <w:pPr>
        <w:pStyle w:val="3-BodyText"/>
        <w:numPr>
          <w:ilvl w:val="0"/>
          <w:numId w:val="0"/>
        </w:numPr>
        <w:outlineLvl w:val="2"/>
        <w:rPr>
          <w:b/>
          <w:bCs/>
          <w:color w:val="0066FF"/>
          <w:lang w:val="en-US"/>
        </w:rPr>
      </w:pPr>
      <w:r w:rsidRPr="003061C2">
        <w:rPr>
          <w:b/>
          <w:bCs/>
        </w:rPr>
        <w:t>Modelled economic evaluation</w:t>
      </w:r>
    </w:p>
    <w:p w14:paraId="028A7A06" w14:textId="56C9D027" w:rsidR="00A01891" w:rsidRPr="00504E88" w:rsidRDefault="00A01891" w:rsidP="00A01891">
      <w:pPr>
        <w:pStyle w:val="3-BodyText"/>
        <w:ind w:left="709" w:hanging="709"/>
      </w:pPr>
      <w:r>
        <w:t>The submission presented a cost-utility analysis</w:t>
      </w:r>
      <w:r w:rsidRPr="00504E88">
        <w:t xml:space="preserve"> compar</w:t>
      </w:r>
      <w:r>
        <w:t>ing</w:t>
      </w:r>
      <w:r w:rsidRPr="00504E88">
        <w:t xml:space="preserve"> enzalutamide in combination with ADT (enzalutamide arm) versus ADT alone (ADT arm). The primary analysis was based on ITT data from ARCHES. Scenario analyses were also presented using a similar model structure </w:t>
      </w:r>
      <w:r>
        <w:t>for the</w:t>
      </w:r>
      <w:r w:rsidRPr="00504E88">
        <w:t xml:space="preserve"> </w:t>
      </w:r>
      <w:r>
        <w:t>low volume (</w:t>
      </w:r>
      <w:r w:rsidRPr="00504E88">
        <w:t>LV</w:t>
      </w:r>
      <w:r>
        <w:t>)</w:t>
      </w:r>
      <w:r w:rsidRPr="00504E88">
        <w:t xml:space="preserve"> and </w:t>
      </w:r>
      <w:r>
        <w:t>high volume (</w:t>
      </w:r>
      <w:r w:rsidRPr="00504E88">
        <w:t>HV</w:t>
      </w:r>
      <w:r>
        <w:t>)</w:t>
      </w:r>
      <w:r w:rsidRPr="00504E88">
        <w:t xml:space="preserve"> subgroups of ARCHES and the subgroup of patients without docetaxel combination treatment from ENZAMET.</w:t>
      </w:r>
      <w:r>
        <w:t xml:space="preserve"> Thus, the modelled evidence was limited to dual therapy of NHA</w:t>
      </w:r>
      <w:r w:rsidR="00521F7F">
        <w:t xml:space="preserve"> </w:t>
      </w:r>
      <w:r>
        <w:t>+ ADT versus standard of care.</w:t>
      </w:r>
    </w:p>
    <w:p w14:paraId="1577EF2E" w14:textId="580015AC" w:rsidR="00A01891" w:rsidRDefault="00A01891" w:rsidP="00A01891">
      <w:pPr>
        <w:pStyle w:val="3-BodyText"/>
        <w:ind w:left="709" w:hanging="709"/>
        <w:rPr>
          <w:b/>
          <w:bCs/>
        </w:rPr>
      </w:pPr>
      <w:r w:rsidRPr="00504E88">
        <w:t xml:space="preserve">The </w:t>
      </w:r>
      <w:r>
        <w:t>model used</w:t>
      </w:r>
      <w:r w:rsidRPr="00504E88">
        <w:t xml:space="preserve"> a combination partitioned survival and Markov state model with five health states: PFS (i.e., mHSPC), progressed disease first line (PD1), progressed disease second line (PD2), progressed disease third line (PD3), and death. PD1-3 were intended to represent mCRPC. The partitioned survival model estimated the movement between PFS, PD and death, and the Markov state model estimated movement within PD, i.e.</w:t>
      </w:r>
      <w:r w:rsidR="001C69CB">
        <w:t>,</w:t>
      </w:r>
      <w:r w:rsidRPr="00504E88">
        <w:t xml:space="preserve"> from PD1 to PD2 to PD3.</w:t>
      </w:r>
    </w:p>
    <w:p w14:paraId="133D23A6" w14:textId="24734299" w:rsidR="00A01891" w:rsidRDefault="00A01891" w:rsidP="00A01891">
      <w:pPr>
        <w:pStyle w:val="Caption"/>
        <w:jc w:val="left"/>
        <w:rPr>
          <w:rStyle w:val="CommentReference"/>
          <w:b/>
          <w:szCs w:val="24"/>
        </w:rPr>
      </w:pPr>
      <w:bookmarkStart w:id="50" w:name="_Ref124322860"/>
      <w:r>
        <w:t xml:space="preserve">Table </w:t>
      </w:r>
      <w:fldSimple w:instr=" SEQ Table \* ARABIC ">
        <w:r w:rsidR="00307E3A">
          <w:rPr>
            <w:noProof/>
          </w:rPr>
          <w:t>7</w:t>
        </w:r>
      </w:fldSimple>
      <w:bookmarkEnd w:id="50"/>
      <w:r>
        <w:t>:</w:t>
      </w:r>
      <w:r w:rsidRPr="00641FB3">
        <w:rPr>
          <w:rStyle w:val="CommentReference"/>
          <w:b/>
          <w:szCs w:val="24"/>
        </w:rPr>
        <w:t xml:space="preserve"> Summary of model structure, key inputs and rationale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7603"/>
      </w:tblGrid>
      <w:tr w:rsidR="00A01891" w:rsidRPr="0075485D" w14:paraId="61EAF663" w14:textId="77777777" w:rsidTr="004901F0">
        <w:trPr>
          <w:cantSplit/>
          <w:tblHeader/>
        </w:trPr>
        <w:tc>
          <w:tcPr>
            <w:tcW w:w="784" w:type="pct"/>
            <w:vAlign w:val="center"/>
          </w:tcPr>
          <w:p w14:paraId="2B8D47B6" w14:textId="77777777" w:rsidR="00A01891" w:rsidRPr="0075485D" w:rsidRDefault="00A01891" w:rsidP="00E44076">
            <w:pPr>
              <w:pStyle w:val="In-tableHeading"/>
              <w:keepNext w:val="0"/>
              <w:rPr>
                <w:lang w:val="en-AU"/>
              </w:rPr>
            </w:pPr>
            <w:r w:rsidRPr="0075485D">
              <w:rPr>
                <w:lang w:val="en-AU"/>
              </w:rPr>
              <w:t>Component</w:t>
            </w:r>
          </w:p>
        </w:tc>
        <w:tc>
          <w:tcPr>
            <w:tcW w:w="4216" w:type="pct"/>
          </w:tcPr>
          <w:p w14:paraId="6604D1A1" w14:textId="77777777" w:rsidR="00A01891" w:rsidRPr="0075485D" w:rsidRDefault="00A01891" w:rsidP="00E44076">
            <w:pPr>
              <w:pStyle w:val="In-tableHeading"/>
              <w:keepNext w:val="0"/>
              <w:jc w:val="center"/>
              <w:rPr>
                <w:lang w:val="en-AU"/>
              </w:rPr>
            </w:pPr>
            <w:r w:rsidRPr="0075485D">
              <w:rPr>
                <w:lang w:val="en-AU"/>
              </w:rPr>
              <w:t>Summary</w:t>
            </w:r>
          </w:p>
        </w:tc>
      </w:tr>
      <w:tr w:rsidR="00A01891" w:rsidRPr="0075485D" w14:paraId="75A458FE" w14:textId="77777777" w:rsidTr="004901F0">
        <w:trPr>
          <w:cantSplit/>
        </w:trPr>
        <w:tc>
          <w:tcPr>
            <w:tcW w:w="784" w:type="pct"/>
            <w:vAlign w:val="center"/>
          </w:tcPr>
          <w:p w14:paraId="0DFB1932" w14:textId="77777777" w:rsidR="00A01891" w:rsidRPr="0075485D" w:rsidRDefault="00A01891" w:rsidP="00E44076">
            <w:pPr>
              <w:pStyle w:val="TableText0"/>
              <w:keepNext w:val="0"/>
            </w:pPr>
            <w:r w:rsidRPr="0075485D">
              <w:t>Type of analysis</w:t>
            </w:r>
          </w:p>
        </w:tc>
        <w:tc>
          <w:tcPr>
            <w:tcW w:w="4216" w:type="pct"/>
          </w:tcPr>
          <w:p w14:paraId="750255D9" w14:textId="77777777" w:rsidR="00A01891" w:rsidRPr="0075485D" w:rsidRDefault="00A01891" w:rsidP="00E44076">
            <w:pPr>
              <w:pStyle w:val="TableText0"/>
              <w:keepNext w:val="0"/>
            </w:pPr>
            <w:r w:rsidRPr="0075485D">
              <w:t>Cost-utility analysis</w:t>
            </w:r>
          </w:p>
        </w:tc>
      </w:tr>
      <w:tr w:rsidR="00A01891" w:rsidRPr="0075485D" w14:paraId="47F00841" w14:textId="77777777" w:rsidTr="004901F0">
        <w:trPr>
          <w:cantSplit/>
        </w:trPr>
        <w:tc>
          <w:tcPr>
            <w:tcW w:w="784" w:type="pct"/>
            <w:vAlign w:val="center"/>
          </w:tcPr>
          <w:p w14:paraId="3CF70F85" w14:textId="77777777" w:rsidR="00A01891" w:rsidRPr="0075485D" w:rsidRDefault="00A01891" w:rsidP="00E44076">
            <w:pPr>
              <w:pStyle w:val="TableText0"/>
              <w:keepNext w:val="0"/>
            </w:pPr>
            <w:r w:rsidRPr="0075485D">
              <w:t>Outcomes</w:t>
            </w:r>
          </w:p>
        </w:tc>
        <w:tc>
          <w:tcPr>
            <w:tcW w:w="4216" w:type="pct"/>
          </w:tcPr>
          <w:p w14:paraId="6D1B35E8" w14:textId="77777777" w:rsidR="00A01891" w:rsidRPr="0075485D" w:rsidRDefault="00A01891" w:rsidP="00E44076">
            <w:pPr>
              <w:pStyle w:val="TableText0"/>
              <w:keepNext w:val="0"/>
            </w:pPr>
            <w:r w:rsidRPr="0075485D">
              <w:t>Quality-adjusted life years, life years</w:t>
            </w:r>
          </w:p>
        </w:tc>
      </w:tr>
      <w:tr w:rsidR="00A01891" w:rsidRPr="0075485D" w14:paraId="48E232EF" w14:textId="77777777" w:rsidTr="004901F0">
        <w:trPr>
          <w:cantSplit/>
          <w:trHeight w:val="3536"/>
        </w:trPr>
        <w:tc>
          <w:tcPr>
            <w:tcW w:w="784" w:type="pct"/>
            <w:vAlign w:val="center"/>
          </w:tcPr>
          <w:p w14:paraId="5E7992EF" w14:textId="77777777" w:rsidR="00A01891" w:rsidRPr="0075485D" w:rsidRDefault="00A01891" w:rsidP="00E44076">
            <w:pPr>
              <w:pStyle w:val="TableText0"/>
              <w:keepNext w:val="0"/>
            </w:pPr>
            <w:r w:rsidRPr="0075485D">
              <w:t>Populations</w:t>
            </w:r>
          </w:p>
        </w:tc>
        <w:tc>
          <w:tcPr>
            <w:tcW w:w="4216" w:type="pct"/>
          </w:tcPr>
          <w:p w14:paraId="7906B52F" w14:textId="3347A196" w:rsidR="00A01891" w:rsidRPr="0075485D" w:rsidRDefault="00A01891" w:rsidP="00E44076">
            <w:pPr>
              <w:pStyle w:val="TableText0"/>
              <w:keepNext w:val="0"/>
            </w:pPr>
            <w:r w:rsidRPr="0075485D">
              <w:t xml:space="preserve">The economic evaluation was presented for mHSPC patients who did not receive docetaxel, based on the ITT population in ARCHES. It was reasonable to use ARCHES in preference to ENZAMET as there were several concerns with ENZAMET that could either bias the results or make it less comparable to other studies, including: it had a broader definition of PFS (i.e., not rPFS), may be subject to bias as it was unblinded for treatment assignments, the control arm was NSAA + ADT (rather than the ADT alone) and there were comparatively fewer patients with de novo metastasis. </w:t>
            </w:r>
          </w:p>
          <w:p w14:paraId="1161CE87" w14:textId="77777777" w:rsidR="00A01891" w:rsidRPr="0075485D" w:rsidRDefault="00A01891" w:rsidP="00E44076">
            <w:pPr>
              <w:pStyle w:val="TableText0"/>
              <w:keepNext w:val="0"/>
            </w:pPr>
          </w:p>
          <w:p w14:paraId="703CCDA8" w14:textId="77777777" w:rsidR="00A01891" w:rsidRPr="0075485D" w:rsidRDefault="00A01891" w:rsidP="00E44076">
            <w:pPr>
              <w:pStyle w:val="TableText0"/>
              <w:keepNext w:val="0"/>
            </w:pPr>
            <w:r w:rsidRPr="0075485D">
              <w:t>Results for the HV and LV populations from ARCHES were also presented. As these subgroups likely differ in prognosis and could vary in proportion across trials and the intended Australian population it was appropriate to also present these results. However, as model inputs for the HV and LV models were estimated independently of the ITT analysis, combining the HV and LV results would not give the base case, and therefore these results may not be reasonable. In particular, survival for both HV and LV patients receiving ADT alone was estimated to be worse than the ITT population at Year 15.</w:t>
            </w:r>
          </w:p>
          <w:p w14:paraId="67AAA435" w14:textId="77777777" w:rsidR="00A01891" w:rsidRPr="0075485D" w:rsidRDefault="00A01891" w:rsidP="00E44076">
            <w:pPr>
              <w:pStyle w:val="TableText0"/>
              <w:keepNext w:val="0"/>
            </w:pPr>
          </w:p>
          <w:p w14:paraId="186A80F7" w14:textId="77777777" w:rsidR="00A01891" w:rsidRPr="0075485D" w:rsidRDefault="00A01891" w:rsidP="00E44076">
            <w:pPr>
              <w:pStyle w:val="3-BodyText"/>
              <w:numPr>
                <w:ilvl w:val="0"/>
                <w:numId w:val="0"/>
              </w:numPr>
              <w:spacing w:after="0"/>
              <w:ind w:hanging="28"/>
              <w:rPr>
                <w:rFonts w:ascii="Arial Narrow" w:hAnsi="Arial Narrow"/>
                <w:sz w:val="20"/>
                <w:szCs w:val="20"/>
              </w:rPr>
            </w:pPr>
            <w:r w:rsidRPr="0075485D">
              <w:rPr>
                <w:rFonts w:ascii="Arial Narrow" w:hAnsi="Arial Narrow"/>
                <w:sz w:val="20"/>
                <w:szCs w:val="20"/>
              </w:rPr>
              <w:t>Paras 7.15-16 apalutamide mHSPC PSD, November 2021, recommended that an economic analysis including patients suitable for docetaxel be performed, and therefore restricting the analysis to patients not receiving docetaxel may not be appropriate.</w:t>
            </w:r>
          </w:p>
        </w:tc>
      </w:tr>
      <w:tr w:rsidR="00A01891" w:rsidRPr="0075485D" w14:paraId="3E6ADC14" w14:textId="77777777" w:rsidTr="004901F0">
        <w:trPr>
          <w:cantSplit/>
        </w:trPr>
        <w:tc>
          <w:tcPr>
            <w:tcW w:w="784" w:type="pct"/>
            <w:vAlign w:val="center"/>
          </w:tcPr>
          <w:p w14:paraId="28C8E54D" w14:textId="77777777" w:rsidR="00A01891" w:rsidRPr="0075485D" w:rsidRDefault="00A01891" w:rsidP="00E44076">
            <w:pPr>
              <w:pStyle w:val="TableText0"/>
              <w:keepNext w:val="0"/>
            </w:pPr>
            <w:r w:rsidRPr="0075485D">
              <w:t>Time horizon</w:t>
            </w:r>
          </w:p>
        </w:tc>
        <w:tc>
          <w:tcPr>
            <w:tcW w:w="4216" w:type="pct"/>
            <w:vAlign w:val="center"/>
          </w:tcPr>
          <w:p w14:paraId="3E1172B8" w14:textId="7159C892" w:rsidR="00A01891" w:rsidRPr="0075485D" w:rsidRDefault="00A01891" w:rsidP="00E44076">
            <w:pPr>
              <w:pStyle w:val="TableText0"/>
              <w:keepNext w:val="0"/>
            </w:pPr>
            <w:r w:rsidRPr="0075485D">
              <w:t>15 years compared to median follow-ups of 44.6 months (3.7 years) in ARCHES (main analysis) and 68 months (5.7 years) in ENZAMET (sensitivity analysis). Paras 7.15-16 apalutamide mHSPC PSD, November 2021, recommended a time horizon of 10 years for LV and 5 years for HV patients. A shorter time horizon is likely more appropriate for an older population (median age of 70 years in ARCHES and ENZAMET and 74 years in the Victorian Prostate Cancer Registry with metastatic prostate cancer).</w:t>
            </w:r>
            <w:r w:rsidR="00B03497" w:rsidRPr="0075485D">
              <w:t xml:space="preserve"> The PSCR presented a revised base case in which the time horizon was reduced to 10 years.</w:t>
            </w:r>
          </w:p>
        </w:tc>
      </w:tr>
      <w:tr w:rsidR="00A01891" w:rsidRPr="0075485D" w14:paraId="048A8F24" w14:textId="77777777" w:rsidTr="004901F0">
        <w:trPr>
          <w:cantSplit/>
        </w:trPr>
        <w:tc>
          <w:tcPr>
            <w:tcW w:w="784" w:type="pct"/>
            <w:vAlign w:val="center"/>
          </w:tcPr>
          <w:p w14:paraId="2489BFF0" w14:textId="77777777" w:rsidR="00A01891" w:rsidRPr="0075485D" w:rsidRDefault="00A01891" w:rsidP="00E44076">
            <w:pPr>
              <w:pStyle w:val="TableText0"/>
              <w:keepNext w:val="0"/>
            </w:pPr>
            <w:r w:rsidRPr="0075485D">
              <w:t>Methods used to generate results</w:t>
            </w:r>
          </w:p>
        </w:tc>
        <w:tc>
          <w:tcPr>
            <w:tcW w:w="4216" w:type="pct"/>
            <w:vAlign w:val="center"/>
          </w:tcPr>
          <w:p w14:paraId="53951767" w14:textId="77777777" w:rsidR="00A01891" w:rsidRPr="0075485D" w:rsidRDefault="00A01891" w:rsidP="00E44076">
            <w:pPr>
              <w:pStyle w:val="TableText0"/>
              <w:keepNext w:val="0"/>
            </w:pPr>
            <w:r w:rsidRPr="0075485D">
              <w:t>Partitioned survival model with Markov health states in progressed disease.</w:t>
            </w:r>
          </w:p>
          <w:p w14:paraId="19AFB39F" w14:textId="77777777" w:rsidR="00A01891" w:rsidRPr="0075485D" w:rsidRDefault="00A01891" w:rsidP="00E44076">
            <w:pPr>
              <w:pStyle w:val="TableText0"/>
              <w:keepNext w:val="0"/>
            </w:pPr>
            <w:r w:rsidRPr="0075485D">
              <w:t>The Markov states within progressed disease were informed by multiple sources and was more complex than other recent submissions in mHSPC. However, only time on NHA use in PD1 appeared to drive the model cost and benefit offsets.</w:t>
            </w:r>
          </w:p>
        </w:tc>
      </w:tr>
      <w:tr w:rsidR="00A01891" w:rsidRPr="0075485D" w14:paraId="7CF869F7" w14:textId="77777777" w:rsidTr="004901F0">
        <w:trPr>
          <w:cantSplit/>
        </w:trPr>
        <w:tc>
          <w:tcPr>
            <w:tcW w:w="784" w:type="pct"/>
            <w:vAlign w:val="center"/>
          </w:tcPr>
          <w:p w14:paraId="52A20A47" w14:textId="77777777" w:rsidR="00A01891" w:rsidRPr="0075485D" w:rsidRDefault="00A01891" w:rsidP="00E44076">
            <w:pPr>
              <w:pStyle w:val="TableText0"/>
              <w:keepNext w:val="0"/>
            </w:pPr>
            <w:r w:rsidRPr="0075485D">
              <w:t>Health states</w:t>
            </w:r>
          </w:p>
        </w:tc>
        <w:tc>
          <w:tcPr>
            <w:tcW w:w="4216" w:type="pct"/>
          </w:tcPr>
          <w:p w14:paraId="2D713A75" w14:textId="77777777" w:rsidR="00A01891" w:rsidRPr="0075485D" w:rsidRDefault="00A01891" w:rsidP="00E44076">
            <w:pPr>
              <w:pStyle w:val="TableText0"/>
              <w:keepNext w:val="0"/>
            </w:pPr>
            <w:r w:rsidRPr="0075485D">
              <w:t>5 health states:</w:t>
            </w:r>
          </w:p>
          <w:p w14:paraId="6BDC6D39" w14:textId="77777777" w:rsidR="00A01891" w:rsidRPr="0075485D" w:rsidRDefault="00A01891" w:rsidP="00D45249">
            <w:pPr>
              <w:pStyle w:val="TableText0"/>
              <w:keepNext w:val="0"/>
              <w:numPr>
                <w:ilvl w:val="0"/>
                <w:numId w:val="9"/>
              </w:numPr>
              <w:ind w:hanging="239"/>
            </w:pPr>
            <w:r w:rsidRPr="0075485D">
              <w:t>Progression free survival (PFS) = mHSPC</w:t>
            </w:r>
          </w:p>
          <w:p w14:paraId="025711EE" w14:textId="77777777" w:rsidR="00A01891" w:rsidRPr="0075485D" w:rsidRDefault="00A01891" w:rsidP="00D45249">
            <w:pPr>
              <w:pStyle w:val="TableText0"/>
              <w:keepNext w:val="0"/>
              <w:numPr>
                <w:ilvl w:val="0"/>
                <w:numId w:val="9"/>
              </w:numPr>
              <w:ind w:hanging="239"/>
            </w:pPr>
            <w:r w:rsidRPr="0075485D">
              <w:t>Progressed disease 1L</w:t>
            </w:r>
          </w:p>
          <w:p w14:paraId="6157926E" w14:textId="77777777" w:rsidR="00A01891" w:rsidRPr="0075485D" w:rsidRDefault="00A01891" w:rsidP="00D45249">
            <w:pPr>
              <w:pStyle w:val="TableText0"/>
              <w:keepNext w:val="0"/>
              <w:numPr>
                <w:ilvl w:val="0"/>
                <w:numId w:val="9"/>
              </w:numPr>
              <w:ind w:hanging="239"/>
            </w:pPr>
            <w:r w:rsidRPr="0075485D">
              <w:t>Progressed disease 2L</w:t>
            </w:r>
          </w:p>
          <w:p w14:paraId="77995DED" w14:textId="77777777" w:rsidR="00A01891" w:rsidRPr="0075485D" w:rsidRDefault="00A01891" w:rsidP="00D45249">
            <w:pPr>
              <w:pStyle w:val="TableText0"/>
              <w:keepNext w:val="0"/>
              <w:numPr>
                <w:ilvl w:val="0"/>
                <w:numId w:val="9"/>
              </w:numPr>
              <w:ind w:hanging="239"/>
            </w:pPr>
            <w:r w:rsidRPr="0075485D">
              <w:t>Progressed disease 3L</w:t>
            </w:r>
          </w:p>
          <w:p w14:paraId="51B54761" w14:textId="77777777" w:rsidR="00A01891" w:rsidRPr="0075485D" w:rsidRDefault="00A01891" w:rsidP="00D45249">
            <w:pPr>
              <w:pStyle w:val="TableText0"/>
              <w:keepNext w:val="0"/>
              <w:numPr>
                <w:ilvl w:val="0"/>
                <w:numId w:val="9"/>
              </w:numPr>
              <w:ind w:hanging="239"/>
            </w:pPr>
            <w:r w:rsidRPr="0075485D">
              <w:t>Death.</w:t>
            </w:r>
          </w:p>
          <w:p w14:paraId="32803EDD" w14:textId="77777777" w:rsidR="00A01891" w:rsidRPr="0075485D" w:rsidRDefault="00A01891" w:rsidP="00E44076">
            <w:pPr>
              <w:pStyle w:val="TableText0"/>
              <w:keepNext w:val="0"/>
            </w:pPr>
            <w:r w:rsidRPr="0075485D">
              <w:t>This was reasonable; although modelling multiple lines of treatment in progressed disease required additional assumptions and additional data sources.</w:t>
            </w:r>
          </w:p>
        </w:tc>
      </w:tr>
      <w:tr w:rsidR="00A01891" w:rsidRPr="0075485D" w14:paraId="66C34B8D" w14:textId="77777777" w:rsidTr="004901F0">
        <w:trPr>
          <w:cantSplit/>
        </w:trPr>
        <w:tc>
          <w:tcPr>
            <w:tcW w:w="784" w:type="pct"/>
            <w:vAlign w:val="center"/>
          </w:tcPr>
          <w:p w14:paraId="61062615" w14:textId="77777777" w:rsidR="00A01891" w:rsidRPr="0075485D" w:rsidRDefault="00A01891" w:rsidP="00E44076">
            <w:pPr>
              <w:pStyle w:val="TableText0"/>
              <w:keepNext w:val="0"/>
            </w:pPr>
            <w:r w:rsidRPr="0075485D">
              <w:t>Cycle length</w:t>
            </w:r>
          </w:p>
        </w:tc>
        <w:tc>
          <w:tcPr>
            <w:tcW w:w="4216" w:type="pct"/>
          </w:tcPr>
          <w:p w14:paraId="43EFEF7C" w14:textId="77777777" w:rsidR="00A01891" w:rsidRPr="0075485D" w:rsidRDefault="00A01891" w:rsidP="00E44076">
            <w:pPr>
              <w:pStyle w:val="TableText0"/>
              <w:keepNext w:val="0"/>
            </w:pPr>
            <w:r w:rsidRPr="0075485D">
              <w:t>Monthly, with half cycle correction.</w:t>
            </w:r>
          </w:p>
        </w:tc>
      </w:tr>
      <w:tr w:rsidR="00A01891" w:rsidRPr="0075485D" w14:paraId="056F1B7D" w14:textId="77777777" w:rsidTr="004901F0">
        <w:trPr>
          <w:cantSplit/>
          <w:trHeight w:val="857"/>
        </w:trPr>
        <w:tc>
          <w:tcPr>
            <w:tcW w:w="784" w:type="pct"/>
            <w:vAlign w:val="center"/>
          </w:tcPr>
          <w:p w14:paraId="6D364274" w14:textId="77777777" w:rsidR="00A01891" w:rsidRPr="0075485D" w:rsidRDefault="00A01891" w:rsidP="00E44076">
            <w:pPr>
              <w:pStyle w:val="TableText0"/>
              <w:keepNext w:val="0"/>
            </w:pPr>
            <w:r w:rsidRPr="0075485D">
              <w:t>Transition probabilities</w:t>
            </w:r>
          </w:p>
        </w:tc>
        <w:tc>
          <w:tcPr>
            <w:tcW w:w="4216" w:type="pct"/>
          </w:tcPr>
          <w:p w14:paraId="55A03B00" w14:textId="77777777" w:rsidR="00A01891" w:rsidRPr="0075485D" w:rsidRDefault="00A01891" w:rsidP="00E44076">
            <w:pPr>
              <w:pStyle w:val="TableText0"/>
              <w:keepNext w:val="0"/>
            </w:pPr>
            <w:r w:rsidRPr="0075485D">
              <w:t>Transitions between PFS, PD and death health states derived from KM data in ARCHES for OS rPFS and time to treatment discontinuation (TTD) and extrapolated to 15 years.</w:t>
            </w:r>
          </w:p>
          <w:p w14:paraId="7F044756" w14:textId="77777777" w:rsidR="00A01891" w:rsidRPr="0075485D" w:rsidRDefault="00A01891" w:rsidP="00E44076">
            <w:pPr>
              <w:pStyle w:val="TableText0"/>
            </w:pPr>
            <w:r w:rsidRPr="0075485D">
              <w:t>Monthly transition probabilities between PD1, PD2 and PD3 were derived from treatment durations described in PREVAIL</w:t>
            </w:r>
            <w:r w:rsidRPr="0075485D">
              <w:rPr>
                <w:vertAlign w:val="superscript"/>
              </w:rPr>
              <w:t>a</w:t>
            </w:r>
            <w:r w:rsidRPr="0075485D">
              <w:t>, TAX 327</w:t>
            </w:r>
            <w:r w:rsidRPr="0075485D">
              <w:rPr>
                <w:vertAlign w:val="superscript"/>
              </w:rPr>
              <w:t>b</w:t>
            </w:r>
            <w:r w:rsidRPr="0075485D">
              <w:t>, AFFIRM</w:t>
            </w:r>
            <w:r w:rsidRPr="0075485D">
              <w:rPr>
                <w:vertAlign w:val="superscript"/>
              </w:rPr>
              <w:t>c</w:t>
            </w:r>
            <w:r w:rsidRPr="0075485D">
              <w:t>, COU-AA-301</w:t>
            </w:r>
            <w:r w:rsidRPr="0075485D">
              <w:rPr>
                <w:vertAlign w:val="superscript"/>
              </w:rPr>
              <w:t>d</w:t>
            </w:r>
            <w:r w:rsidRPr="0075485D">
              <w:t>, TROPIC</w:t>
            </w:r>
            <w:r w:rsidRPr="0075485D">
              <w:rPr>
                <w:vertAlign w:val="superscript"/>
              </w:rPr>
              <w:t>e</w:t>
            </w:r>
            <w:r w:rsidRPr="0075485D">
              <w:t xml:space="preserve"> and p23 of the apalutamide mHSPC PSD, Nov 2021.</w:t>
            </w:r>
          </w:p>
          <w:p w14:paraId="6231B45D" w14:textId="77777777" w:rsidR="00A01891" w:rsidRPr="0075485D" w:rsidRDefault="00A01891" w:rsidP="00E44076">
            <w:pPr>
              <w:pStyle w:val="TableText0"/>
              <w:keepNext w:val="0"/>
            </w:pPr>
            <w:r w:rsidRPr="0075485D">
              <w:t>AEs and SREs were estimated from ARCHES in mHSPC, and PREVAIL, TAX 327, AFFIRM, COU-AA-301 and TROPIC in mCRPC.</w:t>
            </w:r>
          </w:p>
          <w:p w14:paraId="27E13305" w14:textId="77777777" w:rsidR="00A01891" w:rsidRPr="0075485D" w:rsidRDefault="00A01891" w:rsidP="00E44076">
            <w:pPr>
              <w:pStyle w:val="TableText0"/>
              <w:keepNext w:val="0"/>
            </w:pPr>
            <w:r w:rsidRPr="0075485D">
              <w:t xml:space="preserve">None of the trials included in the PD transitions for ADT, docetaxel or cabazitaxel were published in the last 10 years. However, the impact of ADT, docetaxel and cabazitaxel use in progressed disease had minimal impact upon the ICER. </w:t>
            </w:r>
          </w:p>
        </w:tc>
      </w:tr>
      <w:tr w:rsidR="00A01891" w:rsidRPr="0075485D" w14:paraId="25D78365" w14:textId="77777777" w:rsidTr="004901F0">
        <w:trPr>
          <w:cantSplit/>
        </w:trPr>
        <w:tc>
          <w:tcPr>
            <w:tcW w:w="784" w:type="pct"/>
            <w:vAlign w:val="center"/>
          </w:tcPr>
          <w:p w14:paraId="127E47A1" w14:textId="77777777" w:rsidR="00A01891" w:rsidRPr="0075485D" w:rsidRDefault="00A01891" w:rsidP="00E44076">
            <w:pPr>
              <w:pStyle w:val="TableText0"/>
              <w:keepNext w:val="0"/>
            </w:pPr>
            <w:r w:rsidRPr="0075485D">
              <w:t>Costs</w:t>
            </w:r>
          </w:p>
        </w:tc>
        <w:tc>
          <w:tcPr>
            <w:tcW w:w="4216" w:type="pct"/>
            <w:vAlign w:val="center"/>
          </w:tcPr>
          <w:p w14:paraId="118EAE54" w14:textId="634C0D15" w:rsidR="00A01891" w:rsidRPr="0075485D" w:rsidRDefault="00A01891" w:rsidP="00E44076">
            <w:pPr>
              <w:pStyle w:val="TableText0"/>
              <w:keepNext w:val="0"/>
            </w:pPr>
            <w:r w:rsidRPr="0075485D">
              <w:t>The model included costs for enzalutamide, background ADT, management of AEs, SREs, monitoring disease progression (PSA tests, specialists, imaging), subsequent treatment post progression (docetaxel, cabazitaxel, abiraterone/enzalutamide, antiandrogens, prednisolone) and end of life costs. The model assumed patients treated with enzalutamide for mHSPC do not receive abiraterone/</w:t>
            </w:r>
            <w:r w:rsidR="00362F05" w:rsidRPr="0075485D">
              <w:t xml:space="preserve"> </w:t>
            </w:r>
            <w:r w:rsidRPr="0075485D">
              <w:t>enzalutamide in PD.</w:t>
            </w:r>
          </w:p>
          <w:p w14:paraId="29C280E4" w14:textId="0F70DC5A" w:rsidR="00A01891" w:rsidRPr="0075485D" w:rsidRDefault="00A01891" w:rsidP="00E44076">
            <w:pPr>
              <w:pStyle w:val="TableText0"/>
              <w:keepNext w:val="0"/>
            </w:pPr>
            <w:r w:rsidRPr="0075485D">
              <w:rPr>
                <w:rFonts w:cs="Times New Roman"/>
                <w:szCs w:val="20"/>
                <w:lang w:eastAsia="en-GB"/>
              </w:rPr>
              <w:t xml:space="preserve">ADT costs in the enzalutamide arm appeared to be underestimated, only occurring in PFS when enzalutamide treatment ceased. As such, undiscounted PFS ADT costs were $728 in the enzalutamide arm, compared with $10,655 in the ADT arm. </w:t>
            </w:r>
            <w:r w:rsidR="00434514" w:rsidRPr="0075485D">
              <w:rPr>
                <w:rFonts w:cs="Times New Roman"/>
                <w:szCs w:val="20"/>
                <w:lang w:eastAsia="en-GB"/>
              </w:rPr>
              <w:t>The PSCR presented a revised base case in which the cost of ADT was applied to all alive patients in both treatment arms.</w:t>
            </w:r>
          </w:p>
        </w:tc>
      </w:tr>
      <w:tr w:rsidR="00A01891" w:rsidRPr="0075485D" w14:paraId="3DDA1E08" w14:textId="77777777" w:rsidTr="004901F0">
        <w:trPr>
          <w:cantSplit/>
        </w:trPr>
        <w:tc>
          <w:tcPr>
            <w:tcW w:w="784" w:type="pct"/>
            <w:vAlign w:val="center"/>
          </w:tcPr>
          <w:p w14:paraId="57D887FE" w14:textId="77777777" w:rsidR="00A01891" w:rsidRPr="0075485D" w:rsidRDefault="00A01891" w:rsidP="00E44076">
            <w:pPr>
              <w:pStyle w:val="TableText0"/>
              <w:keepNext w:val="0"/>
            </w:pPr>
            <w:r w:rsidRPr="0075485D">
              <w:t>Utilities</w:t>
            </w:r>
          </w:p>
        </w:tc>
        <w:tc>
          <w:tcPr>
            <w:tcW w:w="4216" w:type="pct"/>
          </w:tcPr>
          <w:p w14:paraId="28E5EDFF" w14:textId="77777777" w:rsidR="00A01891" w:rsidRPr="0075485D" w:rsidRDefault="00A01891" w:rsidP="00E44076">
            <w:pPr>
              <w:pStyle w:val="TableText0"/>
            </w:pPr>
            <w:r w:rsidRPr="0075485D">
              <w:t>Health state utilities derived from post-hoc analysis of EQ-5D-5L data in ARCHES (PFS, PD1, EoL), AFFIRM</w:t>
            </w:r>
            <w:r w:rsidRPr="0075485D">
              <w:rPr>
                <w:vertAlign w:val="superscript"/>
              </w:rPr>
              <w:t>c</w:t>
            </w:r>
            <w:r w:rsidRPr="0075485D">
              <w:t xml:space="preserve"> (PD3), NICE TA712</w:t>
            </w:r>
            <w:r w:rsidRPr="0075485D">
              <w:rPr>
                <w:vertAlign w:val="superscript"/>
              </w:rPr>
              <w:t>f</w:t>
            </w:r>
            <w:r w:rsidRPr="0075485D">
              <w:t xml:space="preserve"> and TA377 (AEs and SREs)</w:t>
            </w:r>
            <w:r w:rsidRPr="0075485D">
              <w:rPr>
                <w:vertAlign w:val="superscript"/>
              </w:rPr>
              <w:t>g</w:t>
            </w:r>
            <w:r w:rsidRPr="0075485D">
              <w:t xml:space="preserve">. </w:t>
            </w:r>
          </w:p>
          <w:p w14:paraId="17E8177F" w14:textId="77777777" w:rsidR="00A01891" w:rsidRPr="0075485D" w:rsidRDefault="00A01891" w:rsidP="00E44076">
            <w:pPr>
              <w:pStyle w:val="TableText0"/>
              <w:keepNext w:val="0"/>
            </w:pPr>
            <w:r w:rsidRPr="0075485D">
              <w:t>The utilities assumed were generally reasonable, however the choice to include EoL as a distinct utility was different from recent submissions and may be double counted as utility estimates in the other health states did not exclude patients who died before the next follow up. Removing the EoL disutility had minimal impact upon the ICER.</w:t>
            </w:r>
          </w:p>
        </w:tc>
      </w:tr>
      <w:tr w:rsidR="00A01891" w:rsidRPr="0075485D" w14:paraId="330458BE" w14:textId="77777777" w:rsidTr="004901F0">
        <w:trPr>
          <w:cantSplit/>
        </w:trPr>
        <w:tc>
          <w:tcPr>
            <w:tcW w:w="784" w:type="pct"/>
            <w:vAlign w:val="center"/>
          </w:tcPr>
          <w:p w14:paraId="73BEE9E7" w14:textId="77777777" w:rsidR="00A01891" w:rsidRPr="0075485D" w:rsidRDefault="00A01891" w:rsidP="00E44076">
            <w:pPr>
              <w:pStyle w:val="TableText0"/>
              <w:keepNext w:val="0"/>
            </w:pPr>
            <w:r w:rsidRPr="0075485D">
              <w:t>Software package</w:t>
            </w:r>
          </w:p>
        </w:tc>
        <w:tc>
          <w:tcPr>
            <w:tcW w:w="4216" w:type="pct"/>
          </w:tcPr>
          <w:p w14:paraId="7E202A51" w14:textId="77777777" w:rsidR="00A01891" w:rsidRPr="0075485D" w:rsidRDefault="00A01891" w:rsidP="00E44076">
            <w:pPr>
              <w:pStyle w:val="TableText0"/>
              <w:keepNext w:val="0"/>
            </w:pPr>
            <w:r w:rsidRPr="0075485D">
              <w:t>Excel 2016</w:t>
            </w:r>
          </w:p>
        </w:tc>
      </w:tr>
    </w:tbl>
    <w:p w14:paraId="48CD397B" w14:textId="77777777" w:rsidR="00A01891" w:rsidRPr="000A2839" w:rsidRDefault="00A01891" w:rsidP="00A01891">
      <w:pPr>
        <w:pStyle w:val="TableFigureFooter"/>
      </w:pPr>
      <w:r w:rsidRPr="000A2839">
        <w:t>Source: compiled during the evaluation from Table 3.1-1 (p117), Sections 3.1.1-3.1.5 (pp118-119), Section 3.2.2 (pp130-135) of the submission</w:t>
      </w:r>
    </w:p>
    <w:p w14:paraId="0422EFF7" w14:textId="7AAF119A" w:rsidR="00A01891" w:rsidRPr="000A2839" w:rsidRDefault="00A01891" w:rsidP="00A01891">
      <w:pPr>
        <w:pStyle w:val="TableFigureFooter"/>
      </w:pPr>
      <w:r w:rsidRPr="000A2839">
        <w:t>AE = adverse event; ADT = androgen deprivation therapy; APA = apalutamide; DARO=darolutamide; EoL= end of life; EQ5D-5L = EuroQoL 5 Dimension 5-Level; HV = high volume; ICER=incremental cost effectiveness ratio; ITT = intention to treat; KM = Kaplan-Meier; LV = low volume; m0CRPC = non-metastatic castration resistant prostate cancer; mCRPC = metastatic castrate resistant prostate cancer; mHSPC = metastatic hormone sensitive prostate cancer; NHA = novel hormonal agent; OS = overall survival; PBO = placebo; PD = progressive death; PFS = progression free survival; PSA = prostate specific antigen; rPFS = radiographic progression free survival, TTD=time to treatment discontinuation; SRE=skeletal related event.</w:t>
      </w:r>
    </w:p>
    <w:p w14:paraId="4B5C86C2" w14:textId="77777777" w:rsidR="00A01891" w:rsidRPr="000A2839" w:rsidRDefault="00A01891" w:rsidP="00A01891">
      <w:pPr>
        <w:pStyle w:val="TableFigureFooter"/>
        <w:ind w:left="165" w:hanging="165"/>
      </w:pPr>
      <w:r w:rsidRPr="000A2839">
        <w:rPr>
          <w:vertAlign w:val="superscript"/>
        </w:rPr>
        <w:t>a</w:t>
      </w:r>
      <w:r w:rsidRPr="000A2839">
        <w:tab/>
        <w:t>Armstrong, A. J. et al. Five-year Survival Prediction and Safety Outcomes with Enzalutamide in Men with Chemotherapy-naïve Metastatic Castration-resistant Prostate Cancer from the PREVAIL Trial. Eur Urol 78, 347-357 (2020)</w:t>
      </w:r>
    </w:p>
    <w:p w14:paraId="37AAAAE0" w14:textId="77777777" w:rsidR="00A01891" w:rsidRPr="000A2839" w:rsidRDefault="00A01891" w:rsidP="00A01891">
      <w:pPr>
        <w:pStyle w:val="TableFigureFooter"/>
        <w:ind w:left="165" w:hanging="165"/>
      </w:pPr>
      <w:r w:rsidRPr="000A2839">
        <w:rPr>
          <w:vertAlign w:val="superscript"/>
        </w:rPr>
        <w:t>b</w:t>
      </w:r>
      <w:r w:rsidRPr="000A2839">
        <w:tab/>
        <w:t>Tannock, I. F. et al. Docetaxel plus prednisone or mitoxantrone plus prednisone for advanced prostate cancer. N Engl J Med 351, 1502-1512 (2004)</w:t>
      </w:r>
    </w:p>
    <w:p w14:paraId="296A2A85" w14:textId="77777777" w:rsidR="00A01891" w:rsidRPr="000A2839" w:rsidRDefault="00A01891" w:rsidP="00A01891">
      <w:pPr>
        <w:pStyle w:val="TableFigureFooter"/>
        <w:ind w:left="165" w:hanging="165"/>
      </w:pPr>
      <w:r w:rsidRPr="000A2839">
        <w:rPr>
          <w:vertAlign w:val="superscript"/>
        </w:rPr>
        <w:t>c</w:t>
      </w:r>
      <w:r w:rsidRPr="000A2839">
        <w:rPr>
          <w:vertAlign w:val="superscript"/>
        </w:rPr>
        <w:tab/>
      </w:r>
      <w:r w:rsidRPr="000A2839">
        <w:t>Scher, H. I. et al. Increased survival with enzalutamide in prostate cancer after chemotherapy. New England Journal of Medicine 367, 1187-1197 (2012)</w:t>
      </w:r>
    </w:p>
    <w:p w14:paraId="68EDED4E" w14:textId="77777777" w:rsidR="00A01891" w:rsidRPr="000A2839" w:rsidRDefault="00A01891" w:rsidP="00A01891">
      <w:pPr>
        <w:pStyle w:val="TableFigureFooter"/>
        <w:ind w:left="165" w:hanging="165"/>
      </w:pPr>
      <w:r w:rsidRPr="000A2839">
        <w:rPr>
          <w:vertAlign w:val="superscript"/>
        </w:rPr>
        <w:t>d</w:t>
      </w:r>
      <w:r w:rsidRPr="000A2839">
        <w:tab/>
        <w:t>Fizazi, K. et al. Abiraterone acetate for treatment of metastatic castration-resistant prostate cancer: final overall survival analysis of the COU-AA-301 randomised, double-blind, placebo-controlled phase 3 study. Lancet Oncol 13, 983-992 (2012)</w:t>
      </w:r>
    </w:p>
    <w:p w14:paraId="0AB5C3FF" w14:textId="77777777" w:rsidR="00A01891" w:rsidRPr="000A2839" w:rsidRDefault="00A01891" w:rsidP="00A01891">
      <w:pPr>
        <w:pStyle w:val="TableFigureFooter"/>
        <w:ind w:left="165" w:hanging="165"/>
      </w:pPr>
      <w:r w:rsidRPr="000A2839">
        <w:rPr>
          <w:vertAlign w:val="superscript"/>
        </w:rPr>
        <w:t>e</w:t>
      </w:r>
      <w:r w:rsidRPr="000A2839">
        <w:tab/>
        <w:t>De Bono, J. S. et al. Prednisone plus cabazitaxel or mitoxantrone for metastatic castration-resistant prostate cancer progressing after docetaxel treatment: a randomised open-label trial. The Lancet 376, 1147-1154 (2010)</w:t>
      </w:r>
    </w:p>
    <w:p w14:paraId="7A2CCE5F" w14:textId="77777777" w:rsidR="00A01891" w:rsidRPr="000A2839" w:rsidRDefault="00A01891" w:rsidP="00A01891">
      <w:pPr>
        <w:pStyle w:val="TableFigureFooter"/>
        <w:ind w:left="165" w:hanging="165"/>
      </w:pPr>
      <w:r w:rsidRPr="000A2839">
        <w:rPr>
          <w:vertAlign w:val="superscript"/>
        </w:rPr>
        <w:t>f</w:t>
      </w:r>
      <w:r w:rsidRPr="000A2839">
        <w:tab/>
        <w:t>NICE. National Institute for Clinical Excellence. Enzalutamide for treating hormone-sensitive metastatic prostate cancer. Technology appraisal guidance (TA712). Available from: https://www.nice.org.uk/guidance/ta712</w:t>
      </w:r>
    </w:p>
    <w:p w14:paraId="31DCCC5E" w14:textId="7906E4D0" w:rsidR="00A01891" w:rsidRPr="0020159F" w:rsidRDefault="00A01891" w:rsidP="008E1354">
      <w:pPr>
        <w:pStyle w:val="TableFigureFooter"/>
        <w:ind w:left="165" w:hanging="165"/>
      </w:pPr>
      <w:r w:rsidRPr="000A2839">
        <w:rPr>
          <w:vertAlign w:val="superscript"/>
        </w:rPr>
        <w:t>g</w:t>
      </w:r>
      <w:r w:rsidRPr="000A2839">
        <w:tab/>
        <w:t>NICE. National Institute for Clinical Excellence. Enzalutamide for treating metastatic hormone-relapsed prostate cancer before chemotherapy is indicated. Technology appraisal guidance [TA377] Published: 27 January 2016. Accessed at https://www.nice.org.uk/guidance/ta377</w:t>
      </w:r>
    </w:p>
    <w:p w14:paraId="7E98FCEC" w14:textId="117F6D03" w:rsidR="00A01891" w:rsidRPr="00597CFF" w:rsidRDefault="00A01891" w:rsidP="00A01891">
      <w:pPr>
        <w:pStyle w:val="3-BodyText"/>
        <w:ind w:left="709" w:hanging="709"/>
      </w:pPr>
      <w:r w:rsidRPr="00597CFF">
        <w:t xml:space="preserve">The partitioned survival approach allocated patients to PFS, PD and death. All patients started in PFS (i.e., mHSPC). Each cycle patients in PFS either remained progression-free, developed progressed disease (i.e., became castrate resistant, mCRPC) or died; </w:t>
      </w:r>
      <w:r>
        <w:t xml:space="preserve">and </w:t>
      </w:r>
      <w:r w:rsidRPr="00597CFF">
        <w:t>patients with progressed disease either remained with progressed disease or die</w:t>
      </w:r>
      <w:r>
        <w:t>d</w:t>
      </w:r>
      <w:r w:rsidRPr="00597CFF">
        <w:t xml:space="preserve">. Time in each health state was based on PFS and OS KM data from ARCHES extrapolated to 15 years, with allocation to PD the difference between the PFS and OS curves. Time on treatment was modelled independently of the health states but could not exceed PFS. </w:t>
      </w:r>
    </w:p>
    <w:p w14:paraId="4E2BF493" w14:textId="77777777" w:rsidR="00A01891" w:rsidRPr="008835DC" w:rsidRDefault="00A01891" w:rsidP="00A01891">
      <w:pPr>
        <w:pStyle w:val="3-BodyText"/>
        <w:ind w:left="709" w:hanging="709"/>
      </w:pPr>
      <w:r w:rsidRPr="00597CFF">
        <w:t>The Markov approach estimated movement between the PD health states. Upon entry to PD, patients entered the PD1 health state and each cycle patients in PD1 could remain on first-line PD treatment, move to second-line PD treatment (PD2) or die. Patients in PD2 could remain on second line treatment, move to third-line treatment (PD3) or die. Patients in PD3 could remain in PD3 or die. Patients in PD1 could not move directly to PD3 and patients could not go in reverse (e.g., PD3 to PD2). Monthly transition probabilities were based on treatment allocation upon entry to each PD health state and the expected duration of the treatment based upon trials in mCRPC (</w:t>
      </w:r>
      <w:r w:rsidRPr="008835DC">
        <w:t>PREVAIL, AFFIRM, TAX 327, TROPIC) and duration of NHA use in mCRPC reported in the apalutamide mHSPC PSD, November 2021.</w:t>
      </w:r>
      <w:r w:rsidRPr="008835DC">
        <w:rPr>
          <w:snapToGrid/>
          <w:lang w:val="en-US"/>
        </w:rPr>
        <w:t xml:space="preserve"> </w:t>
      </w:r>
    </w:p>
    <w:p w14:paraId="07529B93" w14:textId="6E521472" w:rsidR="00A01891" w:rsidRPr="005D5D9E" w:rsidRDefault="00A01891" w:rsidP="005D5D9E">
      <w:pPr>
        <w:pStyle w:val="3-BodyText"/>
        <w:ind w:left="709" w:hanging="709"/>
      </w:pPr>
      <w:r w:rsidRPr="0075485D">
        <w:rPr>
          <w:lang w:eastAsia="en-GB"/>
        </w:rPr>
        <w:t xml:space="preserve">The model estimated costs and benefits over the lifetime, with a time horizon of 15 </w:t>
      </w:r>
      <w:r w:rsidRPr="0075485D">
        <w:t>years in the base case</w:t>
      </w:r>
      <w:r w:rsidRPr="0075485D">
        <w:rPr>
          <w:lang w:eastAsia="en-GB"/>
        </w:rPr>
        <w:t xml:space="preserve">. The submission used modelled extrapolations of rPFS to justify the time horizon, which was not appropriate. The </w:t>
      </w:r>
      <w:r w:rsidRPr="0075485D">
        <w:t xml:space="preserve">PBAC had previously recommended time horizons of 10 and 5 years in LV and HV patients respectively for mHSPC (paragraph 7.15-16, apalutamide PSD, Nov 2021 PBAC meeting). The model was sensitive to changes in time horizon, increasing to </w:t>
      </w:r>
      <w:r w:rsidR="005D5D9E" w:rsidRPr="005D5D9E">
        <w:t xml:space="preserve">$55,000 to &lt; $75,000 </w:t>
      </w:r>
      <w:r w:rsidRPr="0075485D">
        <w:t xml:space="preserve">per QALY gained for a time horizon of 7.5 years, compared to </w:t>
      </w:r>
      <w:r w:rsidR="005D5D9E" w:rsidRPr="005D5D9E">
        <w:t>$35,000 to &lt; $45,000</w:t>
      </w:r>
      <w:r w:rsidR="005D5D9E">
        <w:t xml:space="preserve"> </w:t>
      </w:r>
      <w:r w:rsidRPr="0075485D">
        <w:t>per QALY gained in the submitted base case.</w:t>
      </w:r>
      <w:r w:rsidRPr="005D5D9E">
        <w:rPr>
          <w:color w:val="0066FF"/>
        </w:rPr>
        <w:t xml:space="preserve"> </w:t>
      </w:r>
      <w:r w:rsidR="00B03497" w:rsidRPr="0075485D">
        <w:t>The PSCR presented a revised base case in which the time horizon was reduced to 10 years.</w:t>
      </w:r>
      <w:r w:rsidR="00E22822" w:rsidRPr="0075485D">
        <w:t xml:space="preserve"> The ESC</w:t>
      </w:r>
      <w:r w:rsidR="00BE6ECA" w:rsidRPr="0075485D">
        <w:t>, noting that this was consistent with the time horizon applied for LV patients in the apalutamide July 2022 submission (Table 8, apalutamide PSD, July 2022 PBAC meeting), considered that it was reasonable</w:t>
      </w:r>
      <w:r w:rsidR="00E22822" w:rsidRPr="0075485D">
        <w:t>.</w:t>
      </w:r>
    </w:p>
    <w:p w14:paraId="7F3733F8" w14:textId="0DAF421C" w:rsidR="00A01891" w:rsidRDefault="00A01891" w:rsidP="00A01891">
      <w:pPr>
        <w:pStyle w:val="3-BodyText"/>
        <w:ind w:left="709" w:hanging="709"/>
      </w:pPr>
      <w:r w:rsidRPr="0075485D">
        <w:rPr>
          <w:rFonts w:eastAsiaTheme="minorHAnsi"/>
        </w:rPr>
        <w:t xml:space="preserve">KM data from ARCHES are presented in </w:t>
      </w:r>
      <w:r w:rsidRPr="0075485D">
        <w:rPr>
          <w:rFonts w:eastAsiaTheme="minorHAnsi"/>
        </w:rPr>
        <w:fldChar w:fldCharType="begin"/>
      </w:r>
      <w:r w:rsidRPr="0075485D">
        <w:rPr>
          <w:rFonts w:eastAsiaTheme="minorHAnsi"/>
        </w:rPr>
        <w:instrText xml:space="preserve"> REF _Ref99571476 \h </w:instrText>
      </w:r>
      <w:r w:rsidR="003330C9" w:rsidRPr="0075485D">
        <w:rPr>
          <w:rFonts w:eastAsiaTheme="minorHAnsi"/>
        </w:rPr>
        <w:instrText xml:space="preserve"> \* MERGEFORMAT </w:instrText>
      </w:r>
      <w:r w:rsidRPr="0075485D">
        <w:rPr>
          <w:rFonts w:eastAsiaTheme="minorHAnsi"/>
        </w:rPr>
      </w:r>
      <w:r w:rsidRPr="0075485D">
        <w:rPr>
          <w:rFonts w:eastAsiaTheme="minorHAnsi"/>
        </w:rPr>
        <w:fldChar w:fldCharType="separate"/>
      </w:r>
      <w:r w:rsidR="00307E3A" w:rsidRPr="00DA2383">
        <w:t xml:space="preserve">Figure </w:t>
      </w:r>
      <w:r w:rsidR="00307E3A">
        <w:rPr>
          <w:noProof/>
        </w:rPr>
        <w:t>3</w:t>
      </w:r>
      <w:r w:rsidRPr="0075485D">
        <w:rPr>
          <w:rFonts w:eastAsiaTheme="minorHAnsi"/>
        </w:rPr>
        <w:fldChar w:fldCharType="end"/>
      </w:r>
      <w:r w:rsidRPr="0075485D">
        <w:rPr>
          <w:rFonts w:eastAsiaTheme="minorHAnsi"/>
        </w:rPr>
        <w:t xml:space="preserve">. </w:t>
      </w:r>
    </w:p>
    <w:p w14:paraId="03D1A23D" w14:textId="3A797484" w:rsidR="00A01891" w:rsidRPr="00DA2383" w:rsidRDefault="00A01891" w:rsidP="00A01891">
      <w:pPr>
        <w:pStyle w:val="TableFigureHeading"/>
      </w:pPr>
      <w:bookmarkStart w:id="51" w:name="_Ref99571476"/>
      <w:bookmarkStart w:id="52" w:name="_Ref124269217"/>
      <w:r w:rsidRPr="00DA2383">
        <w:t xml:space="preserve">Figure </w:t>
      </w:r>
      <w:fldSimple w:instr=" SEQ Figure \* ARABIC ">
        <w:r w:rsidR="00307E3A">
          <w:rPr>
            <w:noProof/>
          </w:rPr>
          <w:t>3</w:t>
        </w:r>
      </w:fldSimple>
      <w:bookmarkEnd w:id="51"/>
      <w:r w:rsidRPr="00DA2383">
        <w:t xml:space="preserve"> : KM data used in the economic evaluation</w:t>
      </w:r>
      <w:bookmarkEnd w:id="52"/>
    </w:p>
    <w:p w14:paraId="1C49BC6E" w14:textId="77777777" w:rsidR="00A01891" w:rsidRDefault="00A01891" w:rsidP="00A01891">
      <w:pPr>
        <w:rPr>
          <w:color w:val="3366FF"/>
          <w:lang w:val="en-US"/>
        </w:rPr>
      </w:pPr>
      <w:r>
        <w:rPr>
          <w:noProof/>
          <w:color w:val="3366FF"/>
          <w:lang w:val="en-US"/>
        </w:rPr>
        <w:drawing>
          <wp:inline distT="0" distB="0" distL="0" distR="0" wp14:anchorId="78EAF28E" wp14:editId="6D59EA70">
            <wp:extent cx="4335780" cy="2834640"/>
            <wp:effectExtent l="0" t="0" r="7620" b="3810"/>
            <wp:docPr id="8" name="Picture 8" descr="Figure 3 : KM data used in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3 : KM data used in the economic evalu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5780" cy="2834640"/>
                    </a:xfrm>
                    <a:prstGeom prst="rect">
                      <a:avLst/>
                    </a:prstGeom>
                    <a:noFill/>
                  </pic:spPr>
                </pic:pic>
              </a:graphicData>
            </a:graphic>
          </wp:inline>
        </w:drawing>
      </w:r>
    </w:p>
    <w:p w14:paraId="53CE7943" w14:textId="77777777" w:rsidR="00A01891" w:rsidRPr="00F32398" w:rsidRDefault="00A01891" w:rsidP="00A01891">
      <w:pPr>
        <w:pStyle w:val="TableFigureFooter"/>
      </w:pPr>
      <w:r w:rsidRPr="00F32398">
        <w:t xml:space="preserve">Source: </w:t>
      </w:r>
      <w:r w:rsidRPr="00F32398">
        <w:rPr>
          <w:lang w:eastAsia="en-GB"/>
        </w:rPr>
        <w:t>compiled during the evaluation using Sheets ‘rPFS’, ‘OS’, ‘TTD’ of the Excel workbook ‘Attachment 17 – Xtandi mHSPC Section 3A Cost-Eff Model_vfinal.xlsb’</w:t>
      </w:r>
    </w:p>
    <w:p w14:paraId="330EED1C" w14:textId="77777777" w:rsidR="00A01891" w:rsidRDefault="00A01891" w:rsidP="00A01891">
      <w:pPr>
        <w:pStyle w:val="TableFigureFooter"/>
      </w:pPr>
      <w:r>
        <w:t>ADT=androgen deprivation therapy, ENZA=enzalutamide, OS=overall survival, rPFS=radiographic progression free survival, TTD=time to treatment discontinuation.</w:t>
      </w:r>
    </w:p>
    <w:p w14:paraId="5EAB28FB" w14:textId="4DFFAC67" w:rsidR="00A01891" w:rsidRPr="0033489E" w:rsidRDefault="00A01891" w:rsidP="00A01891">
      <w:pPr>
        <w:pStyle w:val="3-BodyText"/>
        <w:ind w:left="709" w:hanging="709"/>
        <w:rPr>
          <w:color w:val="0066FF"/>
        </w:rPr>
      </w:pPr>
      <w:r w:rsidRPr="00BB00B3">
        <w:rPr>
          <w:color w:val="0066FF"/>
        </w:rPr>
        <w:t xml:space="preserve"> </w:t>
      </w:r>
      <w:r w:rsidRPr="005E1708">
        <w:t>Extrapolations</w:t>
      </w:r>
      <w:r>
        <w:t xml:space="preserve"> based on ARCHES ITT</w:t>
      </w:r>
      <w:r w:rsidRPr="005E1708">
        <w:t xml:space="preserve"> are presented in </w:t>
      </w:r>
      <w:r>
        <w:fldChar w:fldCharType="begin"/>
      </w:r>
      <w:r>
        <w:instrText xml:space="preserve"> REF _Ref124269346 \h </w:instrText>
      </w:r>
      <w:r>
        <w:fldChar w:fldCharType="separate"/>
      </w:r>
      <w:r w:rsidR="00307E3A" w:rsidRPr="00DA2383">
        <w:t xml:space="preserve">Figure </w:t>
      </w:r>
      <w:r w:rsidR="00307E3A">
        <w:rPr>
          <w:noProof/>
        </w:rPr>
        <w:t>4</w:t>
      </w:r>
      <w:r>
        <w:fldChar w:fldCharType="end"/>
      </w:r>
      <w:r>
        <w:t>.</w:t>
      </w:r>
    </w:p>
    <w:p w14:paraId="67500EE8" w14:textId="54D76D87" w:rsidR="00A01891" w:rsidRPr="00DA2383" w:rsidRDefault="00A01891" w:rsidP="00A01891">
      <w:pPr>
        <w:pStyle w:val="TableFigureHeading"/>
        <w:rPr>
          <w:rStyle w:val="CommentReference"/>
          <w:b/>
          <w:szCs w:val="24"/>
        </w:rPr>
      </w:pPr>
      <w:bookmarkStart w:id="53" w:name="_Ref124269346"/>
      <w:r w:rsidRPr="00DA2383">
        <w:t xml:space="preserve">Figure </w:t>
      </w:r>
      <w:fldSimple w:instr=" SEQ Figure \* ARABIC ">
        <w:r w:rsidR="00307E3A">
          <w:rPr>
            <w:noProof/>
          </w:rPr>
          <w:t>4</w:t>
        </w:r>
      </w:fldSimple>
      <w:bookmarkEnd w:id="53"/>
      <w:r w:rsidRPr="00DA2383">
        <w:t xml:space="preserve">: </w:t>
      </w:r>
      <w:r w:rsidRPr="00DA2383">
        <w:rPr>
          <w:rStyle w:val="CommentReference"/>
          <w:b/>
          <w:szCs w:val="24"/>
        </w:rPr>
        <w:t>Summary of extrapolation used in the model</w:t>
      </w:r>
    </w:p>
    <w:tbl>
      <w:tblPr>
        <w:tblStyle w:val="TableGrid"/>
        <w:tblW w:w="0" w:type="auto"/>
        <w:jc w:val="center"/>
        <w:tblLook w:val="04A0" w:firstRow="1" w:lastRow="0" w:firstColumn="1" w:lastColumn="0" w:noHBand="0" w:noVBand="1"/>
      </w:tblPr>
      <w:tblGrid>
        <w:gridCol w:w="4508"/>
        <w:gridCol w:w="4509"/>
      </w:tblGrid>
      <w:tr w:rsidR="00A01891" w:rsidRPr="005E1708" w14:paraId="0F1E51B5" w14:textId="77777777" w:rsidTr="00E44076">
        <w:trPr>
          <w:jc w:val="center"/>
        </w:trPr>
        <w:tc>
          <w:tcPr>
            <w:tcW w:w="4508" w:type="dxa"/>
            <w:tcBorders>
              <w:bottom w:val="nil"/>
            </w:tcBorders>
            <w:vAlign w:val="center"/>
          </w:tcPr>
          <w:p w14:paraId="0558BF70" w14:textId="77777777" w:rsidR="00A01891" w:rsidRPr="005E1708" w:rsidRDefault="00A01891" w:rsidP="00E44076">
            <w:pPr>
              <w:pStyle w:val="In-tableHeading"/>
              <w:jc w:val="center"/>
              <w:rPr>
                <w:lang w:val="en-AU"/>
              </w:rPr>
            </w:pPr>
            <w:r w:rsidRPr="005E1708">
              <w:rPr>
                <w:lang w:val="en-AU"/>
              </w:rPr>
              <w:t>PFS</w:t>
            </w:r>
          </w:p>
        </w:tc>
        <w:tc>
          <w:tcPr>
            <w:tcW w:w="4509" w:type="dxa"/>
            <w:tcBorders>
              <w:bottom w:val="nil"/>
            </w:tcBorders>
            <w:vAlign w:val="center"/>
          </w:tcPr>
          <w:p w14:paraId="38B4E768" w14:textId="77777777" w:rsidR="00A01891" w:rsidRPr="005E1708" w:rsidRDefault="00A01891" w:rsidP="00E44076">
            <w:pPr>
              <w:pStyle w:val="In-tableHeading"/>
              <w:jc w:val="center"/>
              <w:rPr>
                <w:lang w:val="en-AU"/>
              </w:rPr>
            </w:pPr>
            <w:r w:rsidRPr="005E1708">
              <w:rPr>
                <w:lang w:val="en-AU"/>
              </w:rPr>
              <w:t>OS</w:t>
            </w:r>
          </w:p>
        </w:tc>
      </w:tr>
      <w:tr w:rsidR="00A01891" w:rsidRPr="005E1708" w14:paraId="7524F093" w14:textId="77777777" w:rsidTr="00E44076">
        <w:trPr>
          <w:jc w:val="center"/>
        </w:trPr>
        <w:tc>
          <w:tcPr>
            <w:tcW w:w="4508" w:type="dxa"/>
            <w:tcBorders>
              <w:top w:val="nil"/>
              <w:bottom w:val="single" w:sz="4" w:space="0" w:color="auto"/>
            </w:tcBorders>
            <w:vAlign w:val="center"/>
          </w:tcPr>
          <w:p w14:paraId="193146D3" w14:textId="77777777" w:rsidR="00A01891" w:rsidRPr="005E1708" w:rsidRDefault="00A01891" w:rsidP="00E44076">
            <w:pPr>
              <w:pStyle w:val="In-tableHeading"/>
              <w:jc w:val="center"/>
              <w:rPr>
                <w:lang w:val="en-AU"/>
              </w:rPr>
            </w:pPr>
            <w:r>
              <w:rPr>
                <w:noProof/>
                <w:lang w:val="en-AU"/>
              </w:rPr>
              <w:drawing>
                <wp:inline distT="0" distB="0" distL="0" distR="0" wp14:anchorId="7DDE000F" wp14:editId="0D33AEC5">
                  <wp:extent cx="2773680" cy="1810385"/>
                  <wp:effectExtent l="0" t="0" r="7620" b="0"/>
                  <wp:docPr id="9" name="Picture 9" descr="Figure 4: Summary of extrapolation used in the model&#10;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4: Summary of extrapolation used in the model&#10;PF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3680" cy="1810385"/>
                          </a:xfrm>
                          <a:prstGeom prst="rect">
                            <a:avLst/>
                          </a:prstGeom>
                          <a:noFill/>
                        </pic:spPr>
                      </pic:pic>
                    </a:graphicData>
                  </a:graphic>
                </wp:inline>
              </w:drawing>
            </w:r>
          </w:p>
        </w:tc>
        <w:tc>
          <w:tcPr>
            <w:tcW w:w="4509" w:type="dxa"/>
            <w:tcBorders>
              <w:top w:val="nil"/>
              <w:bottom w:val="single" w:sz="4" w:space="0" w:color="auto"/>
            </w:tcBorders>
            <w:vAlign w:val="center"/>
          </w:tcPr>
          <w:p w14:paraId="1276DDBA" w14:textId="77777777" w:rsidR="00A01891" w:rsidRPr="005E1708" w:rsidRDefault="00A01891" w:rsidP="00E44076">
            <w:pPr>
              <w:pStyle w:val="In-tableHeading"/>
              <w:jc w:val="center"/>
              <w:rPr>
                <w:lang w:val="en-AU"/>
              </w:rPr>
            </w:pPr>
            <w:r>
              <w:rPr>
                <w:noProof/>
                <w:lang w:val="en-AU"/>
              </w:rPr>
              <w:drawing>
                <wp:inline distT="0" distB="0" distL="0" distR="0" wp14:anchorId="6E7CC2C9" wp14:editId="3BD6C64F">
                  <wp:extent cx="2773680" cy="1810385"/>
                  <wp:effectExtent l="0" t="0" r="7620" b="0"/>
                  <wp:docPr id="10" name="Picture 10" descr="Figure 4: Summary of extrapolation used in the model&#10;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4: Summary of extrapolation used in the model&#10;O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3680" cy="1810385"/>
                          </a:xfrm>
                          <a:prstGeom prst="rect">
                            <a:avLst/>
                          </a:prstGeom>
                          <a:noFill/>
                        </pic:spPr>
                      </pic:pic>
                    </a:graphicData>
                  </a:graphic>
                </wp:inline>
              </w:drawing>
            </w:r>
          </w:p>
        </w:tc>
      </w:tr>
      <w:tr w:rsidR="00A01891" w:rsidRPr="005E1708" w14:paraId="6160BF64" w14:textId="77777777" w:rsidTr="00E44076">
        <w:trPr>
          <w:jc w:val="center"/>
        </w:trPr>
        <w:tc>
          <w:tcPr>
            <w:tcW w:w="4508" w:type="dxa"/>
            <w:tcBorders>
              <w:bottom w:val="nil"/>
            </w:tcBorders>
            <w:vAlign w:val="center"/>
          </w:tcPr>
          <w:p w14:paraId="252E2699" w14:textId="77777777" w:rsidR="00A01891" w:rsidRPr="005E1708" w:rsidRDefault="00A01891" w:rsidP="00E44076">
            <w:pPr>
              <w:pStyle w:val="In-tableHeading"/>
              <w:jc w:val="center"/>
              <w:rPr>
                <w:lang w:val="en-AU"/>
              </w:rPr>
            </w:pPr>
            <w:r w:rsidRPr="005E1708">
              <w:rPr>
                <w:lang w:val="en-AU"/>
              </w:rPr>
              <w:t>T</w:t>
            </w:r>
            <w:r>
              <w:rPr>
                <w:lang w:val="en-AU"/>
              </w:rPr>
              <w:t>TD</w:t>
            </w:r>
          </w:p>
        </w:tc>
        <w:tc>
          <w:tcPr>
            <w:tcW w:w="4509" w:type="dxa"/>
            <w:tcBorders>
              <w:bottom w:val="nil"/>
            </w:tcBorders>
            <w:vAlign w:val="center"/>
          </w:tcPr>
          <w:p w14:paraId="768B8456" w14:textId="77777777" w:rsidR="00A01891" w:rsidRPr="005E1708" w:rsidRDefault="00A01891" w:rsidP="00E44076">
            <w:pPr>
              <w:pStyle w:val="In-tableHeading"/>
              <w:jc w:val="center"/>
              <w:rPr>
                <w:lang w:val="en-AU"/>
              </w:rPr>
            </w:pPr>
            <w:r>
              <w:rPr>
                <w:lang w:val="en-AU"/>
              </w:rPr>
              <w:t>TTD vs PFS base case</w:t>
            </w:r>
          </w:p>
        </w:tc>
      </w:tr>
      <w:tr w:rsidR="00A01891" w:rsidRPr="005E1708" w14:paraId="253DA3CE" w14:textId="77777777" w:rsidTr="00E44076">
        <w:trPr>
          <w:jc w:val="center"/>
        </w:trPr>
        <w:tc>
          <w:tcPr>
            <w:tcW w:w="4508" w:type="dxa"/>
            <w:tcBorders>
              <w:top w:val="nil"/>
            </w:tcBorders>
            <w:vAlign w:val="center"/>
          </w:tcPr>
          <w:p w14:paraId="579B4BC0" w14:textId="77777777" w:rsidR="00A01891" w:rsidRPr="005E1708" w:rsidRDefault="00A01891" w:rsidP="00E44076">
            <w:pPr>
              <w:pStyle w:val="In-tableHeading"/>
              <w:jc w:val="center"/>
              <w:rPr>
                <w:lang w:val="en-AU"/>
              </w:rPr>
            </w:pPr>
            <w:r>
              <w:rPr>
                <w:noProof/>
                <w:lang w:val="en-AU"/>
              </w:rPr>
              <w:drawing>
                <wp:inline distT="0" distB="0" distL="0" distR="0" wp14:anchorId="78939C85" wp14:editId="66323C77">
                  <wp:extent cx="2773680" cy="1853565"/>
                  <wp:effectExtent l="0" t="0" r="7620" b="0"/>
                  <wp:docPr id="17" name="Picture 17" descr="Figure 4: Summary of extrapolation used in the model&#10;T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4: Summary of extrapolation used in the model&#10;TT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3680" cy="1853565"/>
                          </a:xfrm>
                          <a:prstGeom prst="rect">
                            <a:avLst/>
                          </a:prstGeom>
                          <a:noFill/>
                        </pic:spPr>
                      </pic:pic>
                    </a:graphicData>
                  </a:graphic>
                </wp:inline>
              </w:drawing>
            </w:r>
          </w:p>
        </w:tc>
        <w:tc>
          <w:tcPr>
            <w:tcW w:w="4509" w:type="dxa"/>
            <w:tcBorders>
              <w:top w:val="nil"/>
            </w:tcBorders>
            <w:vAlign w:val="center"/>
          </w:tcPr>
          <w:p w14:paraId="7BB5D838" w14:textId="77777777" w:rsidR="00A01891" w:rsidRPr="005E1708" w:rsidRDefault="00A01891" w:rsidP="00E44076">
            <w:pPr>
              <w:pStyle w:val="In-tableHeading"/>
              <w:jc w:val="center"/>
              <w:rPr>
                <w:lang w:val="en-AU"/>
              </w:rPr>
            </w:pPr>
            <w:r>
              <w:rPr>
                <w:noProof/>
                <w:lang w:val="en-AU"/>
              </w:rPr>
              <w:drawing>
                <wp:inline distT="0" distB="0" distL="0" distR="0" wp14:anchorId="6082F468" wp14:editId="7367D1E0">
                  <wp:extent cx="2773680" cy="1828800"/>
                  <wp:effectExtent l="0" t="0" r="7620" b="0"/>
                  <wp:docPr id="18" name="Picture 18" descr="Figure 4: Summary of extrapolation used in the model&#10;TTD vs PFS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4: Summary of extrapolation used in the model&#10;TTD vs PFS base cas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73680" cy="1828800"/>
                          </a:xfrm>
                          <a:prstGeom prst="rect">
                            <a:avLst/>
                          </a:prstGeom>
                          <a:noFill/>
                        </pic:spPr>
                      </pic:pic>
                    </a:graphicData>
                  </a:graphic>
                </wp:inline>
              </w:drawing>
            </w:r>
          </w:p>
          <w:p w14:paraId="0A34C386" w14:textId="77777777" w:rsidR="00A01891" w:rsidRPr="005E1708" w:rsidRDefault="00A01891" w:rsidP="00E44076">
            <w:pPr>
              <w:pStyle w:val="In-tableHeading"/>
              <w:jc w:val="center"/>
              <w:rPr>
                <w:lang w:val="en-AU"/>
              </w:rPr>
            </w:pPr>
          </w:p>
        </w:tc>
      </w:tr>
    </w:tbl>
    <w:p w14:paraId="48C1CB2F" w14:textId="77777777" w:rsidR="00A01891" w:rsidRPr="003330C9" w:rsidRDefault="00A01891" w:rsidP="00A01891">
      <w:pPr>
        <w:pStyle w:val="TableFigureFooter"/>
        <w:rPr>
          <w:lang w:eastAsia="en-GB"/>
        </w:rPr>
      </w:pPr>
      <w:r w:rsidRPr="003330C9">
        <w:rPr>
          <w:lang w:eastAsia="en-GB"/>
        </w:rPr>
        <w:t>Source: compiled during the evaluation using Sheets ‘rPFS’, ‘OS’, ‘TTD’ of the Excel workbook ‘Attachment 17 – Xtandi mHSPC Section 3A Cost-Eff Model_vfinal.xlsb’</w:t>
      </w:r>
    </w:p>
    <w:p w14:paraId="4D9CB080" w14:textId="77777777" w:rsidR="00A01891" w:rsidRPr="00BD00C8" w:rsidRDefault="00A01891" w:rsidP="00A01891">
      <w:pPr>
        <w:pStyle w:val="TableFigureFooter"/>
        <w:rPr>
          <w:rFonts w:asciiTheme="minorHAnsi" w:hAnsiTheme="minorHAnsi"/>
          <w:sz w:val="24"/>
          <w:szCs w:val="24"/>
        </w:rPr>
      </w:pPr>
      <w:r w:rsidRPr="009C45D8">
        <w:rPr>
          <w:lang w:eastAsia="en-GB"/>
        </w:rPr>
        <w:t>ADT=androgen deprivation therapy; ENZA=enzalutamide; HV=high volume disease; KM=Kaplan Meier; OS=overall survival; PFS=progression free survival, rPFS=radiographic progression free survival, TTD=time to treatment discontinuation</w:t>
      </w:r>
    </w:p>
    <w:p w14:paraId="0F2C03F5" w14:textId="16604A2F" w:rsidR="00A01891" w:rsidRPr="0075485D" w:rsidRDefault="00A01891" w:rsidP="00A01891">
      <w:pPr>
        <w:pStyle w:val="3-BodyText"/>
        <w:ind w:left="709" w:hanging="709"/>
      </w:pPr>
      <w:r w:rsidRPr="0075485D">
        <w:t>Extrapolations were chosen based on visual fit of the KM data, statistical fit (AIC/BIC), clinical plausibility and consistency with the other extrapolations. All extrapolations were fit</w:t>
      </w:r>
      <w:r w:rsidR="00EE7829" w:rsidRPr="0075485D">
        <w:t>ted</w:t>
      </w:r>
      <w:r w:rsidRPr="0075485D">
        <w:t xml:space="preserve"> independently, and proportional hazards did not appear to be tested.</w:t>
      </w:r>
      <w:r w:rsidR="00EE7829" w:rsidRPr="0075485D">
        <w:t xml:space="preserve"> If the proportional hazards assumption held then the use independent extrapolations may not be reasonable.</w:t>
      </w:r>
    </w:p>
    <w:p w14:paraId="26A07F3C" w14:textId="7EAB5D4F" w:rsidR="00A01891" w:rsidRPr="0075485D" w:rsidRDefault="00A01891" w:rsidP="005D5D9E">
      <w:pPr>
        <w:pStyle w:val="3-BodyText"/>
        <w:ind w:left="709" w:hanging="709"/>
      </w:pPr>
      <w:bookmarkStart w:id="54" w:name="_Ref127448218"/>
      <w:r w:rsidRPr="0075485D">
        <w:t>OS was modelled with KM data until 20% patients remained at risk (48 months enzalutamide arm, 45 months ADT arm) then log-logistic extrapolation for the enzalutamide arm and log-normal for the ADT arm. These extrapolations had the lowest AIC/BIC, but both</w:t>
      </w:r>
      <w:r w:rsidR="00D77744" w:rsidRPr="0075485D">
        <w:t xml:space="preserve"> had long tails and</w:t>
      </w:r>
      <w:r w:rsidRPr="0075485D">
        <w:t xml:space="preserve"> were</w:t>
      </w:r>
      <w:r w:rsidR="00D77744" w:rsidRPr="0075485D">
        <w:t xml:space="preserve"> therefore</w:t>
      </w:r>
      <w:r w:rsidRPr="0075485D">
        <w:t xml:space="preserve"> optimistic extrapolations of the KM data. OS benefit was also assumed to persist across the time horizon. The PBAC previously recommended that OS benefit converge from Year 5 in the LV model of the apalutamide mHSPC PSD, November 2021 PBAC meeting. If OS converged from Year 5, the ICER increased to </w:t>
      </w:r>
      <w:r w:rsidR="005D5D9E" w:rsidRPr="005D5D9E">
        <w:t>$75,000 to &lt; $95,000</w:t>
      </w:r>
      <w:r w:rsidR="005D5D9E">
        <w:t xml:space="preserve"> </w:t>
      </w:r>
      <w:r w:rsidRPr="0075485D">
        <w:t xml:space="preserve">per QALY gained (compared to the revised base case of </w:t>
      </w:r>
      <w:r w:rsidR="005D5D9E" w:rsidRPr="005D5D9E">
        <w:t>$55,000 to &lt; $75,000</w:t>
      </w:r>
      <w:r w:rsidR="005D5D9E">
        <w:t xml:space="preserve"> </w:t>
      </w:r>
      <w:r w:rsidRPr="0075485D">
        <w:t xml:space="preserve">per QALY gained). </w:t>
      </w:r>
      <w:r w:rsidR="00B03497" w:rsidRPr="0075485D">
        <w:t>The PSCR presented a revised base case in which the more conservative Gompertz function was applied to both arms of the economic model</w:t>
      </w:r>
      <w:r w:rsidR="00FB5890" w:rsidRPr="0075485D">
        <w:t>, stating that the Gompertz function reasonably predicted observed survival rates at 4 years and resulted in the enzalutamide and ADT arms converging at approximately 13 years</w:t>
      </w:r>
      <w:r w:rsidR="00B03497" w:rsidRPr="0075485D">
        <w:t xml:space="preserve">. </w:t>
      </w:r>
      <w:r w:rsidR="00FB5890" w:rsidRPr="0075485D">
        <w:t xml:space="preserve">The PSCR stated that </w:t>
      </w:r>
      <w:r w:rsidR="003B50E6" w:rsidRPr="0075485D">
        <w:t>earlier</w:t>
      </w:r>
      <w:r w:rsidR="00FB5890" w:rsidRPr="0075485D">
        <w:t xml:space="preserve"> convergence of the OS curves was not required as, despite crossover and subsequent NHA treatment for patients in the ADT arm of the ARCHES trial, the trial resulted in diverging OS Kaplan Meier curves at a median follow-up of 44.6 months which was suggestive of a sustained treatment benefit associated with enzalutamide. The PSCR presented further data from </w:t>
      </w:r>
      <w:r w:rsidR="001F507C" w:rsidRPr="0075485D">
        <w:t>an</w:t>
      </w:r>
      <w:r w:rsidR="00FB5890" w:rsidRPr="0075485D">
        <w:t xml:space="preserve"> </w:t>
      </w:r>
      <w:r w:rsidR="001F507C" w:rsidRPr="0075485D">
        <w:t xml:space="preserve">open-label extension trial, PREVAIL, which suggested that the survival benefit of enzalutamide was maintained beyond 5 years, despite crossover. </w:t>
      </w:r>
      <w:r w:rsidR="00362F05" w:rsidRPr="0075485D">
        <w:t>The ESC</w:t>
      </w:r>
      <w:r w:rsidR="00E41FC5" w:rsidRPr="0075485D">
        <w:t xml:space="preserve"> noted that the use of the Gompertz function </w:t>
      </w:r>
      <w:r w:rsidR="002C67AA" w:rsidRPr="0075485D">
        <w:t xml:space="preserve">was </w:t>
      </w:r>
      <w:r w:rsidR="007D672C" w:rsidRPr="0075485D">
        <w:t>consistent with that accep</w:t>
      </w:r>
      <w:r w:rsidR="002C67AA" w:rsidRPr="0075485D">
        <w:t xml:space="preserve">ted previously by the PBAC in consideration of apalutamide (Table </w:t>
      </w:r>
      <w:r w:rsidR="003B50E6" w:rsidRPr="0075485D">
        <w:t>8</w:t>
      </w:r>
      <w:r w:rsidR="002C67AA" w:rsidRPr="0075485D">
        <w:t>, apalutamide PSD, July 2022 PBAC meeting)</w:t>
      </w:r>
      <w:r w:rsidR="007D672C" w:rsidRPr="0075485D">
        <w:t>.</w:t>
      </w:r>
      <w:r w:rsidR="002C67AA" w:rsidRPr="0075485D">
        <w:t xml:space="preserve"> </w:t>
      </w:r>
      <w:r w:rsidR="001F507C" w:rsidRPr="0075485D">
        <w:t>In terms of convergence, the ESC noted the arguments in the PSCR, but considered, given patients can only receive one NHA on the PBS in a lifetime, the extent of benefit associated with enzalutamide would reduce over time. Noting th</w:t>
      </w:r>
      <w:r w:rsidR="003B50E6" w:rsidRPr="0075485D">
        <w:t>at the PBAC had previously considered that convergence of the OS curves was appropriate for apalutamide (paragraphs 7.8 and 7.10, apalutamide PSD, July 2022 PBAC meeting), the ESC considered that it would be reasonable for the enzalutamide and ADT curves to converge from 5 to 10 years.</w:t>
      </w:r>
      <w:bookmarkEnd w:id="54"/>
    </w:p>
    <w:p w14:paraId="763DE13B" w14:textId="21F80C22" w:rsidR="00A01891" w:rsidRPr="0075485D" w:rsidRDefault="00A01891" w:rsidP="005D5D9E">
      <w:pPr>
        <w:pStyle w:val="3-BodyText"/>
        <w:ind w:left="709" w:hanging="709"/>
      </w:pPr>
      <w:r w:rsidRPr="0075485D">
        <w:t xml:space="preserve">PFS was modelled with rPFS KM data until 20% patients remained at risk (15 months enzalutamide arm, 12 months ADT arm) followed by independent log-normal extrapolations, restricted to not exceed OS. For the enzalutamide arm, AIC/BIC were nearly identical for the Gompertz function, which would result in a more conservative estimate of PFS, and the gamma function had the lowest AIC for the ADT arm. If Gompertz was used to extrapolate enzalutamide arm PFS and gamma to extrapolate ADT arm the ICER decreased to </w:t>
      </w:r>
      <w:r w:rsidR="005D5D9E" w:rsidRPr="005D5D9E">
        <w:t>$45,000 to &lt; $55,000</w:t>
      </w:r>
      <w:r w:rsidR="005D5D9E">
        <w:t xml:space="preserve"> </w:t>
      </w:r>
      <w:r w:rsidRPr="0075485D">
        <w:t xml:space="preserve">per QALY gained compared to the revised base case of </w:t>
      </w:r>
      <w:r w:rsidR="005D5D9E" w:rsidRPr="005D5D9E">
        <w:t>$55,000 to &lt; $75,000</w:t>
      </w:r>
      <w:r w:rsidR="005D5D9E">
        <w:t xml:space="preserve"> </w:t>
      </w:r>
      <w:r w:rsidRPr="0075485D">
        <w:t xml:space="preserve">per QALY gained, as both the incremental QALYs and costs were reduced. </w:t>
      </w:r>
      <w:r w:rsidR="00B03497" w:rsidRPr="0075485D">
        <w:t>The PSCR noted that if the Gompertz extrapolation was applied to the enzalutamide arm and the gamma extrapolation to the ADT arm, the</w:t>
      </w:r>
      <w:r w:rsidR="00362F05" w:rsidRPr="0075485D">
        <w:t>re</w:t>
      </w:r>
      <w:r w:rsidR="00B03497" w:rsidRPr="0075485D">
        <w:t xml:space="preserve"> was a superior PFS trajectory for ADT alone</w:t>
      </w:r>
      <w:r w:rsidR="00E41FC5" w:rsidRPr="0075485D">
        <w:t xml:space="preserve"> over enzalutamide</w:t>
      </w:r>
      <w:r w:rsidR="00B03497" w:rsidRPr="0075485D">
        <w:t>, which was not supported by the data. The PSCR therefore proposed that the Weibull function was applied to both arms</w:t>
      </w:r>
      <w:r w:rsidR="009E085D" w:rsidRPr="0075485D">
        <w:t xml:space="preserve"> as it was a more conservative extrapolation of PFS with 100% of enzalutamide patients experiencing progression at approximately 10 years (see </w:t>
      </w:r>
      <w:r w:rsidR="00701908" w:rsidRPr="0075485D">
        <w:fldChar w:fldCharType="begin"/>
      </w:r>
      <w:r w:rsidR="00701908" w:rsidRPr="0075485D">
        <w:instrText xml:space="preserve"> REF _Ref124269346 \h  \* MERGEFORMAT </w:instrText>
      </w:r>
      <w:r w:rsidR="00701908" w:rsidRPr="0075485D">
        <w:fldChar w:fldCharType="separate"/>
      </w:r>
      <w:r w:rsidR="00307E3A" w:rsidRPr="00DA2383">
        <w:t xml:space="preserve">Figure </w:t>
      </w:r>
      <w:r w:rsidR="00307E3A">
        <w:rPr>
          <w:noProof/>
        </w:rPr>
        <w:t>4</w:t>
      </w:r>
      <w:r w:rsidR="00701908" w:rsidRPr="0075485D">
        <w:fldChar w:fldCharType="end"/>
      </w:r>
      <w:r w:rsidR="00701908" w:rsidRPr="0075485D">
        <w:t>)</w:t>
      </w:r>
      <w:r w:rsidR="00B03497" w:rsidRPr="0075485D">
        <w:t xml:space="preserve">. </w:t>
      </w:r>
      <w:r w:rsidR="00E41FC5" w:rsidRPr="0075485D">
        <w:t>The ESC</w:t>
      </w:r>
      <w:r w:rsidR="002C67AA" w:rsidRPr="0075485D">
        <w:t xml:space="preserve">, </w:t>
      </w:r>
      <w:r w:rsidR="00A363C3" w:rsidRPr="0075485D">
        <w:t>not</w:t>
      </w:r>
      <w:r w:rsidR="002C67AA" w:rsidRPr="0075485D">
        <w:t>ing</w:t>
      </w:r>
      <w:r w:rsidR="00A363C3" w:rsidRPr="0075485D">
        <w:t xml:space="preserve"> the crossover that occurred in the PFS arms of the model when the Gompertz and gamma extrapolations were applied</w:t>
      </w:r>
      <w:r w:rsidR="002C67AA" w:rsidRPr="0075485D">
        <w:t xml:space="preserve">, </w:t>
      </w:r>
      <w:r w:rsidR="00A902CC" w:rsidRPr="0075485D">
        <w:t xml:space="preserve">considered that </w:t>
      </w:r>
      <w:r w:rsidR="00A363C3" w:rsidRPr="0075485D">
        <w:t>the application of the Weibull function to both arms</w:t>
      </w:r>
      <w:r w:rsidR="002C67AA" w:rsidRPr="0075485D">
        <w:t>, although not well justified,</w:t>
      </w:r>
      <w:r w:rsidR="00A363C3" w:rsidRPr="0075485D">
        <w:t xml:space="preserve"> was </w:t>
      </w:r>
      <w:r w:rsidR="002C67AA" w:rsidRPr="0075485D">
        <w:t>a more conservative option</w:t>
      </w:r>
      <w:r w:rsidR="00E41FC5" w:rsidRPr="0075485D">
        <w:t>.</w:t>
      </w:r>
    </w:p>
    <w:p w14:paraId="3EF69CBB" w14:textId="56C1F9AF" w:rsidR="00A01891" w:rsidRPr="0075485D" w:rsidRDefault="00A01891" w:rsidP="005D5D9E">
      <w:pPr>
        <w:pStyle w:val="3-BodyText"/>
        <w:ind w:left="709" w:hanging="709"/>
      </w:pPr>
      <w:r w:rsidRPr="0075485D">
        <w:t xml:space="preserve">TTD was modelled as KM data until rPFS cut-off (15 months enzalutamide arm, 12 months ADT arm) followed by independent log-logistic extrapolations restricted to not exceed PFS or OS. There was less variability in the TTD extrapolations than the PFS and OS estimates. In the model, TTD always exceeded PFS in ADT alone arm (so patients in PFS in the ADT alone arm were always on treatment). In comparison, PFS was slightly longer than TTD in the enzalutamide arm, resulting in a period </w:t>
      </w:r>
      <w:r w:rsidR="00C56752" w:rsidRPr="0075485D">
        <w:t>in which</w:t>
      </w:r>
      <w:r w:rsidRPr="0075485D">
        <w:t xml:space="preserve"> patients were progression free</w:t>
      </w:r>
      <w:r w:rsidR="00C56752" w:rsidRPr="0075485D">
        <w:t xml:space="preserve">, </w:t>
      </w:r>
      <w:r w:rsidRPr="0075485D">
        <w:t>not receiving enzalutamide</w:t>
      </w:r>
      <w:r w:rsidR="004901F0" w:rsidRPr="0075485D">
        <w:t xml:space="preserve"> but had </w:t>
      </w:r>
      <w:r w:rsidR="00F019B4" w:rsidRPr="0075485D">
        <w:t xml:space="preserve">switched to </w:t>
      </w:r>
      <w:r w:rsidR="00EE7829" w:rsidRPr="0075485D">
        <w:t>ADT alone</w:t>
      </w:r>
      <w:r w:rsidR="004901F0" w:rsidRPr="0075485D">
        <w:t xml:space="preserve"> (i.e. patients in the enzalutamide arm did receive ADT until enzalutamide was discontinued)</w:t>
      </w:r>
      <w:r w:rsidR="00F019B4" w:rsidRPr="0075485D">
        <w:t>.</w:t>
      </w:r>
      <w:r w:rsidR="00EE7829" w:rsidRPr="0075485D">
        <w:t xml:space="preserve"> </w:t>
      </w:r>
      <w:r w:rsidRPr="0075485D">
        <w:t xml:space="preserve">TTD was assumed to be time to discontinuation of enzalutamide in the enzalutamide plus ADT arm, and time to discontinuation of ADT in the ADT alone arm, making the interpretation inconsistent. This was revised for consistency during the evaluation such that both enzalutamide and ADT followed the TTD curve in the enzalutamide arm, similar to the ADT arm. This increased the ICER from </w:t>
      </w:r>
      <w:r w:rsidR="005D5D9E" w:rsidRPr="005D5D9E">
        <w:t>$35,000 to &lt; $45,000</w:t>
      </w:r>
      <w:r w:rsidR="005D5D9E">
        <w:t xml:space="preserve"> </w:t>
      </w:r>
      <w:r w:rsidRPr="0075485D">
        <w:t xml:space="preserve">in the submission to </w:t>
      </w:r>
      <w:r w:rsidR="005D5D9E" w:rsidRPr="005D5D9E">
        <w:t>$55,000 to &lt; $75,000</w:t>
      </w:r>
      <w:r w:rsidR="005D5D9E">
        <w:t xml:space="preserve"> </w:t>
      </w:r>
      <w:r w:rsidRPr="0075485D">
        <w:t xml:space="preserve">per QALY gained. </w:t>
      </w:r>
      <w:r w:rsidR="00B03497" w:rsidRPr="0075485D">
        <w:t>The PSCR selected the Weibull function for both TTD arms as this reduced the trajectory, given the PFS adjustment.</w:t>
      </w:r>
      <w:r w:rsidR="00E22822" w:rsidRPr="0075485D">
        <w:t xml:space="preserve"> The ESC </w:t>
      </w:r>
      <w:r w:rsidR="00A363C3" w:rsidRPr="0075485D">
        <w:t>noted that the application of the Weibull function resulted in a treatment duration for enzalutamide of 35.8 months (as compared to 62.2 months in the base case – see</w:t>
      </w:r>
      <w:r w:rsidR="009E1CDB" w:rsidRPr="0075485D">
        <w:t xml:space="preserve"> </w:t>
      </w:r>
      <w:r w:rsidR="009E1CDB" w:rsidRPr="0075485D">
        <w:fldChar w:fldCharType="begin"/>
      </w:r>
      <w:r w:rsidR="009E1CDB" w:rsidRPr="0075485D">
        <w:instrText xml:space="preserve"> REF _Ref104805102 \h  \* MERGEFORMAT </w:instrText>
      </w:r>
      <w:r w:rsidR="009E1CDB" w:rsidRPr="0075485D">
        <w:fldChar w:fldCharType="separate"/>
      </w:r>
      <w:r w:rsidR="00307E3A">
        <w:t xml:space="preserve">Table </w:t>
      </w:r>
      <w:r w:rsidR="00307E3A">
        <w:rPr>
          <w:noProof/>
        </w:rPr>
        <w:t>12</w:t>
      </w:r>
      <w:r w:rsidR="009E1CDB" w:rsidRPr="0075485D">
        <w:fldChar w:fldCharType="end"/>
      </w:r>
      <w:r w:rsidR="00A363C3" w:rsidRPr="0075485D">
        <w:t xml:space="preserve">), which was </w:t>
      </w:r>
      <w:r w:rsidR="009E1CDB" w:rsidRPr="0075485D">
        <w:t xml:space="preserve">more </w:t>
      </w:r>
      <w:r w:rsidR="00A363C3" w:rsidRPr="0075485D">
        <w:t>comparable to what was accepted by the PBAC in July 2022 for apalutamide (39.8 months for LV disease and 30.2 months for HV disease; Table 14, apalutamide PSD, July 2022 PBAC meeting)</w:t>
      </w:r>
      <w:r w:rsidR="00E22822" w:rsidRPr="0075485D">
        <w:t>.</w:t>
      </w:r>
    </w:p>
    <w:p w14:paraId="15E774FF" w14:textId="49862E30" w:rsidR="00A01891" w:rsidRPr="0075485D" w:rsidRDefault="002E648A" w:rsidP="005D5D9E">
      <w:pPr>
        <w:pStyle w:val="3-BodyText"/>
        <w:ind w:left="709" w:hanging="709"/>
      </w:pPr>
      <w:fldSimple w:instr=" REF _Ref99571476  \* MERGEFORMAT ">
        <w:r w:rsidR="00307E3A" w:rsidRPr="00307E3A">
          <w:rPr>
            <w:rFonts w:eastAsia="SimSun"/>
          </w:rPr>
          <w:t xml:space="preserve">Figure </w:t>
        </w:r>
        <w:r w:rsidR="00307E3A">
          <w:rPr>
            <w:noProof/>
          </w:rPr>
          <w:t>3</w:t>
        </w:r>
      </w:fldSimple>
      <w:r w:rsidR="00A01891" w:rsidRPr="0075485D">
        <w:t xml:space="preserve"> showed that TTD KM data followed a similar trajectory to PFS KM data. Although the TTD extrapolations were implemented from the same KM cut-off as PFS, the extrapolations were based on longer follow-up (~4 years TTD data versus &lt;2 years rPFS data), and as such may be more reliable than the PFS extrapolations. When TTD was used as a proxy for PFS (i.e., treatment discontinuation was assumed to represent disease progression), the ICER increased to </w:t>
      </w:r>
      <w:r w:rsidR="005D5D9E" w:rsidRPr="005D5D9E">
        <w:t xml:space="preserve">$55,000 to &lt; $75,000 </w:t>
      </w:r>
      <w:r w:rsidR="00A01891" w:rsidRPr="0075485D">
        <w:t xml:space="preserve">per QALY gained versus the revised base case ICER </w:t>
      </w:r>
      <w:r w:rsidR="005D5D9E" w:rsidRPr="005D5D9E">
        <w:t xml:space="preserve">$55,000 to &lt; $75,000 </w:t>
      </w:r>
      <w:r w:rsidR="00A01891" w:rsidRPr="0075485D">
        <w:t xml:space="preserve">per QALY gained. In comparison, when PFS was used as a proxy for TTD (i.e., assuming patients discontinue treatment upon progression), the ICER increased only slightly to </w:t>
      </w:r>
      <w:r w:rsidR="005D5D9E" w:rsidRPr="005D5D9E">
        <w:t xml:space="preserve">$55,000 to &lt; $75,000 </w:t>
      </w:r>
      <w:r w:rsidR="00A01891" w:rsidRPr="0075485D">
        <w:t xml:space="preserve">per QALY gained. The difference in these ICERs was driven by the change in health state allocation for the ADT arm (i.e., when TTD was used as a proxy for PFS, patients accrued more QALYs in mHSPC and fewer costs in PD1). </w:t>
      </w:r>
    </w:p>
    <w:p w14:paraId="6B8023EA" w14:textId="061F721F" w:rsidR="00A01891" w:rsidRPr="0075485D" w:rsidRDefault="00A01891" w:rsidP="00A01891">
      <w:pPr>
        <w:pStyle w:val="3-BodyText"/>
        <w:ind w:left="709" w:hanging="709"/>
      </w:pPr>
      <w:bookmarkStart w:id="55" w:name="_Ref127517784"/>
      <w:r w:rsidRPr="0075485D">
        <w:t xml:space="preserve">Of the three progressed disease health states, PD1 had the most influence on the ICER, as this was where the NHA cost-offsets in the ADT arm occurred. The duration of treatment with NHA in PD1 used to estimate the monthly transition probabilities was 15 months. The PBAC had previously </w:t>
      </w:r>
      <w:r w:rsidR="008835DC" w:rsidRPr="0075485D">
        <w:t>considered</w:t>
      </w:r>
      <w:r w:rsidRPr="0075485D">
        <w:t xml:space="preserve"> that 12 months of subsequent NHA therapy would be more reliable as it </w:t>
      </w:r>
      <w:r w:rsidR="00C56752" w:rsidRPr="0075485D">
        <w:t>wa</w:t>
      </w:r>
      <w:r w:rsidRPr="0075485D">
        <w:t xml:space="preserve">s in line with data provided by the DUSC Secretariat (paragraphs 6.34 and 7.9, apalutamide PSD, July 2022 meeting). </w:t>
      </w:r>
      <w:r w:rsidRPr="0075485D">
        <w:rPr>
          <w:lang w:val="en-US"/>
        </w:rPr>
        <w:t xml:space="preserve">If NHAs in PD1 were given for 12 months, the ICER increased to </w:t>
      </w:r>
      <w:r w:rsidR="005D5D9E" w:rsidRPr="005D5D9E">
        <w:t xml:space="preserve">$55,000 to &lt; $75,000 </w:t>
      </w:r>
      <w:r w:rsidRPr="0075485D">
        <w:rPr>
          <w:lang w:val="en-US"/>
        </w:rPr>
        <w:t xml:space="preserve">per QALY gained from </w:t>
      </w:r>
      <w:r w:rsidR="005D5D9E" w:rsidRPr="005D5D9E">
        <w:t xml:space="preserve">$55,000 to &lt; $75,000 </w:t>
      </w:r>
      <w:r w:rsidRPr="0075485D">
        <w:t>per QALY gained in the revised base case</w:t>
      </w:r>
      <w:r w:rsidRPr="0075485D">
        <w:rPr>
          <w:lang w:val="en-US"/>
        </w:rPr>
        <w:t>.</w:t>
      </w:r>
      <w:r w:rsidR="008835DC" w:rsidRPr="0075485D">
        <w:rPr>
          <w:lang w:val="en-US"/>
        </w:rPr>
        <w:t xml:space="preserve"> The ESC noted that the duration of subsequent treatment (15 months) exceeded that previously accepted by the PBAC as reasonable (12 months).</w:t>
      </w:r>
      <w:bookmarkEnd w:id="55"/>
    </w:p>
    <w:p w14:paraId="2DEEBA93" w14:textId="4AB4E9FE" w:rsidR="00A01891" w:rsidRPr="0075485D" w:rsidRDefault="00A01891" w:rsidP="00A01891">
      <w:pPr>
        <w:pStyle w:val="3-BodyText"/>
        <w:ind w:left="709" w:hanging="709"/>
      </w:pPr>
      <w:r w:rsidRPr="0075485D">
        <w:t xml:space="preserve">Subsequent enzalutamide or abiraterone were assumed for 90% of patients in the ADT arm. </w:t>
      </w:r>
      <w:r w:rsidRPr="0075485D">
        <w:rPr>
          <w:lang w:val="en-US"/>
        </w:rPr>
        <w:t>In contrast, in ARCHES, docetaxel was the most commonly observed subsequent treatment for both treatment arms (36.1% and 31.6% in the enzalutamide and ADT arm</w:t>
      </w:r>
      <w:r w:rsidR="00C56752" w:rsidRPr="0075485D">
        <w:rPr>
          <w:lang w:val="en-US"/>
        </w:rPr>
        <w:t>s</w:t>
      </w:r>
      <w:r w:rsidRPr="0075485D">
        <w:rPr>
          <w:lang w:val="en-US"/>
        </w:rPr>
        <w:t xml:space="preserve"> respectively), and while subsequent treatment data for ARCHES was not split by progressed disease health states, the limited duration of the trial follow up suggested that it may be most representative of PD1.</w:t>
      </w:r>
    </w:p>
    <w:p w14:paraId="3A7868E7" w14:textId="77777777" w:rsidR="00A01891" w:rsidRPr="0075485D" w:rsidRDefault="00A01891" w:rsidP="00A01891">
      <w:pPr>
        <w:pStyle w:val="3-BodyText"/>
        <w:ind w:left="709" w:hanging="709"/>
      </w:pPr>
      <w:r w:rsidRPr="0075485D">
        <w:t>Adverse events (AEs) and skeletal related events (SREs) were included in the model as per cycle probabilities based on health state and treatment received. The ICER was not sensitive to AEs or SREs.</w:t>
      </w:r>
    </w:p>
    <w:p w14:paraId="385D350B" w14:textId="77777777" w:rsidR="00A01891" w:rsidRPr="0075485D" w:rsidRDefault="00A01891" w:rsidP="00A01891">
      <w:pPr>
        <w:pStyle w:val="3-BodyText"/>
        <w:ind w:left="709" w:hanging="709"/>
      </w:pPr>
      <w:r w:rsidRPr="0075485D">
        <w:rPr>
          <w:rFonts w:eastAsiaTheme="minorHAnsi"/>
        </w:rPr>
        <w:t xml:space="preserve">Utilities in PFS and PD1 were sourced from ARCHES ITT EQ-5D-5L data pre- and post-progression, mapped to UK preference weights for the EQ-5D-3L, to give utility value of 0.806 in PFS, 0.723 in PD1. For PD3, baseline EQ-5D-3L data from AFFIRM were converted to a utility of 0.688 with UK preference weights. PD2 was assumed to have the average utility of PD2 and PD3: 0.706. The estimated utility difference between PFS and PD ranged from -0.083 (PFS to PD1) to -0.118 (PFS to PD3), which was similar to the -0.113 difference from PFS to PD for TITAN ITT population (Table 9, apalutamide PSD, July 2022 PBAC meeting). </w:t>
      </w:r>
    </w:p>
    <w:p w14:paraId="6AC8B9A4" w14:textId="4F2F58E9" w:rsidR="00A01891" w:rsidRPr="0075485D" w:rsidRDefault="00A01891" w:rsidP="00A01891">
      <w:pPr>
        <w:pStyle w:val="3-BodyText"/>
        <w:ind w:left="709" w:hanging="709"/>
      </w:pPr>
      <w:r w:rsidRPr="0075485D">
        <w:t>Enzalutamide was costed at a dose of 4</w:t>
      </w:r>
      <w:r w:rsidR="00C0570B" w:rsidRPr="0075485D">
        <w:t xml:space="preserve"> </w:t>
      </w:r>
      <w:r w:rsidRPr="0075485D">
        <w:t>x</w:t>
      </w:r>
      <w:r w:rsidR="00C0570B" w:rsidRPr="0075485D">
        <w:t xml:space="preserve"> </w:t>
      </w:r>
      <w:r w:rsidRPr="0075485D">
        <w:t>40</w:t>
      </w:r>
      <w:r w:rsidR="00C0570B" w:rsidRPr="0075485D">
        <w:t xml:space="preserve"> </w:t>
      </w:r>
      <w:r w:rsidRPr="0075485D">
        <w:t>mg once daily, with 98.94% compliance, based on a pack of 112</w:t>
      </w:r>
      <w:r w:rsidR="00C0570B" w:rsidRPr="0075485D">
        <w:t xml:space="preserve"> </w:t>
      </w:r>
      <w:r w:rsidRPr="0075485D">
        <w:t>x</w:t>
      </w:r>
      <w:r w:rsidR="00C0570B" w:rsidRPr="0075485D">
        <w:t xml:space="preserve"> </w:t>
      </w:r>
      <w:r w:rsidRPr="0075485D">
        <w:t>40</w:t>
      </w:r>
      <w:r w:rsidR="00C0570B" w:rsidRPr="0075485D">
        <w:t xml:space="preserve"> </w:t>
      </w:r>
      <w:r w:rsidRPr="0075485D">
        <w:t>mg capsules at $</w:t>
      </w:r>
      <w:r w:rsidR="008D2482" w:rsidRPr="00307E3A">
        <w:rPr>
          <w:color w:val="000000"/>
          <w:w w:val="15"/>
          <w:shd w:val="solid" w:color="000000" w:fill="000000"/>
          <w:fitText w:val="-20" w:id="-1233498360"/>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60"/>
          <w14:textFill>
            <w14:solidFill>
              <w14:srgbClr w14:val="000000">
                <w14:alpha w14:val="100000"/>
              </w14:srgbClr>
            </w14:solidFill>
          </w14:textFill>
        </w:rPr>
        <w:t>|</w:t>
      </w:r>
      <w:r w:rsidR="00AA73B7" w:rsidRPr="00AA73B7">
        <w:t xml:space="preserve"> </w:t>
      </w:r>
      <w:r w:rsidRPr="0075485D">
        <w:t>(requested effective DPMQ). The cost per month of enzalutamide was estimated at $</w:t>
      </w:r>
      <w:r w:rsidR="008D2482" w:rsidRPr="00307E3A">
        <w:rPr>
          <w:color w:val="000000"/>
          <w:w w:val="15"/>
          <w:shd w:val="solid" w:color="000000" w:fill="000000"/>
          <w:fitText w:val="-20" w:id="-1233498359"/>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59"/>
          <w14:textFill>
            <w14:solidFill>
              <w14:srgbClr w14:val="000000">
                <w14:alpha w14:val="100000"/>
              </w14:srgbClr>
            </w14:solidFill>
          </w14:textFill>
        </w:rPr>
        <w:t>|</w:t>
      </w:r>
      <w:r w:rsidRPr="0075485D">
        <w:t xml:space="preserve">. </w:t>
      </w:r>
    </w:p>
    <w:p w14:paraId="3186AFD5" w14:textId="5CFCEC33" w:rsidR="00A01891" w:rsidRPr="0075485D" w:rsidRDefault="00A01891" w:rsidP="00A01891">
      <w:pPr>
        <w:pStyle w:val="3-BodyText"/>
        <w:ind w:left="709" w:hanging="709"/>
      </w:pPr>
      <w:r w:rsidRPr="0075485D">
        <w:rPr>
          <w:rFonts w:eastAsiaTheme="minorHAnsi"/>
        </w:rPr>
        <w:t xml:space="preserve">For ADT, the submission calculated a weighted average price for all available ADTs based on their recommended dosages and weighted by PBS utilisation (Medicare statistics 2022 calendar year and PBS 10% sample), resulting in a monthly cost of </w:t>
      </w:r>
      <w:r w:rsidRPr="0075485D">
        <w:t xml:space="preserve">$412.42 </w:t>
      </w:r>
      <w:r w:rsidRPr="0075485D">
        <w:rPr>
          <w:rFonts w:eastAsiaTheme="minorHAnsi"/>
        </w:rPr>
        <w:t xml:space="preserve">in both treatment arms. The cost of ADT was applied according to the TTD extrapolation for patients in the ADT alone arm, and to 10% of those patients who progressed to PD1. In the enzalutamide arm, the cost of ADT was applied to patients who had discontinued enzalutamide but not yet progressed and to 90% of those patients who progressed to PD1. As discussed, this was inconsistent with the expectation that enzalutamide would be used in combination with ADT. For consistency a revised based case considered ADT to be given and discontinued in line with enzalutamide TTD in the enzalutamide arm. As ADT is often continued into mCRPC, a sensitivity analysis conducted during the evaluation also applied the cost of ADT to all alive patients in both arms, which gave an ICER of </w:t>
      </w:r>
      <w:r w:rsidR="006B43E0" w:rsidRPr="005D5D9E">
        <w:t xml:space="preserve">$55,000 to &lt; $75,000 </w:t>
      </w:r>
      <w:r w:rsidRPr="0075485D">
        <w:rPr>
          <w:rFonts w:eastAsiaTheme="minorHAnsi"/>
        </w:rPr>
        <w:t>per QALY gained.</w:t>
      </w:r>
      <w:r w:rsidR="00434514" w:rsidRPr="0075485D">
        <w:rPr>
          <w:rFonts w:eastAsiaTheme="minorHAnsi"/>
        </w:rPr>
        <w:t xml:space="preserve"> The PSCR presented a revised base case in which the cost of ADT was applied to all alive patients in both treatment arms.</w:t>
      </w:r>
    </w:p>
    <w:p w14:paraId="17143D8C" w14:textId="3517EDE0" w:rsidR="00A01891" w:rsidRPr="0075485D" w:rsidRDefault="00A01891" w:rsidP="00C0570B">
      <w:pPr>
        <w:pStyle w:val="3-BodyText"/>
      </w:pPr>
      <w:r w:rsidRPr="0075485D">
        <w:t xml:space="preserve">In PD1, 90% of </w:t>
      </w:r>
      <w:r w:rsidR="004D6783" w:rsidRPr="0075485D">
        <w:t xml:space="preserve">patients in the </w:t>
      </w:r>
      <w:r w:rsidRPr="0075485D">
        <w:t>ADT alone arm were assumed to receive a NHA (60% enzalutamide, 30% abiraterone), whereas 90% of patients in the enzalutamide arm received ADT only. Patients who received enzalutamide in PD1 were assumed a daily dose of 4</w:t>
      </w:r>
      <w:r w:rsidR="004D6783" w:rsidRPr="0075485D">
        <w:t xml:space="preserve"> </w:t>
      </w:r>
      <w:r w:rsidRPr="0075485D">
        <w:t>x</w:t>
      </w:r>
      <w:r w:rsidR="004D6783" w:rsidRPr="0075485D">
        <w:t xml:space="preserve"> </w:t>
      </w:r>
      <w:r w:rsidRPr="0075485D">
        <w:t>40</w:t>
      </w:r>
      <w:r w:rsidR="004D6783" w:rsidRPr="0075485D">
        <w:t xml:space="preserve"> </w:t>
      </w:r>
      <w:r w:rsidRPr="0075485D">
        <w:t>mg capsules with 100% compliance, where 112</w:t>
      </w:r>
      <w:r w:rsidR="00C0570B" w:rsidRPr="0075485D">
        <w:t xml:space="preserve"> </w:t>
      </w:r>
      <w:r w:rsidRPr="0075485D">
        <w:t>x</w:t>
      </w:r>
      <w:r w:rsidR="00C0570B" w:rsidRPr="0075485D">
        <w:t xml:space="preserve"> </w:t>
      </w:r>
      <w:r w:rsidRPr="0075485D">
        <w:t>40</w:t>
      </w:r>
      <w:r w:rsidR="00C0570B" w:rsidRPr="0075485D">
        <w:t xml:space="preserve"> </w:t>
      </w:r>
      <w:r w:rsidRPr="0075485D">
        <w:t>mg capsules cost $</w:t>
      </w:r>
      <w:r w:rsidR="008D2482" w:rsidRPr="00307E3A">
        <w:rPr>
          <w:color w:val="000000"/>
          <w:w w:val="15"/>
          <w:shd w:val="solid" w:color="000000" w:fill="000000"/>
          <w:fitText w:val="-20" w:id="-1233498358"/>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58"/>
          <w14:textFill>
            <w14:solidFill>
              <w14:srgbClr w14:val="000000">
                <w14:alpha w14:val="100000"/>
              </w14:srgbClr>
            </w14:solidFill>
          </w14:textFill>
        </w:rPr>
        <w:t>|</w:t>
      </w:r>
      <w:r w:rsidR="00AA73B7" w:rsidRPr="00AA73B7">
        <w:t xml:space="preserve"> </w:t>
      </w:r>
      <w:r w:rsidRPr="0075485D">
        <w:t xml:space="preserve"> (effective DMPQ), equivalent to a monthly cost of $</w:t>
      </w:r>
      <w:r w:rsidR="008D2482" w:rsidRPr="00307E3A">
        <w:rPr>
          <w:color w:val="000000"/>
          <w:w w:val="15"/>
          <w:shd w:val="solid" w:color="000000" w:fill="000000"/>
          <w:fitText w:val="-20" w:id="-1233498357"/>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57"/>
          <w14:textFill>
            <w14:solidFill>
              <w14:srgbClr w14:val="000000">
                <w14:alpha w14:val="100000"/>
              </w14:srgbClr>
            </w14:solidFill>
          </w14:textFill>
        </w:rPr>
        <w:t>|</w:t>
      </w:r>
      <w:r w:rsidRPr="0075485D">
        <w:t xml:space="preserve">. The submission was not privy to the </w:t>
      </w:r>
      <w:r w:rsidR="007E3FBA">
        <w:t xml:space="preserve">confidential </w:t>
      </w:r>
      <w:r w:rsidRPr="0075485D">
        <w:t>effective price for abiraterone, therefore abiraterone was costed at its published DPMQ of $3,442.14 for 120</w:t>
      </w:r>
      <w:r w:rsidR="00C0570B" w:rsidRPr="0075485D">
        <w:t xml:space="preserve"> </w:t>
      </w:r>
      <w:r w:rsidRPr="0075485D">
        <w:t>x</w:t>
      </w:r>
      <w:r w:rsidR="00C0570B" w:rsidRPr="0075485D">
        <w:t xml:space="preserve"> </w:t>
      </w:r>
      <w:r w:rsidRPr="0075485D">
        <w:t>250</w:t>
      </w:r>
      <w:r w:rsidR="00C0570B" w:rsidRPr="0075485D">
        <w:t xml:space="preserve"> </w:t>
      </w:r>
      <w:r w:rsidRPr="0075485D">
        <w:t>mg tablets for a once daily dose of 4</w:t>
      </w:r>
      <w:r w:rsidR="00C0570B" w:rsidRPr="0075485D">
        <w:t xml:space="preserve"> </w:t>
      </w:r>
      <w:r w:rsidRPr="0075485D">
        <w:t>x</w:t>
      </w:r>
      <w:r w:rsidR="00C0570B" w:rsidRPr="0075485D">
        <w:t xml:space="preserve"> </w:t>
      </w:r>
      <w:r w:rsidRPr="0075485D">
        <w:t>250</w:t>
      </w:r>
      <w:r w:rsidR="00C0570B" w:rsidRPr="0075485D">
        <w:t xml:space="preserve"> </w:t>
      </w:r>
      <w:r w:rsidRPr="0075485D">
        <w:t>mg, equal to a monthly cost of $3,492.34. This cost was higher than the DPMQ assumed for abiraterone in the financial analysis ($</w:t>
      </w:r>
      <w:r w:rsidR="008D2482" w:rsidRPr="00307E3A">
        <w:rPr>
          <w:color w:val="000000"/>
          <w:w w:val="15"/>
          <w:shd w:val="solid" w:color="000000" w:fill="000000"/>
          <w:fitText w:val="-20" w:id="-1233498356"/>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56"/>
          <w14:textFill>
            <w14:solidFill>
              <w14:srgbClr w14:val="000000">
                <w14:alpha w14:val="100000"/>
              </w14:srgbClr>
            </w14:solidFill>
          </w14:textFill>
        </w:rPr>
        <w:t>|</w:t>
      </w:r>
      <w:r w:rsidRPr="0075485D">
        <w:t>), which was estimated in the submission as equal to the effective price of enzalutamide ($</w:t>
      </w:r>
      <w:r w:rsidR="008D2482" w:rsidRPr="00307E3A">
        <w:rPr>
          <w:color w:val="000000"/>
          <w:w w:val="15"/>
          <w:shd w:val="solid" w:color="000000" w:fill="000000"/>
          <w:fitText w:val="-20" w:id="-1233498355"/>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355"/>
          <w14:textFill>
            <w14:solidFill>
              <w14:srgbClr w14:val="000000">
                <w14:alpha w14:val="100000"/>
              </w14:srgbClr>
            </w14:solidFill>
          </w14:textFill>
        </w:rPr>
        <w:t>|</w:t>
      </w:r>
      <w:r w:rsidRPr="0075485D">
        <w:t xml:space="preserve">/28*30). If assuming all NHA use in PD1 was for enzalutamide (i.e., 90% enzalutamide, 0% abiraterone), as proxy for analysis using </w:t>
      </w:r>
      <w:r w:rsidR="00EF5884">
        <w:t xml:space="preserve">confidential </w:t>
      </w:r>
      <w:r w:rsidRPr="0075485D">
        <w:t>effective price for abiraterone, similar to the approach taken in the financial analysis section of the submission, the</w:t>
      </w:r>
      <w:r w:rsidRPr="0075485D">
        <w:rPr>
          <w:lang w:val="en-US"/>
        </w:rPr>
        <w:t xml:space="preserve"> ICER increased to </w:t>
      </w:r>
      <w:r w:rsidR="006B43E0" w:rsidRPr="005D5D9E">
        <w:t>$55,</w:t>
      </w:r>
      <w:r w:rsidR="006444EC" w:rsidRPr="005D5D9E">
        <w:t>000</w:t>
      </w:r>
      <w:r w:rsidR="006444EC">
        <w:t> </w:t>
      </w:r>
      <w:r w:rsidR="006B43E0" w:rsidRPr="005D5D9E">
        <w:t xml:space="preserve">to &lt; $75,000 </w:t>
      </w:r>
      <w:r w:rsidRPr="0075485D">
        <w:rPr>
          <w:lang w:val="en-US"/>
        </w:rPr>
        <w:t xml:space="preserve">per QALY gained compared to </w:t>
      </w:r>
      <w:r w:rsidR="006B43E0" w:rsidRPr="005D5D9E">
        <w:t xml:space="preserve">$55,000 to &lt; $75,000 </w:t>
      </w:r>
      <w:r w:rsidRPr="0075485D">
        <w:t xml:space="preserve">per QALY gained in the revised base case. </w:t>
      </w:r>
      <w:r w:rsidR="00A363C3" w:rsidRPr="0075485D">
        <w:t xml:space="preserve">The cost of subsequent abiraterone treatment was assumed to </w:t>
      </w:r>
      <w:r w:rsidR="006D0BFC" w:rsidRPr="0075485D">
        <w:t>be</w:t>
      </w:r>
      <w:r w:rsidR="00A363C3" w:rsidRPr="0075485D">
        <w:t xml:space="preserve"> the same as enzalutamide in the mCRPC setting in the revised base case presented in the PSCR.</w:t>
      </w:r>
    </w:p>
    <w:p w14:paraId="7E89DC0D" w14:textId="77777777" w:rsidR="00A01891" w:rsidRPr="00521F7F" w:rsidRDefault="00A01891" w:rsidP="00A01891">
      <w:pPr>
        <w:pStyle w:val="3-BodyText"/>
        <w:ind w:left="709" w:hanging="709"/>
      </w:pPr>
      <w:r w:rsidRPr="00521F7F">
        <w:t>Costs of other subsequent treatments and health state costs were sourced from PBS, MBS and National Hospital Cost Data Collection (NHCDC). These did not have a large impact on the ICER. Similarly, terminal care costs were costed from the literature, but had minimal impact on the ICER.</w:t>
      </w:r>
    </w:p>
    <w:p w14:paraId="09CBE7C5" w14:textId="525AF660" w:rsidR="00A01891" w:rsidRPr="00521F7F" w:rsidRDefault="00A01891" w:rsidP="00A01891">
      <w:pPr>
        <w:pStyle w:val="3-BodyText"/>
        <w:ind w:left="709" w:hanging="709"/>
        <w:rPr>
          <w:rFonts w:ascii="Calibri" w:hAnsi="Calibri"/>
        </w:rPr>
      </w:pPr>
      <w:r w:rsidRPr="00521F7F">
        <w:t>Health state allocation plots are presented in the following figure. Both the full set of health states (PFS, PD1, PD2, PD3, Dead) and an abridged set (PFS, PD, Dead) are presented.</w:t>
      </w:r>
      <w:r w:rsidR="009C5D0A" w:rsidRPr="00521F7F">
        <w:t xml:space="preserve"> </w:t>
      </w:r>
    </w:p>
    <w:p w14:paraId="6E872C95" w14:textId="4A793797" w:rsidR="00A01891" w:rsidRPr="00521F7F" w:rsidRDefault="00A01891" w:rsidP="00A01891">
      <w:pPr>
        <w:pStyle w:val="TableFigureHeading"/>
        <w:rPr>
          <w:rStyle w:val="CommentReference"/>
          <w:b/>
          <w:szCs w:val="24"/>
        </w:rPr>
      </w:pPr>
      <w:r w:rsidRPr="00521F7F">
        <w:t xml:space="preserve">Figure </w:t>
      </w:r>
      <w:fldSimple w:instr=" SEQ Figure \* ARABIC ">
        <w:r w:rsidR="00307E3A">
          <w:rPr>
            <w:noProof/>
          </w:rPr>
          <w:t>5</w:t>
        </w:r>
      </w:fldSimple>
      <w:r w:rsidRPr="00521F7F">
        <w:t xml:space="preserve"> : </w:t>
      </w:r>
      <w:r w:rsidRPr="00521F7F">
        <w:rPr>
          <w:rStyle w:val="CommentReference"/>
          <w:b/>
          <w:szCs w:val="24"/>
        </w:rPr>
        <w:t>Health state allocation</w:t>
      </w:r>
    </w:p>
    <w:tbl>
      <w:tblPr>
        <w:tblStyle w:val="TableGrid"/>
        <w:tblW w:w="0" w:type="auto"/>
        <w:tblLook w:val="04A0" w:firstRow="1" w:lastRow="0" w:firstColumn="1" w:lastColumn="0" w:noHBand="0" w:noVBand="1"/>
      </w:tblPr>
      <w:tblGrid>
        <w:gridCol w:w="4508"/>
        <w:gridCol w:w="4509"/>
      </w:tblGrid>
      <w:tr w:rsidR="00A01891" w14:paraId="44063EEE" w14:textId="77777777" w:rsidTr="00E44076">
        <w:tc>
          <w:tcPr>
            <w:tcW w:w="4508" w:type="dxa"/>
            <w:tcBorders>
              <w:top w:val="single" w:sz="4" w:space="0" w:color="auto"/>
              <w:left w:val="single" w:sz="4" w:space="0" w:color="auto"/>
              <w:bottom w:val="single" w:sz="4" w:space="0" w:color="auto"/>
              <w:right w:val="single" w:sz="4" w:space="0" w:color="auto"/>
            </w:tcBorders>
            <w:hideMark/>
          </w:tcPr>
          <w:p w14:paraId="52C63CED" w14:textId="77777777" w:rsidR="00A01891" w:rsidRPr="00521F7F" w:rsidRDefault="00A01891" w:rsidP="00E44076">
            <w:pPr>
              <w:pStyle w:val="In-tableHeading"/>
            </w:pPr>
            <w:r w:rsidRPr="00521F7F">
              <w:t>All states (rPFS, PD1, PD2, PD3, Dead)</w:t>
            </w:r>
          </w:p>
        </w:tc>
        <w:tc>
          <w:tcPr>
            <w:tcW w:w="4509" w:type="dxa"/>
            <w:tcBorders>
              <w:top w:val="single" w:sz="4" w:space="0" w:color="auto"/>
              <w:left w:val="single" w:sz="4" w:space="0" w:color="auto"/>
              <w:bottom w:val="single" w:sz="4" w:space="0" w:color="auto"/>
              <w:right w:val="single" w:sz="4" w:space="0" w:color="auto"/>
            </w:tcBorders>
            <w:hideMark/>
          </w:tcPr>
          <w:p w14:paraId="1A1C200C" w14:textId="77777777" w:rsidR="00A01891" w:rsidRDefault="00A01891" w:rsidP="00E44076">
            <w:pPr>
              <w:pStyle w:val="In-tableHeading"/>
            </w:pPr>
            <w:r w:rsidRPr="00521F7F">
              <w:t>rPFS, PD total, Dead</w:t>
            </w:r>
          </w:p>
        </w:tc>
      </w:tr>
      <w:tr w:rsidR="00A01891" w14:paraId="11430EEE" w14:textId="77777777" w:rsidTr="00E44076">
        <w:tc>
          <w:tcPr>
            <w:tcW w:w="4508" w:type="dxa"/>
            <w:tcBorders>
              <w:top w:val="single" w:sz="4" w:space="0" w:color="auto"/>
              <w:left w:val="single" w:sz="4" w:space="0" w:color="auto"/>
              <w:bottom w:val="single" w:sz="4" w:space="0" w:color="auto"/>
              <w:right w:val="single" w:sz="4" w:space="0" w:color="auto"/>
            </w:tcBorders>
            <w:hideMark/>
          </w:tcPr>
          <w:p w14:paraId="3EA910BF" w14:textId="77777777" w:rsidR="00A01891" w:rsidRDefault="00A01891" w:rsidP="00E44076">
            <w:pPr>
              <w:rPr>
                <w:b/>
                <w:sz w:val="28"/>
                <w:szCs w:val="28"/>
              </w:rPr>
            </w:pPr>
            <w:r>
              <w:rPr>
                <w:b/>
                <w:noProof/>
                <w:sz w:val="28"/>
                <w:szCs w:val="28"/>
              </w:rPr>
              <w:drawing>
                <wp:inline distT="0" distB="0" distL="0" distR="0" wp14:anchorId="329CF63F" wp14:editId="33976378">
                  <wp:extent cx="2771775" cy="1819275"/>
                  <wp:effectExtent l="0" t="0" r="9525" b="9525"/>
                  <wp:docPr id="13" name="Picture 13" descr="Figure 5 : Health state allocation&#10;All states (rPFS, PD1, PD2, PD3,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5 : Health state allocation&#10;All states (rPFS, PD1, PD2, PD3, Dea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775" cy="1819275"/>
                          </a:xfrm>
                          <a:prstGeom prst="rect">
                            <a:avLst/>
                          </a:prstGeom>
                          <a:noFill/>
                          <a:ln>
                            <a:noFill/>
                          </a:ln>
                        </pic:spPr>
                      </pic:pic>
                    </a:graphicData>
                  </a:graphic>
                </wp:inline>
              </w:drawing>
            </w:r>
          </w:p>
        </w:tc>
        <w:tc>
          <w:tcPr>
            <w:tcW w:w="4509" w:type="dxa"/>
            <w:tcBorders>
              <w:top w:val="single" w:sz="4" w:space="0" w:color="auto"/>
              <w:left w:val="single" w:sz="4" w:space="0" w:color="auto"/>
              <w:bottom w:val="single" w:sz="4" w:space="0" w:color="auto"/>
              <w:right w:val="single" w:sz="4" w:space="0" w:color="auto"/>
            </w:tcBorders>
            <w:hideMark/>
          </w:tcPr>
          <w:p w14:paraId="76F43285" w14:textId="77777777" w:rsidR="00A01891" w:rsidRDefault="00A01891" w:rsidP="00E44076">
            <w:pPr>
              <w:rPr>
                <w:b/>
                <w:sz w:val="28"/>
                <w:szCs w:val="28"/>
              </w:rPr>
            </w:pPr>
            <w:r>
              <w:rPr>
                <w:b/>
                <w:noProof/>
                <w:sz w:val="28"/>
                <w:szCs w:val="28"/>
              </w:rPr>
              <w:drawing>
                <wp:inline distT="0" distB="0" distL="0" distR="0" wp14:anchorId="69F91AAA" wp14:editId="0C8C530A">
                  <wp:extent cx="2771775" cy="1819275"/>
                  <wp:effectExtent l="0" t="0" r="9525" b="9525"/>
                  <wp:docPr id="19" name="Picture 19" descr="Figure 5 : Health state allocation&#10;rPFS, PD total, D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Figure 5 : Health state allocation&#10;rPFS, PD total, Dea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71775" cy="1819275"/>
                          </a:xfrm>
                          <a:prstGeom prst="rect">
                            <a:avLst/>
                          </a:prstGeom>
                          <a:noFill/>
                          <a:ln>
                            <a:noFill/>
                          </a:ln>
                        </pic:spPr>
                      </pic:pic>
                    </a:graphicData>
                  </a:graphic>
                </wp:inline>
              </w:drawing>
            </w:r>
          </w:p>
        </w:tc>
      </w:tr>
    </w:tbl>
    <w:p w14:paraId="54A0889E" w14:textId="77777777" w:rsidR="00A01891" w:rsidRDefault="00A01891" w:rsidP="00A01891">
      <w:pPr>
        <w:pStyle w:val="TableFigureFooter"/>
        <w:rPr>
          <w:iCs/>
          <w:lang w:val="en-US"/>
        </w:rPr>
      </w:pPr>
      <w:r>
        <w:t xml:space="preserve">Source: compiled during the evaluation from </w:t>
      </w:r>
      <w:r>
        <w:rPr>
          <w:iCs/>
          <w:lang w:val="en-US"/>
        </w:rPr>
        <w:t>the Excel workbook ‘attachment 17 – Xtandi mHSPC Section 3A Cost-Eff Model_vfinal.xlsb’</w:t>
      </w:r>
    </w:p>
    <w:p w14:paraId="2DA5EC2B" w14:textId="77777777" w:rsidR="00A01891" w:rsidRDefault="00A01891" w:rsidP="00A01891">
      <w:pPr>
        <w:pStyle w:val="TableFigureFooter"/>
        <w:rPr>
          <w:iCs/>
          <w:lang w:val="en-US"/>
        </w:rPr>
      </w:pPr>
      <w:r>
        <w:rPr>
          <w:iCs/>
          <w:lang w:val="en-US"/>
        </w:rPr>
        <w:t>rPFS=radiographic progression free survival, PD=progressed disease, ENZA=enzalutamide, ADT=androgen deprivation therapy</w:t>
      </w:r>
    </w:p>
    <w:p w14:paraId="5161EE22" w14:textId="642FFACF" w:rsidR="00A01891" w:rsidRPr="003330C9" w:rsidRDefault="00A01891" w:rsidP="00A01891">
      <w:pPr>
        <w:pStyle w:val="3-BodyText"/>
        <w:ind w:left="709" w:hanging="709"/>
        <w:rPr>
          <w:iCs/>
        </w:rPr>
      </w:pPr>
      <w:r w:rsidRPr="003330C9">
        <w:rPr>
          <w:iCs/>
        </w:rPr>
        <w:t xml:space="preserve">Within PD, the majority of patients in the ADT arm </w:t>
      </w:r>
      <w:r w:rsidR="004D6783" w:rsidRPr="003330C9">
        <w:rPr>
          <w:iCs/>
        </w:rPr>
        <w:t xml:space="preserve">were </w:t>
      </w:r>
      <w:r w:rsidRPr="003330C9">
        <w:rPr>
          <w:iCs/>
        </w:rPr>
        <w:t>in PD1 until year 3.5</w:t>
      </w:r>
      <w:r w:rsidR="00C0570B" w:rsidRPr="003330C9">
        <w:rPr>
          <w:iCs/>
        </w:rPr>
        <w:t>, after which</w:t>
      </w:r>
      <w:r w:rsidR="009E1CDB">
        <w:rPr>
          <w:iCs/>
        </w:rPr>
        <w:t>,</w:t>
      </w:r>
      <w:r w:rsidRPr="003330C9">
        <w:rPr>
          <w:iCs/>
        </w:rPr>
        <w:t xml:space="preserve"> PD3 was the majority health state. For the enzalutamide arm, very few patients spen</w:t>
      </w:r>
      <w:r w:rsidR="00C0570B" w:rsidRPr="003330C9">
        <w:rPr>
          <w:iCs/>
        </w:rPr>
        <w:t>t</w:t>
      </w:r>
      <w:r w:rsidRPr="003330C9">
        <w:rPr>
          <w:iCs/>
        </w:rPr>
        <w:t xml:space="preserve"> time in PD1 and 2, with PD3 the largest PD health state by Year 1.5. </w:t>
      </w:r>
      <w:r w:rsidR="00C0570B" w:rsidRPr="003330C9">
        <w:rPr>
          <w:iCs/>
        </w:rPr>
        <w:t>The p</w:t>
      </w:r>
      <w:r w:rsidRPr="003330C9">
        <w:rPr>
          <w:iCs/>
        </w:rPr>
        <w:t xml:space="preserve">roportion </w:t>
      </w:r>
      <w:r w:rsidR="00C0570B" w:rsidRPr="003330C9">
        <w:rPr>
          <w:iCs/>
        </w:rPr>
        <w:t xml:space="preserve">of patients </w:t>
      </w:r>
      <w:r w:rsidRPr="003330C9">
        <w:rPr>
          <w:iCs/>
        </w:rPr>
        <w:t>in PFS exceeded PD for the entire time horizon for enzalutamide patients with ~10% in PFS and ~10% in PD by Year 15. In comparison</w:t>
      </w:r>
      <w:r w:rsidR="004D6783" w:rsidRPr="003330C9">
        <w:rPr>
          <w:iCs/>
        </w:rPr>
        <w:t>,</w:t>
      </w:r>
      <w:r w:rsidRPr="003330C9">
        <w:rPr>
          <w:iCs/>
        </w:rPr>
        <w:t xml:space="preserve"> 1% patients in the ADT arm were expected to remain in PFS by Year 15.</w:t>
      </w:r>
    </w:p>
    <w:p w14:paraId="34F97741" w14:textId="77777777" w:rsidR="00A01891" w:rsidRPr="003330C9" w:rsidRDefault="00A01891" w:rsidP="00A01891">
      <w:pPr>
        <w:pStyle w:val="3-BodyText"/>
        <w:ind w:left="709" w:hanging="709"/>
        <w:rPr>
          <w:iCs/>
        </w:rPr>
      </w:pPr>
      <w:r w:rsidRPr="003330C9">
        <w:rPr>
          <w:iCs/>
        </w:rPr>
        <w:t>At the end of the model time horizon, only 12% of patients in the ADT arm were alive, compared to 22% in the enzalutamide arm, representing a significant sustained survival benefit for enzalutamide.</w:t>
      </w:r>
    </w:p>
    <w:p w14:paraId="6160B77A" w14:textId="77777777" w:rsidR="00A01891" w:rsidRPr="003330C9" w:rsidRDefault="00A01891" w:rsidP="00A01891">
      <w:pPr>
        <w:pStyle w:val="3-BodyText"/>
        <w:ind w:left="709" w:hanging="709"/>
        <w:rPr>
          <w:iCs/>
        </w:rPr>
      </w:pPr>
      <w:r w:rsidRPr="003330C9">
        <w:rPr>
          <w:iCs/>
        </w:rPr>
        <w:t>For mHSPC patients receiving ADT alone, OS in the model and ARCHES were higher than survival in other published literature. This may be a result of the heterogeneous populations across the trials. There was limited recent data that extended beyond 5 years and therefore it was uncertainty how well the model captured long term survival.</w:t>
      </w:r>
    </w:p>
    <w:p w14:paraId="566BAC5E" w14:textId="77777777" w:rsidR="00A01891" w:rsidRPr="003330C9" w:rsidRDefault="00A01891" w:rsidP="00A01891">
      <w:pPr>
        <w:pStyle w:val="3-BodyText"/>
        <w:ind w:left="709" w:hanging="709"/>
        <w:rPr>
          <w:iCs/>
        </w:rPr>
      </w:pPr>
      <w:r w:rsidRPr="003330C9">
        <w:rPr>
          <w:iCs/>
        </w:rPr>
        <w:t>Key drivers of the model are presented in the following table.</w:t>
      </w:r>
    </w:p>
    <w:p w14:paraId="7BC0854F" w14:textId="05B39002" w:rsidR="00A01891" w:rsidRPr="003330C9" w:rsidRDefault="00A01891" w:rsidP="00B90B63">
      <w:pPr>
        <w:pStyle w:val="Caption"/>
        <w:keepLines w:val="0"/>
        <w:jc w:val="left"/>
        <w:rPr>
          <w:rStyle w:val="CommentReference"/>
          <w:b/>
          <w:iCs/>
          <w:szCs w:val="24"/>
        </w:rPr>
      </w:pPr>
      <w:bookmarkStart w:id="56" w:name="_Ref104805122"/>
      <w:r w:rsidRPr="003330C9">
        <w:rPr>
          <w:iCs/>
        </w:rPr>
        <w:t xml:space="preserve">Table </w:t>
      </w:r>
      <w:r w:rsidR="00F32398" w:rsidRPr="003330C9">
        <w:rPr>
          <w:iCs/>
        </w:rPr>
        <w:fldChar w:fldCharType="begin"/>
      </w:r>
      <w:r w:rsidR="00F32398" w:rsidRPr="003330C9">
        <w:rPr>
          <w:iCs/>
        </w:rPr>
        <w:instrText xml:space="preserve"> SEQ Table \* ARABIC </w:instrText>
      </w:r>
      <w:r w:rsidR="00F32398" w:rsidRPr="003330C9">
        <w:rPr>
          <w:iCs/>
        </w:rPr>
        <w:fldChar w:fldCharType="separate"/>
      </w:r>
      <w:r w:rsidR="00307E3A">
        <w:rPr>
          <w:iCs/>
          <w:noProof/>
        </w:rPr>
        <w:t>8</w:t>
      </w:r>
      <w:r w:rsidR="00F32398" w:rsidRPr="003330C9">
        <w:rPr>
          <w:iCs/>
          <w:noProof/>
        </w:rPr>
        <w:fldChar w:fldCharType="end"/>
      </w:r>
      <w:bookmarkEnd w:id="56"/>
      <w:r w:rsidRPr="003330C9">
        <w:rPr>
          <w:iCs/>
        </w:rPr>
        <w:t>:</w:t>
      </w:r>
      <w:r w:rsidRPr="003330C9">
        <w:rPr>
          <w:rStyle w:val="CommentReference"/>
          <w:b/>
          <w:iCs/>
          <w:szCs w:val="24"/>
        </w:rPr>
        <w:t xml:space="preserve"> Key drivers of the model</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0"/>
        <w:gridCol w:w="4111"/>
        <w:gridCol w:w="3826"/>
      </w:tblGrid>
      <w:tr w:rsidR="00A01891" w:rsidRPr="003330C9" w14:paraId="77C8109A" w14:textId="77777777" w:rsidTr="00AF2A3C">
        <w:trPr>
          <w:tblHeader/>
        </w:trPr>
        <w:tc>
          <w:tcPr>
            <w:tcW w:w="623" w:type="pct"/>
            <w:shd w:val="clear" w:color="auto" w:fill="auto"/>
            <w:vAlign w:val="center"/>
          </w:tcPr>
          <w:p w14:paraId="23C72EDF" w14:textId="77777777" w:rsidR="00A01891" w:rsidRPr="003330C9" w:rsidRDefault="00A01891" w:rsidP="00E44076">
            <w:pPr>
              <w:pStyle w:val="In-tableHeading"/>
              <w:keepNext w:val="0"/>
              <w:jc w:val="center"/>
              <w:rPr>
                <w:iCs/>
              </w:rPr>
            </w:pPr>
            <w:r w:rsidRPr="003330C9">
              <w:rPr>
                <w:iCs/>
              </w:rPr>
              <w:t>Description</w:t>
            </w:r>
          </w:p>
        </w:tc>
        <w:tc>
          <w:tcPr>
            <w:tcW w:w="2267" w:type="pct"/>
            <w:shd w:val="clear" w:color="auto" w:fill="auto"/>
            <w:vAlign w:val="center"/>
          </w:tcPr>
          <w:p w14:paraId="2B5DEE90" w14:textId="77777777" w:rsidR="00A01891" w:rsidRPr="003330C9" w:rsidRDefault="00A01891" w:rsidP="00E44076">
            <w:pPr>
              <w:pStyle w:val="In-tableHeading"/>
              <w:keepNext w:val="0"/>
              <w:jc w:val="center"/>
              <w:rPr>
                <w:iCs/>
              </w:rPr>
            </w:pPr>
            <w:r w:rsidRPr="003330C9">
              <w:rPr>
                <w:iCs/>
              </w:rPr>
              <w:t>Method/Value</w:t>
            </w:r>
          </w:p>
        </w:tc>
        <w:tc>
          <w:tcPr>
            <w:tcW w:w="2110" w:type="pct"/>
            <w:shd w:val="clear" w:color="auto" w:fill="auto"/>
            <w:vAlign w:val="center"/>
          </w:tcPr>
          <w:p w14:paraId="4D95E413" w14:textId="77777777" w:rsidR="00A01891" w:rsidRPr="003330C9" w:rsidRDefault="00A01891" w:rsidP="00E44076">
            <w:pPr>
              <w:pStyle w:val="In-tableHeading"/>
              <w:keepNext w:val="0"/>
              <w:jc w:val="center"/>
              <w:rPr>
                <w:iCs/>
              </w:rPr>
            </w:pPr>
            <w:r w:rsidRPr="003330C9">
              <w:rPr>
                <w:iCs/>
              </w:rPr>
              <w:t>Impact</w:t>
            </w:r>
          </w:p>
          <w:p w14:paraId="0A5B9DF9" w14:textId="3622126F" w:rsidR="00A01891" w:rsidRPr="003330C9" w:rsidRDefault="00A01891" w:rsidP="00E44076">
            <w:pPr>
              <w:pStyle w:val="In-tableHeading"/>
              <w:keepNext w:val="0"/>
              <w:jc w:val="center"/>
              <w:rPr>
                <w:iCs/>
              </w:rPr>
            </w:pPr>
            <w:r w:rsidRPr="003330C9">
              <w:rPr>
                <w:rFonts w:cs="Arial"/>
                <w:iCs/>
                <w:szCs w:val="20"/>
              </w:rPr>
              <w:t xml:space="preserve">Revised base case: </w:t>
            </w:r>
            <w:r w:rsidR="008D2482" w:rsidRPr="008D2482">
              <w:rPr>
                <w:rFonts w:cs="Arial"/>
                <w:iCs/>
                <w:color w:val="000000"/>
                <w:szCs w:val="20"/>
                <w:shd w:val="solid" w:color="000000" w:fill="000000"/>
                <w14:textFill>
                  <w14:solidFill>
                    <w14:srgbClr w14:val="000000">
                      <w14:alpha w14:val="100000"/>
                    </w14:srgbClr>
                  </w14:solidFill>
                </w14:textFill>
              </w:rPr>
              <w:t>|</w:t>
            </w:r>
            <w:r w:rsidR="00AA73B7" w:rsidRPr="00AA73B7">
              <w:rPr>
                <w:rFonts w:cs="Arial"/>
                <w:iCs/>
                <w:szCs w:val="20"/>
              </w:rPr>
              <w:t xml:space="preserve"> </w:t>
            </w:r>
            <w:r w:rsidR="006B43E0" w:rsidRPr="006B43E0">
              <w:rPr>
                <w:rFonts w:cs="Arial"/>
                <w:iCs/>
                <w:szCs w:val="20"/>
                <w:vertAlign w:val="superscript"/>
              </w:rPr>
              <w:t>1</w:t>
            </w:r>
            <w:r w:rsidRPr="003330C9">
              <w:rPr>
                <w:rFonts w:cs="Arial"/>
                <w:iCs/>
                <w:szCs w:val="20"/>
              </w:rPr>
              <w:t xml:space="preserve">/QALY </w:t>
            </w:r>
          </w:p>
        </w:tc>
      </w:tr>
      <w:tr w:rsidR="00A01891" w:rsidRPr="003330C9" w14:paraId="184AA9CB" w14:textId="77777777" w:rsidTr="00AF2A3C">
        <w:tc>
          <w:tcPr>
            <w:tcW w:w="623" w:type="pct"/>
            <w:shd w:val="clear" w:color="auto" w:fill="auto"/>
            <w:vAlign w:val="center"/>
          </w:tcPr>
          <w:p w14:paraId="5131D829" w14:textId="77777777" w:rsidR="00A01891" w:rsidRPr="003330C9" w:rsidRDefault="00A01891" w:rsidP="00E44076">
            <w:pPr>
              <w:pStyle w:val="TableText0"/>
              <w:keepNext w:val="0"/>
              <w:rPr>
                <w:iCs/>
              </w:rPr>
            </w:pPr>
            <w:r w:rsidRPr="003330C9">
              <w:rPr>
                <w:iCs/>
              </w:rPr>
              <w:t>Time horizon</w:t>
            </w:r>
          </w:p>
        </w:tc>
        <w:tc>
          <w:tcPr>
            <w:tcW w:w="2267" w:type="pct"/>
            <w:shd w:val="clear" w:color="auto" w:fill="auto"/>
            <w:vAlign w:val="center"/>
          </w:tcPr>
          <w:p w14:paraId="003E6C3F" w14:textId="77777777" w:rsidR="00A01891" w:rsidRPr="003330C9" w:rsidRDefault="00A01891" w:rsidP="00E44076">
            <w:pPr>
              <w:pStyle w:val="TableText0"/>
              <w:keepNext w:val="0"/>
              <w:rPr>
                <w:iCs/>
              </w:rPr>
            </w:pPr>
            <w:r w:rsidRPr="003330C9">
              <w:rPr>
                <w:iCs/>
              </w:rPr>
              <w:t>15 years compared to 3.7 years of data in ARCHES</w:t>
            </w:r>
          </w:p>
        </w:tc>
        <w:tc>
          <w:tcPr>
            <w:tcW w:w="2110" w:type="pct"/>
            <w:shd w:val="clear" w:color="auto" w:fill="auto"/>
            <w:vAlign w:val="center"/>
          </w:tcPr>
          <w:p w14:paraId="75CB6E12" w14:textId="51DD59C8" w:rsidR="00A01891" w:rsidRPr="003330C9" w:rsidRDefault="00A01891" w:rsidP="00E44076">
            <w:pPr>
              <w:pStyle w:val="TableText0"/>
              <w:keepNext w:val="0"/>
              <w:rPr>
                <w:iCs/>
              </w:rPr>
            </w:pPr>
            <w:r w:rsidRPr="003330C9">
              <w:rPr>
                <w:iCs/>
              </w:rPr>
              <w:t xml:space="preserve">High, favoured enzalutamide arm. If time horizon was reduced to 7.5 years, the ICER increased to </w:t>
            </w:r>
            <w:r w:rsidR="008D2482" w:rsidRPr="008D2482">
              <w:rPr>
                <w:iCs/>
                <w:color w:val="000000"/>
                <w:spacing w:val="35"/>
                <w:shd w:val="solid" w:color="000000" w:fill="000000"/>
                <w:fitText w:val="432" w:id="-1233498354"/>
                <w14:textFill>
                  <w14:solidFill>
                    <w14:srgbClr w14:val="000000">
                      <w14:alpha w14:val="100000"/>
                    </w14:srgbClr>
                  </w14:solidFill>
                </w14:textFill>
              </w:rPr>
              <w:t>|||||</w:t>
            </w:r>
            <w:r w:rsidR="008D2482" w:rsidRPr="008D2482">
              <w:rPr>
                <w:iCs/>
                <w:color w:val="000000"/>
                <w:spacing w:val="2"/>
                <w:shd w:val="solid" w:color="000000" w:fill="000000"/>
                <w:fitText w:val="432" w:id="-1233498354"/>
                <w14:textFill>
                  <w14:solidFill>
                    <w14:srgbClr w14:val="000000">
                      <w14:alpha w14:val="100000"/>
                    </w14:srgbClr>
                  </w14:solidFill>
                </w14:textFill>
              </w:rPr>
              <w:t>|</w:t>
            </w:r>
            <w:r w:rsidR="00AA73B7" w:rsidRPr="00AA73B7">
              <w:rPr>
                <w:iCs/>
              </w:rPr>
              <w:t xml:space="preserve"> </w:t>
            </w:r>
            <w:r w:rsidR="006B43E0">
              <w:rPr>
                <w:rFonts w:cs="Arial"/>
                <w:iCs/>
                <w:szCs w:val="20"/>
                <w:vertAlign w:val="superscript"/>
              </w:rPr>
              <w:t>2</w:t>
            </w:r>
            <w:r w:rsidRPr="003330C9">
              <w:rPr>
                <w:iCs/>
              </w:rPr>
              <w:t>/QALY.</w:t>
            </w:r>
          </w:p>
        </w:tc>
      </w:tr>
      <w:tr w:rsidR="00A01891" w:rsidRPr="003330C9" w14:paraId="1F40C21E" w14:textId="77777777" w:rsidTr="00AF2A3C">
        <w:tc>
          <w:tcPr>
            <w:tcW w:w="623" w:type="pct"/>
            <w:shd w:val="clear" w:color="auto" w:fill="auto"/>
            <w:vAlign w:val="center"/>
          </w:tcPr>
          <w:p w14:paraId="03609F5A" w14:textId="77777777" w:rsidR="00A01891" w:rsidRPr="003330C9" w:rsidRDefault="00A01891" w:rsidP="00E44076">
            <w:pPr>
              <w:pStyle w:val="TableText0"/>
              <w:keepNext w:val="0"/>
              <w:rPr>
                <w:iCs/>
              </w:rPr>
            </w:pPr>
            <w:r w:rsidRPr="003330C9">
              <w:rPr>
                <w:iCs/>
              </w:rPr>
              <w:t>Data source for inputs</w:t>
            </w:r>
          </w:p>
        </w:tc>
        <w:tc>
          <w:tcPr>
            <w:tcW w:w="2267" w:type="pct"/>
            <w:shd w:val="clear" w:color="auto" w:fill="auto"/>
            <w:vAlign w:val="center"/>
          </w:tcPr>
          <w:p w14:paraId="2CCDE190" w14:textId="77777777" w:rsidR="00A01891" w:rsidRPr="003330C9" w:rsidRDefault="00A01891" w:rsidP="00E44076">
            <w:pPr>
              <w:pStyle w:val="TableText0"/>
              <w:keepNext w:val="0"/>
              <w:rPr>
                <w:iCs/>
              </w:rPr>
            </w:pPr>
            <w:r w:rsidRPr="003330C9">
              <w:rPr>
                <w:iCs/>
              </w:rPr>
              <w:t>ARCHES ITT for rPFS, OS and TTD</w:t>
            </w:r>
          </w:p>
        </w:tc>
        <w:tc>
          <w:tcPr>
            <w:tcW w:w="2110" w:type="pct"/>
            <w:shd w:val="clear" w:color="auto" w:fill="auto"/>
            <w:vAlign w:val="center"/>
          </w:tcPr>
          <w:p w14:paraId="71532F0C" w14:textId="3893CB12" w:rsidR="00A01891" w:rsidRPr="003330C9" w:rsidRDefault="00A01891" w:rsidP="00E44076">
            <w:pPr>
              <w:pStyle w:val="TableText0"/>
              <w:keepNext w:val="0"/>
              <w:rPr>
                <w:iCs/>
              </w:rPr>
            </w:pPr>
            <w:r w:rsidRPr="003330C9">
              <w:rPr>
                <w:iCs/>
              </w:rPr>
              <w:t xml:space="preserve">Moderate, favoured ADT arm. If ENZAMET (subgroup without docetaxel) was used as data source, ICER decreased to </w:t>
            </w:r>
            <w:r w:rsidR="008D2482" w:rsidRPr="008D2482">
              <w:rPr>
                <w:iCs/>
                <w:color w:val="000000"/>
                <w:spacing w:val="35"/>
                <w:shd w:val="solid" w:color="000000" w:fill="000000"/>
                <w:fitText w:val="432" w:id="-1233498353"/>
                <w14:textFill>
                  <w14:solidFill>
                    <w14:srgbClr w14:val="000000">
                      <w14:alpha w14:val="100000"/>
                    </w14:srgbClr>
                  </w14:solidFill>
                </w14:textFill>
              </w:rPr>
              <w:t>|||||</w:t>
            </w:r>
            <w:r w:rsidR="008D2482" w:rsidRPr="008D2482">
              <w:rPr>
                <w:iCs/>
                <w:color w:val="000000"/>
                <w:spacing w:val="2"/>
                <w:shd w:val="solid" w:color="000000" w:fill="000000"/>
                <w:fitText w:val="432" w:id="-1233498353"/>
                <w14:textFill>
                  <w14:solidFill>
                    <w14:srgbClr w14:val="000000">
                      <w14:alpha w14:val="100000"/>
                    </w14:srgbClr>
                  </w14:solidFill>
                </w14:textFill>
              </w:rPr>
              <w:t>|</w:t>
            </w:r>
            <w:r w:rsidR="00AA73B7" w:rsidRPr="00AA73B7">
              <w:rPr>
                <w:iCs/>
              </w:rPr>
              <w:t xml:space="preserve"> </w:t>
            </w:r>
            <w:r w:rsidR="006B43E0" w:rsidRPr="006B43E0">
              <w:rPr>
                <w:rFonts w:cs="Arial"/>
                <w:iCs/>
                <w:szCs w:val="20"/>
                <w:vertAlign w:val="superscript"/>
              </w:rPr>
              <w:t>1</w:t>
            </w:r>
            <w:r w:rsidRPr="003330C9">
              <w:rPr>
                <w:iCs/>
              </w:rPr>
              <w:t>/QALY.</w:t>
            </w:r>
          </w:p>
        </w:tc>
      </w:tr>
      <w:tr w:rsidR="00A01891" w:rsidRPr="003330C9" w14:paraId="51EBC3A6" w14:textId="77777777" w:rsidTr="00E44076">
        <w:tc>
          <w:tcPr>
            <w:tcW w:w="623" w:type="pct"/>
            <w:shd w:val="clear" w:color="auto" w:fill="auto"/>
            <w:vAlign w:val="center"/>
          </w:tcPr>
          <w:p w14:paraId="1263BBF6" w14:textId="77777777" w:rsidR="00A01891" w:rsidRPr="003330C9" w:rsidRDefault="00A01891" w:rsidP="00E44076">
            <w:pPr>
              <w:pStyle w:val="TableText0"/>
              <w:keepNext w:val="0"/>
              <w:rPr>
                <w:iCs/>
                <w:lang w:val="en-US"/>
              </w:rPr>
            </w:pPr>
            <w:r w:rsidRPr="003330C9">
              <w:rPr>
                <w:iCs/>
                <w:lang w:val="en-US"/>
              </w:rPr>
              <w:t>PFS extrapolation</w:t>
            </w:r>
          </w:p>
        </w:tc>
        <w:tc>
          <w:tcPr>
            <w:tcW w:w="2267" w:type="pct"/>
            <w:shd w:val="clear" w:color="auto" w:fill="auto"/>
            <w:vAlign w:val="center"/>
          </w:tcPr>
          <w:p w14:paraId="172E95A6" w14:textId="77777777" w:rsidR="00A01891" w:rsidRPr="003330C9" w:rsidRDefault="00A01891" w:rsidP="00E44076">
            <w:pPr>
              <w:pStyle w:val="TableText0"/>
              <w:keepNext w:val="0"/>
              <w:rPr>
                <w:iCs/>
                <w:lang w:val="en-US"/>
              </w:rPr>
            </w:pPr>
            <w:r w:rsidRPr="003330C9">
              <w:rPr>
                <w:iCs/>
                <w:szCs w:val="20"/>
              </w:rPr>
              <w:t xml:space="preserve">rPFS KM data until 20% patients remained at risk (ENZA 15 mths, ADT 12 mths) then </w:t>
            </w:r>
            <w:r w:rsidRPr="003330C9">
              <w:rPr>
                <w:iCs/>
                <w:szCs w:val="20"/>
                <w:u w:val="single"/>
              </w:rPr>
              <w:t xml:space="preserve">independent </w:t>
            </w:r>
            <w:r w:rsidRPr="003330C9">
              <w:rPr>
                <w:iCs/>
                <w:szCs w:val="20"/>
              </w:rPr>
              <w:t>log-normal extrapolation, restricted to not exceed OS.</w:t>
            </w:r>
          </w:p>
        </w:tc>
        <w:tc>
          <w:tcPr>
            <w:tcW w:w="2110" w:type="pct"/>
            <w:shd w:val="clear" w:color="auto" w:fill="auto"/>
            <w:vAlign w:val="center"/>
          </w:tcPr>
          <w:p w14:paraId="712FCD81" w14:textId="0781882B" w:rsidR="00A01891" w:rsidRPr="003330C9" w:rsidRDefault="00A01891" w:rsidP="00E44076">
            <w:pPr>
              <w:pStyle w:val="TableText0"/>
              <w:keepNext w:val="0"/>
              <w:rPr>
                <w:iCs/>
                <w:lang w:val="en-US"/>
              </w:rPr>
            </w:pPr>
            <w:r w:rsidRPr="003330C9">
              <w:rPr>
                <w:iCs/>
                <w:lang w:val="en-US"/>
              </w:rPr>
              <w:t>High, favoured ADT arm. PFS was where the enzalutamide arm gained the most QALYs but also where most costs were accrued</w:t>
            </w:r>
            <w:r w:rsidR="004D6783" w:rsidRPr="003330C9">
              <w:rPr>
                <w:iCs/>
                <w:lang w:val="en-US"/>
              </w:rPr>
              <w:t>.</w:t>
            </w:r>
            <w:r w:rsidRPr="003330C9">
              <w:rPr>
                <w:iCs/>
                <w:lang w:val="en-US"/>
              </w:rPr>
              <w:t xml:space="preserve"> </w:t>
            </w:r>
            <w:r w:rsidR="004D6783" w:rsidRPr="003330C9">
              <w:rPr>
                <w:iCs/>
                <w:lang w:val="en-US"/>
              </w:rPr>
              <w:t>S</w:t>
            </w:r>
            <w:r w:rsidRPr="003330C9">
              <w:rPr>
                <w:iCs/>
                <w:lang w:val="en-US"/>
              </w:rPr>
              <w:t>uch that if incremental PFS was reduced b</w:t>
            </w:r>
            <w:r w:rsidR="004D6783" w:rsidRPr="003330C9">
              <w:rPr>
                <w:iCs/>
                <w:lang w:val="en-US"/>
              </w:rPr>
              <w:t>ut</w:t>
            </w:r>
            <w:r w:rsidRPr="003330C9">
              <w:rPr>
                <w:iCs/>
                <w:lang w:val="en-US"/>
              </w:rPr>
              <w:t xml:space="preserve"> OS </w:t>
            </w:r>
            <w:r w:rsidR="004D6783" w:rsidRPr="003330C9">
              <w:rPr>
                <w:iCs/>
                <w:lang w:val="en-US"/>
              </w:rPr>
              <w:t xml:space="preserve">was </w:t>
            </w:r>
            <w:r w:rsidRPr="003330C9">
              <w:rPr>
                <w:iCs/>
                <w:lang w:val="en-US"/>
              </w:rPr>
              <w:t>unchanged</w:t>
            </w:r>
            <w:r w:rsidR="004D6783" w:rsidRPr="003330C9">
              <w:rPr>
                <w:iCs/>
                <w:lang w:val="en-US"/>
              </w:rPr>
              <w:t>,</w:t>
            </w:r>
            <w:r w:rsidRPr="003330C9">
              <w:rPr>
                <w:iCs/>
                <w:lang w:val="en-US"/>
              </w:rPr>
              <w:t xml:space="preserve"> the ICER would decrease, i.e., if second best fitting extrapolations were used (enzalutamide Gompertz, ADT gamma), the ICER decreased to </w:t>
            </w:r>
            <w:r w:rsidR="008D2482" w:rsidRPr="008D2482">
              <w:rPr>
                <w:iCs/>
                <w:color w:val="000000"/>
                <w:spacing w:val="35"/>
                <w:shd w:val="solid" w:color="000000" w:fill="000000"/>
                <w:fitText w:val="432" w:id="-1233498352"/>
                <w:lang w:val="en-US"/>
                <w14:textFill>
                  <w14:solidFill>
                    <w14:srgbClr w14:val="000000">
                      <w14:alpha w14:val="100000"/>
                    </w14:srgbClr>
                  </w14:solidFill>
                </w14:textFill>
              </w:rPr>
              <w:t>|||||</w:t>
            </w:r>
            <w:r w:rsidR="008D2482" w:rsidRPr="008D2482">
              <w:rPr>
                <w:iCs/>
                <w:color w:val="000000"/>
                <w:spacing w:val="2"/>
                <w:shd w:val="solid" w:color="000000" w:fill="000000"/>
                <w:fitText w:val="432" w:id="-1233498352"/>
                <w:lang w:val="en-US"/>
                <w14:textFill>
                  <w14:solidFill>
                    <w14:srgbClr w14:val="000000">
                      <w14:alpha w14:val="100000"/>
                    </w14:srgbClr>
                  </w14:solidFill>
                </w14:textFill>
              </w:rPr>
              <w:t>|</w:t>
            </w:r>
            <w:r w:rsidR="00AA73B7" w:rsidRPr="00AA73B7">
              <w:rPr>
                <w:iCs/>
                <w:lang w:val="en-US"/>
              </w:rPr>
              <w:t xml:space="preserve"> </w:t>
            </w:r>
            <w:r w:rsidR="006B43E0">
              <w:rPr>
                <w:rFonts w:cs="Arial"/>
                <w:iCs/>
                <w:szCs w:val="20"/>
                <w:vertAlign w:val="superscript"/>
              </w:rPr>
              <w:t>3</w:t>
            </w:r>
            <w:r w:rsidRPr="003330C9">
              <w:rPr>
                <w:iCs/>
                <w:lang w:val="en-US"/>
              </w:rPr>
              <w:t>/QALY.</w:t>
            </w:r>
          </w:p>
        </w:tc>
      </w:tr>
      <w:tr w:rsidR="00A01891" w:rsidRPr="003330C9" w14:paraId="7108C29E" w14:textId="77777777" w:rsidTr="00E44076">
        <w:tc>
          <w:tcPr>
            <w:tcW w:w="623" w:type="pct"/>
            <w:shd w:val="clear" w:color="auto" w:fill="auto"/>
            <w:vAlign w:val="center"/>
          </w:tcPr>
          <w:p w14:paraId="5CBDA5D3" w14:textId="77777777" w:rsidR="00A01891" w:rsidRPr="003330C9" w:rsidRDefault="00A01891" w:rsidP="00E44076">
            <w:pPr>
              <w:pStyle w:val="TableText0"/>
              <w:keepNext w:val="0"/>
              <w:rPr>
                <w:iCs/>
                <w:lang w:val="en-US"/>
              </w:rPr>
            </w:pPr>
            <w:r w:rsidRPr="003330C9">
              <w:rPr>
                <w:iCs/>
                <w:lang w:val="en-US"/>
              </w:rPr>
              <w:t>OS extrapolation</w:t>
            </w:r>
          </w:p>
        </w:tc>
        <w:tc>
          <w:tcPr>
            <w:tcW w:w="2267" w:type="pct"/>
            <w:shd w:val="clear" w:color="auto" w:fill="auto"/>
            <w:vAlign w:val="center"/>
          </w:tcPr>
          <w:p w14:paraId="728F666B" w14:textId="77777777" w:rsidR="00A01891" w:rsidRPr="003330C9" w:rsidRDefault="00A01891" w:rsidP="00E44076">
            <w:pPr>
              <w:pStyle w:val="TableText0"/>
              <w:keepNext w:val="0"/>
              <w:rPr>
                <w:iCs/>
                <w:lang w:val="en-US"/>
              </w:rPr>
            </w:pPr>
            <w:r w:rsidRPr="003330C9">
              <w:rPr>
                <w:iCs/>
                <w:lang w:val="en-US"/>
              </w:rPr>
              <w:t>Enzalutamide arm: KM data until 20% patients remained at risk (48 mths) then log-logistic extrapolation.</w:t>
            </w:r>
          </w:p>
          <w:p w14:paraId="0258FDC0" w14:textId="77777777" w:rsidR="00A01891" w:rsidRPr="003330C9" w:rsidRDefault="00A01891" w:rsidP="00E44076">
            <w:pPr>
              <w:pStyle w:val="TableText0"/>
              <w:keepNext w:val="0"/>
              <w:rPr>
                <w:iCs/>
                <w:lang w:val="en-US"/>
              </w:rPr>
            </w:pPr>
            <w:r w:rsidRPr="003330C9">
              <w:rPr>
                <w:iCs/>
                <w:lang w:val="en-US"/>
              </w:rPr>
              <w:t>ADT arm: KM data until 20% patients remained at risk (45 mths) then log-normal extrapolation.</w:t>
            </w:r>
          </w:p>
        </w:tc>
        <w:tc>
          <w:tcPr>
            <w:tcW w:w="2110" w:type="pct"/>
            <w:shd w:val="clear" w:color="auto" w:fill="auto"/>
            <w:vAlign w:val="center"/>
          </w:tcPr>
          <w:p w14:paraId="2B0B715D" w14:textId="0FF728E7" w:rsidR="00A01891" w:rsidRPr="003330C9" w:rsidRDefault="00A01891" w:rsidP="00E44076">
            <w:pPr>
              <w:pStyle w:val="TableText0"/>
              <w:keepNext w:val="0"/>
              <w:rPr>
                <w:iCs/>
                <w:lang w:val="en-US"/>
              </w:rPr>
            </w:pPr>
            <w:r w:rsidRPr="003330C9">
              <w:rPr>
                <w:iCs/>
                <w:lang w:val="en-US"/>
              </w:rPr>
              <w:t xml:space="preserve">High, favoured enzalutamide arm. If OS converged from Year 5, the ICER increased to </w:t>
            </w:r>
            <w:r w:rsidR="008D2482" w:rsidRPr="008D2482">
              <w:rPr>
                <w:iCs/>
                <w:color w:val="000000"/>
                <w:spacing w:val="37"/>
                <w:shd w:val="solid" w:color="000000" w:fill="000000"/>
                <w:fitText w:val="443" w:id="-1233498368"/>
                <w:lang w:val="en-US"/>
                <w14:textFill>
                  <w14:solidFill>
                    <w14:srgbClr w14:val="000000">
                      <w14:alpha w14:val="100000"/>
                    </w14:srgbClr>
                  </w14:solidFill>
                </w14:textFill>
              </w:rPr>
              <w:t>|||||</w:t>
            </w:r>
            <w:r w:rsidR="008D2482" w:rsidRPr="008D2482">
              <w:rPr>
                <w:iCs/>
                <w:color w:val="000000"/>
                <w:spacing w:val="3"/>
                <w:shd w:val="solid" w:color="000000" w:fill="000000"/>
                <w:fitText w:val="443" w:id="-1233498368"/>
                <w:lang w:val="en-US"/>
                <w14:textFill>
                  <w14:solidFill>
                    <w14:srgbClr w14:val="000000">
                      <w14:alpha w14:val="100000"/>
                    </w14:srgbClr>
                  </w14:solidFill>
                </w14:textFill>
              </w:rPr>
              <w:t>|</w:t>
            </w:r>
            <w:r w:rsidR="00AA73B7" w:rsidRPr="00AA73B7">
              <w:rPr>
                <w:iCs/>
                <w:lang w:val="en-US"/>
              </w:rPr>
              <w:t xml:space="preserve"> </w:t>
            </w:r>
            <w:r w:rsidR="006B43E0">
              <w:rPr>
                <w:rFonts w:cs="Arial"/>
                <w:iCs/>
                <w:szCs w:val="20"/>
                <w:vertAlign w:val="superscript"/>
              </w:rPr>
              <w:t>2</w:t>
            </w:r>
            <w:r w:rsidRPr="003330C9">
              <w:rPr>
                <w:iCs/>
                <w:lang w:val="en-US"/>
              </w:rPr>
              <w:t>/QALY.</w:t>
            </w:r>
          </w:p>
        </w:tc>
      </w:tr>
      <w:tr w:rsidR="00A01891" w:rsidRPr="003330C9" w14:paraId="69BDCFD9" w14:textId="77777777" w:rsidTr="00E44076">
        <w:trPr>
          <w:trHeight w:val="1052"/>
        </w:trPr>
        <w:tc>
          <w:tcPr>
            <w:tcW w:w="623" w:type="pct"/>
            <w:shd w:val="clear" w:color="auto" w:fill="auto"/>
            <w:vAlign w:val="center"/>
          </w:tcPr>
          <w:p w14:paraId="781F2354" w14:textId="77777777" w:rsidR="00A01891" w:rsidRPr="003330C9" w:rsidRDefault="00A01891" w:rsidP="00E44076">
            <w:pPr>
              <w:pStyle w:val="TableText0"/>
              <w:keepNext w:val="0"/>
              <w:rPr>
                <w:iCs/>
                <w:lang w:val="en-US"/>
              </w:rPr>
            </w:pPr>
            <w:r w:rsidRPr="003330C9">
              <w:rPr>
                <w:iCs/>
                <w:lang w:val="en-US"/>
              </w:rPr>
              <w:t>TTD extrapolation</w:t>
            </w:r>
          </w:p>
        </w:tc>
        <w:tc>
          <w:tcPr>
            <w:tcW w:w="2267" w:type="pct"/>
            <w:shd w:val="clear" w:color="auto" w:fill="auto"/>
            <w:vAlign w:val="center"/>
          </w:tcPr>
          <w:p w14:paraId="5D9B3823" w14:textId="77777777" w:rsidR="00A01891" w:rsidRPr="003330C9" w:rsidRDefault="00A01891" w:rsidP="00E44076">
            <w:pPr>
              <w:pStyle w:val="TableText0"/>
              <w:keepNext w:val="0"/>
              <w:rPr>
                <w:iCs/>
                <w:szCs w:val="20"/>
              </w:rPr>
            </w:pPr>
            <w:r w:rsidRPr="003330C9">
              <w:rPr>
                <w:iCs/>
                <w:szCs w:val="20"/>
              </w:rPr>
              <w:t xml:space="preserve">KM data until rPFS cut-off (ENZA 15 mths, ADT 12 mths) then </w:t>
            </w:r>
            <w:r w:rsidRPr="003330C9">
              <w:rPr>
                <w:iCs/>
                <w:szCs w:val="20"/>
                <w:u w:val="single"/>
              </w:rPr>
              <w:t xml:space="preserve">independent </w:t>
            </w:r>
            <w:r w:rsidRPr="003330C9">
              <w:rPr>
                <w:iCs/>
                <w:szCs w:val="20"/>
              </w:rPr>
              <w:t>log-logistic extrapolation restricted to not exceed PFS or OS.</w:t>
            </w:r>
          </w:p>
          <w:p w14:paraId="26C582D7" w14:textId="77777777" w:rsidR="00A01891" w:rsidRPr="003330C9" w:rsidRDefault="00A01891" w:rsidP="00E44076">
            <w:pPr>
              <w:pStyle w:val="TableText0"/>
              <w:keepNext w:val="0"/>
              <w:rPr>
                <w:iCs/>
                <w:lang w:val="en-US"/>
              </w:rPr>
            </w:pPr>
            <w:r w:rsidRPr="003330C9">
              <w:rPr>
                <w:iCs/>
                <w:lang w:val="en-US"/>
              </w:rPr>
              <w:t>TTD assumed to represent time to discontinuation of enzalutamide and ADT in the revised base case.</w:t>
            </w:r>
          </w:p>
        </w:tc>
        <w:tc>
          <w:tcPr>
            <w:tcW w:w="2110" w:type="pct"/>
            <w:shd w:val="clear" w:color="auto" w:fill="auto"/>
            <w:vAlign w:val="center"/>
          </w:tcPr>
          <w:p w14:paraId="023929B5" w14:textId="77777777" w:rsidR="00A01891" w:rsidRPr="003330C9" w:rsidRDefault="00A01891" w:rsidP="00E44076">
            <w:pPr>
              <w:pStyle w:val="TableText0"/>
              <w:keepNext w:val="0"/>
              <w:rPr>
                <w:iCs/>
                <w:lang w:val="en-US"/>
              </w:rPr>
            </w:pPr>
            <w:r w:rsidRPr="003330C9">
              <w:rPr>
                <w:iCs/>
                <w:lang w:val="en-US"/>
              </w:rPr>
              <w:t>High, favoured enzalutamide arm (TTD in enzalutamide arm did not exceed PFS, but TTD in ADT arm did).</w:t>
            </w:r>
          </w:p>
          <w:p w14:paraId="6601AFB0" w14:textId="20032374" w:rsidR="00A01891" w:rsidRPr="003330C9" w:rsidRDefault="00A01891" w:rsidP="00E44076">
            <w:pPr>
              <w:pStyle w:val="TableText0"/>
              <w:keepNext w:val="0"/>
              <w:rPr>
                <w:iCs/>
                <w:lang w:val="en-US"/>
              </w:rPr>
            </w:pPr>
            <w:r w:rsidRPr="003330C9">
              <w:rPr>
                <w:iCs/>
                <w:lang w:val="en-US"/>
              </w:rPr>
              <w:t xml:space="preserve">However, if ADT costs were assumed for all alive patients each cycle, the ICER decreased to </w:t>
            </w:r>
            <w:r w:rsidR="008D2482" w:rsidRPr="008D2482">
              <w:rPr>
                <w:iCs/>
                <w:color w:val="000000"/>
                <w:spacing w:val="35"/>
                <w:shd w:val="solid" w:color="000000" w:fill="000000"/>
                <w:fitText w:val="432" w:id="-1233498367"/>
                <w:lang w:val="en-US"/>
                <w14:textFill>
                  <w14:solidFill>
                    <w14:srgbClr w14:val="000000">
                      <w14:alpha w14:val="100000"/>
                    </w14:srgbClr>
                  </w14:solidFill>
                </w14:textFill>
              </w:rPr>
              <w:t>|||||</w:t>
            </w:r>
            <w:r w:rsidR="008D2482" w:rsidRPr="008D2482">
              <w:rPr>
                <w:iCs/>
                <w:color w:val="000000"/>
                <w:spacing w:val="2"/>
                <w:shd w:val="solid" w:color="000000" w:fill="000000"/>
                <w:fitText w:val="432" w:id="-1233498367"/>
                <w:lang w:val="en-US"/>
                <w14:textFill>
                  <w14:solidFill>
                    <w14:srgbClr w14:val="000000">
                      <w14:alpha w14:val="100000"/>
                    </w14:srgbClr>
                  </w14:solidFill>
                </w14:textFill>
              </w:rPr>
              <w:t>|</w:t>
            </w:r>
            <w:r w:rsidR="00AA73B7" w:rsidRPr="00AA73B7">
              <w:rPr>
                <w:iCs/>
                <w:lang w:val="en-US"/>
              </w:rPr>
              <w:t xml:space="preserve"> </w:t>
            </w:r>
            <w:r w:rsidR="006B43E0" w:rsidRPr="006B43E0">
              <w:rPr>
                <w:rFonts w:cs="Arial"/>
                <w:iCs/>
                <w:szCs w:val="20"/>
                <w:vertAlign w:val="superscript"/>
              </w:rPr>
              <w:t>1</w:t>
            </w:r>
            <w:r w:rsidRPr="003330C9">
              <w:rPr>
                <w:iCs/>
                <w:lang w:val="en-US"/>
              </w:rPr>
              <w:t>/QALY.</w:t>
            </w:r>
          </w:p>
        </w:tc>
      </w:tr>
      <w:tr w:rsidR="00A01891" w:rsidRPr="003330C9" w14:paraId="65F9AAAE" w14:textId="77777777" w:rsidTr="00E44076">
        <w:tc>
          <w:tcPr>
            <w:tcW w:w="623" w:type="pct"/>
            <w:shd w:val="clear" w:color="auto" w:fill="auto"/>
            <w:vAlign w:val="center"/>
          </w:tcPr>
          <w:p w14:paraId="31DBB1AB" w14:textId="77777777" w:rsidR="00A01891" w:rsidRPr="003330C9" w:rsidRDefault="00A01891" w:rsidP="00E44076">
            <w:pPr>
              <w:pStyle w:val="TableText0"/>
              <w:rPr>
                <w:iCs/>
                <w:lang w:val="en-US"/>
              </w:rPr>
            </w:pPr>
            <w:r w:rsidRPr="003330C9">
              <w:rPr>
                <w:iCs/>
                <w:lang w:val="en-US"/>
              </w:rPr>
              <w:t>Subsequent NHA use</w:t>
            </w:r>
          </w:p>
        </w:tc>
        <w:tc>
          <w:tcPr>
            <w:tcW w:w="2267" w:type="pct"/>
            <w:shd w:val="clear" w:color="auto" w:fill="auto"/>
            <w:vAlign w:val="center"/>
          </w:tcPr>
          <w:p w14:paraId="543BADEF" w14:textId="77777777" w:rsidR="00A01891" w:rsidRPr="003330C9" w:rsidRDefault="00A01891" w:rsidP="00E44076">
            <w:pPr>
              <w:pStyle w:val="TableText0"/>
              <w:rPr>
                <w:iCs/>
                <w:lang w:val="en-US"/>
              </w:rPr>
            </w:pPr>
            <w:r w:rsidRPr="003330C9">
              <w:rPr>
                <w:iCs/>
                <w:lang w:val="en-US"/>
              </w:rPr>
              <w:t>Included for 90% of patients in ADT arm who progress to PD1 (60% enzalutamide, 30% abiraterone). Assumed to require 15 months of treatment.</w:t>
            </w:r>
          </w:p>
        </w:tc>
        <w:tc>
          <w:tcPr>
            <w:tcW w:w="2110" w:type="pct"/>
            <w:shd w:val="clear" w:color="auto" w:fill="auto"/>
            <w:vAlign w:val="center"/>
          </w:tcPr>
          <w:p w14:paraId="108C883D" w14:textId="77777777" w:rsidR="00A01891" w:rsidRPr="003330C9" w:rsidRDefault="00A01891" w:rsidP="00E44076">
            <w:pPr>
              <w:pStyle w:val="TableText0"/>
              <w:rPr>
                <w:iCs/>
                <w:lang w:val="en-US"/>
              </w:rPr>
            </w:pPr>
            <w:r w:rsidRPr="003330C9">
              <w:rPr>
                <w:iCs/>
                <w:lang w:val="en-US"/>
              </w:rPr>
              <w:t>High, favoured enzalutamide, as this was the main cost offset in the model.</w:t>
            </w:r>
          </w:p>
          <w:p w14:paraId="7A533A8A" w14:textId="7E3954D1" w:rsidR="00A01891" w:rsidRPr="003330C9" w:rsidRDefault="00A01891" w:rsidP="00E44076">
            <w:pPr>
              <w:pStyle w:val="TableText0"/>
              <w:rPr>
                <w:iCs/>
                <w:lang w:val="en-US"/>
              </w:rPr>
            </w:pPr>
            <w:r w:rsidRPr="003330C9">
              <w:rPr>
                <w:iCs/>
                <w:lang w:val="en-US"/>
              </w:rPr>
              <w:t xml:space="preserve">If all patients receiving NHA second line received enzalutamide, ICER increased to </w:t>
            </w:r>
            <w:r w:rsidR="008D2482" w:rsidRPr="008D2482">
              <w:rPr>
                <w:iCs/>
                <w:color w:val="000000"/>
                <w:spacing w:val="37"/>
                <w:shd w:val="solid" w:color="000000" w:fill="000000"/>
                <w:fitText w:val="443" w:id="-1233498366"/>
                <w:lang w:val="en-US"/>
                <w14:textFill>
                  <w14:solidFill>
                    <w14:srgbClr w14:val="000000">
                      <w14:alpha w14:val="100000"/>
                    </w14:srgbClr>
                  </w14:solidFill>
                </w14:textFill>
              </w:rPr>
              <w:t>|||||</w:t>
            </w:r>
            <w:r w:rsidR="008D2482" w:rsidRPr="008D2482">
              <w:rPr>
                <w:iCs/>
                <w:color w:val="000000"/>
                <w:spacing w:val="3"/>
                <w:shd w:val="solid" w:color="000000" w:fill="000000"/>
                <w:fitText w:val="443" w:id="-1233498366"/>
                <w:lang w:val="en-US"/>
                <w14:textFill>
                  <w14:solidFill>
                    <w14:srgbClr w14:val="000000">
                      <w14:alpha w14:val="100000"/>
                    </w14:srgbClr>
                  </w14:solidFill>
                </w14:textFill>
              </w:rPr>
              <w:t>|</w:t>
            </w:r>
            <w:r w:rsidR="00AA73B7" w:rsidRPr="00AA73B7">
              <w:rPr>
                <w:iCs/>
                <w:lang w:val="en-US"/>
              </w:rPr>
              <w:t xml:space="preserve"> </w:t>
            </w:r>
            <w:r w:rsidR="006B43E0" w:rsidRPr="006B43E0">
              <w:rPr>
                <w:rFonts w:cs="Arial"/>
                <w:iCs/>
                <w:szCs w:val="20"/>
                <w:vertAlign w:val="superscript"/>
              </w:rPr>
              <w:t>1</w:t>
            </w:r>
            <w:r w:rsidRPr="003330C9">
              <w:rPr>
                <w:iCs/>
                <w:lang w:val="en-US"/>
              </w:rPr>
              <w:t>/QALY.</w:t>
            </w:r>
          </w:p>
        </w:tc>
      </w:tr>
      <w:tr w:rsidR="00A01891" w:rsidRPr="003330C9" w14:paraId="11193346" w14:textId="77777777" w:rsidTr="00E44076">
        <w:tc>
          <w:tcPr>
            <w:tcW w:w="623" w:type="pct"/>
            <w:shd w:val="clear" w:color="auto" w:fill="auto"/>
            <w:vAlign w:val="center"/>
          </w:tcPr>
          <w:p w14:paraId="3615BA71" w14:textId="77777777" w:rsidR="00A01891" w:rsidRPr="003330C9" w:rsidRDefault="00A01891" w:rsidP="00E44076">
            <w:pPr>
              <w:pStyle w:val="TableText0"/>
              <w:rPr>
                <w:iCs/>
                <w:lang w:val="en-US"/>
              </w:rPr>
            </w:pPr>
            <w:r w:rsidRPr="003330C9">
              <w:rPr>
                <w:iCs/>
                <w:lang w:val="en-US"/>
              </w:rPr>
              <w:t>Utilities</w:t>
            </w:r>
          </w:p>
        </w:tc>
        <w:tc>
          <w:tcPr>
            <w:tcW w:w="2267" w:type="pct"/>
            <w:shd w:val="clear" w:color="auto" w:fill="auto"/>
            <w:vAlign w:val="center"/>
          </w:tcPr>
          <w:p w14:paraId="7A9E43BC" w14:textId="77777777" w:rsidR="00A01891" w:rsidRPr="003330C9" w:rsidRDefault="00A01891" w:rsidP="00E44076">
            <w:pPr>
              <w:pStyle w:val="TableText0"/>
              <w:rPr>
                <w:iCs/>
                <w:lang w:val="en-US"/>
              </w:rPr>
            </w:pPr>
            <w:r w:rsidRPr="003330C9">
              <w:rPr>
                <w:iCs/>
                <w:lang w:val="en-US"/>
              </w:rPr>
              <w:t>Health state utilities based on ARCHES and AFFIRM (PFS, PD1, PD2 and PD3, and EoL disutility). Utilities did not differ based on treatment received.</w:t>
            </w:r>
          </w:p>
          <w:p w14:paraId="24997677" w14:textId="77777777" w:rsidR="00A01891" w:rsidRPr="003330C9" w:rsidRDefault="00A01891" w:rsidP="00E44076">
            <w:pPr>
              <w:pStyle w:val="TableText0"/>
              <w:rPr>
                <w:iCs/>
                <w:lang w:val="en-US"/>
              </w:rPr>
            </w:pPr>
            <w:r w:rsidRPr="003330C9">
              <w:rPr>
                <w:iCs/>
                <w:lang w:val="en-US"/>
              </w:rPr>
              <w:t>Disutilities for AEs and SREs based on literature.</w:t>
            </w:r>
          </w:p>
        </w:tc>
        <w:tc>
          <w:tcPr>
            <w:tcW w:w="2110" w:type="pct"/>
            <w:shd w:val="clear" w:color="auto" w:fill="auto"/>
            <w:vAlign w:val="center"/>
          </w:tcPr>
          <w:p w14:paraId="2E626DC0" w14:textId="0FA312CF" w:rsidR="00A01891" w:rsidRPr="003330C9" w:rsidRDefault="00A01891" w:rsidP="00E44076">
            <w:pPr>
              <w:pStyle w:val="TableText0"/>
              <w:rPr>
                <w:iCs/>
                <w:lang w:val="en-US"/>
              </w:rPr>
            </w:pPr>
            <w:r w:rsidRPr="003330C9">
              <w:rPr>
                <w:iCs/>
                <w:lang w:val="en-US"/>
              </w:rPr>
              <w:t xml:space="preserve">Moderate, favoured enzalutamide, as the majority of incremental QALYs were accrued in PFS where utility was highest. If utility in PD1 increased by 3% (from 0.72 to 0.75) the ICER increased to </w:t>
            </w:r>
            <w:r w:rsidR="008D2482" w:rsidRPr="008D2482">
              <w:rPr>
                <w:iCs/>
                <w:color w:val="000000"/>
                <w:spacing w:val="35"/>
                <w:shd w:val="solid" w:color="000000" w:fill="000000"/>
                <w:fitText w:val="432" w:id="-1233498365"/>
                <w:lang w:val="en-US"/>
                <w14:textFill>
                  <w14:solidFill>
                    <w14:srgbClr w14:val="000000">
                      <w14:alpha w14:val="100000"/>
                    </w14:srgbClr>
                  </w14:solidFill>
                </w14:textFill>
              </w:rPr>
              <w:t>|||||</w:t>
            </w:r>
            <w:r w:rsidR="008D2482" w:rsidRPr="008D2482">
              <w:rPr>
                <w:iCs/>
                <w:color w:val="000000"/>
                <w:spacing w:val="2"/>
                <w:shd w:val="solid" w:color="000000" w:fill="000000"/>
                <w:fitText w:val="432" w:id="-1233498365"/>
                <w:lang w:val="en-US"/>
                <w14:textFill>
                  <w14:solidFill>
                    <w14:srgbClr w14:val="000000">
                      <w14:alpha w14:val="100000"/>
                    </w14:srgbClr>
                  </w14:solidFill>
                </w14:textFill>
              </w:rPr>
              <w:t>|</w:t>
            </w:r>
            <w:r w:rsidR="00AA73B7" w:rsidRPr="00AA73B7">
              <w:rPr>
                <w:iCs/>
                <w:lang w:val="en-US"/>
              </w:rPr>
              <w:t xml:space="preserve"> </w:t>
            </w:r>
            <w:r w:rsidR="006B43E0" w:rsidRPr="006B43E0">
              <w:rPr>
                <w:rFonts w:cs="Arial"/>
                <w:iCs/>
                <w:szCs w:val="20"/>
                <w:vertAlign w:val="superscript"/>
              </w:rPr>
              <w:t>1</w:t>
            </w:r>
            <w:r w:rsidRPr="003330C9">
              <w:rPr>
                <w:iCs/>
                <w:lang w:val="en-US"/>
              </w:rPr>
              <w:t>/QALY (2% increase).</w:t>
            </w:r>
          </w:p>
        </w:tc>
      </w:tr>
    </w:tbl>
    <w:p w14:paraId="0ED0B3B6" w14:textId="77777777" w:rsidR="00A01891" w:rsidRPr="003330C9" w:rsidRDefault="00A01891" w:rsidP="00A01891">
      <w:pPr>
        <w:pStyle w:val="FooterTableFigure"/>
        <w:rPr>
          <w:iCs/>
        </w:rPr>
      </w:pPr>
      <w:r w:rsidRPr="003330C9">
        <w:rPr>
          <w:iCs/>
        </w:rPr>
        <w:t>Source: compiled during the evaluation.</w:t>
      </w:r>
    </w:p>
    <w:p w14:paraId="778B1831" w14:textId="65C309B9" w:rsidR="00A01891" w:rsidRDefault="00A01891" w:rsidP="006B43E0">
      <w:pPr>
        <w:pStyle w:val="FooterTableFigure"/>
        <w:spacing w:after="0"/>
        <w:rPr>
          <w:iCs/>
        </w:rPr>
      </w:pPr>
      <w:r w:rsidRPr="003330C9">
        <w:rPr>
          <w:iCs/>
        </w:rPr>
        <w:t>PFS= progression free survival, PD=progressed disease, ENZA=enzalutamide, ADT=androgen deprivation therapy; ITT = intention-to-treat; OS = overall survival; PD = progressed disease; TTD = time to treatment discontinuation, mth=month, ICER=incremental cost-effectiveness ratio, QALY=quality adjusted life year</w:t>
      </w:r>
    </w:p>
    <w:p w14:paraId="19D810DC" w14:textId="77777777" w:rsidR="006B43E0" w:rsidRPr="009A6D58" w:rsidRDefault="006B43E0" w:rsidP="006B43E0">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10B95ED" w14:textId="33F26241" w:rsidR="006B43E0" w:rsidRPr="009A6D58" w:rsidRDefault="006B43E0" w:rsidP="006B43E0">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6B43E0">
        <w:rPr>
          <w:rFonts w:ascii="Arial Narrow" w:hAnsi="Arial Narrow"/>
          <w:i/>
          <w:sz w:val="18"/>
          <w:szCs w:val="18"/>
        </w:rPr>
        <w:t>$55,000 to &lt; $75,000</w:t>
      </w:r>
    </w:p>
    <w:p w14:paraId="04835BF3" w14:textId="708EC399" w:rsidR="006B43E0" w:rsidRPr="009A6D58" w:rsidRDefault="006B43E0" w:rsidP="006B43E0">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6B43E0">
        <w:rPr>
          <w:rFonts w:ascii="Arial Narrow" w:hAnsi="Arial Narrow"/>
          <w:i/>
          <w:sz w:val="18"/>
          <w:szCs w:val="18"/>
        </w:rPr>
        <w:t>$75,000 to &lt; $95,000</w:t>
      </w:r>
    </w:p>
    <w:p w14:paraId="0658DB0C" w14:textId="0050BA1F" w:rsidR="006B43E0" w:rsidRPr="006B43E0" w:rsidRDefault="006B43E0" w:rsidP="006B43E0">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6B43E0">
        <w:rPr>
          <w:rFonts w:ascii="Arial Narrow" w:hAnsi="Arial Narrow"/>
          <w:i/>
          <w:sz w:val="18"/>
          <w:szCs w:val="18"/>
        </w:rPr>
        <w:t>$45,000 to &lt; $55,000</w:t>
      </w:r>
    </w:p>
    <w:p w14:paraId="2E2C1028" w14:textId="68616B63" w:rsidR="00A01891" w:rsidRPr="006B43E0" w:rsidRDefault="00A01891" w:rsidP="006B43E0">
      <w:pPr>
        <w:pStyle w:val="3-BodyText"/>
        <w:ind w:left="709" w:hanging="709"/>
        <w:rPr>
          <w:iCs/>
        </w:rPr>
      </w:pPr>
      <w:r w:rsidRPr="0075485D">
        <w:rPr>
          <w:iCs/>
        </w:rPr>
        <w:fldChar w:fldCharType="begin"/>
      </w:r>
      <w:r w:rsidRPr="0075485D">
        <w:rPr>
          <w:iCs/>
        </w:rPr>
        <w:instrText xml:space="preserve"> REF _Ref104805160 \h  \* MERGEFORMAT </w:instrText>
      </w:r>
      <w:r w:rsidRPr="0075485D">
        <w:rPr>
          <w:iCs/>
        </w:rPr>
      </w:r>
      <w:r w:rsidRPr="0075485D">
        <w:rPr>
          <w:iCs/>
        </w:rPr>
        <w:fldChar w:fldCharType="separate"/>
      </w:r>
      <w:r w:rsidR="00307E3A" w:rsidRPr="00307E3A">
        <w:rPr>
          <w:iCs/>
        </w:rPr>
        <w:t>Table 9</w:t>
      </w:r>
      <w:r w:rsidRPr="0075485D">
        <w:rPr>
          <w:iCs/>
        </w:rPr>
        <w:fldChar w:fldCharType="end"/>
      </w:r>
      <w:r w:rsidRPr="0075485D">
        <w:rPr>
          <w:iCs/>
        </w:rPr>
        <w:t xml:space="preserve"> summarises the results of the stepped economic analysis. The majority of the benefits were accrued in the extrapolation from 44 months to 15 years, compared to the majority of the incremental costs which occurred during the trial period. The submitted ICER was </w:t>
      </w:r>
      <w:r w:rsidR="006B43E0" w:rsidRPr="006B43E0">
        <w:rPr>
          <w:iCs/>
        </w:rPr>
        <w:t>$35,000 to &lt; $45,000</w:t>
      </w:r>
      <w:r w:rsidR="006B43E0">
        <w:rPr>
          <w:iCs/>
        </w:rPr>
        <w:t xml:space="preserve"> </w:t>
      </w:r>
      <w:r w:rsidRPr="006B43E0">
        <w:rPr>
          <w:iCs/>
        </w:rPr>
        <w:t>per QALY gained. Once ADT cost</w:t>
      </w:r>
      <w:r w:rsidR="004D6783" w:rsidRPr="006B43E0">
        <w:rPr>
          <w:iCs/>
        </w:rPr>
        <w:t>s</w:t>
      </w:r>
      <w:r w:rsidRPr="006B43E0">
        <w:rPr>
          <w:iCs/>
        </w:rPr>
        <w:t xml:space="preserve"> w</w:t>
      </w:r>
      <w:r w:rsidR="004D6783" w:rsidRPr="006B43E0">
        <w:rPr>
          <w:iCs/>
        </w:rPr>
        <w:t>ere</w:t>
      </w:r>
      <w:r w:rsidRPr="006B43E0">
        <w:rPr>
          <w:iCs/>
        </w:rPr>
        <w:t xml:space="preserve"> revised in the enzalutamide arm to be in combination with enzalutamide, th</w:t>
      </w:r>
      <w:r w:rsidR="004D6783" w:rsidRPr="006B43E0">
        <w:rPr>
          <w:iCs/>
        </w:rPr>
        <w:t>e</w:t>
      </w:r>
      <w:r w:rsidRPr="006B43E0">
        <w:rPr>
          <w:iCs/>
        </w:rPr>
        <w:t xml:space="preserve"> </w:t>
      </w:r>
      <w:r w:rsidR="004D6783" w:rsidRPr="006B43E0">
        <w:rPr>
          <w:iCs/>
        </w:rPr>
        <w:t xml:space="preserve">ICER </w:t>
      </w:r>
      <w:r w:rsidRPr="006B43E0">
        <w:rPr>
          <w:iCs/>
        </w:rPr>
        <w:t xml:space="preserve">increased to </w:t>
      </w:r>
      <w:r w:rsidR="006B43E0" w:rsidRPr="006B43E0">
        <w:rPr>
          <w:iCs/>
        </w:rPr>
        <w:t xml:space="preserve">$55,000 to &lt; $75,000 </w:t>
      </w:r>
      <w:r w:rsidRPr="006B43E0">
        <w:rPr>
          <w:iCs/>
        </w:rPr>
        <w:t xml:space="preserve">per QALY gained. Enzalutamide cost was the largest contributor to the incremental costs (123.6%). The largest cost offset (equivalent to -35.2% of the incremental costs) were subsequent treatment costs in PD1, due to the high utilisation and cost of subsequent NHAs in the ADT arm. The total incremental QALY gain was 1.47 years undiscounted (1.04 discounted), this far exceeded the 0.56 QALY gain </w:t>
      </w:r>
      <w:r w:rsidR="00BE6ECA" w:rsidRPr="006B43E0">
        <w:rPr>
          <w:iCs/>
        </w:rPr>
        <w:t xml:space="preserve">(weighted across the HV and LV models) </w:t>
      </w:r>
      <w:r w:rsidRPr="006B43E0">
        <w:rPr>
          <w:iCs/>
        </w:rPr>
        <w:t xml:space="preserve">for apalutamide versus ADT presented in the July 2022 apalutamide resubmission (paragraph 6.24, apalutamide PSD, July 2022 PBAC meeting), primarily due to differences in the model time horizon (shorter in the apalutamide submission). </w:t>
      </w:r>
    </w:p>
    <w:p w14:paraId="66A11D9C" w14:textId="1342E963" w:rsidR="00BE6ECA" w:rsidRPr="0075485D" w:rsidRDefault="00434514" w:rsidP="00BE6ECA">
      <w:pPr>
        <w:pStyle w:val="3-BodyText"/>
        <w:ind w:left="709" w:hanging="709"/>
        <w:rPr>
          <w:iCs/>
        </w:rPr>
      </w:pPr>
      <w:bookmarkStart w:id="57" w:name="_Ref129695739"/>
      <w:r w:rsidRPr="0075485D">
        <w:rPr>
          <w:iCs/>
        </w:rPr>
        <w:t xml:space="preserve">The results of the revised base case presented in the PSCR </w:t>
      </w:r>
      <w:r w:rsidR="000E11BB">
        <w:rPr>
          <w:iCs/>
        </w:rPr>
        <w:t xml:space="preserve">and pre-PBAC response </w:t>
      </w:r>
      <w:r w:rsidRPr="0075485D">
        <w:rPr>
          <w:iCs/>
        </w:rPr>
        <w:t>are also included in the table below. The changes included:</w:t>
      </w:r>
      <w:bookmarkEnd w:id="57"/>
      <w:r w:rsidR="00BE6ECA" w:rsidRPr="0075485D">
        <w:rPr>
          <w:iCs/>
        </w:rPr>
        <w:t xml:space="preserve"> </w:t>
      </w:r>
    </w:p>
    <w:p w14:paraId="66379C68" w14:textId="77777777" w:rsidR="00BE6ECA" w:rsidRPr="0075485D" w:rsidRDefault="00BE6ECA" w:rsidP="00BE6ECA">
      <w:pPr>
        <w:pStyle w:val="3-BodyText"/>
        <w:numPr>
          <w:ilvl w:val="1"/>
          <w:numId w:val="24"/>
        </w:numPr>
        <w:ind w:left="1080" w:hanging="360"/>
        <w:rPr>
          <w:iCs/>
        </w:rPr>
      </w:pPr>
      <w:r w:rsidRPr="0075485D">
        <w:rPr>
          <w:iCs/>
        </w:rPr>
        <w:t>Reduction of the time horizon to 10 years (from 15);</w:t>
      </w:r>
    </w:p>
    <w:p w14:paraId="7E782E93" w14:textId="77777777" w:rsidR="00BE6ECA" w:rsidRPr="0075485D" w:rsidRDefault="00BE6ECA" w:rsidP="00BE6ECA">
      <w:pPr>
        <w:pStyle w:val="3-BodyText"/>
        <w:numPr>
          <w:ilvl w:val="1"/>
          <w:numId w:val="24"/>
        </w:numPr>
        <w:ind w:left="1080" w:hanging="360"/>
        <w:rPr>
          <w:iCs/>
        </w:rPr>
      </w:pPr>
      <w:r w:rsidRPr="0075485D">
        <w:rPr>
          <w:iCs/>
        </w:rPr>
        <w:t>Application of the Gompertz function to OS in both arms (previously a log-logistic function was applied to the enzalutamide arm and a log-normal function to the ADT arm);</w:t>
      </w:r>
    </w:p>
    <w:p w14:paraId="639FB3B6" w14:textId="77777777" w:rsidR="00BE6ECA" w:rsidRPr="0075485D" w:rsidRDefault="00BE6ECA" w:rsidP="00BE6ECA">
      <w:pPr>
        <w:pStyle w:val="3-BodyText"/>
        <w:numPr>
          <w:ilvl w:val="1"/>
          <w:numId w:val="24"/>
        </w:numPr>
        <w:ind w:left="1080" w:hanging="360"/>
        <w:rPr>
          <w:iCs/>
        </w:rPr>
      </w:pPr>
      <w:r w:rsidRPr="0075485D">
        <w:rPr>
          <w:iCs/>
        </w:rPr>
        <w:t>Application of the Weibull function to PFS in both arms (previously a Gompertz function was applied to the enzalutamide arm and a gamma function to the ADT arm);</w:t>
      </w:r>
    </w:p>
    <w:p w14:paraId="00BE4621" w14:textId="77777777" w:rsidR="00BE6ECA" w:rsidRPr="0075485D" w:rsidRDefault="00BE6ECA" w:rsidP="00BE6ECA">
      <w:pPr>
        <w:pStyle w:val="3-BodyText"/>
        <w:numPr>
          <w:ilvl w:val="1"/>
          <w:numId w:val="24"/>
        </w:numPr>
        <w:ind w:left="1080" w:hanging="360"/>
        <w:rPr>
          <w:iCs/>
        </w:rPr>
      </w:pPr>
      <w:r w:rsidRPr="0075485D">
        <w:rPr>
          <w:iCs/>
        </w:rPr>
        <w:t>Application of the Weibull function to TTD in both arms (previously independent log-logistic functions were applied to both arms);</w:t>
      </w:r>
    </w:p>
    <w:p w14:paraId="1E9520E1" w14:textId="77777777" w:rsidR="00BE6ECA" w:rsidRPr="0075485D" w:rsidRDefault="00BE6ECA" w:rsidP="00BE6ECA">
      <w:pPr>
        <w:pStyle w:val="3-BodyText"/>
        <w:numPr>
          <w:ilvl w:val="1"/>
          <w:numId w:val="24"/>
        </w:numPr>
        <w:ind w:left="1080" w:hanging="360"/>
        <w:rPr>
          <w:iCs/>
        </w:rPr>
      </w:pPr>
      <w:r w:rsidRPr="0075485D">
        <w:rPr>
          <w:iCs/>
        </w:rPr>
        <w:t>ADT costs were applied to all alive patients in both arms (previously ADT costs were only applied to patients in the enzalutamide arm once they had ceased treatment with enzalutamide);</w:t>
      </w:r>
    </w:p>
    <w:p w14:paraId="5A1B16C1" w14:textId="77777777" w:rsidR="00BE6ECA" w:rsidRPr="0075485D" w:rsidRDefault="00BE6ECA" w:rsidP="00BE6ECA">
      <w:pPr>
        <w:pStyle w:val="3-BodyText"/>
        <w:numPr>
          <w:ilvl w:val="1"/>
          <w:numId w:val="24"/>
        </w:numPr>
        <w:ind w:left="1080" w:hanging="360"/>
        <w:rPr>
          <w:iCs/>
        </w:rPr>
      </w:pPr>
      <w:r w:rsidRPr="0075485D">
        <w:rPr>
          <w:iCs/>
        </w:rPr>
        <w:t>The cost of subsequent abiraterone treatment was assumed to cost the same as enzalutamide in the mCRPC setting (previously the published higher DPMQ was used for abiraterone); and</w:t>
      </w:r>
    </w:p>
    <w:p w14:paraId="17A313B4" w14:textId="26A2302C" w:rsidR="00BE6ECA" w:rsidRPr="0075485D" w:rsidRDefault="00BE6ECA" w:rsidP="00BE6ECA">
      <w:pPr>
        <w:pStyle w:val="3-BodyText"/>
        <w:numPr>
          <w:ilvl w:val="1"/>
          <w:numId w:val="24"/>
        </w:numPr>
        <w:ind w:left="1080" w:hanging="360"/>
        <w:rPr>
          <w:iCs/>
        </w:rPr>
      </w:pPr>
      <w:r w:rsidRPr="0075485D">
        <w:rPr>
          <w:iCs/>
        </w:rPr>
        <w:t>The effective AEMP of enzalutamide was reduced from $</w:t>
      </w:r>
      <w:r w:rsidR="008D2482" w:rsidRPr="00307E3A">
        <w:rPr>
          <w:iCs/>
          <w:color w:val="000000"/>
          <w:w w:val="15"/>
          <w:shd w:val="solid" w:color="000000" w:fill="000000"/>
          <w:fitText w:val="-20" w:id="-1233498364"/>
          <w14:textFill>
            <w14:solidFill>
              <w14:srgbClr w14:val="000000">
                <w14:alpha w14:val="100000"/>
              </w14:srgbClr>
            </w14:solidFill>
          </w14:textFill>
        </w:rPr>
        <w:t xml:space="preserve">|  </w:t>
      </w:r>
      <w:r w:rsidR="008D2482" w:rsidRPr="00307E3A">
        <w:rPr>
          <w:iCs/>
          <w:color w:val="000000"/>
          <w:spacing w:val="-69"/>
          <w:w w:val="15"/>
          <w:shd w:val="solid" w:color="000000" w:fill="000000"/>
          <w:fitText w:val="-20" w:id="-1233498364"/>
          <w14:textFill>
            <w14:solidFill>
              <w14:srgbClr w14:val="000000">
                <w14:alpha w14:val="100000"/>
              </w14:srgbClr>
            </w14:solidFill>
          </w14:textFill>
        </w:rPr>
        <w:t>|</w:t>
      </w:r>
      <w:r w:rsidR="00AA73B7" w:rsidRPr="00AA73B7">
        <w:rPr>
          <w:iCs/>
        </w:rPr>
        <w:t xml:space="preserve"> </w:t>
      </w:r>
      <w:r w:rsidRPr="0075485D">
        <w:rPr>
          <w:iCs/>
        </w:rPr>
        <w:t>to $</w:t>
      </w:r>
      <w:r w:rsidR="008D2482" w:rsidRPr="00307E3A">
        <w:rPr>
          <w:iCs/>
          <w:color w:val="000000"/>
          <w:w w:val="15"/>
          <w:shd w:val="solid" w:color="000000" w:fill="000000"/>
          <w:fitText w:val="-20" w:id="-1233498363"/>
          <w14:textFill>
            <w14:solidFill>
              <w14:srgbClr w14:val="000000">
                <w14:alpha w14:val="100000"/>
              </w14:srgbClr>
            </w14:solidFill>
          </w14:textFill>
        </w:rPr>
        <w:t xml:space="preserve">|  </w:t>
      </w:r>
      <w:r w:rsidR="008D2482" w:rsidRPr="00307E3A">
        <w:rPr>
          <w:iCs/>
          <w:color w:val="000000"/>
          <w:spacing w:val="-69"/>
          <w:w w:val="15"/>
          <w:shd w:val="solid" w:color="000000" w:fill="000000"/>
          <w:fitText w:val="-20" w:id="-1233498363"/>
          <w14:textFill>
            <w14:solidFill>
              <w14:srgbClr w14:val="000000">
                <w14:alpha w14:val="100000"/>
              </w14:srgbClr>
            </w14:solidFill>
          </w14:textFill>
        </w:rPr>
        <w:t>|</w:t>
      </w:r>
      <w:r w:rsidRPr="0075485D">
        <w:rPr>
          <w:iCs/>
        </w:rPr>
        <w:t>.</w:t>
      </w:r>
      <w:r w:rsidR="000E11BB">
        <w:rPr>
          <w:iCs/>
        </w:rPr>
        <w:t xml:space="preserve"> This was further reduced to $</w:t>
      </w:r>
      <w:r w:rsidR="008D2482" w:rsidRPr="00307E3A">
        <w:rPr>
          <w:iCs/>
          <w:color w:val="000000"/>
          <w:w w:val="15"/>
          <w:shd w:val="solid" w:color="000000" w:fill="000000"/>
          <w:fitText w:val="-20" w:id="-1233498362"/>
          <w14:textFill>
            <w14:solidFill>
              <w14:srgbClr w14:val="000000">
                <w14:alpha w14:val="100000"/>
              </w14:srgbClr>
            </w14:solidFill>
          </w14:textFill>
        </w:rPr>
        <w:t xml:space="preserve">|  </w:t>
      </w:r>
      <w:r w:rsidR="008D2482" w:rsidRPr="00307E3A">
        <w:rPr>
          <w:iCs/>
          <w:color w:val="000000"/>
          <w:spacing w:val="-69"/>
          <w:w w:val="15"/>
          <w:shd w:val="solid" w:color="000000" w:fill="000000"/>
          <w:fitText w:val="-20" w:id="-1233498362"/>
          <w14:textFill>
            <w14:solidFill>
              <w14:srgbClr w14:val="000000">
                <w14:alpha w14:val="100000"/>
              </w14:srgbClr>
            </w14:solidFill>
          </w14:textFill>
        </w:rPr>
        <w:t>|</w:t>
      </w:r>
      <w:r w:rsidR="000E11BB">
        <w:rPr>
          <w:iCs/>
        </w:rPr>
        <w:t xml:space="preserve"> in the pre-PBAC response.</w:t>
      </w:r>
    </w:p>
    <w:p w14:paraId="369B6A9A" w14:textId="4D8EE8A5" w:rsidR="008835DC" w:rsidRPr="006B43E0" w:rsidRDefault="00BE6ECA" w:rsidP="006B43E0">
      <w:pPr>
        <w:pStyle w:val="3-BodyText"/>
        <w:ind w:left="709" w:hanging="709"/>
        <w:rPr>
          <w:iCs/>
        </w:rPr>
      </w:pPr>
      <w:r w:rsidRPr="0075485D">
        <w:rPr>
          <w:iCs/>
        </w:rPr>
        <w:t xml:space="preserve">The ESC noted that the </w:t>
      </w:r>
      <w:r w:rsidR="000E11BB">
        <w:rPr>
          <w:iCs/>
        </w:rPr>
        <w:t xml:space="preserve">PSCR </w:t>
      </w:r>
      <w:r w:rsidRPr="0075485D">
        <w:rPr>
          <w:iCs/>
        </w:rPr>
        <w:t xml:space="preserve">revised base case ICER was </w:t>
      </w:r>
      <w:r w:rsidR="006B43E0" w:rsidRPr="006B43E0">
        <w:rPr>
          <w:iCs/>
        </w:rPr>
        <w:t>$45,000 to &lt; $55,000</w:t>
      </w:r>
      <w:r w:rsidR="006B43E0">
        <w:rPr>
          <w:iCs/>
        </w:rPr>
        <w:t xml:space="preserve"> </w:t>
      </w:r>
      <w:r w:rsidRPr="006B43E0">
        <w:rPr>
          <w:iCs/>
        </w:rPr>
        <w:t>per QALY gained. The ESC considered that the changes to the costs for ADT and subsequent therapies were appropriate. The ESC considered that the reduction in the time horizon was appropriate. The ESC considered that although the revised functions for the extrapolation of PFS and TTD were not well justified, they resulted in time on treatment outcomes that appeared more consistent with those previously accepted by the PBAC for apalutamide. For OS, the ESC noted that the application of the Gompertz function to both arms was consistent with that accepted by the PBAC previously for apalutamide</w:t>
      </w:r>
      <w:r w:rsidR="00FC34D3" w:rsidRPr="006B43E0">
        <w:rPr>
          <w:iCs/>
        </w:rPr>
        <w:t>, but that convergence was not applied</w:t>
      </w:r>
      <w:r w:rsidRPr="006B43E0">
        <w:rPr>
          <w:iCs/>
        </w:rPr>
        <w:t>. Overall, the ESC noted that the modelled QALY</w:t>
      </w:r>
      <w:r w:rsidR="00FC34D3" w:rsidRPr="006B43E0">
        <w:rPr>
          <w:iCs/>
        </w:rPr>
        <w:t xml:space="preserve"> gain</w:t>
      </w:r>
      <w:r w:rsidRPr="006B43E0">
        <w:rPr>
          <w:iCs/>
        </w:rPr>
        <w:t xml:space="preserve"> in the revised base case (0.83) remained higher than that previously accepted by the PBAC for apalutamide (0.56, weighted across the LV and HV models with convergence applied; paragraph 6.24, apalutamide PSD, July 2022 PBAC meeting). </w:t>
      </w:r>
    </w:p>
    <w:p w14:paraId="79B39A4B" w14:textId="18010402" w:rsidR="0099461E" w:rsidRDefault="008835DC" w:rsidP="00BE6ECA">
      <w:pPr>
        <w:pStyle w:val="3-BodyText"/>
        <w:ind w:left="709" w:hanging="709"/>
        <w:rPr>
          <w:iCs/>
        </w:rPr>
      </w:pPr>
      <w:r w:rsidRPr="0075485D">
        <w:rPr>
          <w:iCs/>
        </w:rPr>
        <w:t>The ESC noted that the duration of subsequent NHA treatment (15 months) continued to exceed that previously accepted by the PBAC (12 months) in the revised base case presented in the PSCR.</w:t>
      </w:r>
    </w:p>
    <w:p w14:paraId="7A037DA4" w14:textId="2496EF5E" w:rsidR="000E11BB" w:rsidRPr="006B43E0" w:rsidRDefault="000E11BB" w:rsidP="006B43E0">
      <w:pPr>
        <w:pStyle w:val="3-BodyText"/>
        <w:ind w:left="709" w:hanging="709"/>
        <w:rPr>
          <w:iCs/>
        </w:rPr>
      </w:pPr>
      <w:r>
        <w:rPr>
          <w:iCs/>
        </w:rPr>
        <w:t>The revised base case presented in the pre-PBAC response, which reduced the AEMP to $</w:t>
      </w:r>
      <w:r w:rsidR="008D2482" w:rsidRPr="00307E3A">
        <w:rPr>
          <w:iCs/>
          <w:color w:val="000000"/>
          <w:w w:val="15"/>
          <w:shd w:val="solid" w:color="000000" w:fill="000000"/>
          <w:fitText w:val="-20" w:id="-1233498361"/>
          <w14:textFill>
            <w14:solidFill>
              <w14:srgbClr w14:val="000000">
                <w14:alpha w14:val="100000"/>
              </w14:srgbClr>
            </w14:solidFill>
          </w14:textFill>
        </w:rPr>
        <w:t xml:space="preserve">|  </w:t>
      </w:r>
      <w:r w:rsidR="008D2482" w:rsidRPr="00307E3A">
        <w:rPr>
          <w:iCs/>
          <w:color w:val="000000"/>
          <w:spacing w:val="-69"/>
          <w:w w:val="15"/>
          <w:shd w:val="solid" w:color="000000" w:fill="000000"/>
          <w:fitText w:val="-20" w:id="-1233498361"/>
          <w14:textFill>
            <w14:solidFill>
              <w14:srgbClr w14:val="000000">
                <w14:alpha w14:val="100000"/>
              </w14:srgbClr>
            </w14:solidFill>
          </w14:textFill>
        </w:rPr>
        <w:t>|</w:t>
      </w:r>
      <w:r>
        <w:rPr>
          <w:iCs/>
        </w:rPr>
        <w:t xml:space="preserve">, was </w:t>
      </w:r>
      <w:r w:rsidR="006B43E0" w:rsidRPr="006B43E0">
        <w:rPr>
          <w:iCs/>
        </w:rPr>
        <w:t>$35,000 to &lt; $45,000</w:t>
      </w:r>
      <w:r w:rsidR="006B43E0">
        <w:rPr>
          <w:iCs/>
        </w:rPr>
        <w:t xml:space="preserve"> </w:t>
      </w:r>
      <w:r w:rsidRPr="006B43E0">
        <w:rPr>
          <w:iCs/>
        </w:rPr>
        <w:t>per QALY gained.</w:t>
      </w:r>
    </w:p>
    <w:p w14:paraId="6B7487D9" w14:textId="369377EF" w:rsidR="00A01891" w:rsidRPr="008835DC" w:rsidRDefault="00A01891" w:rsidP="00A01891">
      <w:pPr>
        <w:pStyle w:val="Caption"/>
        <w:rPr>
          <w:rStyle w:val="CommentReference"/>
          <w:b/>
          <w:szCs w:val="24"/>
        </w:rPr>
      </w:pPr>
      <w:bookmarkStart w:id="58" w:name="_Ref104805160"/>
      <w:r w:rsidRPr="008835DC">
        <w:t xml:space="preserve">Table </w:t>
      </w:r>
      <w:fldSimple w:instr=" SEQ Table \* ARABIC ">
        <w:r w:rsidR="00307E3A">
          <w:rPr>
            <w:noProof/>
          </w:rPr>
          <w:t>9</w:t>
        </w:r>
      </w:fldSimple>
      <w:bookmarkEnd w:id="58"/>
      <w:r w:rsidRPr="008835DC">
        <w:t>:</w:t>
      </w:r>
      <w:r w:rsidRPr="008835DC">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258"/>
        <w:gridCol w:w="959"/>
        <w:gridCol w:w="965"/>
        <w:gridCol w:w="961"/>
        <w:gridCol w:w="959"/>
        <w:gridCol w:w="959"/>
        <w:gridCol w:w="956"/>
      </w:tblGrid>
      <w:tr w:rsidR="00A01891" w:rsidRPr="0075485D" w14:paraId="3105BEFC" w14:textId="77777777" w:rsidTr="000E11BB">
        <w:trPr>
          <w:tblHeader/>
        </w:trPr>
        <w:tc>
          <w:tcPr>
            <w:tcW w:w="1806" w:type="pct"/>
            <w:vMerge w:val="restart"/>
            <w:vAlign w:val="center"/>
            <w:hideMark/>
          </w:tcPr>
          <w:p w14:paraId="708C8E4F" w14:textId="77777777" w:rsidR="00A01891" w:rsidRPr="0075485D" w:rsidRDefault="00A01891" w:rsidP="00E44076">
            <w:pPr>
              <w:pStyle w:val="In-tableHeading"/>
            </w:pPr>
            <w:r w:rsidRPr="0075485D">
              <w:t>Step and component</w:t>
            </w:r>
          </w:p>
        </w:tc>
        <w:tc>
          <w:tcPr>
            <w:tcW w:w="1600" w:type="pct"/>
            <w:gridSpan w:val="3"/>
            <w:vAlign w:val="center"/>
            <w:hideMark/>
          </w:tcPr>
          <w:p w14:paraId="5B3C5DEA" w14:textId="77777777" w:rsidR="00A01891" w:rsidRPr="0075485D" w:rsidRDefault="00A01891" w:rsidP="00E44076">
            <w:pPr>
              <w:pStyle w:val="In-tableHeading"/>
              <w:jc w:val="center"/>
            </w:pPr>
            <w:r w:rsidRPr="0075485D">
              <w:t>Submission</w:t>
            </w:r>
          </w:p>
        </w:tc>
        <w:tc>
          <w:tcPr>
            <w:tcW w:w="1594" w:type="pct"/>
            <w:gridSpan w:val="3"/>
            <w:vAlign w:val="center"/>
            <w:hideMark/>
          </w:tcPr>
          <w:p w14:paraId="35EBC588" w14:textId="77777777" w:rsidR="00A01891" w:rsidRPr="0075485D" w:rsidRDefault="00A01891" w:rsidP="00E44076">
            <w:pPr>
              <w:pStyle w:val="In-tableHeading"/>
              <w:jc w:val="center"/>
            </w:pPr>
            <w:r w:rsidRPr="0075485D">
              <w:t>Revised</w:t>
            </w:r>
          </w:p>
        </w:tc>
      </w:tr>
      <w:tr w:rsidR="00A01891" w:rsidRPr="0075485D" w14:paraId="54DF28FB" w14:textId="77777777" w:rsidTr="00AC26F4">
        <w:trPr>
          <w:tblHeader/>
        </w:trPr>
        <w:tc>
          <w:tcPr>
            <w:tcW w:w="0" w:type="auto"/>
            <w:vMerge/>
            <w:vAlign w:val="center"/>
            <w:hideMark/>
          </w:tcPr>
          <w:p w14:paraId="447C9573" w14:textId="77777777" w:rsidR="00A01891" w:rsidRPr="0075485D" w:rsidRDefault="00A01891" w:rsidP="00E44076">
            <w:pPr>
              <w:jc w:val="left"/>
              <w:rPr>
                <w:rFonts w:ascii="Arial Narrow" w:eastAsiaTheme="majorEastAsia" w:hAnsi="Arial Narrow" w:cs="Times New Roman"/>
                <w:b/>
                <w:sz w:val="20"/>
                <w:lang w:val="en-US"/>
              </w:rPr>
            </w:pPr>
          </w:p>
        </w:tc>
        <w:tc>
          <w:tcPr>
            <w:tcW w:w="532" w:type="pct"/>
            <w:vAlign w:val="center"/>
            <w:hideMark/>
          </w:tcPr>
          <w:p w14:paraId="7A7E36B0" w14:textId="77777777" w:rsidR="00A01891" w:rsidRPr="0075485D" w:rsidRDefault="00A01891" w:rsidP="00E44076">
            <w:pPr>
              <w:pStyle w:val="In-tableHeading"/>
              <w:jc w:val="center"/>
            </w:pPr>
            <w:r w:rsidRPr="0075485D">
              <w:t>ENZA</w:t>
            </w:r>
          </w:p>
        </w:tc>
        <w:tc>
          <w:tcPr>
            <w:tcW w:w="535" w:type="pct"/>
            <w:vAlign w:val="center"/>
            <w:hideMark/>
          </w:tcPr>
          <w:p w14:paraId="5704FCF1" w14:textId="77777777" w:rsidR="00A01891" w:rsidRPr="0075485D" w:rsidRDefault="00A01891" w:rsidP="00E44076">
            <w:pPr>
              <w:pStyle w:val="In-tableHeading"/>
              <w:jc w:val="center"/>
            </w:pPr>
            <w:r w:rsidRPr="0075485D">
              <w:t>ADT</w:t>
            </w:r>
          </w:p>
        </w:tc>
        <w:tc>
          <w:tcPr>
            <w:tcW w:w="533" w:type="pct"/>
            <w:vAlign w:val="center"/>
            <w:hideMark/>
          </w:tcPr>
          <w:p w14:paraId="75687EE4" w14:textId="77777777" w:rsidR="00A01891" w:rsidRPr="0075485D" w:rsidRDefault="00A01891" w:rsidP="00E44076">
            <w:pPr>
              <w:pStyle w:val="In-tableHeading"/>
              <w:jc w:val="center"/>
            </w:pPr>
            <w:r w:rsidRPr="0075485D">
              <w:t>Increment</w:t>
            </w:r>
          </w:p>
        </w:tc>
        <w:tc>
          <w:tcPr>
            <w:tcW w:w="532" w:type="pct"/>
            <w:vAlign w:val="center"/>
            <w:hideMark/>
          </w:tcPr>
          <w:p w14:paraId="44D8ECC2" w14:textId="77777777" w:rsidR="00A01891" w:rsidRPr="0075485D" w:rsidRDefault="00A01891" w:rsidP="00E44076">
            <w:pPr>
              <w:pStyle w:val="In-tableHeading"/>
              <w:jc w:val="center"/>
            </w:pPr>
            <w:r w:rsidRPr="0075485D">
              <w:t>ENZA</w:t>
            </w:r>
          </w:p>
        </w:tc>
        <w:tc>
          <w:tcPr>
            <w:tcW w:w="532" w:type="pct"/>
            <w:vAlign w:val="center"/>
            <w:hideMark/>
          </w:tcPr>
          <w:p w14:paraId="50FFB919" w14:textId="77777777" w:rsidR="00A01891" w:rsidRPr="0075485D" w:rsidRDefault="00A01891" w:rsidP="00E44076">
            <w:pPr>
              <w:pStyle w:val="In-tableHeading"/>
              <w:jc w:val="center"/>
            </w:pPr>
            <w:r w:rsidRPr="0075485D">
              <w:t>ADT</w:t>
            </w:r>
          </w:p>
        </w:tc>
        <w:tc>
          <w:tcPr>
            <w:tcW w:w="531" w:type="pct"/>
            <w:vAlign w:val="center"/>
            <w:hideMark/>
          </w:tcPr>
          <w:p w14:paraId="7D6CE020" w14:textId="77777777" w:rsidR="00A01891" w:rsidRPr="0075485D" w:rsidRDefault="00A01891" w:rsidP="00E44076">
            <w:pPr>
              <w:pStyle w:val="In-tableHeading"/>
              <w:jc w:val="center"/>
            </w:pPr>
            <w:r w:rsidRPr="0075485D">
              <w:t>Increment</w:t>
            </w:r>
          </w:p>
        </w:tc>
      </w:tr>
      <w:tr w:rsidR="00A01891" w:rsidRPr="0075485D" w14:paraId="3524A25A" w14:textId="77777777" w:rsidTr="00AC26F4">
        <w:tc>
          <w:tcPr>
            <w:tcW w:w="5000" w:type="pct"/>
            <w:gridSpan w:val="7"/>
            <w:vAlign w:val="center"/>
            <w:hideMark/>
          </w:tcPr>
          <w:p w14:paraId="1033FAAE" w14:textId="77777777" w:rsidR="00A01891" w:rsidRPr="0075485D" w:rsidRDefault="00A01891" w:rsidP="00E44076">
            <w:pPr>
              <w:pStyle w:val="TableText0"/>
            </w:pPr>
            <w:r w:rsidRPr="0075485D">
              <w:rPr>
                <w:b/>
              </w:rPr>
              <w:t>Step 1: Time horizon, trial based (44 months), treatment costs only</w:t>
            </w:r>
          </w:p>
        </w:tc>
      </w:tr>
      <w:tr w:rsidR="00A01891" w:rsidRPr="0075485D" w14:paraId="62F17E5A" w14:textId="77777777" w:rsidTr="000E11BB">
        <w:tc>
          <w:tcPr>
            <w:tcW w:w="1806" w:type="pct"/>
            <w:vAlign w:val="center"/>
            <w:hideMark/>
          </w:tcPr>
          <w:p w14:paraId="597538ED" w14:textId="241B7593" w:rsidR="00A01891" w:rsidRPr="0075485D" w:rsidRDefault="00A01891" w:rsidP="00E44076">
            <w:pPr>
              <w:pStyle w:val="TableText0"/>
              <w:rPr>
                <w:rFonts w:ascii="Times" w:hAnsi="Times"/>
              </w:rPr>
            </w:pPr>
            <w:r w:rsidRPr="0075485D">
              <w:t>Costs</w:t>
            </w:r>
            <w:r w:rsidR="006B43E0">
              <w:t xml:space="preserve"> ($)</w:t>
            </w:r>
          </w:p>
        </w:tc>
        <w:tc>
          <w:tcPr>
            <w:tcW w:w="532" w:type="pct"/>
            <w:vAlign w:val="center"/>
            <w:hideMark/>
          </w:tcPr>
          <w:p w14:paraId="0115BAF6" w14:textId="3DBD68F3" w:rsidR="00A01891" w:rsidRPr="006B43E0" w:rsidRDefault="008D2482" w:rsidP="00E44076">
            <w:pPr>
              <w:pStyle w:val="TableText0"/>
              <w:jc w:val="center"/>
              <w:rPr>
                <w:rFonts w:ascii="Times" w:hAnsi="Times"/>
                <w:highlight w:val="darkGray"/>
              </w:rPr>
            </w:pPr>
            <w:r w:rsidRPr="008D2482">
              <w:rPr>
                <w:color w:val="000000"/>
                <w:spacing w:val="169"/>
                <w:shd w:val="solid" w:color="000000" w:fill="000000"/>
                <w:fitText w:val="255" w:id="-1233498360"/>
                <w14:textFill>
                  <w14:solidFill>
                    <w14:srgbClr w14:val="000000">
                      <w14:alpha w14:val="100000"/>
                    </w14:srgbClr>
                  </w14:solidFill>
                </w14:textFill>
              </w:rPr>
              <w:t>|</w:t>
            </w:r>
            <w:r w:rsidRPr="008D2482">
              <w:rPr>
                <w:color w:val="000000"/>
                <w:spacing w:val="1"/>
                <w:shd w:val="solid" w:color="000000" w:fill="000000"/>
                <w:fitText w:val="255" w:id="-1233498360"/>
                <w14:textFill>
                  <w14:solidFill>
                    <w14:srgbClr w14:val="000000">
                      <w14:alpha w14:val="100000"/>
                    </w14:srgbClr>
                  </w14:solidFill>
                </w14:textFill>
              </w:rPr>
              <w:t>|</w:t>
            </w:r>
            <w:r w:rsidR="00AA73B7" w:rsidRPr="00AA73B7">
              <w:t xml:space="preserve">  </w:t>
            </w:r>
          </w:p>
        </w:tc>
        <w:tc>
          <w:tcPr>
            <w:tcW w:w="535" w:type="pct"/>
            <w:vAlign w:val="center"/>
            <w:hideMark/>
          </w:tcPr>
          <w:p w14:paraId="39B22132" w14:textId="1D8145DF" w:rsidR="00A01891" w:rsidRPr="00AA190B" w:rsidRDefault="008D2482" w:rsidP="00E44076">
            <w:pPr>
              <w:pStyle w:val="TableText0"/>
              <w:jc w:val="center"/>
              <w:rPr>
                <w:rFonts w:ascii="Times" w:hAnsi="Times"/>
              </w:rPr>
            </w:pPr>
            <w:r w:rsidRPr="008D2482">
              <w:rPr>
                <w:color w:val="000000"/>
                <w:spacing w:val="179"/>
                <w:shd w:val="solid" w:color="000000" w:fill="000000"/>
                <w:fitText w:val="265" w:id="-1233498359"/>
                <w14:textFill>
                  <w14:solidFill>
                    <w14:srgbClr w14:val="000000">
                      <w14:alpha w14:val="100000"/>
                    </w14:srgbClr>
                  </w14:solidFill>
                </w14:textFill>
              </w:rPr>
              <w:t>|</w:t>
            </w:r>
            <w:r w:rsidRPr="008D2482">
              <w:rPr>
                <w:color w:val="000000"/>
                <w:spacing w:val="1"/>
                <w:shd w:val="solid" w:color="000000" w:fill="000000"/>
                <w:fitText w:val="265" w:id="-1233498359"/>
                <w14:textFill>
                  <w14:solidFill>
                    <w14:srgbClr w14:val="000000">
                      <w14:alpha w14:val="100000"/>
                    </w14:srgbClr>
                  </w14:solidFill>
                </w14:textFill>
              </w:rPr>
              <w:t>|</w:t>
            </w:r>
            <w:r w:rsidR="00AA73B7" w:rsidRPr="00AA73B7">
              <w:t xml:space="preserve"> </w:t>
            </w:r>
            <w:r w:rsidR="008417A8">
              <w:t xml:space="preserve"> </w:t>
            </w:r>
          </w:p>
        </w:tc>
        <w:tc>
          <w:tcPr>
            <w:tcW w:w="533" w:type="pct"/>
            <w:vAlign w:val="center"/>
            <w:hideMark/>
          </w:tcPr>
          <w:p w14:paraId="01B04CFE" w14:textId="4E1D4378" w:rsidR="00A01891" w:rsidRPr="006B43E0" w:rsidRDefault="008D2482" w:rsidP="00E44076">
            <w:pPr>
              <w:pStyle w:val="TableText0"/>
              <w:jc w:val="center"/>
              <w:rPr>
                <w:rFonts w:ascii="Times" w:hAnsi="Times"/>
                <w:highlight w:val="darkGray"/>
              </w:rPr>
            </w:pPr>
            <w:r w:rsidRPr="008D2482">
              <w:rPr>
                <w:color w:val="000000"/>
                <w:spacing w:val="180"/>
                <w:shd w:val="solid" w:color="000000" w:fill="000000"/>
                <w:fitText w:val="266" w:id="-1233498358"/>
                <w14:textFill>
                  <w14:solidFill>
                    <w14:srgbClr w14:val="000000">
                      <w14:alpha w14:val="100000"/>
                    </w14:srgbClr>
                  </w14:solidFill>
                </w14:textFill>
              </w:rPr>
              <w:t>|</w:t>
            </w:r>
            <w:r w:rsidRPr="008D2482">
              <w:rPr>
                <w:color w:val="000000"/>
                <w:spacing w:val="1"/>
                <w:shd w:val="solid" w:color="000000" w:fill="000000"/>
                <w:fitText w:val="266" w:id="-1233498358"/>
                <w14:textFill>
                  <w14:solidFill>
                    <w14:srgbClr w14:val="000000">
                      <w14:alpha w14:val="100000"/>
                    </w14:srgbClr>
                  </w14:solidFill>
                </w14:textFill>
              </w:rPr>
              <w:t>|</w:t>
            </w:r>
            <w:r w:rsidR="00AA73B7" w:rsidRPr="00AA73B7">
              <w:t xml:space="preserve">  </w:t>
            </w:r>
          </w:p>
        </w:tc>
        <w:tc>
          <w:tcPr>
            <w:tcW w:w="532" w:type="pct"/>
            <w:vAlign w:val="center"/>
            <w:hideMark/>
          </w:tcPr>
          <w:p w14:paraId="63865256" w14:textId="61CBDC9E" w:rsidR="00A01891" w:rsidRPr="006B43E0" w:rsidRDefault="008D2482" w:rsidP="00E44076">
            <w:pPr>
              <w:pStyle w:val="TableText0"/>
              <w:jc w:val="center"/>
              <w:rPr>
                <w:highlight w:val="darkGray"/>
              </w:rPr>
            </w:pPr>
            <w:r w:rsidRPr="008D2482">
              <w:rPr>
                <w:color w:val="000000"/>
                <w:spacing w:val="169"/>
                <w:shd w:val="solid" w:color="000000" w:fill="000000"/>
                <w:fitText w:val="255" w:id="-1233498357"/>
                <w14:textFill>
                  <w14:solidFill>
                    <w14:srgbClr w14:val="000000">
                      <w14:alpha w14:val="100000"/>
                    </w14:srgbClr>
                  </w14:solidFill>
                </w14:textFill>
              </w:rPr>
              <w:t>|</w:t>
            </w:r>
            <w:r w:rsidRPr="008D2482">
              <w:rPr>
                <w:color w:val="000000"/>
                <w:spacing w:val="1"/>
                <w:shd w:val="solid" w:color="000000" w:fill="000000"/>
                <w:fitText w:val="255" w:id="-1233498357"/>
                <w14:textFill>
                  <w14:solidFill>
                    <w14:srgbClr w14:val="000000">
                      <w14:alpha w14:val="100000"/>
                    </w14:srgbClr>
                  </w14:solidFill>
                </w14:textFill>
              </w:rPr>
              <w:t>|</w:t>
            </w:r>
            <w:r w:rsidR="00AA73B7" w:rsidRPr="00AA73B7">
              <w:t xml:space="preserve">  </w:t>
            </w:r>
          </w:p>
        </w:tc>
        <w:tc>
          <w:tcPr>
            <w:tcW w:w="532" w:type="pct"/>
            <w:vAlign w:val="center"/>
            <w:hideMark/>
          </w:tcPr>
          <w:p w14:paraId="33119193" w14:textId="346C6DA1" w:rsidR="00A01891" w:rsidRPr="006B43E0" w:rsidRDefault="008D2482" w:rsidP="00E44076">
            <w:pPr>
              <w:pStyle w:val="TableText0"/>
              <w:jc w:val="center"/>
              <w:rPr>
                <w:highlight w:val="darkGray"/>
              </w:rPr>
            </w:pPr>
            <w:r w:rsidRPr="008D2482">
              <w:rPr>
                <w:color w:val="000000"/>
                <w:spacing w:val="168"/>
                <w:shd w:val="solid" w:color="000000" w:fill="000000"/>
                <w:fitText w:val="254" w:id="-1233498356"/>
                <w14:textFill>
                  <w14:solidFill>
                    <w14:srgbClr w14:val="000000">
                      <w14:alpha w14:val="100000"/>
                    </w14:srgbClr>
                  </w14:solidFill>
                </w14:textFill>
              </w:rPr>
              <w:t>|</w:t>
            </w:r>
            <w:r w:rsidRPr="008D2482">
              <w:rPr>
                <w:color w:val="000000"/>
                <w:spacing w:val="1"/>
                <w:shd w:val="solid" w:color="000000" w:fill="000000"/>
                <w:fitText w:val="254" w:id="-1233498356"/>
                <w14:textFill>
                  <w14:solidFill>
                    <w14:srgbClr w14:val="000000">
                      <w14:alpha w14:val="100000"/>
                    </w14:srgbClr>
                  </w14:solidFill>
                </w14:textFill>
              </w:rPr>
              <w:t>|</w:t>
            </w:r>
            <w:r w:rsidR="00AA73B7" w:rsidRPr="00AA73B7">
              <w:t xml:space="preserve">  </w:t>
            </w:r>
          </w:p>
        </w:tc>
        <w:tc>
          <w:tcPr>
            <w:tcW w:w="531" w:type="pct"/>
            <w:vAlign w:val="center"/>
            <w:hideMark/>
          </w:tcPr>
          <w:p w14:paraId="440A8733" w14:textId="3C0E2405" w:rsidR="00A01891" w:rsidRPr="006B43E0" w:rsidRDefault="008D2482" w:rsidP="00E44076">
            <w:pPr>
              <w:pStyle w:val="TableText0"/>
              <w:jc w:val="center"/>
              <w:rPr>
                <w:highlight w:val="darkGray"/>
              </w:rPr>
            </w:pPr>
            <w:r w:rsidRPr="008D2482">
              <w:rPr>
                <w:color w:val="000000"/>
                <w:spacing w:val="169"/>
                <w:shd w:val="solid" w:color="000000" w:fill="000000"/>
                <w:fitText w:val="255" w:id="-1233498355"/>
                <w14:textFill>
                  <w14:solidFill>
                    <w14:srgbClr w14:val="000000">
                      <w14:alpha w14:val="100000"/>
                    </w14:srgbClr>
                  </w14:solidFill>
                </w14:textFill>
              </w:rPr>
              <w:t>|</w:t>
            </w:r>
            <w:r w:rsidRPr="008D2482">
              <w:rPr>
                <w:color w:val="000000"/>
                <w:spacing w:val="1"/>
                <w:shd w:val="solid" w:color="000000" w:fill="000000"/>
                <w:fitText w:val="255" w:id="-1233498355"/>
                <w14:textFill>
                  <w14:solidFill>
                    <w14:srgbClr w14:val="000000">
                      <w14:alpha w14:val="100000"/>
                    </w14:srgbClr>
                  </w14:solidFill>
                </w14:textFill>
              </w:rPr>
              <w:t>|</w:t>
            </w:r>
            <w:r w:rsidR="00AA73B7" w:rsidRPr="00AA73B7">
              <w:t xml:space="preserve">  </w:t>
            </w:r>
          </w:p>
        </w:tc>
      </w:tr>
      <w:tr w:rsidR="00A01891" w:rsidRPr="0075485D" w14:paraId="0875F9A8" w14:textId="77777777" w:rsidTr="000E11BB">
        <w:tc>
          <w:tcPr>
            <w:tcW w:w="1806" w:type="pct"/>
            <w:vAlign w:val="center"/>
            <w:hideMark/>
          </w:tcPr>
          <w:p w14:paraId="65891FD4" w14:textId="77777777" w:rsidR="00A01891" w:rsidRPr="0075485D" w:rsidRDefault="00A01891" w:rsidP="00E44076">
            <w:pPr>
              <w:pStyle w:val="TableText0"/>
            </w:pPr>
            <w:r w:rsidRPr="0075485D">
              <w:t>PFLYs</w:t>
            </w:r>
          </w:p>
        </w:tc>
        <w:tc>
          <w:tcPr>
            <w:tcW w:w="532" w:type="pct"/>
            <w:vAlign w:val="center"/>
            <w:hideMark/>
          </w:tcPr>
          <w:p w14:paraId="5896FFC0" w14:textId="77777777" w:rsidR="00A01891" w:rsidRPr="0075485D" w:rsidRDefault="00A01891" w:rsidP="00E44076">
            <w:pPr>
              <w:pStyle w:val="TableText0"/>
              <w:jc w:val="center"/>
            </w:pPr>
            <w:r w:rsidRPr="0075485D">
              <w:t>2.63</w:t>
            </w:r>
          </w:p>
        </w:tc>
        <w:tc>
          <w:tcPr>
            <w:tcW w:w="535" w:type="pct"/>
            <w:vAlign w:val="center"/>
            <w:hideMark/>
          </w:tcPr>
          <w:p w14:paraId="33DE4CA1" w14:textId="77777777" w:rsidR="00A01891" w:rsidRPr="0075485D" w:rsidRDefault="00A01891" w:rsidP="00E44076">
            <w:pPr>
              <w:pStyle w:val="TableText0"/>
              <w:jc w:val="center"/>
            </w:pPr>
            <w:r w:rsidRPr="0075485D">
              <w:t>1.70</w:t>
            </w:r>
          </w:p>
        </w:tc>
        <w:tc>
          <w:tcPr>
            <w:tcW w:w="533" w:type="pct"/>
            <w:vAlign w:val="center"/>
            <w:hideMark/>
          </w:tcPr>
          <w:p w14:paraId="722E9B32" w14:textId="77777777" w:rsidR="00A01891" w:rsidRPr="0075485D" w:rsidRDefault="00A01891" w:rsidP="00E44076">
            <w:pPr>
              <w:pStyle w:val="TableText0"/>
              <w:jc w:val="center"/>
            </w:pPr>
            <w:r w:rsidRPr="0075485D">
              <w:t>0.93</w:t>
            </w:r>
          </w:p>
        </w:tc>
        <w:tc>
          <w:tcPr>
            <w:tcW w:w="532" w:type="pct"/>
            <w:vAlign w:val="center"/>
            <w:hideMark/>
          </w:tcPr>
          <w:p w14:paraId="0104BDC9" w14:textId="77777777" w:rsidR="00A01891" w:rsidRPr="0075485D" w:rsidRDefault="00A01891" w:rsidP="00E44076">
            <w:pPr>
              <w:pStyle w:val="TableText0"/>
              <w:jc w:val="center"/>
            </w:pPr>
            <w:r w:rsidRPr="0075485D">
              <w:t>2.63</w:t>
            </w:r>
          </w:p>
        </w:tc>
        <w:tc>
          <w:tcPr>
            <w:tcW w:w="532" w:type="pct"/>
            <w:vAlign w:val="center"/>
            <w:hideMark/>
          </w:tcPr>
          <w:p w14:paraId="2DF17BCC" w14:textId="77777777" w:rsidR="00A01891" w:rsidRPr="0075485D" w:rsidRDefault="00A01891" w:rsidP="00E44076">
            <w:pPr>
              <w:pStyle w:val="TableText0"/>
              <w:jc w:val="center"/>
            </w:pPr>
            <w:r w:rsidRPr="0075485D">
              <w:t>1.70</w:t>
            </w:r>
          </w:p>
        </w:tc>
        <w:tc>
          <w:tcPr>
            <w:tcW w:w="531" w:type="pct"/>
            <w:vAlign w:val="center"/>
            <w:hideMark/>
          </w:tcPr>
          <w:p w14:paraId="2427084B" w14:textId="77777777" w:rsidR="00A01891" w:rsidRPr="0075485D" w:rsidRDefault="00A01891" w:rsidP="00E44076">
            <w:pPr>
              <w:pStyle w:val="TableText0"/>
              <w:jc w:val="center"/>
            </w:pPr>
            <w:r w:rsidRPr="0075485D">
              <w:t>0.93</w:t>
            </w:r>
          </w:p>
        </w:tc>
      </w:tr>
      <w:tr w:rsidR="00A01891" w:rsidRPr="0075485D" w14:paraId="0377D506" w14:textId="77777777" w:rsidTr="000E11BB">
        <w:tc>
          <w:tcPr>
            <w:tcW w:w="1806" w:type="pct"/>
            <w:vAlign w:val="center"/>
            <w:hideMark/>
          </w:tcPr>
          <w:p w14:paraId="30F75A0B" w14:textId="77777777" w:rsidR="00A01891" w:rsidRPr="0075485D" w:rsidRDefault="00A01891" w:rsidP="00E44076">
            <w:pPr>
              <w:pStyle w:val="TableText0"/>
              <w:rPr>
                <w:rFonts w:ascii="Times" w:hAnsi="Times"/>
              </w:rPr>
            </w:pPr>
            <w:r w:rsidRPr="0075485D">
              <w:t>LYs</w:t>
            </w:r>
          </w:p>
        </w:tc>
        <w:tc>
          <w:tcPr>
            <w:tcW w:w="532" w:type="pct"/>
            <w:vAlign w:val="center"/>
            <w:hideMark/>
          </w:tcPr>
          <w:p w14:paraId="1C461614" w14:textId="77777777" w:rsidR="00A01891" w:rsidRPr="0075485D" w:rsidRDefault="00A01891" w:rsidP="00E44076">
            <w:pPr>
              <w:pStyle w:val="TableText0"/>
              <w:jc w:val="center"/>
            </w:pPr>
            <w:r w:rsidRPr="0075485D">
              <w:t>3.21</w:t>
            </w:r>
          </w:p>
        </w:tc>
        <w:tc>
          <w:tcPr>
            <w:tcW w:w="535" w:type="pct"/>
            <w:vAlign w:val="center"/>
            <w:hideMark/>
          </w:tcPr>
          <w:p w14:paraId="47C9B054" w14:textId="77777777" w:rsidR="00A01891" w:rsidRPr="0075485D" w:rsidRDefault="00A01891" w:rsidP="00E44076">
            <w:pPr>
              <w:pStyle w:val="TableText0"/>
              <w:jc w:val="center"/>
            </w:pPr>
            <w:r w:rsidRPr="0075485D">
              <w:t>3.05</w:t>
            </w:r>
          </w:p>
        </w:tc>
        <w:tc>
          <w:tcPr>
            <w:tcW w:w="533" w:type="pct"/>
            <w:vAlign w:val="center"/>
            <w:hideMark/>
          </w:tcPr>
          <w:p w14:paraId="1F7E6B69" w14:textId="77777777" w:rsidR="00A01891" w:rsidRPr="0075485D" w:rsidRDefault="00A01891" w:rsidP="00E44076">
            <w:pPr>
              <w:pStyle w:val="TableText0"/>
              <w:jc w:val="center"/>
            </w:pPr>
            <w:r w:rsidRPr="0075485D">
              <w:t>0.17</w:t>
            </w:r>
          </w:p>
        </w:tc>
        <w:tc>
          <w:tcPr>
            <w:tcW w:w="532" w:type="pct"/>
            <w:vAlign w:val="center"/>
            <w:hideMark/>
          </w:tcPr>
          <w:p w14:paraId="4FEB51B1" w14:textId="77777777" w:rsidR="00A01891" w:rsidRPr="0075485D" w:rsidRDefault="00A01891" w:rsidP="00E44076">
            <w:pPr>
              <w:pStyle w:val="TableText0"/>
              <w:jc w:val="center"/>
            </w:pPr>
            <w:r w:rsidRPr="0075485D">
              <w:t>3.21</w:t>
            </w:r>
          </w:p>
        </w:tc>
        <w:tc>
          <w:tcPr>
            <w:tcW w:w="532" w:type="pct"/>
            <w:vAlign w:val="center"/>
            <w:hideMark/>
          </w:tcPr>
          <w:p w14:paraId="11A9D622" w14:textId="77777777" w:rsidR="00A01891" w:rsidRPr="0075485D" w:rsidRDefault="00A01891" w:rsidP="00E44076">
            <w:pPr>
              <w:pStyle w:val="TableText0"/>
              <w:jc w:val="center"/>
            </w:pPr>
            <w:r w:rsidRPr="0075485D">
              <w:t>3.05</w:t>
            </w:r>
          </w:p>
        </w:tc>
        <w:tc>
          <w:tcPr>
            <w:tcW w:w="531" w:type="pct"/>
            <w:vAlign w:val="center"/>
            <w:hideMark/>
          </w:tcPr>
          <w:p w14:paraId="3B88A03B" w14:textId="77777777" w:rsidR="00A01891" w:rsidRPr="0075485D" w:rsidRDefault="00A01891" w:rsidP="00E44076">
            <w:pPr>
              <w:pStyle w:val="TableText0"/>
              <w:jc w:val="center"/>
            </w:pPr>
            <w:r w:rsidRPr="0075485D">
              <w:t>0.17</w:t>
            </w:r>
          </w:p>
        </w:tc>
      </w:tr>
      <w:tr w:rsidR="00AC26F4" w:rsidRPr="0075485D" w14:paraId="35BFA38B" w14:textId="77777777" w:rsidTr="000E11BB">
        <w:tc>
          <w:tcPr>
            <w:tcW w:w="2873" w:type="pct"/>
            <w:gridSpan w:val="3"/>
            <w:vAlign w:val="center"/>
            <w:hideMark/>
          </w:tcPr>
          <w:p w14:paraId="6C9CAC1A" w14:textId="36C8A560" w:rsidR="00AC26F4" w:rsidRPr="0075485D" w:rsidRDefault="00AC26F4" w:rsidP="00A56E63">
            <w:pPr>
              <w:pStyle w:val="TableText0"/>
              <w:rPr>
                <w:rFonts w:ascii="Times" w:hAnsi="Times"/>
                <w:b/>
              </w:rPr>
            </w:pPr>
            <w:r w:rsidRPr="0075485D">
              <w:rPr>
                <w:b/>
              </w:rPr>
              <w:t>Incremental cost/extra PFLY gained</w:t>
            </w:r>
            <w:r w:rsidR="006B43E0">
              <w:rPr>
                <w:b/>
              </w:rPr>
              <w:t xml:space="preserve"> ($)</w:t>
            </w:r>
          </w:p>
        </w:tc>
        <w:tc>
          <w:tcPr>
            <w:tcW w:w="533" w:type="pct"/>
            <w:vAlign w:val="center"/>
            <w:hideMark/>
          </w:tcPr>
          <w:p w14:paraId="5183634C" w14:textId="50FE33A3"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54"/>
                <w14:textFill>
                  <w14:solidFill>
                    <w14:srgbClr w14:val="000000">
                      <w14:alpha w14:val="100000"/>
                    </w14:srgbClr>
                  </w14:solidFill>
                </w14:textFill>
              </w:rPr>
              <w:t>|||</w:t>
            </w:r>
            <w:r w:rsidRPr="008D2482">
              <w:rPr>
                <w:b/>
                <w:color w:val="000000"/>
                <w:spacing w:val="1"/>
                <w:shd w:val="solid" w:color="000000" w:fill="000000"/>
                <w:fitText w:val="376" w:id="-1233498354"/>
                <w14:textFill>
                  <w14:solidFill>
                    <w14:srgbClr w14:val="000000">
                      <w14:alpha w14:val="100000"/>
                    </w14:srgbClr>
                  </w14:solidFill>
                </w14:textFill>
              </w:rPr>
              <w:t>|</w:t>
            </w:r>
            <w:r w:rsidR="00AA73B7" w:rsidRPr="00AA73B7">
              <w:rPr>
                <w:b/>
              </w:rPr>
              <w:t xml:space="preserve"> </w:t>
            </w:r>
            <w:r w:rsidR="006B43E0" w:rsidRPr="006B43E0">
              <w:rPr>
                <w:rFonts w:cs="Arial"/>
                <w:iCs/>
                <w:szCs w:val="20"/>
                <w:vertAlign w:val="superscript"/>
              </w:rPr>
              <w:t>1</w:t>
            </w:r>
          </w:p>
        </w:tc>
        <w:tc>
          <w:tcPr>
            <w:tcW w:w="1064" w:type="pct"/>
            <w:gridSpan w:val="2"/>
            <w:vAlign w:val="center"/>
          </w:tcPr>
          <w:p w14:paraId="67FDBFAC" w14:textId="77777777" w:rsidR="00AC26F4" w:rsidRPr="0075485D" w:rsidRDefault="00AC26F4" w:rsidP="00E44076">
            <w:pPr>
              <w:pStyle w:val="TableText0"/>
              <w:jc w:val="center"/>
              <w:rPr>
                <w:b/>
              </w:rPr>
            </w:pPr>
          </w:p>
        </w:tc>
        <w:tc>
          <w:tcPr>
            <w:tcW w:w="531" w:type="pct"/>
            <w:vAlign w:val="center"/>
            <w:hideMark/>
          </w:tcPr>
          <w:p w14:paraId="0CAF2233" w14:textId="53E97D77"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53"/>
                <w14:textFill>
                  <w14:solidFill>
                    <w14:srgbClr w14:val="000000">
                      <w14:alpha w14:val="100000"/>
                    </w14:srgbClr>
                  </w14:solidFill>
                </w14:textFill>
              </w:rPr>
              <w:t>|||</w:t>
            </w:r>
            <w:r w:rsidRPr="008D2482">
              <w:rPr>
                <w:b/>
                <w:color w:val="000000"/>
                <w:spacing w:val="1"/>
                <w:shd w:val="solid" w:color="000000" w:fill="000000"/>
                <w:fitText w:val="376" w:id="-1233498353"/>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r>
      <w:tr w:rsidR="00AC26F4" w:rsidRPr="0075485D" w14:paraId="11F95A5F" w14:textId="77777777" w:rsidTr="000E11BB">
        <w:tc>
          <w:tcPr>
            <w:tcW w:w="2873" w:type="pct"/>
            <w:gridSpan w:val="3"/>
            <w:vAlign w:val="center"/>
            <w:hideMark/>
          </w:tcPr>
          <w:p w14:paraId="6C47067C" w14:textId="3A07471B" w:rsidR="00AC26F4" w:rsidRPr="0075485D" w:rsidRDefault="00AC26F4" w:rsidP="00A56E63">
            <w:pPr>
              <w:pStyle w:val="TableText0"/>
              <w:rPr>
                <w:b/>
              </w:rPr>
            </w:pPr>
            <w:r w:rsidRPr="0075485D">
              <w:rPr>
                <w:b/>
              </w:rPr>
              <w:t>Incremental cost/extra LY gained</w:t>
            </w:r>
            <w:r w:rsidR="006B43E0">
              <w:rPr>
                <w:b/>
              </w:rPr>
              <w:t xml:space="preserve"> ($)</w:t>
            </w:r>
          </w:p>
        </w:tc>
        <w:tc>
          <w:tcPr>
            <w:tcW w:w="533" w:type="pct"/>
            <w:vAlign w:val="center"/>
            <w:hideMark/>
          </w:tcPr>
          <w:p w14:paraId="7BD0AA4B" w14:textId="7FC2C932"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52"/>
                <w14:textFill>
                  <w14:solidFill>
                    <w14:srgbClr w14:val="000000">
                      <w14:alpha w14:val="100000"/>
                    </w14:srgbClr>
                  </w14:solidFill>
                </w14:textFill>
              </w:rPr>
              <w:t>|||</w:t>
            </w:r>
            <w:r w:rsidRPr="008D2482">
              <w:rPr>
                <w:b/>
                <w:color w:val="000000"/>
                <w:spacing w:val="1"/>
                <w:shd w:val="solid" w:color="000000" w:fill="000000"/>
                <w:fitText w:val="376" w:id="-1233498352"/>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2</w:t>
            </w:r>
          </w:p>
        </w:tc>
        <w:tc>
          <w:tcPr>
            <w:tcW w:w="1064" w:type="pct"/>
            <w:gridSpan w:val="2"/>
            <w:vAlign w:val="center"/>
          </w:tcPr>
          <w:p w14:paraId="28121C5A" w14:textId="77777777" w:rsidR="00AC26F4" w:rsidRPr="0075485D" w:rsidRDefault="00AC26F4" w:rsidP="00E44076">
            <w:pPr>
              <w:pStyle w:val="TableText0"/>
              <w:jc w:val="center"/>
              <w:rPr>
                <w:b/>
              </w:rPr>
            </w:pPr>
          </w:p>
        </w:tc>
        <w:tc>
          <w:tcPr>
            <w:tcW w:w="531" w:type="pct"/>
            <w:vAlign w:val="center"/>
            <w:hideMark/>
          </w:tcPr>
          <w:p w14:paraId="59D66BFB" w14:textId="299ABD5F"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68"/>
                <w14:textFill>
                  <w14:solidFill>
                    <w14:srgbClr w14:val="000000">
                      <w14:alpha w14:val="100000"/>
                    </w14:srgbClr>
                  </w14:solidFill>
                </w14:textFill>
              </w:rPr>
              <w:t>|||</w:t>
            </w:r>
            <w:r w:rsidRPr="008D2482">
              <w:rPr>
                <w:b/>
                <w:color w:val="000000"/>
                <w:spacing w:val="1"/>
                <w:shd w:val="solid" w:color="000000" w:fill="000000"/>
                <w:fitText w:val="376" w:id="-1233498368"/>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2</w:t>
            </w:r>
          </w:p>
        </w:tc>
      </w:tr>
      <w:tr w:rsidR="00A01891" w:rsidRPr="0075485D" w14:paraId="4F89833E" w14:textId="77777777" w:rsidTr="00AC26F4">
        <w:tc>
          <w:tcPr>
            <w:tcW w:w="5000" w:type="pct"/>
            <w:gridSpan w:val="7"/>
            <w:vAlign w:val="center"/>
            <w:hideMark/>
          </w:tcPr>
          <w:p w14:paraId="260CAE5A" w14:textId="77777777" w:rsidR="00A01891" w:rsidRPr="0075485D" w:rsidRDefault="00A01891" w:rsidP="00E44076">
            <w:pPr>
              <w:pStyle w:val="TableText0"/>
              <w:rPr>
                <w:b/>
              </w:rPr>
            </w:pPr>
            <w:r w:rsidRPr="0075485D">
              <w:rPr>
                <w:b/>
              </w:rPr>
              <w:t>Step 2: Time horizon, trial based (44 months), all costs</w:t>
            </w:r>
          </w:p>
        </w:tc>
      </w:tr>
      <w:tr w:rsidR="00A01891" w:rsidRPr="0075485D" w14:paraId="0FD6B8EE" w14:textId="77777777" w:rsidTr="000E11BB">
        <w:tc>
          <w:tcPr>
            <w:tcW w:w="1806" w:type="pct"/>
            <w:vAlign w:val="center"/>
            <w:hideMark/>
          </w:tcPr>
          <w:p w14:paraId="697CC57A" w14:textId="4CFEEF07" w:rsidR="00A01891" w:rsidRPr="0075485D" w:rsidRDefault="00A01891" w:rsidP="00E44076">
            <w:pPr>
              <w:pStyle w:val="TableText0"/>
              <w:rPr>
                <w:rFonts w:ascii="Times" w:hAnsi="Times"/>
              </w:rPr>
            </w:pPr>
            <w:r w:rsidRPr="0075485D">
              <w:t>Costs</w:t>
            </w:r>
            <w:r w:rsidR="006B43E0">
              <w:t xml:space="preserve"> ($)</w:t>
            </w:r>
          </w:p>
        </w:tc>
        <w:tc>
          <w:tcPr>
            <w:tcW w:w="532" w:type="pct"/>
            <w:vAlign w:val="center"/>
            <w:hideMark/>
          </w:tcPr>
          <w:p w14:paraId="72B0BEFF" w14:textId="15600AFD" w:rsidR="00A01891" w:rsidRPr="006B43E0" w:rsidRDefault="008D2482" w:rsidP="00E44076">
            <w:pPr>
              <w:pStyle w:val="TableText0"/>
              <w:jc w:val="center"/>
              <w:rPr>
                <w:rFonts w:ascii="Times" w:hAnsi="Times"/>
                <w:highlight w:val="darkGray"/>
              </w:rPr>
            </w:pPr>
            <w:r w:rsidRPr="008D2482">
              <w:rPr>
                <w:color w:val="000000"/>
                <w:spacing w:val="169"/>
                <w:shd w:val="solid" w:color="000000" w:fill="000000"/>
                <w:fitText w:val="255" w:id="-1233498367"/>
                <w14:textFill>
                  <w14:solidFill>
                    <w14:srgbClr w14:val="000000">
                      <w14:alpha w14:val="100000"/>
                    </w14:srgbClr>
                  </w14:solidFill>
                </w14:textFill>
              </w:rPr>
              <w:t>|</w:t>
            </w:r>
            <w:r w:rsidRPr="008D2482">
              <w:rPr>
                <w:color w:val="000000"/>
                <w:spacing w:val="1"/>
                <w:shd w:val="solid" w:color="000000" w:fill="000000"/>
                <w:fitText w:val="255" w:id="-1233498367"/>
                <w14:textFill>
                  <w14:solidFill>
                    <w14:srgbClr w14:val="000000">
                      <w14:alpha w14:val="100000"/>
                    </w14:srgbClr>
                  </w14:solidFill>
                </w14:textFill>
              </w:rPr>
              <w:t>|</w:t>
            </w:r>
            <w:r w:rsidR="00AA73B7" w:rsidRPr="00AA73B7">
              <w:t xml:space="preserve">  </w:t>
            </w:r>
          </w:p>
        </w:tc>
        <w:tc>
          <w:tcPr>
            <w:tcW w:w="535" w:type="pct"/>
            <w:vAlign w:val="center"/>
            <w:hideMark/>
          </w:tcPr>
          <w:p w14:paraId="019C2923" w14:textId="0EC6A91E" w:rsidR="00A01891" w:rsidRPr="006B43E0" w:rsidRDefault="008D2482" w:rsidP="00E44076">
            <w:pPr>
              <w:pStyle w:val="TableText0"/>
              <w:jc w:val="center"/>
              <w:rPr>
                <w:rFonts w:ascii="Times" w:hAnsi="Times"/>
                <w:highlight w:val="darkGray"/>
              </w:rPr>
            </w:pPr>
            <w:r w:rsidRPr="008D2482">
              <w:rPr>
                <w:color w:val="000000"/>
                <w:spacing w:val="179"/>
                <w:shd w:val="solid" w:color="000000" w:fill="000000"/>
                <w:fitText w:val="265" w:id="-1233498366"/>
                <w14:textFill>
                  <w14:solidFill>
                    <w14:srgbClr w14:val="000000">
                      <w14:alpha w14:val="100000"/>
                    </w14:srgbClr>
                  </w14:solidFill>
                </w14:textFill>
              </w:rPr>
              <w:t>|</w:t>
            </w:r>
            <w:r w:rsidRPr="008D2482">
              <w:rPr>
                <w:color w:val="000000"/>
                <w:spacing w:val="1"/>
                <w:shd w:val="solid" w:color="000000" w:fill="000000"/>
                <w:fitText w:val="265" w:id="-1233498366"/>
                <w14:textFill>
                  <w14:solidFill>
                    <w14:srgbClr w14:val="000000">
                      <w14:alpha w14:val="100000"/>
                    </w14:srgbClr>
                  </w14:solidFill>
                </w14:textFill>
              </w:rPr>
              <w:t>|</w:t>
            </w:r>
            <w:r w:rsidR="00AA73B7" w:rsidRPr="00AA73B7">
              <w:t xml:space="preserve">  </w:t>
            </w:r>
          </w:p>
        </w:tc>
        <w:tc>
          <w:tcPr>
            <w:tcW w:w="533" w:type="pct"/>
            <w:vAlign w:val="center"/>
            <w:hideMark/>
          </w:tcPr>
          <w:p w14:paraId="5EE2D7CA" w14:textId="16CF1AE7" w:rsidR="00A01891" w:rsidRPr="006B43E0" w:rsidRDefault="008D2482" w:rsidP="00E44076">
            <w:pPr>
              <w:pStyle w:val="TableText0"/>
              <w:jc w:val="center"/>
              <w:rPr>
                <w:rFonts w:ascii="Times" w:hAnsi="Times"/>
                <w:highlight w:val="darkGray"/>
              </w:rPr>
            </w:pPr>
            <w:r w:rsidRPr="008D2482">
              <w:rPr>
                <w:color w:val="000000"/>
                <w:spacing w:val="180"/>
                <w:shd w:val="solid" w:color="000000" w:fill="000000"/>
                <w:fitText w:val="266" w:id="-1233498365"/>
                <w14:textFill>
                  <w14:solidFill>
                    <w14:srgbClr w14:val="000000">
                      <w14:alpha w14:val="100000"/>
                    </w14:srgbClr>
                  </w14:solidFill>
                </w14:textFill>
              </w:rPr>
              <w:t>|</w:t>
            </w:r>
            <w:r w:rsidRPr="008D2482">
              <w:rPr>
                <w:color w:val="000000"/>
                <w:spacing w:val="1"/>
                <w:shd w:val="solid" w:color="000000" w:fill="000000"/>
                <w:fitText w:val="266" w:id="-1233498365"/>
                <w14:textFill>
                  <w14:solidFill>
                    <w14:srgbClr w14:val="000000">
                      <w14:alpha w14:val="100000"/>
                    </w14:srgbClr>
                  </w14:solidFill>
                </w14:textFill>
              </w:rPr>
              <w:t>|</w:t>
            </w:r>
            <w:r w:rsidR="00AA73B7" w:rsidRPr="00AA73B7">
              <w:t xml:space="preserve">  </w:t>
            </w:r>
          </w:p>
        </w:tc>
        <w:tc>
          <w:tcPr>
            <w:tcW w:w="532" w:type="pct"/>
            <w:vAlign w:val="center"/>
            <w:hideMark/>
          </w:tcPr>
          <w:p w14:paraId="3F7D4371" w14:textId="1406620D" w:rsidR="00A01891" w:rsidRPr="006B43E0" w:rsidRDefault="008D2482" w:rsidP="00E44076">
            <w:pPr>
              <w:pStyle w:val="TableText0"/>
              <w:jc w:val="center"/>
              <w:rPr>
                <w:highlight w:val="darkGray"/>
              </w:rPr>
            </w:pPr>
            <w:r w:rsidRPr="008D2482">
              <w:rPr>
                <w:color w:val="000000"/>
                <w:spacing w:val="169"/>
                <w:shd w:val="solid" w:color="000000" w:fill="000000"/>
                <w:fitText w:val="255" w:id="-1233498364"/>
                <w14:textFill>
                  <w14:solidFill>
                    <w14:srgbClr w14:val="000000">
                      <w14:alpha w14:val="100000"/>
                    </w14:srgbClr>
                  </w14:solidFill>
                </w14:textFill>
              </w:rPr>
              <w:t>|</w:t>
            </w:r>
            <w:r w:rsidRPr="008D2482">
              <w:rPr>
                <w:color w:val="000000"/>
                <w:spacing w:val="1"/>
                <w:shd w:val="solid" w:color="000000" w:fill="000000"/>
                <w:fitText w:val="255" w:id="-1233498364"/>
                <w14:textFill>
                  <w14:solidFill>
                    <w14:srgbClr w14:val="000000">
                      <w14:alpha w14:val="100000"/>
                    </w14:srgbClr>
                  </w14:solidFill>
                </w14:textFill>
              </w:rPr>
              <w:t>|</w:t>
            </w:r>
            <w:r w:rsidR="00AA73B7" w:rsidRPr="00AA73B7">
              <w:t xml:space="preserve">  </w:t>
            </w:r>
          </w:p>
        </w:tc>
        <w:tc>
          <w:tcPr>
            <w:tcW w:w="532" w:type="pct"/>
            <w:vAlign w:val="center"/>
            <w:hideMark/>
          </w:tcPr>
          <w:p w14:paraId="439109F0" w14:textId="6A30D7C0" w:rsidR="00A01891" w:rsidRPr="006B43E0" w:rsidRDefault="008D2482" w:rsidP="00E44076">
            <w:pPr>
              <w:pStyle w:val="TableText0"/>
              <w:jc w:val="center"/>
              <w:rPr>
                <w:highlight w:val="darkGray"/>
              </w:rPr>
            </w:pPr>
            <w:r w:rsidRPr="008D2482">
              <w:rPr>
                <w:color w:val="000000"/>
                <w:spacing w:val="168"/>
                <w:shd w:val="solid" w:color="000000" w:fill="000000"/>
                <w:fitText w:val="254" w:id="-1233498363"/>
                <w14:textFill>
                  <w14:solidFill>
                    <w14:srgbClr w14:val="000000">
                      <w14:alpha w14:val="100000"/>
                    </w14:srgbClr>
                  </w14:solidFill>
                </w14:textFill>
              </w:rPr>
              <w:t>|</w:t>
            </w:r>
            <w:r w:rsidRPr="008D2482">
              <w:rPr>
                <w:color w:val="000000"/>
                <w:spacing w:val="1"/>
                <w:shd w:val="solid" w:color="000000" w:fill="000000"/>
                <w:fitText w:val="254" w:id="-1233498363"/>
                <w14:textFill>
                  <w14:solidFill>
                    <w14:srgbClr w14:val="000000">
                      <w14:alpha w14:val="100000"/>
                    </w14:srgbClr>
                  </w14:solidFill>
                </w14:textFill>
              </w:rPr>
              <w:t>|</w:t>
            </w:r>
            <w:r w:rsidR="00AA73B7" w:rsidRPr="00AA73B7">
              <w:t xml:space="preserve">  </w:t>
            </w:r>
          </w:p>
        </w:tc>
        <w:tc>
          <w:tcPr>
            <w:tcW w:w="531" w:type="pct"/>
            <w:vAlign w:val="center"/>
            <w:hideMark/>
          </w:tcPr>
          <w:p w14:paraId="2E370565" w14:textId="332A9B90" w:rsidR="00A01891" w:rsidRPr="006B43E0" w:rsidRDefault="008D2482" w:rsidP="00E44076">
            <w:pPr>
              <w:pStyle w:val="TableText0"/>
              <w:jc w:val="center"/>
              <w:rPr>
                <w:highlight w:val="darkGray"/>
              </w:rPr>
            </w:pPr>
            <w:r w:rsidRPr="008D2482">
              <w:rPr>
                <w:color w:val="000000"/>
                <w:spacing w:val="169"/>
                <w:shd w:val="solid" w:color="000000" w:fill="000000"/>
                <w:fitText w:val="255" w:id="-1233498362"/>
                <w14:textFill>
                  <w14:solidFill>
                    <w14:srgbClr w14:val="000000">
                      <w14:alpha w14:val="100000"/>
                    </w14:srgbClr>
                  </w14:solidFill>
                </w14:textFill>
              </w:rPr>
              <w:t>|</w:t>
            </w:r>
            <w:r w:rsidRPr="008D2482">
              <w:rPr>
                <w:color w:val="000000"/>
                <w:spacing w:val="1"/>
                <w:shd w:val="solid" w:color="000000" w:fill="000000"/>
                <w:fitText w:val="255" w:id="-1233498362"/>
                <w14:textFill>
                  <w14:solidFill>
                    <w14:srgbClr w14:val="000000">
                      <w14:alpha w14:val="100000"/>
                    </w14:srgbClr>
                  </w14:solidFill>
                </w14:textFill>
              </w:rPr>
              <w:t>|</w:t>
            </w:r>
            <w:r w:rsidR="00AA73B7" w:rsidRPr="00AA73B7">
              <w:t xml:space="preserve">  </w:t>
            </w:r>
          </w:p>
        </w:tc>
      </w:tr>
      <w:tr w:rsidR="00A01891" w:rsidRPr="0075485D" w14:paraId="6209EC8D" w14:textId="77777777" w:rsidTr="000E11BB">
        <w:tc>
          <w:tcPr>
            <w:tcW w:w="1806" w:type="pct"/>
            <w:vAlign w:val="center"/>
            <w:hideMark/>
          </w:tcPr>
          <w:p w14:paraId="3B812FA5" w14:textId="77777777" w:rsidR="00A01891" w:rsidRPr="0075485D" w:rsidRDefault="00A01891" w:rsidP="00E44076">
            <w:pPr>
              <w:pStyle w:val="TableText0"/>
            </w:pPr>
            <w:r w:rsidRPr="0075485D">
              <w:t>PFLYs</w:t>
            </w:r>
          </w:p>
        </w:tc>
        <w:tc>
          <w:tcPr>
            <w:tcW w:w="532" w:type="pct"/>
            <w:vAlign w:val="center"/>
            <w:hideMark/>
          </w:tcPr>
          <w:p w14:paraId="660D94B9" w14:textId="77777777" w:rsidR="00A01891" w:rsidRPr="0075485D" w:rsidRDefault="00A01891" w:rsidP="00E44076">
            <w:pPr>
              <w:pStyle w:val="TableText0"/>
              <w:jc w:val="center"/>
            </w:pPr>
            <w:r w:rsidRPr="0075485D">
              <w:t>2.63</w:t>
            </w:r>
          </w:p>
        </w:tc>
        <w:tc>
          <w:tcPr>
            <w:tcW w:w="535" w:type="pct"/>
            <w:vAlign w:val="center"/>
            <w:hideMark/>
          </w:tcPr>
          <w:p w14:paraId="320F577F" w14:textId="77777777" w:rsidR="00A01891" w:rsidRPr="0075485D" w:rsidRDefault="00A01891" w:rsidP="00E44076">
            <w:pPr>
              <w:pStyle w:val="TableText0"/>
              <w:jc w:val="center"/>
            </w:pPr>
            <w:r w:rsidRPr="0075485D">
              <w:t>1.70</w:t>
            </w:r>
          </w:p>
        </w:tc>
        <w:tc>
          <w:tcPr>
            <w:tcW w:w="533" w:type="pct"/>
            <w:vAlign w:val="center"/>
            <w:hideMark/>
          </w:tcPr>
          <w:p w14:paraId="119C7842" w14:textId="77777777" w:rsidR="00A01891" w:rsidRPr="0075485D" w:rsidRDefault="00A01891" w:rsidP="00E44076">
            <w:pPr>
              <w:pStyle w:val="TableText0"/>
              <w:jc w:val="center"/>
            </w:pPr>
            <w:r w:rsidRPr="0075485D">
              <w:t>0.93</w:t>
            </w:r>
          </w:p>
        </w:tc>
        <w:tc>
          <w:tcPr>
            <w:tcW w:w="532" w:type="pct"/>
            <w:vAlign w:val="center"/>
            <w:hideMark/>
          </w:tcPr>
          <w:p w14:paraId="3ABE3CA4" w14:textId="77777777" w:rsidR="00A01891" w:rsidRPr="0075485D" w:rsidRDefault="00A01891" w:rsidP="00E44076">
            <w:pPr>
              <w:pStyle w:val="TableText0"/>
              <w:jc w:val="center"/>
            </w:pPr>
            <w:r w:rsidRPr="0075485D">
              <w:t>2.63</w:t>
            </w:r>
          </w:p>
        </w:tc>
        <w:tc>
          <w:tcPr>
            <w:tcW w:w="532" w:type="pct"/>
            <w:vAlign w:val="center"/>
            <w:hideMark/>
          </w:tcPr>
          <w:p w14:paraId="2F29300D" w14:textId="77777777" w:rsidR="00A01891" w:rsidRPr="0075485D" w:rsidRDefault="00A01891" w:rsidP="00E44076">
            <w:pPr>
              <w:pStyle w:val="TableText0"/>
              <w:jc w:val="center"/>
            </w:pPr>
            <w:r w:rsidRPr="0075485D">
              <w:t>1.70</w:t>
            </w:r>
          </w:p>
        </w:tc>
        <w:tc>
          <w:tcPr>
            <w:tcW w:w="531" w:type="pct"/>
            <w:vAlign w:val="center"/>
            <w:hideMark/>
          </w:tcPr>
          <w:p w14:paraId="5A253FB5" w14:textId="77777777" w:rsidR="00A01891" w:rsidRPr="0075485D" w:rsidRDefault="00A01891" w:rsidP="00E44076">
            <w:pPr>
              <w:pStyle w:val="TableText0"/>
              <w:jc w:val="center"/>
            </w:pPr>
            <w:r w:rsidRPr="0075485D">
              <w:t>0.93</w:t>
            </w:r>
          </w:p>
        </w:tc>
      </w:tr>
      <w:tr w:rsidR="00A01891" w:rsidRPr="0075485D" w14:paraId="4681F2F5" w14:textId="77777777" w:rsidTr="000E11BB">
        <w:tc>
          <w:tcPr>
            <w:tcW w:w="1806" w:type="pct"/>
            <w:vAlign w:val="center"/>
            <w:hideMark/>
          </w:tcPr>
          <w:p w14:paraId="31C4C958" w14:textId="77777777" w:rsidR="00A01891" w:rsidRPr="0075485D" w:rsidRDefault="00A01891" w:rsidP="00E44076">
            <w:pPr>
              <w:pStyle w:val="TableText0"/>
            </w:pPr>
            <w:r w:rsidRPr="0075485D">
              <w:t>LYs</w:t>
            </w:r>
          </w:p>
        </w:tc>
        <w:tc>
          <w:tcPr>
            <w:tcW w:w="532" w:type="pct"/>
            <w:vAlign w:val="center"/>
            <w:hideMark/>
          </w:tcPr>
          <w:p w14:paraId="656D12ED" w14:textId="77777777" w:rsidR="00A01891" w:rsidRPr="0075485D" w:rsidRDefault="00A01891" w:rsidP="00E44076">
            <w:pPr>
              <w:pStyle w:val="TableText0"/>
              <w:jc w:val="center"/>
            </w:pPr>
            <w:r w:rsidRPr="0075485D">
              <w:t>3.21</w:t>
            </w:r>
          </w:p>
        </w:tc>
        <w:tc>
          <w:tcPr>
            <w:tcW w:w="535" w:type="pct"/>
            <w:vAlign w:val="center"/>
            <w:hideMark/>
          </w:tcPr>
          <w:p w14:paraId="247C05C3" w14:textId="77777777" w:rsidR="00A01891" w:rsidRPr="0075485D" w:rsidRDefault="00A01891" w:rsidP="00E44076">
            <w:pPr>
              <w:pStyle w:val="TableText0"/>
              <w:jc w:val="center"/>
            </w:pPr>
            <w:r w:rsidRPr="0075485D">
              <w:t>3.05</w:t>
            </w:r>
          </w:p>
        </w:tc>
        <w:tc>
          <w:tcPr>
            <w:tcW w:w="533" w:type="pct"/>
            <w:vAlign w:val="center"/>
            <w:hideMark/>
          </w:tcPr>
          <w:p w14:paraId="44F5C063" w14:textId="77777777" w:rsidR="00A01891" w:rsidRPr="0075485D" w:rsidRDefault="00A01891" w:rsidP="00E44076">
            <w:pPr>
              <w:pStyle w:val="TableText0"/>
              <w:jc w:val="center"/>
            </w:pPr>
            <w:r w:rsidRPr="0075485D">
              <w:t>0.17</w:t>
            </w:r>
          </w:p>
        </w:tc>
        <w:tc>
          <w:tcPr>
            <w:tcW w:w="532" w:type="pct"/>
            <w:vAlign w:val="center"/>
            <w:hideMark/>
          </w:tcPr>
          <w:p w14:paraId="22E278CC" w14:textId="77777777" w:rsidR="00A01891" w:rsidRPr="0075485D" w:rsidRDefault="00A01891" w:rsidP="00E44076">
            <w:pPr>
              <w:pStyle w:val="TableText0"/>
              <w:jc w:val="center"/>
            </w:pPr>
            <w:r w:rsidRPr="0075485D">
              <w:t>3.21</w:t>
            </w:r>
          </w:p>
        </w:tc>
        <w:tc>
          <w:tcPr>
            <w:tcW w:w="532" w:type="pct"/>
            <w:vAlign w:val="center"/>
            <w:hideMark/>
          </w:tcPr>
          <w:p w14:paraId="6540F3FD" w14:textId="77777777" w:rsidR="00A01891" w:rsidRPr="0075485D" w:rsidRDefault="00A01891" w:rsidP="00E44076">
            <w:pPr>
              <w:pStyle w:val="TableText0"/>
              <w:jc w:val="center"/>
            </w:pPr>
            <w:r w:rsidRPr="0075485D">
              <w:t>3.05</w:t>
            </w:r>
          </w:p>
        </w:tc>
        <w:tc>
          <w:tcPr>
            <w:tcW w:w="531" w:type="pct"/>
            <w:vAlign w:val="center"/>
            <w:hideMark/>
          </w:tcPr>
          <w:p w14:paraId="07DD0E80" w14:textId="77777777" w:rsidR="00A01891" w:rsidRPr="0075485D" w:rsidRDefault="00A01891" w:rsidP="00E44076">
            <w:pPr>
              <w:pStyle w:val="TableText0"/>
              <w:jc w:val="center"/>
            </w:pPr>
            <w:r w:rsidRPr="0075485D">
              <w:t>0.17</w:t>
            </w:r>
          </w:p>
        </w:tc>
      </w:tr>
      <w:tr w:rsidR="00AC26F4" w:rsidRPr="0075485D" w14:paraId="00CB1AAF" w14:textId="77777777" w:rsidTr="000E11BB">
        <w:tc>
          <w:tcPr>
            <w:tcW w:w="2873" w:type="pct"/>
            <w:gridSpan w:val="3"/>
            <w:vAlign w:val="center"/>
            <w:hideMark/>
          </w:tcPr>
          <w:p w14:paraId="7E8765E5" w14:textId="24E63519" w:rsidR="00AC26F4" w:rsidRPr="0075485D" w:rsidRDefault="00AC26F4" w:rsidP="00A56E63">
            <w:pPr>
              <w:pStyle w:val="TableText0"/>
              <w:rPr>
                <w:rFonts w:ascii="Times" w:hAnsi="Times"/>
                <w:b/>
              </w:rPr>
            </w:pPr>
            <w:r w:rsidRPr="0075485D">
              <w:rPr>
                <w:b/>
              </w:rPr>
              <w:t>Incremental cost/extra PFLY gained</w:t>
            </w:r>
            <w:r w:rsidR="006B43E0">
              <w:rPr>
                <w:b/>
              </w:rPr>
              <w:t xml:space="preserve"> ($)</w:t>
            </w:r>
          </w:p>
        </w:tc>
        <w:tc>
          <w:tcPr>
            <w:tcW w:w="533" w:type="pct"/>
            <w:vAlign w:val="center"/>
            <w:hideMark/>
          </w:tcPr>
          <w:p w14:paraId="2B5D1115" w14:textId="40707C73" w:rsidR="00AC26F4" w:rsidRPr="006B43E0" w:rsidRDefault="008D2482" w:rsidP="00E44076">
            <w:pPr>
              <w:pStyle w:val="TableText0"/>
              <w:jc w:val="center"/>
              <w:rPr>
                <w:rFonts w:ascii="Times" w:hAnsi="Times"/>
                <w:b/>
                <w:highlight w:val="darkGray"/>
              </w:rPr>
            </w:pPr>
            <w:r w:rsidRPr="008D2482">
              <w:rPr>
                <w:b/>
                <w:color w:val="000000"/>
                <w:spacing w:val="64"/>
                <w:shd w:val="solid" w:color="000000" w:fill="000000"/>
                <w:fitText w:val="376" w:id="-1233498361"/>
                <w14:textFill>
                  <w14:solidFill>
                    <w14:srgbClr w14:val="000000">
                      <w14:alpha w14:val="100000"/>
                    </w14:srgbClr>
                  </w14:solidFill>
                </w14:textFill>
              </w:rPr>
              <w:t>|||</w:t>
            </w:r>
            <w:r w:rsidRPr="008D2482">
              <w:rPr>
                <w:b/>
                <w:color w:val="000000"/>
                <w:spacing w:val="1"/>
                <w:shd w:val="solid" w:color="000000" w:fill="000000"/>
                <w:fitText w:val="376" w:id="-1233498361"/>
                <w14:textFill>
                  <w14:solidFill>
                    <w14:srgbClr w14:val="000000">
                      <w14:alpha w14:val="100000"/>
                    </w14:srgbClr>
                  </w14:solidFill>
                </w14:textFill>
              </w:rPr>
              <w:t>|</w:t>
            </w:r>
            <w:r w:rsidR="00AA73B7" w:rsidRPr="00AA73B7">
              <w:rPr>
                <w:b/>
              </w:rPr>
              <w:t xml:space="preserve"> </w:t>
            </w:r>
            <w:r w:rsidR="006B43E0" w:rsidRPr="006B43E0">
              <w:rPr>
                <w:rFonts w:cs="Arial"/>
                <w:iCs/>
                <w:szCs w:val="20"/>
                <w:vertAlign w:val="superscript"/>
              </w:rPr>
              <w:t>1</w:t>
            </w:r>
          </w:p>
        </w:tc>
        <w:tc>
          <w:tcPr>
            <w:tcW w:w="1064" w:type="pct"/>
            <w:gridSpan w:val="2"/>
            <w:vAlign w:val="center"/>
          </w:tcPr>
          <w:p w14:paraId="3CE6F19E" w14:textId="77777777" w:rsidR="00AC26F4" w:rsidRPr="0075485D" w:rsidRDefault="00AC26F4" w:rsidP="00E44076">
            <w:pPr>
              <w:pStyle w:val="TableText0"/>
              <w:jc w:val="center"/>
              <w:rPr>
                <w:b/>
              </w:rPr>
            </w:pPr>
          </w:p>
        </w:tc>
        <w:tc>
          <w:tcPr>
            <w:tcW w:w="531" w:type="pct"/>
            <w:vAlign w:val="center"/>
            <w:hideMark/>
          </w:tcPr>
          <w:p w14:paraId="02D00136" w14:textId="7C1E5CCD"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60"/>
                <w14:textFill>
                  <w14:solidFill>
                    <w14:srgbClr w14:val="000000">
                      <w14:alpha w14:val="100000"/>
                    </w14:srgbClr>
                  </w14:solidFill>
                </w14:textFill>
              </w:rPr>
              <w:t>|||</w:t>
            </w:r>
            <w:r w:rsidRPr="008D2482">
              <w:rPr>
                <w:b/>
                <w:color w:val="000000"/>
                <w:spacing w:val="1"/>
                <w:shd w:val="solid" w:color="000000" w:fill="000000"/>
                <w:fitText w:val="376" w:id="-1233498360"/>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r>
      <w:tr w:rsidR="00AC26F4" w:rsidRPr="0075485D" w14:paraId="49617D34" w14:textId="77777777" w:rsidTr="000E11BB">
        <w:tc>
          <w:tcPr>
            <w:tcW w:w="2873" w:type="pct"/>
            <w:gridSpan w:val="3"/>
            <w:vAlign w:val="center"/>
            <w:hideMark/>
          </w:tcPr>
          <w:p w14:paraId="7255EE94" w14:textId="4E4BDDF7" w:rsidR="00AC26F4" w:rsidRPr="0075485D" w:rsidRDefault="00AC26F4" w:rsidP="00A56E63">
            <w:pPr>
              <w:pStyle w:val="TableText0"/>
              <w:rPr>
                <w:b/>
              </w:rPr>
            </w:pPr>
            <w:r w:rsidRPr="0075485D">
              <w:rPr>
                <w:b/>
              </w:rPr>
              <w:t>Incremental cost/extra LY gained</w:t>
            </w:r>
            <w:r w:rsidR="006B43E0">
              <w:rPr>
                <w:b/>
              </w:rPr>
              <w:t xml:space="preserve"> ($)</w:t>
            </w:r>
          </w:p>
        </w:tc>
        <w:tc>
          <w:tcPr>
            <w:tcW w:w="533" w:type="pct"/>
            <w:vAlign w:val="center"/>
            <w:hideMark/>
          </w:tcPr>
          <w:p w14:paraId="65AEA2EB" w14:textId="68DECF84"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59"/>
                <w14:textFill>
                  <w14:solidFill>
                    <w14:srgbClr w14:val="000000">
                      <w14:alpha w14:val="100000"/>
                    </w14:srgbClr>
                  </w14:solidFill>
                </w14:textFill>
              </w:rPr>
              <w:t>|||</w:t>
            </w:r>
            <w:r w:rsidRPr="008D2482">
              <w:rPr>
                <w:b/>
                <w:color w:val="000000"/>
                <w:spacing w:val="1"/>
                <w:shd w:val="solid" w:color="000000" w:fill="000000"/>
                <w:fitText w:val="376" w:id="-1233498359"/>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2</w:t>
            </w:r>
          </w:p>
        </w:tc>
        <w:tc>
          <w:tcPr>
            <w:tcW w:w="1064" w:type="pct"/>
            <w:gridSpan w:val="2"/>
            <w:vAlign w:val="center"/>
          </w:tcPr>
          <w:p w14:paraId="413277FF" w14:textId="77777777" w:rsidR="00AC26F4" w:rsidRPr="0075485D" w:rsidRDefault="00AC26F4" w:rsidP="00E44076">
            <w:pPr>
              <w:pStyle w:val="TableText0"/>
              <w:jc w:val="center"/>
              <w:rPr>
                <w:b/>
              </w:rPr>
            </w:pPr>
          </w:p>
        </w:tc>
        <w:tc>
          <w:tcPr>
            <w:tcW w:w="531" w:type="pct"/>
            <w:vAlign w:val="center"/>
            <w:hideMark/>
          </w:tcPr>
          <w:p w14:paraId="4832367F" w14:textId="5F278546" w:rsidR="00AC26F4" w:rsidRPr="006B43E0" w:rsidRDefault="008D2482" w:rsidP="00E44076">
            <w:pPr>
              <w:pStyle w:val="TableText0"/>
              <w:jc w:val="center"/>
              <w:rPr>
                <w:b/>
                <w:highlight w:val="darkGray"/>
              </w:rPr>
            </w:pPr>
            <w:r w:rsidRPr="008D2482">
              <w:rPr>
                <w:b/>
                <w:color w:val="000000"/>
                <w:spacing w:val="64"/>
                <w:shd w:val="solid" w:color="000000" w:fill="000000"/>
                <w:fitText w:val="376" w:id="-1233498358"/>
                <w14:textFill>
                  <w14:solidFill>
                    <w14:srgbClr w14:val="000000">
                      <w14:alpha w14:val="100000"/>
                    </w14:srgbClr>
                  </w14:solidFill>
                </w14:textFill>
              </w:rPr>
              <w:t>|||</w:t>
            </w:r>
            <w:r w:rsidRPr="008D2482">
              <w:rPr>
                <w:b/>
                <w:color w:val="000000"/>
                <w:spacing w:val="1"/>
                <w:shd w:val="solid" w:color="000000" w:fill="000000"/>
                <w:fitText w:val="376" w:id="-1233498358"/>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2</w:t>
            </w:r>
          </w:p>
        </w:tc>
      </w:tr>
      <w:tr w:rsidR="00A01891" w:rsidRPr="0075485D" w14:paraId="5C364C35" w14:textId="77777777" w:rsidTr="00AC26F4">
        <w:tc>
          <w:tcPr>
            <w:tcW w:w="5000" w:type="pct"/>
            <w:gridSpan w:val="7"/>
            <w:vAlign w:val="center"/>
            <w:hideMark/>
          </w:tcPr>
          <w:p w14:paraId="3C0D1047" w14:textId="77777777" w:rsidR="00A01891" w:rsidRPr="0075485D" w:rsidRDefault="00A01891" w:rsidP="00E44076">
            <w:pPr>
              <w:pStyle w:val="TableText0"/>
              <w:rPr>
                <w:b/>
              </w:rPr>
            </w:pPr>
            <w:r w:rsidRPr="0075485D">
              <w:rPr>
                <w:b/>
              </w:rPr>
              <w:t>Step 3: Time horizon, trial based (44 months), all costs and utilities</w:t>
            </w:r>
          </w:p>
        </w:tc>
      </w:tr>
      <w:tr w:rsidR="00A01891" w:rsidRPr="0075485D" w14:paraId="7865A309" w14:textId="77777777" w:rsidTr="000E11BB">
        <w:tc>
          <w:tcPr>
            <w:tcW w:w="1806" w:type="pct"/>
            <w:vAlign w:val="center"/>
            <w:hideMark/>
          </w:tcPr>
          <w:p w14:paraId="2A1673FB" w14:textId="0404CEE4" w:rsidR="00A01891" w:rsidRPr="0075485D" w:rsidRDefault="00A01891" w:rsidP="00E44076">
            <w:pPr>
              <w:pStyle w:val="TableText0"/>
              <w:rPr>
                <w:b/>
              </w:rPr>
            </w:pPr>
            <w:r w:rsidRPr="0075485D">
              <w:t>Costs</w:t>
            </w:r>
            <w:r w:rsidR="006B43E0">
              <w:t xml:space="preserve"> ($)</w:t>
            </w:r>
          </w:p>
        </w:tc>
        <w:tc>
          <w:tcPr>
            <w:tcW w:w="532" w:type="pct"/>
            <w:vAlign w:val="center"/>
            <w:hideMark/>
          </w:tcPr>
          <w:p w14:paraId="3A6C3F26" w14:textId="583FBD1C" w:rsidR="00A01891" w:rsidRPr="008417A8" w:rsidRDefault="008D2482" w:rsidP="00E44076">
            <w:pPr>
              <w:pStyle w:val="TableText0"/>
              <w:jc w:val="center"/>
              <w:rPr>
                <w:b/>
                <w:highlight w:val="darkGray"/>
              </w:rPr>
            </w:pPr>
            <w:r w:rsidRPr="008D2482">
              <w:rPr>
                <w:color w:val="000000"/>
                <w:spacing w:val="169"/>
                <w:shd w:val="solid" w:color="000000" w:fill="000000"/>
                <w:fitText w:val="255" w:id="-1233498357"/>
                <w14:textFill>
                  <w14:solidFill>
                    <w14:srgbClr w14:val="000000">
                      <w14:alpha w14:val="100000"/>
                    </w14:srgbClr>
                  </w14:solidFill>
                </w14:textFill>
              </w:rPr>
              <w:t>|</w:t>
            </w:r>
            <w:r w:rsidRPr="008D2482">
              <w:rPr>
                <w:color w:val="000000"/>
                <w:spacing w:val="1"/>
                <w:shd w:val="solid" w:color="000000" w:fill="000000"/>
                <w:fitText w:val="255" w:id="-1233498357"/>
                <w14:textFill>
                  <w14:solidFill>
                    <w14:srgbClr w14:val="000000">
                      <w14:alpha w14:val="100000"/>
                    </w14:srgbClr>
                  </w14:solidFill>
                </w14:textFill>
              </w:rPr>
              <w:t>|</w:t>
            </w:r>
            <w:r w:rsidR="00AA73B7" w:rsidRPr="00AA73B7">
              <w:t xml:space="preserve"> </w:t>
            </w:r>
          </w:p>
        </w:tc>
        <w:tc>
          <w:tcPr>
            <w:tcW w:w="535" w:type="pct"/>
            <w:vAlign w:val="center"/>
            <w:hideMark/>
          </w:tcPr>
          <w:p w14:paraId="65BF5BE9" w14:textId="51002A7C" w:rsidR="00A01891" w:rsidRPr="008417A8" w:rsidRDefault="008D2482" w:rsidP="00E44076">
            <w:pPr>
              <w:pStyle w:val="TableText0"/>
              <w:jc w:val="center"/>
              <w:rPr>
                <w:b/>
                <w:highlight w:val="darkGray"/>
              </w:rPr>
            </w:pPr>
            <w:r w:rsidRPr="008D2482">
              <w:rPr>
                <w:color w:val="000000"/>
                <w:spacing w:val="179"/>
                <w:shd w:val="solid" w:color="000000" w:fill="000000"/>
                <w:fitText w:val="265" w:id="-1233498356"/>
                <w14:textFill>
                  <w14:solidFill>
                    <w14:srgbClr w14:val="000000">
                      <w14:alpha w14:val="100000"/>
                    </w14:srgbClr>
                  </w14:solidFill>
                </w14:textFill>
              </w:rPr>
              <w:t>|</w:t>
            </w:r>
            <w:r w:rsidRPr="008D2482">
              <w:rPr>
                <w:color w:val="000000"/>
                <w:spacing w:val="1"/>
                <w:shd w:val="solid" w:color="000000" w:fill="000000"/>
                <w:fitText w:val="265" w:id="-1233498356"/>
                <w14:textFill>
                  <w14:solidFill>
                    <w14:srgbClr w14:val="000000">
                      <w14:alpha w14:val="100000"/>
                    </w14:srgbClr>
                  </w14:solidFill>
                </w14:textFill>
              </w:rPr>
              <w:t>|</w:t>
            </w:r>
            <w:r w:rsidR="00AA73B7" w:rsidRPr="00AA73B7">
              <w:t xml:space="preserve"> </w:t>
            </w:r>
          </w:p>
        </w:tc>
        <w:tc>
          <w:tcPr>
            <w:tcW w:w="533" w:type="pct"/>
            <w:vAlign w:val="center"/>
            <w:hideMark/>
          </w:tcPr>
          <w:p w14:paraId="7935E1F1" w14:textId="0A732DB8" w:rsidR="00A01891" w:rsidRPr="008417A8" w:rsidRDefault="008D2482" w:rsidP="00E44076">
            <w:pPr>
              <w:pStyle w:val="TableText0"/>
              <w:jc w:val="center"/>
              <w:rPr>
                <w:b/>
                <w:highlight w:val="darkGray"/>
              </w:rPr>
            </w:pPr>
            <w:r w:rsidRPr="008D2482">
              <w:rPr>
                <w:color w:val="000000"/>
                <w:spacing w:val="180"/>
                <w:shd w:val="solid" w:color="000000" w:fill="000000"/>
                <w:fitText w:val="266" w:id="-1233498355"/>
                <w14:textFill>
                  <w14:solidFill>
                    <w14:srgbClr w14:val="000000">
                      <w14:alpha w14:val="100000"/>
                    </w14:srgbClr>
                  </w14:solidFill>
                </w14:textFill>
              </w:rPr>
              <w:t>|</w:t>
            </w:r>
            <w:r w:rsidRPr="008D2482">
              <w:rPr>
                <w:color w:val="000000"/>
                <w:spacing w:val="1"/>
                <w:shd w:val="solid" w:color="000000" w:fill="000000"/>
                <w:fitText w:val="266" w:id="-1233498355"/>
                <w14:textFill>
                  <w14:solidFill>
                    <w14:srgbClr w14:val="000000">
                      <w14:alpha w14:val="100000"/>
                    </w14:srgbClr>
                  </w14:solidFill>
                </w14:textFill>
              </w:rPr>
              <w:t>|</w:t>
            </w:r>
            <w:r w:rsidR="00AA73B7" w:rsidRPr="00AA73B7">
              <w:t xml:space="preserve"> </w:t>
            </w:r>
          </w:p>
        </w:tc>
        <w:tc>
          <w:tcPr>
            <w:tcW w:w="532" w:type="pct"/>
            <w:vAlign w:val="center"/>
            <w:hideMark/>
          </w:tcPr>
          <w:p w14:paraId="2329D4C3" w14:textId="0737DC90" w:rsidR="00A01891" w:rsidRPr="008417A8" w:rsidRDefault="008D2482" w:rsidP="00E44076">
            <w:pPr>
              <w:pStyle w:val="TableText0"/>
              <w:jc w:val="center"/>
              <w:rPr>
                <w:b/>
                <w:highlight w:val="darkGray"/>
              </w:rPr>
            </w:pPr>
            <w:r w:rsidRPr="008D2482">
              <w:rPr>
                <w:color w:val="000000"/>
                <w:spacing w:val="169"/>
                <w:shd w:val="solid" w:color="000000" w:fill="000000"/>
                <w:fitText w:val="255" w:id="-1233498354"/>
                <w14:textFill>
                  <w14:solidFill>
                    <w14:srgbClr w14:val="000000">
                      <w14:alpha w14:val="100000"/>
                    </w14:srgbClr>
                  </w14:solidFill>
                </w14:textFill>
              </w:rPr>
              <w:t>|</w:t>
            </w:r>
            <w:r w:rsidRPr="008D2482">
              <w:rPr>
                <w:color w:val="000000"/>
                <w:spacing w:val="1"/>
                <w:shd w:val="solid" w:color="000000" w:fill="000000"/>
                <w:fitText w:val="255" w:id="-1233498354"/>
                <w14:textFill>
                  <w14:solidFill>
                    <w14:srgbClr w14:val="000000">
                      <w14:alpha w14:val="100000"/>
                    </w14:srgbClr>
                  </w14:solidFill>
                </w14:textFill>
              </w:rPr>
              <w:t>|</w:t>
            </w:r>
            <w:r w:rsidR="00AA73B7" w:rsidRPr="00AA73B7">
              <w:t xml:space="preserve"> </w:t>
            </w:r>
          </w:p>
        </w:tc>
        <w:tc>
          <w:tcPr>
            <w:tcW w:w="532" w:type="pct"/>
            <w:vAlign w:val="center"/>
            <w:hideMark/>
          </w:tcPr>
          <w:p w14:paraId="16D3FA35" w14:textId="21D48168" w:rsidR="00A01891" w:rsidRPr="008417A8" w:rsidRDefault="008D2482" w:rsidP="00E44076">
            <w:pPr>
              <w:pStyle w:val="TableText0"/>
              <w:jc w:val="center"/>
              <w:rPr>
                <w:b/>
                <w:highlight w:val="darkGray"/>
              </w:rPr>
            </w:pPr>
            <w:r w:rsidRPr="008D2482">
              <w:rPr>
                <w:color w:val="000000"/>
                <w:spacing w:val="168"/>
                <w:shd w:val="solid" w:color="000000" w:fill="000000"/>
                <w:fitText w:val="254" w:id="-1233498353"/>
                <w14:textFill>
                  <w14:solidFill>
                    <w14:srgbClr w14:val="000000">
                      <w14:alpha w14:val="100000"/>
                    </w14:srgbClr>
                  </w14:solidFill>
                </w14:textFill>
              </w:rPr>
              <w:t>|</w:t>
            </w:r>
            <w:r w:rsidRPr="008D2482">
              <w:rPr>
                <w:color w:val="000000"/>
                <w:spacing w:val="1"/>
                <w:shd w:val="solid" w:color="000000" w:fill="000000"/>
                <w:fitText w:val="254" w:id="-1233498353"/>
                <w14:textFill>
                  <w14:solidFill>
                    <w14:srgbClr w14:val="000000">
                      <w14:alpha w14:val="100000"/>
                    </w14:srgbClr>
                  </w14:solidFill>
                </w14:textFill>
              </w:rPr>
              <w:t>|</w:t>
            </w:r>
            <w:r w:rsidR="00AA73B7" w:rsidRPr="00AA73B7">
              <w:t xml:space="preserve"> </w:t>
            </w:r>
          </w:p>
        </w:tc>
        <w:tc>
          <w:tcPr>
            <w:tcW w:w="531" w:type="pct"/>
            <w:vAlign w:val="center"/>
            <w:hideMark/>
          </w:tcPr>
          <w:p w14:paraId="5D329406" w14:textId="55915DEB" w:rsidR="00A01891" w:rsidRPr="008417A8" w:rsidRDefault="008D2482" w:rsidP="00E44076">
            <w:pPr>
              <w:pStyle w:val="TableText0"/>
              <w:jc w:val="center"/>
              <w:rPr>
                <w:b/>
                <w:highlight w:val="darkGray"/>
              </w:rPr>
            </w:pPr>
            <w:r w:rsidRPr="008D2482">
              <w:rPr>
                <w:color w:val="000000"/>
                <w:spacing w:val="169"/>
                <w:shd w:val="solid" w:color="000000" w:fill="000000"/>
                <w:fitText w:val="255" w:id="-1233498352"/>
                <w14:textFill>
                  <w14:solidFill>
                    <w14:srgbClr w14:val="000000">
                      <w14:alpha w14:val="100000"/>
                    </w14:srgbClr>
                  </w14:solidFill>
                </w14:textFill>
              </w:rPr>
              <w:t>|</w:t>
            </w:r>
            <w:r w:rsidRPr="008D2482">
              <w:rPr>
                <w:color w:val="000000"/>
                <w:spacing w:val="1"/>
                <w:shd w:val="solid" w:color="000000" w:fill="000000"/>
                <w:fitText w:val="255" w:id="-1233498352"/>
                <w14:textFill>
                  <w14:solidFill>
                    <w14:srgbClr w14:val="000000">
                      <w14:alpha w14:val="100000"/>
                    </w14:srgbClr>
                  </w14:solidFill>
                </w14:textFill>
              </w:rPr>
              <w:t>|</w:t>
            </w:r>
            <w:r w:rsidR="00AA73B7" w:rsidRPr="00AA73B7">
              <w:t xml:space="preserve"> </w:t>
            </w:r>
          </w:p>
        </w:tc>
      </w:tr>
      <w:tr w:rsidR="00A01891" w:rsidRPr="0075485D" w14:paraId="6AEC50AA" w14:textId="77777777" w:rsidTr="000E11BB">
        <w:tc>
          <w:tcPr>
            <w:tcW w:w="1806" w:type="pct"/>
            <w:vAlign w:val="center"/>
            <w:hideMark/>
          </w:tcPr>
          <w:p w14:paraId="6E2C8FF2" w14:textId="77777777" w:rsidR="00A01891" w:rsidRPr="0075485D" w:rsidRDefault="00A01891" w:rsidP="00E44076">
            <w:pPr>
              <w:pStyle w:val="TableText0"/>
              <w:rPr>
                <w:b/>
              </w:rPr>
            </w:pPr>
            <w:r w:rsidRPr="0075485D">
              <w:t>QAPFLYs</w:t>
            </w:r>
          </w:p>
        </w:tc>
        <w:tc>
          <w:tcPr>
            <w:tcW w:w="532" w:type="pct"/>
            <w:vAlign w:val="center"/>
            <w:hideMark/>
          </w:tcPr>
          <w:p w14:paraId="3E9B2489" w14:textId="77777777" w:rsidR="00A01891" w:rsidRPr="0075485D" w:rsidRDefault="00A01891" w:rsidP="00E44076">
            <w:pPr>
              <w:pStyle w:val="TableText0"/>
              <w:jc w:val="center"/>
            </w:pPr>
            <w:r w:rsidRPr="0075485D">
              <w:t>2.12</w:t>
            </w:r>
          </w:p>
        </w:tc>
        <w:tc>
          <w:tcPr>
            <w:tcW w:w="535" w:type="pct"/>
            <w:vAlign w:val="center"/>
            <w:hideMark/>
          </w:tcPr>
          <w:p w14:paraId="60D56BB7" w14:textId="77777777" w:rsidR="00A01891" w:rsidRPr="0075485D" w:rsidRDefault="00A01891" w:rsidP="00E44076">
            <w:pPr>
              <w:pStyle w:val="TableText0"/>
              <w:jc w:val="center"/>
            </w:pPr>
            <w:r w:rsidRPr="0075485D">
              <w:t>1.37</w:t>
            </w:r>
          </w:p>
        </w:tc>
        <w:tc>
          <w:tcPr>
            <w:tcW w:w="533" w:type="pct"/>
            <w:vAlign w:val="center"/>
            <w:hideMark/>
          </w:tcPr>
          <w:p w14:paraId="76924469" w14:textId="77777777" w:rsidR="00A01891" w:rsidRPr="0075485D" w:rsidRDefault="00A01891" w:rsidP="00E44076">
            <w:pPr>
              <w:pStyle w:val="TableText0"/>
              <w:jc w:val="center"/>
            </w:pPr>
            <w:r w:rsidRPr="0075485D">
              <w:t>0.75</w:t>
            </w:r>
          </w:p>
        </w:tc>
        <w:tc>
          <w:tcPr>
            <w:tcW w:w="532" w:type="pct"/>
            <w:vAlign w:val="center"/>
            <w:hideMark/>
          </w:tcPr>
          <w:p w14:paraId="645776CA" w14:textId="77777777" w:rsidR="00A01891" w:rsidRPr="0075485D" w:rsidRDefault="00A01891" w:rsidP="00E44076">
            <w:pPr>
              <w:pStyle w:val="TableText0"/>
              <w:jc w:val="center"/>
              <w:rPr>
                <w:b/>
              </w:rPr>
            </w:pPr>
            <w:r w:rsidRPr="0075485D">
              <w:t>2.12</w:t>
            </w:r>
          </w:p>
        </w:tc>
        <w:tc>
          <w:tcPr>
            <w:tcW w:w="532" w:type="pct"/>
            <w:vAlign w:val="center"/>
            <w:hideMark/>
          </w:tcPr>
          <w:p w14:paraId="0A750CF6" w14:textId="77777777" w:rsidR="00A01891" w:rsidRPr="0075485D" w:rsidRDefault="00A01891" w:rsidP="00E44076">
            <w:pPr>
              <w:pStyle w:val="TableText0"/>
              <w:jc w:val="center"/>
              <w:rPr>
                <w:b/>
              </w:rPr>
            </w:pPr>
            <w:r w:rsidRPr="0075485D">
              <w:t>1.37</w:t>
            </w:r>
          </w:p>
        </w:tc>
        <w:tc>
          <w:tcPr>
            <w:tcW w:w="531" w:type="pct"/>
            <w:vAlign w:val="center"/>
            <w:hideMark/>
          </w:tcPr>
          <w:p w14:paraId="477EEA38" w14:textId="77777777" w:rsidR="00A01891" w:rsidRPr="0075485D" w:rsidRDefault="00A01891" w:rsidP="00E44076">
            <w:pPr>
              <w:pStyle w:val="TableText0"/>
              <w:jc w:val="center"/>
              <w:rPr>
                <w:b/>
              </w:rPr>
            </w:pPr>
            <w:r w:rsidRPr="0075485D">
              <w:t>0.75</w:t>
            </w:r>
          </w:p>
        </w:tc>
      </w:tr>
      <w:tr w:rsidR="00A01891" w:rsidRPr="0075485D" w14:paraId="6D691604" w14:textId="77777777" w:rsidTr="000E11BB">
        <w:tc>
          <w:tcPr>
            <w:tcW w:w="1806" w:type="pct"/>
            <w:vAlign w:val="center"/>
            <w:hideMark/>
          </w:tcPr>
          <w:p w14:paraId="06DF804C" w14:textId="77777777" w:rsidR="00A01891" w:rsidRPr="0075485D" w:rsidRDefault="00A01891" w:rsidP="00E44076">
            <w:pPr>
              <w:pStyle w:val="TableText0"/>
              <w:rPr>
                <w:b/>
              </w:rPr>
            </w:pPr>
            <w:r w:rsidRPr="0075485D">
              <w:t>QALYs</w:t>
            </w:r>
          </w:p>
        </w:tc>
        <w:tc>
          <w:tcPr>
            <w:tcW w:w="532" w:type="pct"/>
            <w:vAlign w:val="center"/>
            <w:hideMark/>
          </w:tcPr>
          <w:p w14:paraId="4749A4DF" w14:textId="77777777" w:rsidR="00A01891" w:rsidRPr="0075485D" w:rsidRDefault="00A01891" w:rsidP="00E44076">
            <w:pPr>
              <w:pStyle w:val="TableText0"/>
              <w:jc w:val="center"/>
            </w:pPr>
            <w:r w:rsidRPr="0075485D">
              <w:t>2.53</w:t>
            </w:r>
          </w:p>
        </w:tc>
        <w:tc>
          <w:tcPr>
            <w:tcW w:w="535" w:type="pct"/>
            <w:vAlign w:val="center"/>
            <w:hideMark/>
          </w:tcPr>
          <w:p w14:paraId="6F46E0DE" w14:textId="77777777" w:rsidR="00A01891" w:rsidRPr="0075485D" w:rsidRDefault="00A01891" w:rsidP="00E44076">
            <w:pPr>
              <w:pStyle w:val="TableText0"/>
              <w:jc w:val="center"/>
            </w:pPr>
            <w:r w:rsidRPr="0075485D">
              <w:t>2.32</w:t>
            </w:r>
          </w:p>
        </w:tc>
        <w:tc>
          <w:tcPr>
            <w:tcW w:w="533" w:type="pct"/>
            <w:vAlign w:val="center"/>
            <w:hideMark/>
          </w:tcPr>
          <w:p w14:paraId="0D2D8708" w14:textId="77777777" w:rsidR="00A01891" w:rsidRPr="0075485D" w:rsidRDefault="00A01891" w:rsidP="00E44076">
            <w:pPr>
              <w:pStyle w:val="TableText0"/>
              <w:jc w:val="center"/>
            </w:pPr>
            <w:r w:rsidRPr="0075485D">
              <w:t>0.21</w:t>
            </w:r>
          </w:p>
        </w:tc>
        <w:tc>
          <w:tcPr>
            <w:tcW w:w="532" w:type="pct"/>
            <w:vAlign w:val="center"/>
            <w:hideMark/>
          </w:tcPr>
          <w:p w14:paraId="26A2046A" w14:textId="77777777" w:rsidR="00A01891" w:rsidRPr="0075485D" w:rsidRDefault="00A01891" w:rsidP="00E44076">
            <w:pPr>
              <w:pStyle w:val="TableText0"/>
              <w:jc w:val="center"/>
              <w:rPr>
                <w:b/>
              </w:rPr>
            </w:pPr>
            <w:r w:rsidRPr="0075485D">
              <w:t>2.53</w:t>
            </w:r>
          </w:p>
        </w:tc>
        <w:tc>
          <w:tcPr>
            <w:tcW w:w="532" w:type="pct"/>
            <w:vAlign w:val="center"/>
            <w:hideMark/>
          </w:tcPr>
          <w:p w14:paraId="30902D6D" w14:textId="77777777" w:rsidR="00A01891" w:rsidRPr="0075485D" w:rsidRDefault="00A01891" w:rsidP="00E44076">
            <w:pPr>
              <w:pStyle w:val="TableText0"/>
              <w:jc w:val="center"/>
              <w:rPr>
                <w:b/>
              </w:rPr>
            </w:pPr>
            <w:r w:rsidRPr="0075485D">
              <w:t>2.32</w:t>
            </w:r>
          </w:p>
        </w:tc>
        <w:tc>
          <w:tcPr>
            <w:tcW w:w="531" w:type="pct"/>
            <w:vAlign w:val="center"/>
            <w:hideMark/>
          </w:tcPr>
          <w:p w14:paraId="262B7D0D" w14:textId="77777777" w:rsidR="00A01891" w:rsidRPr="0075485D" w:rsidRDefault="00A01891" w:rsidP="00E44076">
            <w:pPr>
              <w:pStyle w:val="TableText0"/>
              <w:jc w:val="center"/>
              <w:rPr>
                <w:b/>
              </w:rPr>
            </w:pPr>
            <w:r w:rsidRPr="0075485D">
              <w:t>0.21</w:t>
            </w:r>
          </w:p>
        </w:tc>
      </w:tr>
      <w:tr w:rsidR="00A56E63" w:rsidRPr="0075485D" w14:paraId="442C0E29" w14:textId="77777777" w:rsidTr="000E11BB">
        <w:tc>
          <w:tcPr>
            <w:tcW w:w="2873" w:type="pct"/>
            <w:gridSpan w:val="3"/>
            <w:vAlign w:val="center"/>
            <w:hideMark/>
          </w:tcPr>
          <w:p w14:paraId="2446C1FF" w14:textId="3D518076" w:rsidR="00A56E63" w:rsidRPr="0075485D" w:rsidRDefault="00A56E63" w:rsidP="006B43E0">
            <w:pPr>
              <w:pStyle w:val="TableText0"/>
              <w:rPr>
                <w:b/>
              </w:rPr>
            </w:pPr>
            <w:r w:rsidRPr="0075485D">
              <w:rPr>
                <w:b/>
              </w:rPr>
              <w:t>Incremental cost/extra QAPFLY gained</w:t>
            </w:r>
            <w:r w:rsidR="006B43E0">
              <w:rPr>
                <w:b/>
              </w:rPr>
              <w:t xml:space="preserve"> ($)</w:t>
            </w:r>
          </w:p>
        </w:tc>
        <w:tc>
          <w:tcPr>
            <w:tcW w:w="533" w:type="pct"/>
            <w:vAlign w:val="center"/>
            <w:hideMark/>
          </w:tcPr>
          <w:p w14:paraId="498D14AD" w14:textId="3F7B4399"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68"/>
                <w14:textFill>
                  <w14:solidFill>
                    <w14:srgbClr w14:val="000000">
                      <w14:alpha w14:val="100000"/>
                    </w14:srgbClr>
                  </w14:solidFill>
                </w14:textFill>
              </w:rPr>
              <w:t>|||</w:t>
            </w:r>
            <w:r w:rsidRPr="008D2482">
              <w:rPr>
                <w:b/>
                <w:color w:val="000000"/>
                <w:spacing w:val="1"/>
                <w:shd w:val="solid" w:color="000000" w:fill="000000"/>
                <w:fitText w:val="376" w:id="-1233498368"/>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c>
          <w:tcPr>
            <w:tcW w:w="1064" w:type="pct"/>
            <w:gridSpan w:val="2"/>
            <w:vAlign w:val="center"/>
          </w:tcPr>
          <w:p w14:paraId="0B3B69DB" w14:textId="77777777" w:rsidR="00A56E63" w:rsidRPr="0075485D" w:rsidRDefault="00A56E63" w:rsidP="00E44076">
            <w:pPr>
              <w:pStyle w:val="TableText0"/>
              <w:jc w:val="center"/>
              <w:rPr>
                <w:b/>
              </w:rPr>
            </w:pPr>
          </w:p>
        </w:tc>
        <w:tc>
          <w:tcPr>
            <w:tcW w:w="531" w:type="pct"/>
            <w:vAlign w:val="center"/>
            <w:hideMark/>
          </w:tcPr>
          <w:p w14:paraId="0158BBDF" w14:textId="5033CD33"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67"/>
                <w14:textFill>
                  <w14:solidFill>
                    <w14:srgbClr w14:val="000000">
                      <w14:alpha w14:val="100000"/>
                    </w14:srgbClr>
                  </w14:solidFill>
                </w14:textFill>
              </w:rPr>
              <w:t>|||</w:t>
            </w:r>
            <w:r w:rsidRPr="008D2482">
              <w:rPr>
                <w:b/>
                <w:color w:val="000000"/>
                <w:spacing w:val="1"/>
                <w:shd w:val="solid" w:color="000000" w:fill="000000"/>
                <w:fitText w:val="376" w:id="-1233498367"/>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r>
      <w:tr w:rsidR="00A56E63" w:rsidRPr="0075485D" w14:paraId="3740A3DA" w14:textId="77777777" w:rsidTr="000E11BB">
        <w:tc>
          <w:tcPr>
            <w:tcW w:w="2873" w:type="pct"/>
            <w:gridSpan w:val="3"/>
            <w:vAlign w:val="center"/>
            <w:hideMark/>
          </w:tcPr>
          <w:p w14:paraId="2F00C515" w14:textId="048BAC01" w:rsidR="00A56E63" w:rsidRPr="0075485D" w:rsidRDefault="00A56E63" w:rsidP="006B43E0">
            <w:pPr>
              <w:pStyle w:val="TableText0"/>
              <w:rPr>
                <w:b/>
              </w:rPr>
            </w:pPr>
            <w:r w:rsidRPr="0075485D">
              <w:rPr>
                <w:b/>
              </w:rPr>
              <w:t>Incremental cost/extra QALY gained</w:t>
            </w:r>
            <w:r w:rsidR="006B43E0">
              <w:rPr>
                <w:b/>
              </w:rPr>
              <w:t xml:space="preserve"> ($)</w:t>
            </w:r>
          </w:p>
        </w:tc>
        <w:tc>
          <w:tcPr>
            <w:tcW w:w="533" w:type="pct"/>
            <w:vAlign w:val="center"/>
            <w:hideMark/>
          </w:tcPr>
          <w:p w14:paraId="4B957857" w14:textId="52D6AB22"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66"/>
                <w14:textFill>
                  <w14:solidFill>
                    <w14:srgbClr w14:val="000000">
                      <w14:alpha w14:val="100000"/>
                    </w14:srgbClr>
                  </w14:solidFill>
                </w14:textFill>
              </w:rPr>
              <w:t>|||</w:t>
            </w:r>
            <w:r w:rsidRPr="008D2482">
              <w:rPr>
                <w:b/>
                <w:color w:val="000000"/>
                <w:spacing w:val="1"/>
                <w:shd w:val="solid" w:color="000000" w:fill="000000"/>
                <w:fitText w:val="376" w:id="-1233498366"/>
                <w14:textFill>
                  <w14:solidFill>
                    <w14:srgbClr w14:val="000000">
                      <w14:alpha w14:val="100000"/>
                    </w14:srgbClr>
                  </w14:solidFill>
                </w14:textFill>
              </w:rPr>
              <w:t>|</w:t>
            </w:r>
            <w:r w:rsidR="00AA73B7" w:rsidRPr="00AA73B7">
              <w:rPr>
                <w:b/>
              </w:rPr>
              <w:t xml:space="preserve"> </w:t>
            </w:r>
            <w:r w:rsidR="006B43E0" w:rsidRPr="006B43E0">
              <w:rPr>
                <w:rFonts w:cs="Arial"/>
                <w:iCs/>
                <w:szCs w:val="20"/>
                <w:vertAlign w:val="superscript"/>
              </w:rPr>
              <w:t>4</w:t>
            </w:r>
          </w:p>
        </w:tc>
        <w:tc>
          <w:tcPr>
            <w:tcW w:w="1064" w:type="pct"/>
            <w:gridSpan w:val="2"/>
            <w:vAlign w:val="center"/>
          </w:tcPr>
          <w:p w14:paraId="06E2624E" w14:textId="77777777" w:rsidR="00A56E63" w:rsidRPr="0075485D" w:rsidRDefault="00A56E63" w:rsidP="00E44076">
            <w:pPr>
              <w:pStyle w:val="TableText0"/>
              <w:jc w:val="center"/>
              <w:rPr>
                <w:b/>
              </w:rPr>
            </w:pPr>
          </w:p>
        </w:tc>
        <w:tc>
          <w:tcPr>
            <w:tcW w:w="531" w:type="pct"/>
            <w:vAlign w:val="center"/>
            <w:hideMark/>
          </w:tcPr>
          <w:p w14:paraId="35E1ECA7" w14:textId="17224C50"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65"/>
                <w14:textFill>
                  <w14:solidFill>
                    <w14:srgbClr w14:val="000000">
                      <w14:alpha w14:val="100000"/>
                    </w14:srgbClr>
                  </w14:solidFill>
                </w14:textFill>
              </w:rPr>
              <w:t>|||</w:t>
            </w:r>
            <w:r w:rsidRPr="008D2482">
              <w:rPr>
                <w:b/>
                <w:color w:val="000000"/>
                <w:spacing w:val="1"/>
                <w:shd w:val="solid" w:color="000000" w:fill="000000"/>
                <w:fitText w:val="376" w:id="-1233498365"/>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2</w:t>
            </w:r>
          </w:p>
        </w:tc>
      </w:tr>
      <w:tr w:rsidR="00A01891" w:rsidRPr="0075485D" w14:paraId="710DF23A" w14:textId="77777777" w:rsidTr="00AC26F4">
        <w:tc>
          <w:tcPr>
            <w:tcW w:w="5000" w:type="pct"/>
            <w:gridSpan w:val="7"/>
            <w:vAlign w:val="center"/>
            <w:hideMark/>
          </w:tcPr>
          <w:p w14:paraId="45DAAC39" w14:textId="77777777" w:rsidR="00A01891" w:rsidRPr="0075485D" w:rsidRDefault="00A01891" w:rsidP="00E44076">
            <w:pPr>
              <w:pStyle w:val="TableText0"/>
              <w:rPr>
                <w:b/>
              </w:rPr>
            </w:pPr>
            <w:r w:rsidRPr="0075485D">
              <w:rPr>
                <w:b/>
              </w:rPr>
              <w:t>Step 4: Time horizon, 15 years, all costs and utilities (base case)</w:t>
            </w:r>
          </w:p>
        </w:tc>
      </w:tr>
      <w:tr w:rsidR="00A01891" w:rsidRPr="0075485D" w14:paraId="2DB47512" w14:textId="77777777" w:rsidTr="000E11BB">
        <w:tc>
          <w:tcPr>
            <w:tcW w:w="1806" w:type="pct"/>
            <w:vAlign w:val="center"/>
            <w:hideMark/>
          </w:tcPr>
          <w:p w14:paraId="3F128E03" w14:textId="77777777" w:rsidR="00A01891" w:rsidRPr="0075485D" w:rsidRDefault="00A01891" w:rsidP="00E44076">
            <w:pPr>
              <w:pStyle w:val="TableText0"/>
              <w:rPr>
                <w:b/>
              </w:rPr>
            </w:pPr>
            <w:r w:rsidRPr="0075485D">
              <w:t>Costs</w:t>
            </w:r>
          </w:p>
        </w:tc>
        <w:tc>
          <w:tcPr>
            <w:tcW w:w="532" w:type="pct"/>
            <w:vAlign w:val="center"/>
            <w:hideMark/>
          </w:tcPr>
          <w:p w14:paraId="45DED524" w14:textId="7563B392" w:rsidR="00A01891" w:rsidRPr="006B43E0" w:rsidRDefault="008D2482" w:rsidP="00E44076">
            <w:pPr>
              <w:pStyle w:val="TableText0"/>
              <w:jc w:val="center"/>
              <w:rPr>
                <w:b/>
                <w:highlight w:val="darkGray"/>
              </w:rPr>
            </w:pPr>
            <w:r w:rsidRPr="008D2482">
              <w:rPr>
                <w:color w:val="000000"/>
                <w:spacing w:val="169"/>
                <w:shd w:val="solid" w:color="000000" w:fill="000000"/>
                <w:fitText w:val="255" w:id="-1233498364"/>
                <w14:textFill>
                  <w14:solidFill>
                    <w14:srgbClr w14:val="000000">
                      <w14:alpha w14:val="100000"/>
                    </w14:srgbClr>
                  </w14:solidFill>
                </w14:textFill>
              </w:rPr>
              <w:t>|</w:t>
            </w:r>
            <w:r w:rsidRPr="008D2482">
              <w:rPr>
                <w:color w:val="000000"/>
                <w:spacing w:val="1"/>
                <w:shd w:val="solid" w:color="000000" w:fill="000000"/>
                <w:fitText w:val="255" w:id="-1233498364"/>
                <w14:textFill>
                  <w14:solidFill>
                    <w14:srgbClr w14:val="000000">
                      <w14:alpha w14:val="100000"/>
                    </w14:srgbClr>
                  </w14:solidFill>
                </w14:textFill>
              </w:rPr>
              <w:t>|</w:t>
            </w:r>
            <w:r w:rsidR="00AA73B7" w:rsidRPr="00AA73B7">
              <w:t xml:space="preserve"> </w:t>
            </w:r>
          </w:p>
        </w:tc>
        <w:tc>
          <w:tcPr>
            <w:tcW w:w="535" w:type="pct"/>
            <w:vAlign w:val="center"/>
            <w:hideMark/>
          </w:tcPr>
          <w:p w14:paraId="10A3ADEF" w14:textId="26F77F28" w:rsidR="00A01891" w:rsidRPr="006B43E0" w:rsidRDefault="008D2482" w:rsidP="00E44076">
            <w:pPr>
              <w:pStyle w:val="TableText0"/>
              <w:jc w:val="center"/>
              <w:rPr>
                <w:b/>
                <w:highlight w:val="darkGray"/>
              </w:rPr>
            </w:pPr>
            <w:r w:rsidRPr="008D2482">
              <w:rPr>
                <w:color w:val="000000"/>
                <w:spacing w:val="179"/>
                <w:shd w:val="solid" w:color="000000" w:fill="000000"/>
                <w:fitText w:val="265" w:id="-1233498363"/>
                <w14:textFill>
                  <w14:solidFill>
                    <w14:srgbClr w14:val="000000">
                      <w14:alpha w14:val="100000"/>
                    </w14:srgbClr>
                  </w14:solidFill>
                </w14:textFill>
              </w:rPr>
              <w:t>|</w:t>
            </w:r>
            <w:r w:rsidRPr="008D2482">
              <w:rPr>
                <w:color w:val="000000"/>
                <w:spacing w:val="1"/>
                <w:shd w:val="solid" w:color="000000" w:fill="000000"/>
                <w:fitText w:val="265" w:id="-1233498363"/>
                <w14:textFill>
                  <w14:solidFill>
                    <w14:srgbClr w14:val="000000">
                      <w14:alpha w14:val="100000"/>
                    </w14:srgbClr>
                  </w14:solidFill>
                </w14:textFill>
              </w:rPr>
              <w:t>|</w:t>
            </w:r>
            <w:r w:rsidR="00AA73B7" w:rsidRPr="00AA73B7">
              <w:t xml:space="preserve"> </w:t>
            </w:r>
          </w:p>
        </w:tc>
        <w:tc>
          <w:tcPr>
            <w:tcW w:w="533" w:type="pct"/>
            <w:vAlign w:val="center"/>
            <w:hideMark/>
          </w:tcPr>
          <w:p w14:paraId="725453DB" w14:textId="5545F823" w:rsidR="00A01891" w:rsidRPr="006B43E0" w:rsidRDefault="008D2482" w:rsidP="00E44076">
            <w:pPr>
              <w:pStyle w:val="TableText0"/>
              <w:jc w:val="center"/>
              <w:rPr>
                <w:b/>
                <w:highlight w:val="darkGray"/>
              </w:rPr>
            </w:pPr>
            <w:r w:rsidRPr="008D2482">
              <w:rPr>
                <w:color w:val="000000"/>
                <w:spacing w:val="180"/>
                <w:shd w:val="solid" w:color="000000" w:fill="000000"/>
                <w:fitText w:val="266" w:id="-1233498362"/>
                <w14:textFill>
                  <w14:solidFill>
                    <w14:srgbClr w14:val="000000">
                      <w14:alpha w14:val="100000"/>
                    </w14:srgbClr>
                  </w14:solidFill>
                </w14:textFill>
              </w:rPr>
              <w:t>|</w:t>
            </w:r>
            <w:r w:rsidRPr="008D2482">
              <w:rPr>
                <w:color w:val="000000"/>
                <w:spacing w:val="1"/>
                <w:shd w:val="solid" w:color="000000" w:fill="000000"/>
                <w:fitText w:val="266" w:id="-1233498362"/>
                <w14:textFill>
                  <w14:solidFill>
                    <w14:srgbClr w14:val="000000">
                      <w14:alpha w14:val="100000"/>
                    </w14:srgbClr>
                  </w14:solidFill>
                </w14:textFill>
              </w:rPr>
              <w:t>|</w:t>
            </w:r>
            <w:r w:rsidR="00AA73B7" w:rsidRPr="00AA73B7">
              <w:t xml:space="preserve"> </w:t>
            </w:r>
          </w:p>
        </w:tc>
        <w:tc>
          <w:tcPr>
            <w:tcW w:w="532" w:type="pct"/>
            <w:vAlign w:val="center"/>
            <w:hideMark/>
          </w:tcPr>
          <w:p w14:paraId="2821F4F1" w14:textId="6CC62240" w:rsidR="00A01891" w:rsidRPr="006B43E0" w:rsidRDefault="008D2482" w:rsidP="00E44076">
            <w:pPr>
              <w:pStyle w:val="TableText0"/>
              <w:jc w:val="center"/>
              <w:rPr>
                <w:b/>
                <w:highlight w:val="darkGray"/>
              </w:rPr>
            </w:pPr>
            <w:r w:rsidRPr="008D2482">
              <w:rPr>
                <w:color w:val="000000"/>
                <w:spacing w:val="169"/>
                <w:shd w:val="solid" w:color="000000" w:fill="000000"/>
                <w:fitText w:val="255" w:id="-1233498361"/>
                <w14:textFill>
                  <w14:solidFill>
                    <w14:srgbClr w14:val="000000">
                      <w14:alpha w14:val="100000"/>
                    </w14:srgbClr>
                  </w14:solidFill>
                </w14:textFill>
              </w:rPr>
              <w:t>|</w:t>
            </w:r>
            <w:r w:rsidRPr="008D2482">
              <w:rPr>
                <w:color w:val="000000"/>
                <w:spacing w:val="1"/>
                <w:shd w:val="solid" w:color="000000" w:fill="000000"/>
                <w:fitText w:val="255" w:id="-1233498361"/>
                <w14:textFill>
                  <w14:solidFill>
                    <w14:srgbClr w14:val="000000">
                      <w14:alpha w14:val="100000"/>
                    </w14:srgbClr>
                  </w14:solidFill>
                </w14:textFill>
              </w:rPr>
              <w:t>|</w:t>
            </w:r>
            <w:r w:rsidR="00AA73B7" w:rsidRPr="00AA73B7">
              <w:t xml:space="preserve"> </w:t>
            </w:r>
          </w:p>
        </w:tc>
        <w:tc>
          <w:tcPr>
            <w:tcW w:w="532" w:type="pct"/>
            <w:vAlign w:val="center"/>
            <w:hideMark/>
          </w:tcPr>
          <w:p w14:paraId="39BE891C" w14:textId="1787B6F3" w:rsidR="00A01891" w:rsidRPr="006B43E0" w:rsidRDefault="008D2482" w:rsidP="00E44076">
            <w:pPr>
              <w:pStyle w:val="TableText0"/>
              <w:jc w:val="center"/>
              <w:rPr>
                <w:b/>
                <w:highlight w:val="darkGray"/>
              </w:rPr>
            </w:pPr>
            <w:r w:rsidRPr="008D2482">
              <w:rPr>
                <w:color w:val="000000"/>
                <w:spacing w:val="168"/>
                <w:shd w:val="solid" w:color="000000" w:fill="000000"/>
                <w:fitText w:val="254" w:id="-1233498360"/>
                <w14:textFill>
                  <w14:solidFill>
                    <w14:srgbClr w14:val="000000">
                      <w14:alpha w14:val="100000"/>
                    </w14:srgbClr>
                  </w14:solidFill>
                </w14:textFill>
              </w:rPr>
              <w:t>|</w:t>
            </w:r>
            <w:r w:rsidRPr="008D2482">
              <w:rPr>
                <w:color w:val="000000"/>
                <w:spacing w:val="1"/>
                <w:shd w:val="solid" w:color="000000" w:fill="000000"/>
                <w:fitText w:val="254" w:id="-1233498360"/>
                <w14:textFill>
                  <w14:solidFill>
                    <w14:srgbClr w14:val="000000">
                      <w14:alpha w14:val="100000"/>
                    </w14:srgbClr>
                  </w14:solidFill>
                </w14:textFill>
              </w:rPr>
              <w:t>|</w:t>
            </w:r>
            <w:r w:rsidR="00AA73B7" w:rsidRPr="00AA73B7">
              <w:t xml:space="preserve"> </w:t>
            </w:r>
          </w:p>
        </w:tc>
        <w:tc>
          <w:tcPr>
            <w:tcW w:w="531" w:type="pct"/>
            <w:vAlign w:val="center"/>
            <w:hideMark/>
          </w:tcPr>
          <w:p w14:paraId="5D9EBC8E" w14:textId="06FD3041" w:rsidR="00A01891" w:rsidRPr="006B43E0" w:rsidRDefault="008D2482" w:rsidP="00E44076">
            <w:pPr>
              <w:pStyle w:val="TableText0"/>
              <w:jc w:val="center"/>
              <w:rPr>
                <w:highlight w:val="darkGray"/>
              </w:rPr>
            </w:pPr>
            <w:r w:rsidRPr="008D2482">
              <w:rPr>
                <w:color w:val="000000"/>
                <w:spacing w:val="169"/>
                <w:shd w:val="solid" w:color="000000" w:fill="000000"/>
                <w:fitText w:val="255" w:id="-1233498359"/>
                <w14:textFill>
                  <w14:solidFill>
                    <w14:srgbClr w14:val="000000">
                      <w14:alpha w14:val="100000"/>
                    </w14:srgbClr>
                  </w14:solidFill>
                </w14:textFill>
              </w:rPr>
              <w:t>|</w:t>
            </w:r>
            <w:r w:rsidRPr="008D2482">
              <w:rPr>
                <w:color w:val="000000"/>
                <w:spacing w:val="1"/>
                <w:shd w:val="solid" w:color="000000" w:fill="000000"/>
                <w:fitText w:val="255" w:id="-1233498359"/>
                <w14:textFill>
                  <w14:solidFill>
                    <w14:srgbClr w14:val="000000">
                      <w14:alpha w14:val="100000"/>
                    </w14:srgbClr>
                  </w14:solidFill>
                </w14:textFill>
              </w:rPr>
              <w:t>|</w:t>
            </w:r>
            <w:r w:rsidR="00AA73B7" w:rsidRPr="00AA73B7">
              <w:t xml:space="preserve"> </w:t>
            </w:r>
          </w:p>
        </w:tc>
      </w:tr>
      <w:tr w:rsidR="00A01891" w:rsidRPr="0075485D" w14:paraId="24267744" w14:textId="77777777" w:rsidTr="000E11BB">
        <w:tc>
          <w:tcPr>
            <w:tcW w:w="1806" w:type="pct"/>
            <w:vAlign w:val="center"/>
            <w:hideMark/>
          </w:tcPr>
          <w:p w14:paraId="7EFBF313" w14:textId="77777777" w:rsidR="00A01891" w:rsidRPr="0075485D" w:rsidRDefault="00A01891" w:rsidP="00E44076">
            <w:pPr>
              <w:pStyle w:val="TableText0"/>
              <w:rPr>
                <w:b/>
              </w:rPr>
            </w:pPr>
            <w:r w:rsidRPr="0075485D">
              <w:t>LYs</w:t>
            </w:r>
          </w:p>
        </w:tc>
        <w:tc>
          <w:tcPr>
            <w:tcW w:w="532" w:type="pct"/>
            <w:vAlign w:val="center"/>
            <w:hideMark/>
          </w:tcPr>
          <w:p w14:paraId="22A9214E" w14:textId="77777777" w:rsidR="00A01891" w:rsidRPr="0075485D" w:rsidRDefault="00A01891" w:rsidP="00E44076">
            <w:pPr>
              <w:pStyle w:val="TableText0"/>
              <w:jc w:val="center"/>
            </w:pPr>
            <w:r w:rsidRPr="0075485D">
              <w:t>6.28</w:t>
            </w:r>
          </w:p>
        </w:tc>
        <w:tc>
          <w:tcPr>
            <w:tcW w:w="535" w:type="pct"/>
            <w:vAlign w:val="center"/>
            <w:hideMark/>
          </w:tcPr>
          <w:p w14:paraId="4D6F7B7C" w14:textId="77777777" w:rsidR="00A01891" w:rsidRPr="0075485D" w:rsidRDefault="00A01891" w:rsidP="00E44076">
            <w:pPr>
              <w:pStyle w:val="TableText0"/>
              <w:jc w:val="center"/>
            </w:pPr>
            <w:r w:rsidRPr="0075485D">
              <w:t>5.14</w:t>
            </w:r>
          </w:p>
        </w:tc>
        <w:tc>
          <w:tcPr>
            <w:tcW w:w="533" w:type="pct"/>
            <w:vAlign w:val="center"/>
            <w:hideMark/>
          </w:tcPr>
          <w:p w14:paraId="48E12F32" w14:textId="77777777" w:rsidR="00A01891" w:rsidRPr="0075485D" w:rsidRDefault="00A01891" w:rsidP="00E44076">
            <w:pPr>
              <w:pStyle w:val="TableText0"/>
              <w:jc w:val="center"/>
            </w:pPr>
            <w:r w:rsidRPr="0075485D">
              <w:t>1.14</w:t>
            </w:r>
          </w:p>
        </w:tc>
        <w:tc>
          <w:tcPr>
            <w:tcW w:w="532" w:type="pct"/>
            <w:vAlign w:val="center"/>
            <w:hideMark/>
          </w:tcPr>
          <w:p w14:paraId="01DC6144" w14:textId="77777777" w:rsidR="00A01891" w:rsidRPr="0075485D" w:rsidRDefault="00A01891" w:rsidP="00E44076">
            <w:pPr>
              <w:pStyle w:val="TableText0"/>
              <w:jc w:val="center"/>
              <w:rPr>
                <w:b/>
              </w:rPr>
            </w:pPr>
            <w:r w:rsidRPr="0075485D">
              <w:t>6.28</w:t>
            </w:r>
          </w:p>
        </w:tc>
        <w:tc>
          <w:tcPr>
            <w:tcW w:w="532" w:type="pct"/>
            <w:vAlign w:val="center"/>
            <w:hideMark/>
          </w:tcPr>
          <w:p w14:paraId="7E8C27D8" w14:textId="77777777" w:rsidR="00A01891" w:rsidRPr="0075485D" w:rsidRDefault="00A01891" w:rsidP="00E44076">
            <w:pPr>
              <w:pStyle w:val="TableText0"/>
              <w:jc w:val="center"/>
              <w:rPr>
                <w:b/>
              </w:rPr>
            </w:pPr>
            <w:r w:rsidRPr="0075485D">
              <w:t>5.14</w:t>
            </w:r>
          </w:p>
        </w:tc>
        <w:tc>
          <w:tcPr>
            <w:tcW w:w="531" w:type="pct"/>
            <w:vAlign w:val="center"/>
            <w:hideMark/>
          </w:tcPr>
          <w:p w14:paraId="61E187E0" w14:textId="77777777" w:rsidR="00A01891" w:rsidRPr="0075485D" w:rsidRDefault="00A01891" w:rsidP="00E44076">
            <w:pPr>
              <w:pStyle w:val="TableText0"/>
              <w:jc w:val="center"/>
              <w:rPr>
                <w:b/>
              </w:rPr>
            </w:pPr>
            <w:r w:rsidRPr="0075485D">
              <w:t>1.14</w:t>
            </w:r>
          </w:p>
        </w:tc>
      </w:tr>
      <w:tr w:rsidR="00A01891" w:rsidRPr="0075485D" w14:paraId="04343077" w14:textId="77777777" w:rsidTr="000E11BB">
        <w:tc>
          <w:tcPr>
            <w:tcW w:w="1806" w:type="pct"/>
            <w:vAlign w:val="center"/>
            <w:hideMark/>
          </w:tcPr>
          <w:p w14:paraId="72BA2BD7" w14:textId="77777777" w:rsidR="00A01891" w:rsidRPr="0075485D" w:rsidRDefault="00A01891" w:rsidP="00E44076">
            <w:pPr>
              <w:pStyle w:val="TableText0"/>
              <w:rPr>
                <w:b/>
              </w:rPr>
            </w:pPr>
            <w:r w:rsidRPr="0075485D">
              <w:t>QALYs</w:t>
            </w:r>
          </w:p>
        </w:tc>
        <w:tc>
          <w:tcPr>
            <w:tcW w:w="532" w:type="pct"/>
            <w:vAlign w:val="center"/>
            <w:hideMark/>
          </w:tcPr>
          <w:p w14:paraId="6B30C386" w14:textId="77777777" w:rsidR="00A01891" w:rsidRPr="0075485D" w:rsidRDefault="00A01891" w:rsidP="00E44076">
            <w:pPr>
              <w:pStyle w:val="TableText0"/>
              <w:jc w:val="center"/>
            </w:pPr>
            <w:r w:rsidRPr="0075485D">
              <w:t>4.78</w:t>
            </w:r>
          </w:p>
        </w:tc>
        <w:tc>
          <w:tcPr>
            <w:tcW w:w="535" w:type="pct"/>
            <w:vAlign w:val="center"/>
            <w:hideMark/>
          </w:tcPr>
          <w:p w14:paraId="48C9E596" w14:textId="77777777" w:rsidR="00A01891" w:rsidRPr="0075485D" w:rsidRDefault="00A01891" w:rsidP="00E44076">
            <w:pPr>
              <w:pStyle w:val="TableText0"/>
              <w:jc w:val="center"/>
            </w:pPr>
            <w:r w:rsidRPr="0075485D">
              <w:t>3.74</w:t>
            </w:r>
          </w:p>
        </w:tc>
        <w:tc>
          <w:tcPr>
            <w:tcW w:w="533" w:type="pct"/>
            <w:vAlign w:val="center"/>
            <w:hideMark/>
          </w:tcPr>
          <w:p w14:paraId="047999B7" w14:textId="77777777" w:rsidR="00A01891" w:rsidRPr="0075485D" w:rsidRDefault="00A01891" w:rsidP="00E44076">
            <w:pPr>
              <w:pStyle w:val="TableText0"/>
              <w:jc w:val="center"/>
            </w:pPr>
            <w:r w:rsidRPr="0075485D">
              <w:t>1.04</w:t>
            </w:r>
          </w:p>
        </w:tc>
        <w:tc>
          <w:tcPr>
            <w:tcW w:w="532" w:type="pct"/>
            <w:vAlign w:val="center"/>
            <w:hideMark/>
          </w:tcPr>
          <w:p w14:paraId="480ABC60" w14:textId="77777777" w:rsidR="00A01891" w:rsidRPr="0075485D" w:rsidRDefault="00A01891" w:rsidP="00E44076">
            <w:pPr>
              <w:pStyle w:val="TableText0"/>
              <w:jc w:val="center"/>
              <w:rPr>
                <w:b/>
              </w:rPr>
            </w:pPr>
            <w:r w:rsidRPr="0075485D">
              <w:t>4.78</w:t>
            </w:r>
          </w:p>
        </w:tc>
        <w:tc>
          <w:tcPr>
            <w:tcW w:w="532" w:type="pct"/>
            <w:vAlign w:val="center"/>
            <w:hideMark/>
          </w:tcPr>
          <w:p w14:paraId="5EE97FDF" w14:textId="77777777" w:rsidR="00A01891" w:rsidRPr="0075485D" w:rsidRDefault="00A01891" w:rsidP="00E44076">
            <w:pPr>
              <w:pStyle w:val="TableText0"/>
              <w:jc w:val="center"/>
              <w:rPr>
                <w:b/>
              </w:rPr>
            </w:pPr>
            <w:r w:rsidRPr="0075485D">
              <w:t>3.74</w:t>
            </w:r>
          </w:p>
        </w:tc>
        <w:tc>
          <w:tcPr>
            <w:tcW w:w="531" w:type="pct"/>
            <w:vAlign w:val="center"/>
            <w:hideMark/>
          </w:tcPr>
          <w:p w14:paraId="3EDB756A" w14:textId="77777777" w:rsidR="00A01891" w:rsidRPr="0075485D" w:rsidRDefault="00A01891" w:rsidP="00E44076">
            <w:pPr>
              <w:pStyle w:val="TableText0"/>
              <w:jc w:val="center"/>
              <w:rPr>
                <w:b/>
              </w:rPr>
            </w:pPr>
            <w:r w:rsidRPr="0075485D">
              <w:t>1.04</w:t>
            </w:r>
          </w:p>
        </w:tc>
      </w:tr>
      <w:tr w:rsidR="00A56E63" w:rsidRPr="0075485D" w14:paraId="632F0C2B" w14:textId="77777777" w:rsidTr="000E11BB">
        <w:tc>
          <w:tcPr>
            <w:tcW w:w="2873" w:type="pct"/>
            <w:gridSpan w:val="3"/>
            <w:vAlign w:val="center"/>
            <w:hideMark/>
          </w:tcPr>
          <w:p w14:paraId="40351377" w14:textId="54457670" w:rsidR="00A56E63" w:rsidRPr="0075485D" w:rsidRDefault="00A56E63" w:rsidP="00A56E63">
            <w:pPr>
              <w:pStyle w:val="TableText0"/>
              <w:jc w:val="both"/>
              <w:rPr>
                <w:b/>
              </w:rPr>
            </w:pPr>
            <w:r w:rsidRPr="0075485D">
              <w:rPr>
                <w:b/>
              </w:rPr>
              <w:t>Incremental cost/extra LY gained</w:t>
            </w:r>
            <w:r w:rsidR="006B43E0">
              <w:rPr>
                <w:b/>
              </w:rPr>
              <w:t xml:space="preserve"> ($)</w:t>
            </w:r>
          </w:p>
        </w:tc>
        <w:tc>
          <w:tcPr>
            <w:tcW w:w="533" w:type="pct"/>
            <w:vAlign w:val="center"/>
            <w:hideMark/>
          </w:tcPr>
          <w:p w14:paraId="4F387FE4" w14:textId="183ACFE6"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58"/>
                <w14:textFill>
                  <w14:solidFill>
                    <w14:srgbClr w14:val="000000">
                      <w14:alpha w14:val="100000"/>
                    </w14:srgbClr>
                  </w14:solidFill>
                </w14:textFill>
              </w:rPr>
              <w:t>|||</w:t>
            </w:r>
            <w:r w:rsidRPr="008D2482">
              <w:rPr>
                <w:b/>
                <w:color w:val="000000"/>
                <w:spacing w:val="1"/>
                <w:shd w:val="solid" w:color="000000" w:fill="000000"/>
                <w:fitText w:val="376" w:id="-1233498358"/>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5</w:t>
            </w:r>
          </w:p>
        </w:tc>
        <w:tc>
          <w:tcPr>
            <w:tcW w:w="1064" w:type="pct"/>
            <w:gridSpan w:val="2"/>
            <w:vAlign w:val="center"/>
          </w:tcPr>
          <w:p w14:paraId="20113B5F" w14:textId="77777777" w:rsidR="00A56E63" w:rsidRPr="0075485D" w:rsidRDefault="00A56E63" w:rsidP="00E44076">
            <w:pPr>
              <w:pStyle w:val="TableText0"/>
              <w:jc w:val="center"/>
              <w:rPr>
                <w:b/>
              </w:rPr>
            </w:pPr>
          </w:p>
        </w:tc>
        <w:tc>
          <w:tcPr>
            <w:tcW w:w="531" w:type="pct"/>
            <w:vAlign w:val="center"/>
            <w:hideMark/>
          </w:tcPr>
          <w:p w14:paraId="501F7DEF" w14:textId="53D8104A"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57"/>
                <w14:textFill>
                  <w14:solidFill>
                    <w14:srgbClr w14:val="000000">
                      <w14:alpha w14:val="100000"/>
                    </w14:srgbClr>
                  </w14:solidFill>
                </w14:textFill>
              </w:rPr>
              <w:t>|||</w:t>
            </w:r>
            <w:r w:rsidRPr="008D2482">
              <w:rPr>
                <w:b/>
                <w:color w:val="000000"/>
                <w:spacing w:val="1"/>
                <w:shd w:val="solid" w:color="000000" w:fill="000000"/>
                <w:fitText w:val="376" w:id="-1233498357"/>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r>
      <w:tr w:rsidR="00A56E63" w:rsidRPr="0075485D" w14:paraId="725A35C2" w14:textId="77777777" w:rsidTr="000E11BB">
        <w:tc>
          <w:tcPr>
            <w:tcW w:w="2873" w:type="pct"/>
            <w:gridSpan w:val="3"/>
            <w:vAlign w:val="center"/>
            <w:hideMark/>
          </w:tcPr>
          <w:p w14:paraId="70C419A4" w14:textId="20180A8E" w:rsidR="00A56E63" w:rsidRPr="0075485D" w:rsidRDefault="00A56E63" w:rsidP="00A56E63">
            <w:pPr>
              <w:pStyle w:val="TableText0"/>
              <w:jc w:val="both"/>
              <w:rPr>
                <w:b/>
              </w:rPr>
            </w:pPr>
            <w:r w:rsidRPr="0075485D">
              <w:rPr>
                <w:b/>
              </w:rPr>
              <w:t>Incremental cost/extra QALY gained</w:t>
            </w:r>
            <w:r w:rsidR="006B43E0">
              <w:rPr>
                <w:b/>
              </w:rPr>
              <w:t xml:space="preserve"> ($)</w:t>
            </w:r>
          </w:p>
        </w:tc>
        <w:tc>
          <w:tcPr>
            <w:tcW w:w="533" w:type="pct"/>
            <w:vAlign w:val="center"/>
            <w:hideMark/>
          </w:tcPr>
          <w:p w14:paraId="2E18A197" w14:textId="00DCEAF5"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56"/>
                <w14:textFill>
                  <w14:solidFill>
                    <w14:srgbClr w14:val="000000">
                      <w14:alpha w14:val="100000"/>
                    </w14:srgbClr>
                  </w14:solidFill>
                </w14:textFill>
              </w:rPr>
              <w:t>|||</w:t>
            </w:r>
            <w:r w:rsidRPr="008D2482">
              <w:rPr>
                <w:b/>
                <w:color w:val="000000"/>
                <w:spacing w:val="1"/>
                <w:shd w:val="solid" w:color="000000" w:fill="000000"/>
                <w:fitText w:val="376" w:id="-1233498356"/>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5</w:t>
            </w:r>
          </w:p>
        </w:tc>
        <w:tc>
          <w:tcPr>
            <w:tcW w:w="1064" w:type="pct"/>
            <w:gridSpan w:val="2"/>
            <w:vAlign w:val="center"/>
          </w:tcPr>
          <w:p w14:paraId="369FE446" w14:textId="77777777" w:rsidR="00A56E63" w:rsidRPr="0075485D" w:rsidRDefault="00A56E63" w:rsidP="00E44076">
            <w:pPr>
              <w:pStyle w:val="TableText0"/>
              <w:jc w:val="center"/>
              <w:rPr>
                <w:b/>
              </w:rPr>
            </w:pPr>
          </w:p>
        </w:tc>
        <w:tc>
          <w:tcPr>
            <w:tcW w:w="531" w:type="pct"/>
            <w:vAlign w:val="center"/>
            <w:hideMark/>
          </w:tcPr>
          <w:p w14:paraId="2F051DEF" w14:textId="6FA1C314" w:rsidR="00A56E63" w:rsidRPr="006B43E0" w:rsidRDefault="008D2482" w:rsidP="00E44076">
            <w:pPr>
              <w:pStyle w:val="TableText0"/>
              <w:jc w:val="center"/>
              <w:rPr>
                <w:b/>
                <w:highlight w:val="darkGray"/>
              </w:rPr>
            </w:pPr>
            <w:r w:rsidRPr="008D2482">
              <w:rPr>
                <w:b/>
                <w:color w:val="000000"/>
                <w:spacing w:val="64"/>
                <w:shd w:val="solid" w:color="000000" w:fill="000000"/>
                <w:fitText w:val="376" w:id="-1233498355"/>
                <w14:textFill>
                  <w14:solidFill>
                    <w14:srgbClr w14:val="000000">
                      <w14:alpha w14:val="100000"/>
                    </w14:srgbClr>
                  </w14:solidFill>
                </w14:textFill>
              </w:rPr>
              <w:t>|||</w:t>
            </w:r>
            <w:r w:rsidRPr="008D2482">
              <w:rPr>
                <w:b/>
                <w:color w:val="000000"/>
                <w:spacing w:val="1"/>
                <w:shd w:val="solid" w:color="000000" w:fill="000000"/>
                <w:fitText w:val="376" w:id="-1233498355"/>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3</w:t>
            </w:r>
          </w:p>
        </w:tc>
      </w:tr>
      <w:tr w:rsidR="00A56E63" w:rsidRPr="0075485D" w14:paraId="509886B6" w14:textId="77777777" w:rsidTr="00A56E63">
        <w:tc>
          <w:tcPr>
            <w:tcW w:w="5000" w:type="pct"/>
            <w:gridSpan w:val="7"/>
            <w:vAlign w:val="center"/>
          </w:tcPr>
          <w:p w14:paraId="04551F25" w14:textId="031E023B" w:rsidR="00A56E63" w:rsidRPr="0075485D" w:rsidRDefault="00A56E63" w:rsidP="00A56E63">
            <w:pPr>
              <w:pStyle w:val="TableText0"/>
              <w:rPr>
                <w:b/>
              </w:rPr>
            </w:pPr>
            <w:r w:rsidRPr="0075485D">
              <w:rPr>
                <w:b/>
              </w:rPr>
              <w:t>PSCR revised base case</w:t>
            </w:r>
          </w:p>
        </w:tc>
      </w:tr>
      <w:tr w:rsidR="00A56E63" w:rsidRPr="0075485D" w14:paraId="2CBBFB55" w14:textId="77777777" w:rsidTr="000E11BB">
        <w:tc>
          <w:tcPr>
            <w:tcW w:w="1806" w:type="pct"/>
            <w:vAlign w:val="center"/>
            <w:hideMark/>
          </w:tcPr>
          <w:p w14:paraId="7F032A86" w14:textId="73360C11" w:rsidR="00A56E63" w:rsidRPr="0075485D" w:rsidRDefault="00A56E63" w:rsidP="007612C7">
            <w:pPr>
              <w:pStyle w:val="TableText0"/>
              <w:rPr>
                <w:b/>
              </w:rPr>
            </w:pPr>
            <w:r w:rsidRPr="0075485D">
              <w:t>Costs</w:t>
            </w:r>
            <w:r w:rsidR="00926DCC">
              <w:t xml:space="preserve"> ($)</w:t>
            </w:r>
          </w:p>
        </w:tc>
        <w:tc>
          <w:tcPr>
            <w:tcW w:w="532" w:type="pct"/>
            <w:vAlign w:val="center"/>
            <w:hideMark/>
          </w:tcPr>
          <w:p w14:paraId="3783620C" w14:textId="67EBDA14" w:rsidR="00A56E63" w:rsidRPr="00926DCC" w:rsidRDefault="008D2482" w:rsidP="007612C7">
            <w:pPr>
              <w:pStyle w:val="TableText0"/>
              <w:jc w:val="center"/>
              <w:rPr>
                <w:b/>
                <w:highlight w:val="darkGray"/>
              </w:rPr>
            </w:pPr>
            <w:r w:rsidRPr="008D2482">
              <w:rPr>
                <w:color w:val="000000"/>
                <w:spacing w:val="169"/>
                <w:shd w:val="solid" w:color="000000" w:fill="000000"/>
                <w:fitText w:val="255" w:id="-1233498354"/>
                <w14:textFill>
                  <w14:solidFill>
                    <w14:srgbClr w14:val="000000">
                      <w14:alpha w14:val="100000"/>
                    </w14:srgbClr>
                  </w14:solidFill>
                </w14:textFill>
              </w:rPr>
              <w:t>|</w:t>
            </w:r>
            <w:r w:rsidRPr="008D2482">
              <w:rPr>
                <w:color w:val="000000"/>
                <w:spacing w:val="1"/>
                <w:shd w:val="solid" w:color="000000" w:fill="000000"/>
                <w:fitText w:val="255" w:id="-1233498354"/>
                <w14:textFill>
                  <w14:solidFill>
                    <w14:srgbClr w14:val="000000">
                      <w14:alpha w14:val="100000"/>
                    </w14:srgbClr>
                  </w14:solidFill>
                </w14:textFill>
              </w:rPr>
              <w:t>|</w:t>
            </w:r>
            <w:r w:rsidR="00AA73B7" w:rsidRPr="00AA73B7">
              <w:t xml:space="preserve"> </w:t>
            </w:r>
          </w:p>
        </w:tc>
        <w:tc>
          <w:tcPr>
            <w:tcW w:w="535" w:type="pct"/>
            <w:vAlign w:val="center"/>
            <w:hideMark/>
          </w:tcPr>
          <w:p w14:paraId="46553A81" w14:textId="38EFAAFC" w:rsidR="00A56E63" w:rsidRPr="00926DCC" w:rsidRDefault="008D2482" w:rsidP="007612C7">
            <w:pPr>
              <w:pStyle w:val="TableText0"/>
              <w:jc w:val="center"/>
              <w:rPr>
                <w:b/>
                <w:highlight w:val="darkGray"/>
              </w:rPr>
            </w:pPr>
            <w:r w:rsidRPr="008D2482">
              <w:rPr>
                <w:color w:val="000000"/>
                <w:spacing w:val="179"/>
                <w:shd w:val="solid" w:color="000000" w:fill="000000"/>
                <w:fitText w:val="265" w:id="-1233498353"/>
                <w14:textFill>
                  <w14:solidFill>
                    <w14:srgbClr w14:val="000000">
                      <w14:alpha w14:val="100000"/>
                    </w14:srgbClr>
                  </w14:solidFill>
                </w14:textFill>
              </w:rPr>
              <w:t>|</w:t>
            </w:r>
            <w:r w:rsidRPr="008D2482">
              <w:rPr>
                <w:color w:val="000000"/>
                <w:spacing w:val="1"/>
                <w:shd w:val="solid" w:color="000000" w:fill="000000"/>
                <w:fitText w:val="265" w:id="-1233498353"/>
                <w14:textFill>
                  <w14:solidFill>
                    <w14:srgbClr w14:val="000000">
                      <w14:alpha w14:val="100000"/>
                    </w14:srgbClr>
                  </w14:solidFill>
                </w14:textFill>
              </w:rPr>
              <w:t>|</w:t>
            </w:r>
            <w:r w:rsidR="00AA73B7" w:rsidRPr="00AA73B7">
              <w:t xml:space="preserve"> </w:t>
            </w:r>
          </w:p>
        </w:tc>
        <w:tc>
          <w:tcPr>
            <w:tcW w:w="533" w:type="pct"/>
            <w:vAlign w:val="center"/>
            <w:hideMark/>
          </w:tcPr>
          <w:p w14:paraId="4EB24007" w14:textId="739C25D4" w:rsidR="00A56E63" w:rsidRPr="00926DCC" w:rsidRDefault="008D2482" w:rsidP="007612C7">
            <w:pPr>
              <w:pStyle w:val="TableText0"/>
              <w:jc w:val="center"/>
              <w:rPr>
                <w:b/>
                <w:highlight w:val="darkGray"/>
              </w:rPr>
            </w:pPr>
            <w:r w:rsidRPr="008D2482">
              <w:rPr>
                <w:color w:val="000000"/>
                <w:spacing w:val="180"/>
                <w:shd w:val="solid" w:color="000000" w:fill="000000"/>
                <w:fitText w:val="266" w:id="-1233498352"/>
                <w14:textFill>
                  <w14:solidFill>
                    <w14:srgbClr w14:val="000000">
                      <w14:alpha w14:val="100000"/>
                    </w14:srgbClr>
                  </w14:solidFill>
                </w14:textFill>
              </w:rPr>
              <w:t>|</w:t>
            </w:r>
            <w:r w:rsidRPr="008D2482">
              <w:rPr>
                <w:color w:val="000000"/>
                <w:spacing w:val="1"/>
                <w:shd w:val="solid" w:color="000000" w:fill="000000"/>
                <w:fitText w:val="266" w:id="-1233498352"/>
                <w14:textFill>
                  <w14:solidFill>
                    <w14:srgbClr w14:val="000000">
                      <w14:alpha w14:val="100000"/>
                    </w14:srgbClr>
                  </w14:solidFill>
                </w14:textFill>
              </w:rPr>
              <w:t>|</w:t>
            </w:r>
            <w:r w:rsidR="00AA73B7" w:rsidRPr="00AA73B7">
              <w:t xml:space="preserve"> </w:t>
            </w:r>
          </w:p>
        </w:tc>
        <w:tc>
          <w:tcPr>
            <w:tcW w:w="1594" w:type="pct"/>
            <w:gridSpan w:val="3"/>
            <w:vAlign w:val="center"/>
          </w:tcPr>
          <w:p w14:paraId="48E24D4A" w14:textId="4156A897" w:rsidR="00A56E63" w:rsidRPr="0075485D" w:rsidRDefault="00A56E63" w:rsidP="007612C7">
            <w:pPr>
              <w:pStyle w:val="TableText0"/>
              <w:jc w:val="center"/>
            </w:pPr>
          </w:p>
        </w:tc>
      </w:tr>
      <w:tr w:rsidR="00A56E63" w:rsidRPr="0075485D" w14:paraId="2304CC44" w14:textId="77777777" w:rsidTr="000E11BB">
        <w:tc>
          <w:tcPr>
            <w:tcW w:w="1806" w:type="pct"/>
            <w:vAlign w:val="center"/>
            <w:hideMark/>
          </w:tcPr>
          <w:p w14:paraId="42A5B17D" w14:textId="77777777" w:rsidR="00A56E63" w:rsidRPr="0075485D" w:rsidRDefault="00A56E63" w:rsidP="007612C7">
            <w:pPr>
              <w:pStyle w:val="TableText0"/>
              <w:rPr>
                <w:b/>
              </w:rPr>
            </w:pPr>
            <w:r w:rsidRPr="0075485D">
              <w:t>LYs</w:t>
            </w:r>
          </w:p>
        </w:tc>
        <w:tc>
          <w:tcPr>
            <w:tcW w:w="532" w:type="pct"/>
            <w:vAlign w:val="center"/>
          </w:tcPr>
          <w:p w14:paraId="6996D86E" w14:textId="5C99741D" w:rsidR="00A56E63" w:rsidRPr="0075485D" w:rsidRDefault="00A56E63" w:rsidP="007612C7">
            <w:pPr>
              <w:pStyle w:val="TableText0"/>
              <w:jc w:val="center"/>
            </w:pPr>
            <w:r w:rsidRPr="0075485D">
              <w:t>4.93</w:t>
            </w:r>
          </w:p>
        </w:tc>
        <w:tc>
          <w:tcPr>
            <w:tcW w:w="535" w:type="pct"/>
            <w:vAlign w:val="center"/>
          </w:tcPr>
          <w:p w14:paraId="5AF9F3DD" w14:textId="52DB54E0" w:rsidR="00A56E63" w:rsidRPr="0075485D" w:rsidRDefault="00A56E63" w:rsidP="007612C7">
            <w:pPr>
              <w:pStyle w:val="TableText0"/>
              <w:jc w:val="center"/>
            </w:pPr>
            <w:r w:rsidRPr="0075485D">
              <w:t>3.90</w:t>
            </w:r>
          </w:p>
        </w:tc>
        <w:tc>
          <w:tcPr>
            <w:tcW w:w="533" w:type="pct"/>
            <w:vAlign w:val="center"/>
          </w:tcPr>
          <w:p w14:paraId="420D4172" w14:textId="260A09DA" w:rsidR="00A56E63" w:rsidRPr="0075485D" w:rsidRDefault="00A56E63" w:rsidP="007612C7">
            <w:pPr>
              <w:pStyle w:val="TableText0"/>
              <w:jc w:val="center"/>
            </w:pPr>
            <w:r w:rsidRPr="0075485D">
              <w:t>1.03</w:t>
            </w:r>
          </w:p>
        </w:tc>
        <w:tc>
          <w:tcPr>
            <w:tcW w:w="1594" w:type="pct"/>
            <w:gridSpan w:val="3"/>
            <w:vAlign w:val="center"/>
          </w:tcPr>
          <w:p w14:paraId="675E2D82" w14:textId="4D0494A2" w:rsidR="00A56E63" w:rsidRPr="0075485D" w:rsidRDefault="00A56E63" w:rsidP="007612C7">
            <w:pPr>
              <w:pStyle w:val="TableText0"/>
              <w:jc w:val="center"/>
              <w:rPr>
                <w:b/>
              </w:rPr>
            </w:pPr>
          </w:p>
        </w:tc>
      </w:tr>
      <w:tr w:rsidR="00A56E63" w:rsidRPr="0075485D" w14:paraId="4247BF88" w14:textId="77777777" w:rsidTr="000E11BB">
        <w:tc>
          <w:tcPr>
            <w:tcW w:w="1806" w:type="pct"/>
            <w:vAlign w:val="center"/>
            <w:hideMark/>
          </w:tcPr>
          <w:p w14:paraId="0A1CFFBC" w14:textId="77777777" w:rsidR="00A56E63" w:rsidRPr="0075485D" w:rsidRDefault="00A56E63" w:rsidP="007612C7">
            <w:pPr>
              <w:pStyle w:val="TableText0"/>
              <w:rPr>
                <w:b/>
              </w:rPr>
            </w:pPr>
            <w:r w:rsidRPr="0075485D">
              <w:t>QALYs</w:t>
            </w:r>
          </w:p>
        </w:tc>
        <w:tc>
          <w:tcPr>
            <w:tcW w:w="532" w:type="pct"/>
            <w:vAlign w:val="center"/>
          </w:tcPr>
          <w:p w14:paraId="158B7729" w14:textId="2DE145ED" w:rsidR="00A56E63" w:rsidRPr="0075485D" w:rsidRDefault="00A56E63" w:rsidP="007612C7">
            <w:pPr>
              <w:pStyle w:val="TableText0"/>
              <w:jc w:val="center"/>
            </w:pPr>
            <w:r w:rsidRPr="0075485D">
              <w:t>3.66</w:t>
            </w:r>
          </w:p>
        </w:tc>
        <w:tc>
          <w:tcPr>
            <w:tcW w:w="535" w:type="pct"/>
            <w:vAlign w:val="center"/>
          </w:tcPr>
          <w:p w14:paraId="22672BA6" w14:textId="68AE1D5D" w:rsidR="00A56E63" w:rsidRPr="0075485D" w:rsidRDefault="00A56E63" w:rsidP="007612C7">
            <w:pPr>
              <w:pStyle w:val="TableText0"/>
              <w:jc w:val="center"/>
            </w:pPr>
            <w:r w:rsidRPr="0075485D">
              <w:t>2.83</w:t>
            </w:r>
          </w:p>
        </w:tc>
        <w:tc>
          <w:tcPr>
            <w:tcW w:w="533" w:type="pct"/>
            <w:vAlign w:val="center"/>
          </w:tcPr>
          <w:p w14:paraId="6B024B48" w14:textId="4C61E204" w:rsidR="00A56E63" w:rsidRPr="0075485D" w:rsidRDefault="00A56E63" w:rsidP="007612C7">
            <w:pPr>
              <w:pStyle w:val="TableText0"/>
              <w:jc w:val="center"/>
            </w:pPr>
            <w:r w:rsidRPr="0075485D">
              <w:t>0.83</w:t>
            </w:r>
          </w:p>
        </w:tc>
        <w:tc>
          <w:tcPr>
            <w:tcW w:w="1594" w:type="pct"/>
            <w:gridSpan w:val="3"/>
            <w:vAlign w:val="center"/>
          </w:tcPr>
          <w:p w14:paraId="1639CBAF" w14:textId="3441ABCB" w:rsidR="00A56E63" w:rsidRPr="0075485D" w:rsidRDefault="00A56E63" w:rsidP="007612C7">
            <w:pPr>
              <w:pStyle w:val="TableText0"/>
              <w:jc w:val="center"/>
              <w:rPr>
                <w:b/>
              </w:rPr>
            </w:pPr>
          </w:p>
        </w:tc>
      </w:tr>
      <w:tr w:rsidR="00A56E63" w:rsidRPr="0075485D" w14:paraId="1396B101" w14:textId="77777777" w:rsidTr="000E11BB">
        <w:tc>
          <w:tcPr>
            <w:tcW w:w="2873" w:type="pct"/>
            <w:gridSpan w:val="3"/>
            <w:vAlign w:val="center"/>
          </w:tcPr>
          <w:p w14:paraId="4BF44705" w14:textId="6211A7A4" w:rsidR="00A56E63" w:rsidRPr="0075485D" w:rsidRDefault="00A56E63" w:rsidP="00A56E63">
            <w:pPr>
              <w:pStyle w:val="TableText0"/>
              <w:jc w:val="both"/>
              <w:rPr>
                <w:b/>
              </w:rPr>
            </w:pPr>
            <w:r w:rsidRPr="0075485D">
              <w:rPr>
                <w:b/>
              </w:rPr>
              <w:t>Incremental cost/extra LY gained</w:t>
            </w:r>
            <w:r w:rsidR="006B43E0">
              <w:rPr>
                <w:b/>
              </w:rPr>
              <w:t xml:space="preserve"> ($)</w:t>
            </w:r>
          </w:p>
        </w:tc>
        <w:tc>
          <w:tcPr>
            <w:tcW w:w="533" w:type="pct"/>
            <w:vAlign w:val="center"/>
          </w:tcPr>
          <w:p w14:paraId="7555640E" w14:textId="4E31B931" w:rsidR="00A56E63" w:rsidRPr="006B43E0" w:rsidRDefault="008D2482" w:rsidP="00A56E63">
            <w:pPr>
              <w:pStyle w:val="TableText0"/>
              <w:jc w:val="center"/>
              <w:rPr>
                <w:b/>
                <w:highlight w:val="darkGray"/>
              </w:rPr>
            </w:pPr>
            <w:r w:rsidRPr="008D2482">
              <w:rPr>
                <w:b/>
                <w:color w:val="000000"/>
                <w:spacing w:val="64"/>
                <w:shd w:val="solid" w:color="000000" w:fill="000000"/>
                <w:fitText w:val="376" w:id="-1233498368"/>
                <w14:textFill>
                  <w14:solidFill>
                    <w14:srgbClr w14:val="000000">
                      <w14:alpha w14:val="100000"/>
                    </w14:srgbClr>
                  </w14:solidFill>
                </w14:textFill>
              </w:rPr>
              <w:t>|||</w:t>
            </w:r>
            <w:r w:rsidRPr="008D2482">
              <w:rPr>
                <w:b/>
                <w:color w:val="000000"/>
                <w:spacing w:val="1"/>
                <w:shd w:val="solid" w:color="000000" w:fill="000000"/>
                <w:fitText w:val="376" w:id="-1233498368"/>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5</w:t>
            </w:r>
          </w:p>
        </w:tc>
        <w:tc>
          <w:tcPr>
            <w:tcW w:w="1594" w:type="pct"/>
            <w:gridSpan w:val="3"/>
            <w:vAlign w:val="center"/>
          </w:tcPr>
          <w:p w14:paraId="70554DCD" w14:textId="77777777" w:rsidR="00A56E63" w:rsidRPr="0075485D" w:rsidRDefault="00A56E63" w:rsidP="00A56E63">
            <w:pPr>
              <w:pStyle w:val="TableText0"/>
              <w:jc w:val="center"/>
              <w:rPr>
                <w:b/>
              </w:rPr>
            </w:pPr>
          </w:p>
        </w:tc>
      </w:tr>
      <w:tr w:rsidR="00A56E63" w:rsidRPr="0075485D" w14:paraId="5C98D2BE" w14:textId="77777777" w:rsidTr="000E11BB">
        <w:tc>
          <w:tcPr>
            <w:tcW w:w="2873" w:type="pct"/>
            <w:gridSpan w:val="3"/>
            <w:vAlign w:val="center"/>
          </w:tcPr>
          <w:p w14:paraId="17112CD6" w14:textId="7A2A6FB7" w:rsidR="00A56E63" w:rsidRPr="0075485D" w:rsidRDefault="00A56E63" w:rsidP="00A56E63">
            <w:pPr>
              <w:pStyle w:val="TableText0"/>
              <w:jc w:val="both"/>
              <w:rPr>
                <w:b/>
              </w:rPr>
            </w:pPr>
            <w:r w:rsidRPr="0075485D">
              <w:rPr>
                <w:b/>
              </w:rPr>
              <w:t>Incremental cost/extra QALY gained</w:t>
            </w:r>
            <w:r w:rsidR="006B43E0">
              <w:rPr>
                <w:b/>
              </w:rPr>
              <w:t xml:space="preserve"> ($)</w:t>
            </w:r>
          </w:p>
        </w:tc>
        <w:tc>
          <w:tcPr>
            <w:tcW w:w="533" w:type="pct"/>
            <w:vAlign w:val="center"/>
          </w:tcPr>
          <w:p w14:paraId="08F1CD6F" w14:textId="127A6E72" w:rsidR="00A56E63" w:rsidRPr="006B43E0" w:rsidRDefault="008D2482" w:rsidP="00A56E63">
            <w:pPr>
              <w:pStyle w:val="TableText0"/>
              <w:jc w:val="center"/>
              <w:rPr>
                <w:b/>
                <w:highlight w:val="darkGray"/>
              </w:rPr>
            </w:pPr>
            <w:r w:rsidRPr="008D2482">
              <w:rPr>
                <w:b/>
                <w:color w:val="000000"/>
                <w:spacing w:val="64"/>
                <w:shd w:val="solid" w:color="000000" w:fill="000000"/>
                <w:fitText w:val="376" w:id="-1233498367"/>
                <w14:textFill>
                  <w14:solidFill>
                    <w14:srgbClr w14:val="000000">
                      <w14:alpha w14:val="100000"/>
                    </w14:srgbClr>
                  </w14:solidFill>
                </w14:textFill>
              </w:rPr>
              <w:t>|||</w:t>
            </w:r>
            <w:r w:rsidRPr="008D2482">
              <w:rPr>
                <w:b/>
                <w:color w:val="000000"/>
                <w:spacing w:val="1"/>
                <w:shd w:val="solid" w:color="000000" w:fill="000000"/>
                <w:fitText w:val="376" w:id="-1233498367"/>
                <w14:textFill>
                  <w14:solidFill>
                    <w14:srgbClr w14:val="000000">
                      <w14:alpha w14:val="100000"/>
                    </w14:srgbClr>
                  </w14:solidFill>
                </w14:textFill>
              </w:rPr>
              <w:t>|</w:t>
            </w:r>
            <w:r w:rsidR="00AA73B7" w:rsidRPr="00AA73B7">
              <w:rPr>
                <w:b/>
              </w:rPr>
              <w:t xml:space="preserve"> </w:t>
            </w:r>
            <w:r w:rsidR="006B43E0" w:rsidRPr="006B43E0">
              <w:rPr>
                <w:rFonts w:cs="Arial"/>
                <w:iCs/>
                <w:szCs w:val="20"/>
                <w:vertAlign w:val="superscript"/>
              </w:rPr>
              <w:t>1</w:t>
            </w:r>
          </w:p>
        </w:tc>
        <w:tc>
          <w:tcPr>
            <w:tcW w:w="1594" w:type="pct"/>
            <w:gridSpan w:val="3"/>
            <w:vAlign w:val="center"/>
          </w:tcPr>
          <w:p w14:paraId="4EE90605" w14:textId="77777777" w:rsidR="00A56E63" w:rsidRPr="0075485D" w:rsidRDefault="00A56E63" w:rsidP="00A56E63">
            <w:pPr>
              <w:pStyle w:val="TableText0"/>
              <w:jc w:val="center"/>
              <w:rPr>
                <w:b/>
              </w:rPr>
            </w:pPr>
          </w:p>
        </w:tc>
      </w:tr>
      <w:tr w:rsidR="000E11BB" w:rsidRPr="0075485D" w14:paraId="7CCE1036" w14:textId="77777777" w:rsidTr="004D1C3A">
        <w:tc>
          <w:tcPr>
            <w:tcW w:w="5000" w:type="pct"/>
            <w:gridSpan w:val="7"/>
            <w:vAlign w:val="center"/>
          </w:tcPr>
          <w:p w14:paraId="65C2CA0C" w14:textId="242C5FB6" w:rsidR="000E11BB" w:rsidRPr="0075485D" w:rsidRDefault="000E11BB" w:rsidP="004D1C3A">
            <w:pPr>
              <w:pStyle w:val="TableText0"/>
              <w:rPr>
                <w:b/>
              </w:rPr>
            </w:pPr>
            <w:r>
              <w:rPr>
                <w:b/>
              </w:rPr>
              <w:t xml:space="preserve">Pre-PBAC </w:t>
            </w:r>
            <w:r w:rsidRPr="0075485D">
              <w:rPr>
                <w:b/>
              </w:rPr>
              <w:t>revised base case</w:t>
            </w:r>
          </w:p>
        </w:tc>
      </w:tr>
      <w:tr w:rsidR="000E11BB" w:rsidRPr="0075485D" w14:paraId="21676D20" w14:textId="77777777" w:rsidTr="000E11BB">
        <w:tc>
          <w:tcPr>
            <w:tcW w:w="1806" w:type="pct"/>
            <w:vAlign w:val="center"/>
            <w:hideMark/>
          </w:tcPr>
          <w:p w14:paraId="0850F05D" w14:textId="4D6924F8" w:rsidR="000E11BB" w:rsidRPr="0075485D" w:rsidRDefault="000E11BB" w:rsidP="004D1C3A">
            <w:pPr>
              <w:pStyle w:val="TableText0"/>
              <w:rPr>
                <w:b/>
              </w:rPr>
            </w:pPr>
            <w:r w:rsidRPr="0075485D">
              <w:t>Costs</w:t>
            </w:r>
            <w:r w:rsidR="00926DCC">
              <w:t xml:space="preserve"> ($)</w:t>
            </w:r>
          </w:p>
        </w:tc>
        <w:tc>
          <w:tcPr>
            <w:tcW w:w="532" w:type="pct"/>
            <w:vAlign w:val="center"/>
            <w:hideMark/>
          </w:tcPr>
          <w:p w14:paraId="2421E64B" w14:textId="4F2C6D1B" w:rsidR="000E11BB" w:rsidRPr="00926DCC" w:rsidRDefault="008D2482" w:rsidP="004D1C3A">
            <w:pPr>
              <w:pStyle w:val="TableText0"/>
              <w:jc w:val="center"/>
              <w:rPr>
                <w:b/>
                <w:highlight w:val="darkGray"/>
              </w:rPr>
            </w:pPr>
            <w:r w:rsidRPr="008D2482">
              <w:rPr>
                <w:color w:val="000000"/>
                <w:spacing w:val="169"/>
                <w:shd w:val="solid" w:color="000000" w:fill="000000"/>
                <w:fitText w:val="255" w:id="-1233498366"/>
                <w14:textFill>
                  <w14:solidFill>
                    <w14:srgbClr w14:val="000000">
                      <w14:alpha w14:val="100000"/>
                    </w14:srgbClr>
                  </w14:solidFill>
                </w14:textFill>
              </w:rPr>
              <w:t>|</w:t>
            </w:r>
            <w:r w:rsidRPr="008D2482">
              <w:rPr>
                <w:color w:val="000000"/>
                <w:spacing w:val="1"/>
                <w:shd w:val="solid" w:color="000000" w:fill="000000"/>
                <w:fitText w:val="255" w:id="-1233498366"/>
                <w14:textFill>
                  <w14:solidFill>
                    <w14:srgbClr w14:val="000000">
                      <w14:alpha w14:val="100000"/>
                    </w14:srgbClr>
                  </w14:solidFill>
                </w14:textFill>
              </w:rPr>
              <w:t>|</w:t>
            </w:r>
            <w:r w:rsidR="00AA73B7" w:rsidRPr="00AA73B7">
              <w:t xml:space="preserve"> </w:t>
            </w:r>
          </w:p>
        </w:tc>
        <w:tc>
          <w:tcPr>
            <w:tcW w:w="535" w:type="pct"/>
            <w:vAlign w:val="center"/>
            <w:hideMark/>
          </w:tcPr>
          <w:p w14:paraId="438CA22A" w14:textId="2E666ADA" w:rsidR="000E11BB" w:rsidRPr="00926DCC" w:rsidRDefault="008D2482" w:rsidP="004D1C3A">
            <w:pPr>
              <w:pStyle w:val="TableText0"/>
              <w:jc w:val="center"/>
              <w:rPr>
                <w:b/>
                <w:highlight w:val="darkGray"/>
              </w:rPr>
            </w:pPr>
            <w:r w:rsidRPr="008D2482">
              <w:rPr>
                <w:color w:val="000000"/>
                <w:spacing w:val="179"/>
                <w:shd w:val="solid" w:color="000000" w:fill="000000"/>
                <w:fitText w:val="265" w:id="-1233498365"/>
                <w14:textFill>
                  <w14:solidFill>
                    <w14:srgbClr w14:val="000000">
                      <w14:alpha w14:val="100000"/>
                    </w14:srgbClr>
                  </w14:solidFill>
                </w14:textFill>
              </w:rPr>
              <w:t>|</w:t>
            </w:r>
            <w:r w:rsidRPr="008D2482">
              <w:rPr>
                <w:color w:val="000000"/>
                <w:spacing w:val="1"/>
                <w:shd w:val="solid" w:color="000000" w:fill="000000"/>
                <w:fitText w:val="265" w:id="-1233498365"/>
                <w14:textFill>
                  <w14:solidFill>
                    <w14:srgbClr w14:val="000000">
                      <w14:alpha w14:val="100000"/>
                    </w14:srgbClr>
                  </w14:solidFill>
                </w14:textFill>
              </w:rPr>
              <w:t>|</w:t>
            </w:r>
            <w:r w:rsidR="00AA73B7" w:rsidRPr="00AA73B7">
              <w:t xml:space="preserve"> </w:t>
            </w:r>
          </w:p>
        </w:tc>
        <w:tc>
          <w:tcPr>
            <w:tcW w:w="533" w:type="pct"/>
            <w:vAlign w:val="center"/>
            <w:hideMark/>
          </w:tcPr>
          <w:p w14:paraId="0535F3B6" w14:textId="41DA371D" w:rsidR="000E11BB" w:rsidRPr="00926DCC" w:rsidRDefault="008D2482" w:rsidP="004D1C3A">
            <w:pPr>
              <w:pStyle w:val="TableText0"/>
              <w:jc w:val="center"/>
              <w:rPr>
                <w:b/>
                <w:highlight w:val="darkGray"/>
              </w:rPr>
            </w:pPr>
            <w:r w:rsidRPr="008D2482">
              <w:rPr>
                <w:color w:val="000000"/>
                <w:spacing w:val="180"/>
                <w:shd w:val="solid" w:color="000000" w:fill="000000"/>
                <w:fitText w:val="266" w:id="-1233498364"/>
                <w14:textFill>
                  <w14:solidFill>
                    <w14:srgbClr w14:val="000000">
                      <w14:alpha w14:val="100000"/>
                    </w14:srgbClr>
                  </w14:solidFill>
                </w14:textFill>
              </w:rPr>
              <w:t>|</w:t>
            </w:r>
            <w:r w:rsidRPr="008D2482">
              <w:rPr>
                <w:color w:val="000000"/>
                <w:spacing w:val="1"/>
                <w:shd w:val="solid" w:color="000000" w:fill="000000"/>
                <w:fitText w:val="266" w:id="-1233498364"/>
                <w14:textFill>
                  <w14:solidFill>
                    <w14:srgbClr w14:val="000000">
                      <w14:alpha w14:val="100000"/>
                    </w14:srgbClr>
                  </w14:solidFill>
                </w14:textFill>
              </w:rPr>
              <w:t>|</w:t>
            </w:r>
            <w:r w:rsidR="00AA73B7" w:rsidRPr="00AA73B7">
              <w:t xml:space="preserve"> </w:t>
            </w:r>
          </w:p>
        </w:tc>
        <w:tc>
          <w:tcPr>
            <w:tcW w:w="1594" w:type="pct"/>
            <w:gridSpan w:val="3"/>
            <w:vAlign w:val="center"/>
          </w:tcPr>
          <w:p w14:paraId="01D3476A" w14:textId="77777777" w:rsidR="000E11BB" w:rsidRPr="0075485D" w:rsidRDefault="000E11BB" w:rsidP="004D1C3A">
            <w:pPr>
              <w:pStyle w:val="TableText0"/>
              <w:jc w:val="center"/>
            </w:pPr>
          </w:p>
        </w:tc>
      </w:tr>
      <w:tr w:rsidR="000E11BB" w:rsidRPr="0075485D" w14:paraId="64EE8A0C" w14:textId="77777777" w:rsidTr="000E11BB">
        <w:tc>
          <w:tcPr>
            <w:tcW w:w="1806" w:type="pct"/>
            <w:vAlign w:val="center"/>
            <w:hideMark/>
          </w:tcPr>
          <w:p w14:paraId="17D22046" w14:textId="77777777" w:rsidR="000E11BB" w:rsidRPr="0075485D" w:rsidRDefault="000E11BB" w:rsidP="004D1C3A">
            <w:pPr>
              <w:pStyle w:val="TableText0"/>
              <w:rPr>
                <w:b/>
              </w:rPr>
            </w:pPr>
            <w:r w:rsidRPr="0075485D">
              <w:t>LYs</w:t>
            </w:r>
          </w:p>
        </w:tc>
        <w:tc>
          <w:tcPr>
            <w:tcW w:w="532" w:type="pct"/>
            <w:vAlign w:val="center"/>
          </w:tcPr>
          <w:p w14:paraId="732CD805" w14:textId="77777777" w:rsidR="000E11BB" w:rsidRPr="0075485D" w:rsidRDefault="000E11BB" w:rsidP="004D1C3A">
            <w:pPr>
              <w:pStyle w:val="TableText0"/>
              <w:jc w:val="center"/>
            </w:pPr>
            <w:r w:rsidRPr="0075485D">
              <w:t>4.93</w:t>
            </w:r>
          </w:p>
        </w:tc>
        <w:tc>
          <w:tcPr>
            <w:tcW w:w="535" w:type="pct"/>
            <w:vAlign w:val="center"/>
          </w:tcPr>
          <w:p w14:paraId="1A6839AB" w14:textId="77777777" w:rsidR="000E11BB" w:rsidRPr="0075485D" w:rsidRDefault="000E11BB" w:rsidP="004D1C3A">
            <w:pPr>
              <w:pStyle w:val="TableText0"/>
              <w:jc w:val="center"/>
            </w:pPr>
            <w:r w:rsidRPr="0075485D">
              <w:t>3.90</w:t>
            </w:r>
          </w:p>
        </w:tc>
        <w:tc>
          <w:tcPr>
            <w:tcW w:w="533" w:type="pct"/>
            <w:vAlign w:val="center"/>
          </w:tcPr>
          <w:p w14:paraId="2B7926B8" w14:textId="77777777" w:rsidR="000E11BB" w:rsidRPr="0075485D" w:rsidRDefault="000E11BB" w:rsidP="004D1C3A">
            <w:pPr>
              <w:pStyle w:val="TableText0"/>
              <w:jc w:val="center"/>
            </w:pPr>
            <w:r w:rsidRPr="0075485D">
              <w:t>1.03</w:t>
            </w:r>
          </w:p>
        </w:tc>
        <w:tc>
          <w:tcPr>
            <w:tcW w:w="1594" w:type="pct"/>
            <w:gridSpan w:val="3"/>
            <w:vAlign w:val="center"/>
          </w:tcPr>
          <w:p w14:paraId="61CF3343" w14:textId="77777777" w:rsidR="000E11BB" w:rsidRPr="0075485D" w:rsidRDefault="000E11BB" w:rsidP="004D1C3A">
            <w:pPr>
              <w:pStyle w:val="TableText0"/>
              <w:jc w:val="center"/>
              <w:rPr>
                <w:b/>
              </w:rPr>
            </w:pPr>
          </w:p>
        </w:tc>
      </w:tr>
      <w:tr w:rsidR="000E11BB" w:rsidRPr="0075485D" w14:paraId="2A7C1F87" w14:textId="77777777" w:rsidTr="000E11BB">
        <w:tc>
          <w:tcPr>
            <w:tcW w:w="1806" w:type="pct"/>
            <w:vAlign w:val="center"/>
            <w:hideMark/>
          </w:tcPr>
          <w:p w14:paraId="2E32E01A" w14:textId="77777777" w:rsidR="000E11BB" w:rsidRPr="0075485D" w:rsidRDefault="000E11BB" w:rsidP="004D1C3A">
            <w:pPr>
              <w:pStyle w:val="TableText0"/>
              <w:rPr>
                <w:b/>
              </w:rPr>
            </w:pPr>
            <w:r w:rsidRPr="0075485D">
              <w:t>QALYs</w:t>
            </w:r>
          </w:p>
        </w:tc>
        <w:tc>
          <w:tcPr>
            <w:tcW w:w="532" w:type="pct"/>
            <w:vAlign w:val="center"/>
          </w:tcPr>
          <w:p w14:paraId="70CC14F1" w14:textId="77777777" w:rsidR="000E11BB" w:rsidRPr="0075485D" w:rsidRDefault="000E11BB" w:rsidP="004D1C3A">
            <w:pPr>
              <w:pStyle w:val="TableText0"/>
              <w:jc w:val="center"/>
            </w:pPr>
            <w:r w:rsidRPr="0075485D">
              <w:t>3.66</w:t>
            </w:r>
          </w:p>
        </w:tc>
        <w:tc>
          <w:tcPr>
            <w:tcW w:w="535" w:type="pct"/>
            <w:vAlign w:val="center"/>
          </w:tcPr>
          <w:p w14:paraId="604C5709" w14:textId="77777777" w:rsidR="000E11BB" w:rsidRPr="0075485D" w:rsidRDefault="000E11BB" w:rsidP="004D1C3A">
            <w:pPr>
              <w:pStyle w:val="TableText0"/>
              <w:jc w:val="center"/>
            </w:pPr>
            <w:r w:rsidRPr="0075485D">
              <w:t>2.83</w:t>
            </w:r>
          </w:p>
        </w:tc>
        <w:tc>
          <w:tcPr>
            <w:tcW w:w="533" w:type="pct"/>
            <w:vAlign w:val="center"/>
          </w:tcPr>
          <w:p w14:paraId="6BB3ED47" w14:textId="77777777" w:rsidR="000E11BB" w:rsidRPr="0075485D" w:rsidRDefault="000E11BB" w:rsidP="004D1C3A">
            <w:pPr>
              <w:pStyle w:val="TableText0"/>
              <w:jc w:val="center"/>
            </w:pPr>
            <w:r w:rsidRPr="0075485D">
              <w:t>0.83</w:t>
            </w:r>
          </w:p>
        </w:tc>
        <w:tc>
          <w:tcPr>
            <w:tcW w:w="1594" w:type="pct"/>
            <w:gridSpan w:val="3"/>
            <w:vAlign w:val="center"/>
          </w:tcPr>
          <w:p w14:paraId="70A2A40B" w14:textId="77777777" w:rsidR="000E11BB" w:rsidRPr="0075485D" w:rsidRDefault="000E11BB" w:rsidP="004D1C3A">
            <w:pPr>
              <w:pStyle w:val="TableText0"/>
              <w:jc w:val="center"/>
              <w:rPr>
                <w:b/>
              </w:rPr>
            </w:pPr>
          </w:p>
        </w:tc>
      </w:tr>
      <w:tr w:rsidR="000E11BB" w:rsidRPr="0075485D" w14:paraId="3EB0E7FE" w14:textId="77777777" w:rsidTr="000E11BB">
        <w:tc>
          <w:tcPr>
            <w:tcW w:w="2873" w:type="pct"/>
            <w:gridSpan w:val="3"/>
            <w:vAlign w:val="center"/>
          </w:tcPr>
          <w:p w14:paraId="76D23650" w14:textId="772B5E4D" w:rsidR="000E11BB" w:rsidRPr="0075485D" w:rsidRDefault="000E11BB" w:rsidP="004D1C3A">
            <w:pPr>
              <w:pStyle w:val="TableText0"/>
              <w:jc w:val="both"/>
              <w:rPr>
                <w:b/>
              </w:rPr>
            </w:pPr>
            <w:r w:rsidRPr="0075485D">
              <w:rPr>
                <w:b/>
              </w:rPr>
              <w:t>Incremental cost/extra LY gained</w:t>
            </w:r>
            <w:r w:rsidR="006B43E0">
              <w:rPr>
                <w:b/>
              </w:rPr>
              <w:t xml:space="preserve"> ($)</w:t>
            </w:r>
          </w:p>
        </w:tc>
        <w:tc>
          <w:tcPr>
            <w:tcW w:w="533" w:type="pct"/>
            <w:vAlign w:val="center"/>
          </w:tcPr>
          <w:p w14:paraId="797A84B5" w14:textId="18AED14D" w:rsidR="000E11BB" w:rsidRPr="006B43E0" w:rsidRDefault="008D2482" w:rsidP="000E11BB">
            <w:pPr>
              <w:pStyle w:val="TableText0"/>
              <w:jc w:val="center"/>
              <w:rPr>
                <w:b/>
                <w:highlight w:val="darkGray"/>
              </w:rPr>
            </w:pPr>
            <w:r w:rsidRPr="008D2482">
              <w:rPr>
                <w:b/>
                <w:color w:val="000000"/>
                <w:spacing w:val="64"/>
                <w:shd w:val="solid" w:color="000000" w:fill="000000"/>
                <w:fitText w:val="376" w:id="-1233498363"/>
                <w14:textFill>
                  <w14:solidFill>
                    <w14:srgbClr w14:val="000000">
                      <w14:alpha w14:val="100000"/>
                    </w14:srgbClr>
                  </w14:solidFill>
                </w14:textFill>
              </w:rPr>
              <w:t>|||</w:t>
            </w:r>
            <w:r w:rsidRPr="008D2482">
              <w:rPr>
                <w:b/>
                <w:color w:val="000000"/>
                <w:spacing w:val="1"/>
                <w:shd w:val="solid" w:color="000000" w:fill="000000"/>
                <w:fitText w:val="376" w:id="-1233498363"/>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6</w:t>
            </w:r>
          </w:p>
        </w:tc>
        <w:tc>
          <w:tcPr>
            <w:tcW w:w="1594" w:type="pct"/>
            <w:gridSpan w:val="3"/>
            <w:vAlign w:val="center"/>
          </w:tcPr>
          <w:p w14:paraId="6C421873" w14:textId="77777777" w:rsidR="000E11BB" w:rsidRPr="0075485D" w:rsidRDefault="000E11BB" w:rsidP="004D1C3A">
            <w:pPr>
              <w:pStyle w:val="TableText0"/>
              <w:jc w:val="center"/>
              <w:rPr>
                <w:b/>
              </w:rPr>
            </w:pPr>
          </w:p>
        </w:tc>
      </w:tr>
      <w:tr w:rsidR="000E11BB" w:rsidRPr="0075485D" w14:paraId="649B30C7" w14:textId="77777777" w:rsidTr="000E11BB">
        <w:tc>
          <w:tcPr>
            <w:tcW w:w="2873" w:type="pct"/>
            <w:gridSpan w:val="3"/>
            <w:vAlign w:val="center"/>
          </w:tcPr>
          <w:p w14:paraId="23C0CAA0" w14:textId="2E53DCED" w:rsidR="000E11BB" w:rsidRPr="0075485D" w:rsidRDefault="000E11BB" w:rsidP="004D1C3A">
            <w:pPr>
              <w:pStyle w:val="TableText0"/>
              <w:jc w:val="both"/>
              <w:rPr>
                <w:b/>
              </w:rPr>
            </w:pPr>
            <w:r w:rsidRPr="0075485D">
              <w:rPr>
                <w:b/>
              </w:rPr>
              <w:t>Incremental cost/extra QALY gained</w:t>
            </w:r>
            <w:r w:rsidR="006B43E0">
              <w:rPr>
                <w:b/>
              </w:rPr>
              <w:t xml:space="preserve"> ($)</w:t>
            </w:r>
          </w:p>
        </w:tc>
        <w:tc>
          <w:tcPr>
            <w:tcW w:w="533" w:type="pct"/>
            <w:vAlign w:val="center"/>
          </w:tcPr>
          <w:p w14:paraId="362A1D50" w14:textId="46D3B93E" w:rsidR="000E11BB" w:rsidRPr="006B43E0" w:rsidRDefault="008D2482" w:rsidP="004D1C3A">
            <w:pPr>
              <w:pStyle w:val="TableText0"/>
              <w:jc w:val="center"/>
              <w:rPr>
                <w:b/>
                <w:highlight w:val="darkGray"/>
              </w:rPr>
            </w:pPr>
            <w:r w:rsidRPr="008D2482">
              <w:rPr>
                <w:b/>
                <w:color w:val="000000"/>
                <w:spacing w:val="64"/>
                <w:shd w:val="solid" w:color="000000" w:fill="000000"/>
                <w:fitText w:val="376" w:id="-1233498362"/>
                <w14:textFill>
                  <w14:solidFill>
                    <w14:srgbClr w14:val="000000">
                      <w14:alpha w14:val="100000"/>
                    </w14:srgbClr>
                  </w14:solidFill>
                </w14:textFill>
              </w:rPr>
              <w:t>|||</w:t>
            </w:r>
            <w:r w:rsidRPr="008D2482">
              <w:rPr>
                <w:b/>
                <w:color w:val="000000"/>
                <w:spacing w:val="1"/>
                <w:shd w:val="solid" w:color="000000" w:fill="000000"/>
                <w:fitText w:val="376" w:id="-1233498362"/>
                <w14:textFill>
                  <w14:solidFill>
                    <w14:srgbClr w14:val="000000">
                      <w14:alpha w14:val="100000"/>
                    </w14:srgbClr>
                  </w14:solidFill>
                </w14:textFill>
              </w:rPr>
              <w:t>|</w:t>
            </w:r>
            <w:r w:rsidR="00AA73B7" w:rsidRPr="00AA73B7">
              <w:rPr>
                <w:b/>
              </w:rPr>
              <w:t xml:space="preserve"> </w:t>
            </w:r>
            <w:r w:rsidR="006B43E0">
              <w:rPr>
                <w:rFonts w:cs="Arial"/>
                <w:iCs/>
                <w:szCs w:val="20"/>
                <w:vertAlign w:val="superscript"/>
              </w:rPr>
              <w:t>5</w:t>
            </w:r>
          </w:p>
        </w:tc>
        <w:tc>
          <w:tcPr>
            <w:tcW w:w="1594" w:type="pct"/>
            <w:gridSpan w:val="3"/>
            <w:vAlign w:val="center"/>
          </w:tcPr>
          <w:p w14:paraId="08B360F4" w14:textId="77777777" w:rsidR="000E11BB" w:rsidRPr="0075485D" w:rsidRDefault="000E11BB" w:rsidP="004D1C3A">
            <w:pPr>
              <w:pStyle w:val="TableText0"/>
              <w:jc w:val="center"/>
              <w:rPr>
                <w:b/>
              </w:rPr>
            </w:pPr>
          </w:p>
        </w:tc>
      </w:tr>
    </w:tbl>
    <w:p w14:paraId="09CD4ED0" w14:textId="77777777" w:rsidR="00A01891" w:rsidRDefault="00A01891" w:rsidP="00B90B63">
      <w:pPr>
        <w:pStyle w:val="TableFooter"/>
        <w:keepNext/>
        <w:rPr>
          <w:i/>
        </w:rPr>
      </w:pPr>
      <w:r>
        <w:t xml:space="preserve">Source: Table 3.8-1 of the submission and </w:t>
      </w:r>
      <w:r>
        <w:rPr>
          <w:i/>
        </w:rPr>
        <w:t>compiled during the evaluation</w:t>
      </w:r>
    </w:p>
    <w:p w14:paraId="73C99356" w14:textId="624F3854" w:rsidR="00A01891" w:rsidRDefault="00A01891" w:rsidP="00B90B63">
      <w:pPr>
        <w:pStyle w:val="TableFooter"/>
        <w:keepNext/>
      </w:pPr>
      <w:r>
        <w:t>QAPFLY=quality adjusted progression free life year, PFLY= progression free life year, QALY=quality adjusted life year, LY= life year</w:t>
      </w:r>
    </w:p>
    <w:p w14:paraId="6A418A42" w14:textId="77777777" w:rsidR="00C2499E" w:rsidRPr="009A6D58" w:rsidRDefault="00C2499E" w:rsidP="00B90B63">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F620102" w14:textId="193B3880" w:rsidR="00C2499E" w:rsidRPr="009A6D58" w:rsidRDefault="00C2499E" w:rsidP="00B90B63">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2499E">
        <w:rPr>
          <w:rFonts w:ascii="Arial Narrow" w:hAnsi="Arial Narrow"/>
          <w:i/>
          <w:sz w:val="18"/>
          <w:szCs w:val="18"/>
        </w:rPr>
        <w:t>$45,000 to &lt; $55,000</w:t>
      </w:r>
    </w:p>
    <w:p w14:paraId="1DCD8D4F" w14:textId="2E685231" w:rsidR="00C2499E" w:rsidRPr="009A6D58" w:rsidRDefault="00C2499E" w:rsidP="00B90B63">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2499E">
        <w:rPr>
          <w:rFonts w:ascii="Arial Narrow" w:hAnsi="Arial Narrow"/>
          <w:i/>
          <w:sz w:val="18"/>
          <w:szCs w:val="18"/>
        </w:rPr>
        <w:t>$255,000 to &lt; $355,000</w:t>
      </w:r>
    </w:p>
    <w:p w14:paraId="71B2D29C" w14:textId="1073F385" w:rsidR="00C2499E" w:rsidRDefault="00C2499E" w:rsidP="00B90B63">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2499E">
        <w:rPr>
          <w:rFonts w:ascii="Arial Narrow" w:hAnsi="Arial Narrow"/>
          <w:i/>
          <w:sz w:val="18"/>
          <w:szCs w:val="18"/>
        </w:rPr>
        <w:t>$55,000 to &lt; $75,000</w:t>
      </w:r>
    </w:p>
    <w:p w14:paraId="74468C60" w14:textId="5456277D" w:rsidR="00C2499E" w:rsidRDefault="00C2499E" w:rsidP="00B90B63">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2499E">
        <w:rPr>
          <w:rFonts w:ascii="Arial Narrow" w:hAnsi="Arial Narrow"/>
          <w:i/>
          <w:sz w:val="18"/>
          <w:szCs w:val="18"/>
        </w:rPr>
        <w:t>$155,000 to &lt; $255,000</w:t>
      </w:r>
    </w:p>
    <w:p w14:paraId="518439AF" w14:textId="3A782941" w:rsidR="00C2499E" w:rsidRDefault="00C2499E" w:rsidP="00B90B63">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2499E">
        <w:rPr>
          <w:rFonts w:ascii="Arial Narrow" w:hAnsi="Arial Narrow"/>
          <w:i/>
          <w:sz w:val="18"/>
          <w:szCs w:val="18"/>
        </w:rPr>
        <w:t>$35,000 to &lt; $45,000</w:t>
      </w:r>
    </w:p>
    <w:p w14:paraId="1430CC41" w14:textId="7EDB64D5" w:rsidR="006B43E0" w:rsidRPr="00C2499E" w:rsidRDefault="00C2499E" w:rsidP="00C2499E">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2499E">
        <w:rPr>
          <w:rFonts w:ascii="Arial Narrow" w:hAnsi="Arial Narrow"/>
          <w:i/>
          <w:sz w:val="18"/>
          <w:szCs w:val="18"/>
        </w:rPr>
        <w:t>$25,000 to &lt; $35,000</w:t>
      </w:r>
    </w:p>
    <w:p w14:paraId="1726449A" w14:textId="1C9A73F4" w:rsidR="00A01891" w:rsidRPr="003330C9" w:rsidRDefault="00A01891" w:rsidP="00A01891">
      <w:pPr>
        <w:pStyle w:val="3-BodyText"/>
        <w:ind w:left="709" w:hanging="709"/>
      </w:pPr>
      <w:r w:rsidRPr="003330C9">
        <w:t xml:space="preserve">The results of key sensitivity analyses are summarised in </w:t>
      </w:r>
      <w:r w:rsidRPr="003330C9">
        <w:fldChar w:fldCharType="begin"/>
      </w:r>
      <w:r w:rsidRPr="003330C9">
        <w:instrText xml:space="preserve"> REF _Ref104804865 \h </w:instrText>
      </w:r>
      <w:r w:rsidR="003330C9" w:rsidRPr="003330C9">
        <w:instrText xml:space="preserve"> \* MERGEFORMAT </w:instrText>
      </w:r>
      <w:r w:rsidRPr="003330C9">
        <w:fldChar w:fldCharType="separate"/>
      </w:r>
      <w:r w:rsidR="00307E3A">
        <w:t xml:space="preserve">Table </w:t>
      </w:r>
      <w:r w:rsidR="00307E3A">
        <w:rPr>
          <w:noProof/>
        </w:rPr>
        <w:t>10</w:t>
      </w:r>
      <w:r w:rsidRPr="003330C9">
        <w:fldChar w:fldCharType="end"/>
      </w:r>
      <w:r w:rsidRPr="003330C9">
        <w:t xml:space="preserve">. The ICER was most sensitive to time horizon, OS extrapolation and convergence, PFS extrapolation, TTD extrapolation and cost of NHA. </w:t>
      </w:r>
    </w:p>
    <w:p w14:paraId="32229340" w14:textId="0D7568B0" w:rsidR="00A01891" w:rsidRDefault="00A01891" w:rsidP="00A01891">
      <w:pPr>
        <w:pStyle w:val="Caption"/>
        <w:rPr>
          <w:rStyle w:val="CommentReference"/>
          <w:b/>
          <w:szCs w:val="24"/>
        </w:rPr>
      </w:pPr>
      <w:bookmarkStart w:id="59" w:name="_Ref104804865"/>
      <w:bookmarkStart w:id="60" w:name="_Ref127448280"/>
      <w:r>
        <w:t xml:space="preserve">Table </w:t>
      </w:r>
      <w:fldSimple w:instr=" SEQ Table \* ARABIC ">
        <w:r w:rsidR="00307E3A">
          <w:rPr>
            <w:noProof/>
          </w:rPr>
          <w:t>10</w:t>
        </w:r>
      </w:fldSimple>
      <w:bookmarkEnd w:id="59"/>
      <w:r>
        <w:t>:</w:t>
      </w:r>
      <w:r w:rsidRPr="00BB732D">
        <w:rPr>
          <w:rStyle w:val="CommentReference"/>
          <w:b/>
          <w:szCs w:val="24"/>
        </w:rPr>
        <w:t xml:space="preserve"> Sensitivity analyses</w:t>
      </w:r>
      <w:bookmarkEnd w:id="6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32"/>
        <w:gridCol w:w="851"/>
        <w:gridCol w:w="567"/>
        <w:gridCol w:w="850"/>
        <w:gridCol w:w="709"/>
      </w:tblGrid>
      <w:tr w:rsidR="00A01891" w:rsidRPr="0075485D" w14:paraId="46A10E21" w14:textId="77777777" w:rsidTr="00E44076">
        <w:trPr>
          <w:tblHeader/>
        </w:trPr>
        <w:tc>
          <w:tcPr>
            <w:tcW w:w="6232" w:type="dxa"/>
            <w:vMerge w:val="restart"/>
            <w:tcBorders>
              <w:top w:val="single" w:sz="4" w:space="0" w:color="auto"/>
              <w:left w:val="single" w:sz="4" w:space="0" w:color="auto"/>
              <w:bottom w:val="single" w:sz="4" w:space="0" w:color="auto"/>
              <w:right w:val="single" w:sz="4" w:space="0" w:color="auto"/>
            </w:tcBorders>
            <w:vAlign w:val="center"/>
            <w:hideMark/>
          </w:tcPr>
          <w:p w14:paraId="7377C6C7" w14:textId="77777777" w:rsidR="00A01891" w:rsidRPr="0075485D" w:rsidRDefault="00A01891" w:rsidP="00E44076">
            <w:pPr>
              <w:pStyle w:val="In-tableHeading"/>
              <w:rPr>
                <w:lang w:val="en-AU"/>
              </w:rPr>
            </w:pPr>
            <w:r w:rsidRPr="0075485D">
              <w:rPr>
                <w:lang w:val="en-AU"/>
              </w:rPr>
              <w:t>Analyses</w:t>
            </w:r>
          </w:p>
        </w:tc>
        <w:tc>
          <w:tcPr>
            <w:tcW w:w="1418" w:type="dxa"/>
            <w:gridSpan w:val="2"/>
            <w:tcBorders>
              <w:top w:val="single" w:sz="4" w:space="0" w:color="auto"/>
              <w:left w:val="single" w:sz="4" w:space="0" w:color="auto"/>
              <w:bottom w:val="single" w:sz="4" w:space="0" w:color="auto"/>
              <w:right w:val="single" w:sz="4" w:space="0" w:color="auto"/>
            </w:tcBorders>
            <w:hideMark/>
          </w:tcPr>
          <w:p w14:paraId="5511B9E7" w14:textId="77777777" w:rsidR="00A01891" w:rsidRPr="0075485D" w:rsidRDefault="00A01891" w:rsidP="00E44076">
            <w:pPr>
              <w:pStyle w:val="In-tableHeading"/>
              <w:jc w:val="center"/>
              <w:rPr>
                <w:lang w:val="en-AU"/>
              </w:rPr>
            </w:pPr>
            <w:r w:rsidRPr="0075485D">
              <w:rPr>
                <w:lang w:val="en-AU"/>
              </w:rPr>
              <w:t>Incremental</w:t>
            </w:r>
          </w:p>
        </w:tc>
        <w:tc>
          <w:tcPr>
            <w:tcW w:w="850" w:type="dxa"/>
            <w:vMerge w:val="restart"/>
            <w:tcBorders>
              <w:top w:val="single" w:sz="4" w:space="0" w:color="auto"/>
              <w:left w:val="single" w:sz="4" w:space="0" w:color="auto"/>
              <w:right w:val="single" w:sz="4" w:space="0" w:color="auto"/>
            </w:tcBorders>
            <w:vAlign w:val="center"/>
            <w:hideMark/>
          </w:tcPr>
          <w:p w14:paraId="2415A544" w14:textId="406B1BDB" w:rsidR="00A01891" w:rsidRPr="0075485D" w:rsidRDefault="00A01891" w:rsidP="00E44076">
            <w:pPr>
              <w:pStyle w:val="In-tableHeading"/>
              <w:jc w:val="center"/>
              <w:rPr>
                <w:lang w:val="en-AU"/>
              </w:rPr>
            </w:pPr>
            <w:r w:rsidRPr="0075485D">
              <w:rPr>
                <w:lang w:val="en-AU"/>
              </w:rPr>
              <w:t>ICER</w:t>
            </w:r>
          </w:p>
        </w:tc>
        <w:tc>
          <w:tcPr>
            <w:tcW w:w="709" w:type="dxa"/>
            <w:tcBorders>
              <w:top w:val="single" w:sz="4" w:space="0" w:color="auto"/>
              <w:left w:val="single" w:sz="4" w:space="0" w:color="auto"/>
              <w:bottom w:val="nil"/>
              <w:right w:val="single" w:sz="4" w:space="0" w:color="auto"/>
            </w:tcBorders>
            <w:vAlign w:val="center"/>
            <w:hideMark/>
          </w:tcPr>
          <w:p w14:paraId="6D71ED14" w14:textId="77777777" w:rsidR="00A01891" w:rsidRPr="0075485D" w:rsidRDefault="00A01891" w:rsidP="00E44076">
            <w:pPr>
              <w:pStyle w:val="In-tableHeading"/>
              <w:jc w:val="center"/>
              <w:rPr>
                <w:lang w:val="en-AU"/>
              </w:rPr>
            </w:pPr>
            <w:r w:rsidRPr="0075485D">
              <w:rPr>
                <w:lang w:val="en-AU"/>
              </w:rPr>
              <w:t xml:space="preserve">% ∆ </w:t>
            </w:r>
          </w:p>
        </w:tc>
      </w:tr>
      <w:tr w:rsidR="00A01891" w:rsidRPr="0075485D" w14:paraId="3AFE998E" w14:textId="77777777" w:rsidTr="00E44076">
        <w:trPr>
          <w:tblHeader/>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2BA7D730" w14:textId="77777777" w:rsidR="00A01891" w:rsidRPr="0075485D" w:rsidRDefault="00A01891" w:rsidP="00E44076">
            <w:pPr>
              <w:jc w:val="left"/>
              <w:rPr>
                <w:rFonts w:ascii="Arial Narrow" w:eastAsiaTheme="majorEastAsia" w:hAnsi="Arial Narrow" w:cs="Times New Roman"/>
                <w:b/>
                <w:sz w:val="20"/>
              </w:rPr>
            </w:pPr>
          </w:p>
        </w:tc>
        <w:tc>
          <w:tcPr>
            <w:tcW w:w="851" w:type="dxa"/>
            <w:tcBorders>
              <w:top w:val="single" w:sz="4" w:space="0" w:color="auto"/>
              <w:left w:val="single" w:sz="4" w:space="0" w:color="auto"/>
              <w:bottom w:val="single" w:sz="4" w:space="0" w:color="auto"/>
              <w:right w:val="single" w:sz="4" w:space="0" w:color="auto"/>
            </w:tcBorders>
            <w:hideMark/>
          </w:tcPr>
          <w:p w14:paraId="60F7260D" w14:textId="3ACB6492" w:rsidR="00A01891" w:rsidRPr="0075485D" w:rsidRDefault="00A01891" w:rsidP="00E44076">
            <w:pPr>
              <w:pStyle w:val="In-tableHeading"/>
              <w:jc w:val="center"/>
              <w:rPr>
                <w:lang w:val="en-AU"/>
              </w:rPr>
            </w:pPr>
            <w:r w:rsidRPr="0075485D">
              <w:rPr>
                <w:lang w:val="en-AU"/>
              </w:rPr>
              <w:t>Cost</w:t>
            </w:r>
            <w:r w:rsidR="00C2499E">
              <w:rPr>
                <w:lang w:val="en-AU"/>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047BA3DB" w14:textId="77777777" w:rsidR="00A01891" w:rsidRPr="0075485D" w:rsidRDefault="00A01891" w:rsidP="00E44076">
            <w:pPr>
              <w:pStyle w:val="In-tableHeading"/>
              <w:jc w:val="center"/>
              <w:rPr>
                <w:lang w:val="en-AU"/>
              </w:rPr>
            </w:pPr>
            <w:r w:rsidRPr="0075485D">
              <w:rPr>
                <w:lang w:val="en-AU"/>
              </w:rPr>
              <w:t>QALY</w:t>
            </w:r>
          </w:p>
        </w:tc>
        <w:tc>
          <w:tcPr>
            <w:tcW w:w="850" w:type="dxa"/>
            <w:vMerge/>
            <w:tcBorders>
              <w:left w:val="single" w:sz="4" w:space="0" w:color="auto"/>
              <w:bottom w:val="single" w:sz="4" w:space="0" w:color="auto"/>
              <w:right w:val="single" w:sz="4" w:space="0" w:color="auto"/>
            </w:tcBorders>
            <w:vAlign w:val="center"/>
            <w:hideMark/>
          </w:tcPr>
          <w:p w14:paraId="1649C7F3" w14:textId="77777777" w:rsidR="00A01891" w:rsidRPr="0075485D" w:rsidRDefault="00A01891" w:rsidP="00E44076">
            <w:pPr>
              <w:jc w:val="left"/>
              <w:rPr>
                <w:rFonts w:ascii="Arial Narrow" w:eastAsiaTheme="majorEastAsia" w:hAnsi="Arial Narrow" w:cs="Times New Roman"/>
                <w:b/>
                <w:sz w:val="20"/>
              </w:rPr>
            </w:pPr>
          </w:p>
        </w:tc>
        <w:tc>
          <w:tcPr>
            <w:tcW w:w="709" w:type="dxa"/>
            <w:tcBorders>
              <w:top w:val="nil"/>
              <w:left w:val="single" w:sz="4" w:space="0" w:color="auto"/>
              <w:bottom w:val="single" w:sz="4" w:space="0" w:color="auto"/>
              <w:right w:val="single" w:sz="4" w:space="0" w:color="auto"/>
            </w:tcBorders>
            <w:vAlign w:val="center"/>
            <w:hideMark/>
          </w:tcPr>
          <w:p w14:paraId="27888261" w14:textId="77777777" w:rsidR="00A01891" w:rsidRPr="0075485D" w:rsidRDefault="00A01891" w:rsidP="00E44076">
            <w:pPr>
              <w:pStyle w:val="In-tableHeading"/>
              <w:jc w:val="center"/>
              <w:rPr>
                <w:b w:val="0"/>
              </w:rPr>
            </w:pPr>
            <w:r w:rsidRPr="0075485D">
              <w:rPr>
                <w:lang w:val="en-AU"/>
              </w:rPr>
              <w:t>ICER</w:t>
            </w:r>
          </w:p>
        </w:tc>
      </w:tr>
      <w:tr w:rsidR="00A01891" w:rsidRPr="0075485D" w14:paraId="2F2BC1D5" w14:textId="77777777" w:rsidTr="00E44076">
        <w:tc>
          <w:tcPr>
            <w:tcW w:w="6232" w:type="dxa"/>
            <w:tcBorders>
              <w:top w:val="single" w:sz="4" w:space="0" w:color="auto"/>
              <w:left w:val="single" w:sz="4" w:space="0" w:color="auto"/>
              <w:bottom w:val="single" w:sz="4" w:space="0" w:color="auto"/>
              <w:right w:val="single" w:sz="4" w:space="0" w:color="auto"/>
            </w:tcBorders>
            <w:hideMark/>
          </w:tcPr>
          <w:p w14:paraId="5455C004" w14:textId="77777777" w:rsidR="00A01891" w:rsidRPr="0075485D" w:rsidRDefault="00A01891" w:rsidP="00E44076">
            <w:pPr>
              <w:pStyle w:val="TableText0"/>
              <w:rPr>
                <w:b/>
              </w:rPr>
            </w:pPr>
            <w:r w:rsidRPr="0075485D">
              <w:rPr>
                <w:b/>
              </w:rPr>
              <w:t>Base case</w:t>
            </w:r>
          </w:p>
        </w:tc>
        <w:tc>
          <w:tcPr>
            <w:tcW w:w="851" w:type="dxa"/>
            <w:tcBorders>
              <w:top w:val="single" w:sz="4" w:space="0" w:color="auto"/>
              <w:left w:val="single" w:sz="4" w:space="0" w:color="auto"/>
              <w:bottom w:val="single" w:sz="4" w:space="0" w:color="auto"/>
              <w:right w:val="single" w:sz="4" w:space="0" w:color="auto"/>
            </w:tcBorders>
            <w:hideMark/>
          </w:tcPr>
          <w:p w14:paraId="78B434B6" w14:textId="20E73600" w:rsidR="00A01891" w:rsidRPr="00C2499E" w:rsidRDefault="008D2482" w:rsidP="00E44076">
            <w:pPr>
              <w:pStyle w:val="TableText0"/>
              <w:jc w:val="center"/>
              <w:rPr>
                <w:b/>
                <w:highlight w:val="darkGray"/>
              </w:rPr>
            </w:pPr>
            <w:r w:rsidRPr="008D2482">
              <w:rPr>
                <w:b/>
                <w:color w:val="000000"/>
                <w:spacing w:val="64"/>
                <w:shd w:val="solid" w:color="000000" w:fill="000000"/>
                <w:fitText w:val="377" w:id="-1233498361"/>
                <w14:textFill>
                  <w14:solidFill>
                    <w14:srgbClr w14:val="000000">
                      <w14:alpha w14:val="100000"/>
                    </w14:srgbClr>
                  </w14:solidFill>
                </w14:textFill>
              </w:rPr>
              <w:t>|||</w:t>
            </w:r>
            <w:r w:rsidRPr="008D2482">
              <w:rPr>
                <w:b/>
                <w:color w:val="000000"/>
                <w:spacing w:val="2"/>
                <w:shd w:val="solid" w:color="000000" w:fill="000000"/>
                <w:fitText w:val="377" w:id="-1233498361"/>
                <w14:textFill>
                  <w14:solidFill>
                    <w14:srgbClr w14:val="000000">
                      <w14:alpha w14:val="100000"/>
                    </w14:srgbClr>
                  </w14:solidFill>
                </w14:textFill>
              </w:rPr>
              <w:t>|</w:t>
            </w:r>
            <w:r w:rsidR="00AA73B7" w:rsidRPr="00AA73B7">
              <w:rPr>
                <w:b/>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34573376" w14:textId="77777777" w:rsidR="00A01891" w:rsidRPr="0075485D" w:rsidRDefault="00A01891" w:rsidP="00E44076">
            <w:pPr>
              <w:pStyle w:val="TableText0"/>
              <w:jc w:val="center"/>
              <w:rPr>
                <w:b/>
              </w:rPr>
            </w:pPr>
            <w:r w:rsidRPr="0075485D">
              <w:rPr>
                <w:b/>
              </w:rPr>
              <w:t>1.04</w:t>
            </w:r>
          </w:p>
        </w:tc>
        <w:tc>
          <w:tcPr>
            <w:tcW w:w="850" w:type="dxa"/>
            <w:tcBorders>
              <w:top w:val="single" w:sz="4" w:space="0" w:color="auto"/>
              <w:left w:val="single" w:sz="4" w:space="0" w:color="auto"/>
              <w:bottom w:val="single" w:sz="4" w:space="0" w:color="auto"/>
              <w:right w:val="single" w:sz="4" w:space="0" w:color="auto"/>
            </w:tcBorders>
            <w:hideMark/>
          </w:tcPr>
          <w:p w14:paraId="105E0DC3" w14:textId="00C52310" w:rsidR="00A01891" w:rsidRPr="00C2499E" w:rsidRDefault="008D2482" w:rsidP="00E44076">
            <w:pPr>
              <w:pStyle w:val="TableText0"/>
              <w:jc w:val="center"/>
              <w:rPr>
                <w:b/>
                <w:highlight w:val="darkGray"/>
              </w:rPr>
            </w:pPr>
            <w:r w:rsidRPr="008D2482">
              <w:rPr>
                <w:b/>
                <w:color w:val="000000"/>
                <w:spacing w:val="31"/>
                <w:shd w:val="solid" w:color="000000" w:fill="000000"/>
                <w:fitText w:val="432" w:id="-1233498360"/>
                <w14:textFill>
                  <w14:solidFill>
                    <w14:srgbClr w14:val="000000">
                      <w14:alpha w14:val="100000"/>
                    </w14:srgbClr>
                  </w14:solidFill>
                </w14:textFill>
              </w:rPr>
              <w:t>|||||</w:t>
            </w:r>
            <w:r w:rsidRPr="008D2482">
              <w:rPr>
                <w:b/>
                <w:color w:val="000000"/>
                <w:spacing w:val="2"/>
                <w:shd w:val="solid" w:color="000000" w:fill="000000"/>
                <w:fitText w:val="432" w:id="-1233498360"/>
                <w14:textFill>
                  <w14:solidFill>
                    <w14:srgbClr w14:val="000000">
                      <w14:alpha w14:val="100000"/>
                    </w14:srgbClr>
                  </w14:solidFill>
                </w14:textFill>
              </w:rPr>
              <w:t>|</w:t>
            </w:r>
            <w:r w:rsidR="00AA73B7" w:rsidRPr="00AA73B7">
              <w:rPr>
                <w:b/>
              </w:rPr>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hideMark/>
          </w:tcPr>
          <w:p w14:paraId="0342A7CB" w14:textId="77777777" w:rsidR="00A01891" w:rsidRPr="0075485D" w:rsidRDefault="00A01891" w:rsidP="00E44076">
            <w:pPr>
              <w:pStyle w:val="TableText0"/>
              <w:jc w:val="center"/>
              <w:rPr>
                <w:b/>
              </w:rPr>
            </w:pPr>
            <w:r w:rsidRPr="0075485D">
              <w:rPr>
                <w:b/>
              </w:rPr>
              <w:t>-</w:t>
            </w:r>
          </w:p>
        </w:tc>
      </w:tr>
      <w:tr w:rsidR="00A01891" w:rsidRPr="0075485D" w14:paraId="5F19B6AF" w14:textId="77777777" w:rsidTr="00E44076">
        <w:tc>
          <w:tcPr>
            <w:tcW w:w="6232" w:type="dxa"/>
            <w:tcBorders>
              <w:top w:val="single" w:sz="4" w:space="0" w:color="auto"/>
              <w:left w:val="single" w:sz="4" w:space="0" w:color="auto"/>
              <w:bottom w:val="nil"/>
              <w:right w:val="single" w:sz="4" w:space="0" w:color="auto"/>
            </w:tcBorders>
            <w:vAlign w:val="center"/>
            <w:hideMark/>
          </w:tcPr>
          <w:p w14:paraId="3CB7CCDE" w14:textId="12E97356" w:rsidR="00A01891" w:rsidRPr="0075485D" w:rsidRDefault="00A01891" w:rsidP="00E44076">
            <w:pPr>
              <w:pStyle w:val="TableText0"/>
            </w:pPr>
            <w:r w:rsidRPr="0075485D">
              <w:t>Discount rate (base case</w:t>
            </w:r>
            <w:r w:rsidR="00E27E19" w:rsidRPr="0075485D">
              <w:t>:</w:t>
            </w:r>
            <w:r w:rsidRPr="0075485D">
              <w:t xml:space="preserve"> 5%)</w:t>
            </w:r>
          </w:p>
        </w:tc>
        <w:tc>
          <w:tcPr>
            <w:tcW w:w="851" w:type="dxa"/>
            <w:tcBorders>
              <w:top w:val="single" w:sz="4" w:space="0" w:color="auto"/>
              <w:left w:val="single" w:sz="4" w:space="0" w:color="auto"/>
              <w:bottom w:val="nil"/>
              <w:right w:val="single" w:sz="4" w:space="0" w:color="auto"/>
            </w:tcBorders>
            <w:vAlign w:val="center"/>
          </w:tcPr>
          <w:p w14:paraId="723B2BE0" w14:textId="77777777" w:rsidR="00A01891" w:rsidRPr="00C2499E" w:rsidRDefault="00A01891" w:rsidP="00E44076">
            <w:pPr>
              <w:pStyle w:val="TableText0"/>
              <w:jc w:val="center"/>
              <w:rPr>
                <w:highlight w:val="darkGray"/>
              </w:rPr>
            </w:pPr>
          </w:p>
        </w:tc>
        <w:tc>
          <w:tcPr>
            <w:tcW w:w="567" w:type="dxa"/>
            <w:tcBorders>
              <w:top w:val="single" w:sz="4" w:space="0" w:color="auto"/>
              <w:left w:val="single" w:sz="4" w:space="0" w:color="auto"/>
              <w:bottom w:val="nil"/>
              <w:right w:val="single" w:sz="4" w:space="0" w:color="auto"/>
            </w:tcBorders>
            <w:vAlign w:val="center"/>
          </w:tcPr>
          <w:p w14:paraId="630F184C" w14:textId="77777777" w:rsidR="00A01891" w:rsidRPr="0075485D" w:rsidRDefault="00A01891" w:rsidP="00E44076">
            <w:pPr>
              <w:pStyle w:val="TableText0"/>
              <w:jc w:val="center"/>
            </w:pPr>
          </w:p>
        </w:tc>
        <w:tc>
          <w:tcPr>
            <w:tcW w:w="850" w:type="dxa"/>
            <w:tcBorders>
              <w:top w:val="single" w:sz="4" w:space="0" w:color="auto"/>
              <w:left w:val="single" w:sz="4" w:space="0" w:color="auto"/>
              <w:bottom w:val="nil"/>
              <w:right w:val="single" w:sz="4" w:space="0" w:color="auto"/>
            </w:tcBorders>
            <w:vAlign w:val="center"/>
          </w:tcPr>
          <w:p w14:paraId="5524196A" w14:textId="77777777" w:rsidR="00A01891" w:rsidRPr="00C2499E" w:rsidRDefault="00A01891" w:rsidP="00E44076">
            <w:pPr>
              <w:pStyle w:val="TableText0"/>
              <w:jc w:val="center"/>
              <w:rPr>
                <w:highlight w:val="darkGray"/>
              </w:rPr>
            </w:pPr>
          </w:p>
        </w:tc>
        <w:tc>
          <w:tcPr>
            <w:tcW w:w="709" w:type="dxa"/>
            <w:tcBorders>
              <w:top w:val="single" w:sz="4" w:space="0" w:color="auto"/>
              <w:left w:val="single" w:sz="4" w:space="0" w:color="auto"/>
              <w:bottom w:val="nil"/>
              <w:right w:val="single" w:sz="4" w:space="0" w:color="auto"/>
            </w:tcBorders>
          </w:tcPr>
          <w:p w14:paraId="64EFD05F" w14:textId="77777777" w:rsidR="00A01891" w:rsidRPr="0075485D" w:rsidRDefault="00A01891" w:rsidP="00E44076">
            <w:pPr>
              <w:pStyle w:val="TableText0"/>
              <w:jc w:val="center"/>
            </w:pPr>
          </w:p>
        </w:tc>
      </w:tr>
      <w:tr w:rsidR="00A01891" w:rsidRPr="0075485D" w14:paraId="443758E9" w14:textId="77777777" w:rsidTr="00E44076">
        <w:tc>
          <w:tcPr>
            <w:tcW w:w="6232" w:type="dxa"/>
            <w:tcBorders>
              <w:top w:val="nil"/>
              <w:left w:val="single" w:sz="4" w:space="0" w:color="auto"/>
              <w:bottom w:val="nil"/>
              <w:right w:val="single" w:sz="4" w:space="0" w:color="auto"/>
            </w:tcBorders>
            <w:vAlign w:val="center"/>
            <w:hideMark/>
          </w:tcPr>
          <w:p w14:paraId="7882402C" w14:textId="77777777" w:rsidR="00A01891" w:rsidRPr="0075485D" w:rsidRDefault="00A01891" w:rsidP="00E44076">
            <w:pPr>
              <w:pStyle w:val="TableText0"/>
              <w:ind w:left="112"/>
            </w:pPr>
            <w:r w:rsidRPr="0075485D">
              <w:t>0%</w:t>
            </w:r>
          </w:p>
        </w:tc>
        <w:tc>
          <w:tcPr>
            <w:tcW w:w="851" w:type="dxa"/>
            <w:tcBorders>
              <w:top w:val="nil"/>
              <w:left w:val="single" w:sz="4" w:space="0" w:color="auto"/>
              <w:bottom w:val="nil"/>
              <w:right w:val="single" w:sz="4" w:space="0" w:color="auto"/>
            </w:tcBorders>
            <w:hideMark/>
          </w:tcPr>
          <w:p w14:paraId="37E4C7B4" w14:textId="39AC9230" w:rsidR="00A01891" w:rsidRPr="00C2499E" w:rsidRDefault="008D2482" w:rsidP="00E44076">
            <w:pPr>
              <w:pStyle w:val="TableText0"/>
              <w:jc w:val="center"/>
              <w:rPr>
                <w:highlight w:val="darkGray"/>
              </w:rPr>
            </w:pPr>
            <w:r w:rsidRPr="008D2482">
              <w:rPr>
                <w:color w:val="000000"/>
                <w:spacing w:val="50"/>
                <w:shd w:val="solid" w:color="000000" w:fill="000000"/>
                <w:fitText w:val="321" w:id="-1233498359"/>
                <w14:textFill>
                  <w14:solidFill>
                    <w14:srgbClr w14:val="000000">
                      <w14:alpha w14:val="100000"/>
                    </w14:srgbClr>
                  </w14:solidFill>
                </w14:textFill>
              </w:rPr>
              <w:t>|||</w:t>
            </w:r>
            <w:r w:rsidRPr="008D2482">
              <w:rPr>
                <w:color w:val="000000"/>
                <w:spacing w:val="1"/>
                <w:shd w:val="solid" w:color="000000" w:fill="000000"/>
                <w:fitText w:val="321" w:id="-1233498359"/>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5ECE17A2" w14:textId="77777777" w:rsidR="00A01891" w:rsidRPr="0075485D" w:rsidRDefault="00A01891" w:rsidP="00E44076">
            <w:pPr>
              <w:pStyle w:val="TableText0"/>
              <w:jc w:val="center"/>
            </w:pPr>
            <w:r w:rsidRPr="0075485D">
              <w:t>1.47</w:t>
            </w:r>
          </w:p>
        </w:tc>
        <w:tc>
          <w:tcPr>
            <w:tcW w:w="850" w:type="dxa"/>
            <w:tcBorders>
              <w:top w:val="nil"/>
              <w:left w:val="single" w:sz="4" w:space="0" w:color="auto"/>
              <w:bottom w:val="nil"/>
              <w:right w:val="single" w:sz="4" w:space="0" w:color="auto"/>
            </w:tcBorders>
            <w:hideMark/>
          </w:tcPr>
          <w:p w14:paraId="236D9A7D" w14:textId="3C50B844" w:rsidR="00A01891" w:rsidRPr="00C2499E" w:rsidRDefault="008D2482" w:rsidP="00E44076">
            <w:pPr>
              <w:pStyle w:val="TableText0"/>
              <w:jc w:val="center"/>
              <w:rPr>
                <w:highlight w:val="darkGray"/>
              </w:rPr>
            </w:pPr>
            <w:r w:rsidRPr="008D2482">
              <w:rPr>
                <w:color w:val="000000"/>
                <w:spacing w:val="68"/>
                <w:shd w:val="solid" w:color="000000" w:fill="000000"/>
                <w:fitText w:val="376" w:id="-1233498358"/>
                <w14:textFill>
                  <w14:solidFill>
                    <w14:srgbClr w14:val="000000">
                      <w14:alpha w14:val="100000"/>
                    </w14:srgbClr>
                  </w14:solidFill>
                </w14:textFill>
              </w:rPr>
              <w:t>|||</w:t>
            </w:r>
            <w:r w:rsidRPr="008D2482">
              <w:rPr>
                <w:color w:val="000000"/>
                <w:spacing w:val="2"/>
                <w:shd w:val="solid" w:color="000000" w:fill="000000"/>
                <w:fitText w:val="376" w:id="-1233498358"/>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nil"/>
              <w:right w:val="single" w:sz="4" w:space="0" w:color="auto"/>
            </w:tcBorders>
            <w:hideMark/>
          </w:tcPr>
          <w:p w14:paraId="3ECC71D2" w14:textId="77777777" w:rsidR="00A01891" w:rsidRPr="0075485D" w:rsidRDefault="00A01891" w:rsidP="00E44076">
            <w:pPr>
              <w:pStyle w:val="TableText0"/>
              <w:jc w:val="center"/>
            </w:pPr>
            <w:r w:rsidRPr="0075485D">
              <w:t>-10.6%</w:t>
            </w:r>
          </w:p>
        </w:tc>
      </w:tr>
      <w:tr w:rsidR="00A01891" w:rsidRPr="0075485D" w14:paraId="22F0D5BA" w14:textId="77777777" w:rsidTr="00E44076">
        <w:tc>
          <w:tcPr>
            <w:tcW w:w="6232" w:type="dxa"/>
            <w:tcBorders>
              <w:top w:val="nil"/>
              <w:left w:val="single" w:sz="4" w:space="0" w:color="auto"/>
              <w:bottom w:val="single" w:sz="4" w:space="0" w:color="auto"/>
              <w:right w:val="single" w:sz="4" w:space="0" w:color="auto"/>
            </w:tcBorders>
            <w:vAlign w:val="center"/>
            <w:hideMark/>
          </w:tcPr>
          <w:p w14:paraId="1A5AB166" w14:textId="77777777" w:rsidR="00A01891" w:rsidRPr="0075485D" w:rsidRDefault="00A01891" w:rsidP="00E44076">
            <w:pPr>
              <w:pStyle w:val="TableText0"/>
              <w:ind w:left="112"/>
            </w:pPr>
            <w:r w:rsidRPr="0075485D">
              <w:t>3.5%</w:t>
            </w:r>
          </w:p>
        </w:tc>
        <w:tc>
          <w:tcPr>
            <w:tcW w:w="851" w:type="dxa"/>
            <w:tcBorders>
              <w:top w:val="nil"/>
              <w:left w:val="single" w:sz="4" w:space="0" w:color="auto"/>
              <w:bottom w:val="single" w:sz="4" w:space="0" w:color="auto"/>
              <w:right w:val="single" w:sz="4" w:space="0" w:color="auto"/>
            </w:tcBorders>
            <w:hideMark/>
          </w:tcPr>
          <w:p w14:paraId="245445DC" w14:textId="1810BFF9" w:rsidR="00A01891" w:rsidRPr="00C2499E" w:rsidRDefault="008D2482" w:rsidP="00E44076">
            <w:pPr>
              <w:pStyle w:val="TableText0"/>
              <w:jc w:val="center"/>
              <w:rPr>
                <w:highlight w:val="darkGray"/>
              </w:rPr>
            </w:pPr>
            <w:r w:rsidRPr="008D2482">
              <w:rPr>
                <w:color w:val="000000"/>
                <w:spacing w:val="50"/>
                <w:shd w:val="solid" w:color="000000" w:fill="000000"/>
                <w:fitText w:val="321" w:id="-1233498357"/>
                <w14:textFill>
                  <w14:solidFill>
                    <w14:srgbClr w14:val="000000">
                      <w14:alpha w14:val="100000"/>
                    </w14:srgbClr>
                  </w14:solidFill>
                </w14:textFill>
              </w:rPr>
              <w:t>|||</w:t>
            </w:r>
            <w:r w:rsidRPr="008D2482">
              <w:rPr>
                <w:color w:val="000000"/>
                <w:spacing w:val="1"/>
                <w:shd w:val="solid" w:color="000000" w:fill="000000"/>
                <w:fitText w:val="321" w:id="-1233498357"/>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5008DE6A" w14:textId="77777777" w:rsidR="00A01891" w:rsidRPr="0075485D" w:rsidRDefault="00A01891" w:rsidP="00E44076">
            <w:pPr>
              <w:pStyle w:val="TableText0"/>
              <w:jc w:val="center"/>
            </w:pPr>
            <w:r w:rsidRPr="0075485D">
              <w:t>1.15</w:t>
            </w:r>
          </w:p>
        </w:tc>
        <w:tc>
          <w:tcPr>
            <w:tcW w:w="850" w:type="dxa"/>
            <w:tcBorders>
              <w:top w:val="nil"/>
              <w:left w:val="single" w:sz="4" w:space="0" w:color="auto"/>
              <w:bottom w:val="single" w:sz="4" w:space="0" w:color="auto"/>
              <w:right w:val="single" w:sz="4" w:space="0" w:color="auto"/>
            </w:tcBorders>
            <w:hideMark/>
          </w:tcPr>
          <w:p w14:paraId="7F496C02" w14:textId="3C4BB7D7" w:rsidR="00A01891" w:rsidRPr="00C2499E" w:rsidRDefault="008D2482" w:rsidP="00E44076">
            <w:pPr>
              <w:pStyle w:val="TableText0"/>
              <w:jc w:val="center"/>
              <w:rPr>
                <w:highlight w:val="darkGray"/>
              </w:rPr>
            </w:pPr>
            <w:r w:rsidRPr="008D2482">
              <w:rPr>
                <w:color w:val="000000"/>
                <w:spacing w:val="68"/>
                <w:shd w:val="solid" w:color="000000" w:fill="000000"/>
                <w:fitText w:val="376" w:id="-1233498356"/>
                <w14:textFill>
                  <w14:solidFill>
                    <w14:srgbClr w14:val="000000">
                      <w14:alpha w14:val="100000"/>
                    </w14:srgbClr>
                  </w14:solidFill>
                </w14:textFill>
              </w:rPr>
              <w:t>|||</w:t>
            </w:r>
            <w:r w:rsidRPr="008D2482">
              <w:rPr>
                <w:color w:val="000000"/>
                <w:spacing w:val="2"/>
                <w:shd w:val="solid" w:color="000000" w:fill="000000"/>
                <w:fitText w:val="376" w:id="-1233498356"/>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single" w:sz="4" w:space="0" w:color="auto"/>
              <w:right w:val="single" w:sz="4" w:space="0" w:color="auto"/>
            </w:tcBorders>
            <w:hideMark/>
          </w:tcPr>
          <w:p w14:paraId="3EC19152" w14:textId="77777777" w:rsidR="00A01891" w:rsidRPr="0075485D" w:rsidRDefault="00A01891" w:rsidP="00E44076">
            <w:pPr>
              <w:pStyle w:val="TableText0"/>
              <w:jc w:val="center"/>
            </w:pPr>
            <w:r w:rsidRPr="0075485D">
              <w:t>-3.4%</w:t>
            </w:r>
          </w:p>
        </w:tc>
      </w:tr>
      <w:tr w:rsidR="00A01891" w:rsidRPr="0075485D" w14:paraId="20024279" w14:textId="77777777" w:rsidTr="00E44076">
        <w:tc>
          <w:tcPr>
            <w:tcW w:w="6232" w:type="dxa"/>
            <w:tcBorders>
              <w:top w:val="single" w:sz="4" w:space="0" w:color="auto"/>
              <w:left w:val="single" w:sz="4" w:space="0" w:color="auto"/>
              <w:bottom w:val="nil"/>
              <w:right w:val="single" w:sz="4" w:space="0" w:color="auto"/>
            </w:tcBorders>
            <w:vAlign w:val="center"/>
            <w:hideMark/>
          </w:tcPr>
          <w:p w14:paraId="0C43F95F" w14:textId="20FA5BFF" w:rsidR="00A01891" w:rsidRPr="0075485D" w:rsidRDefault="00A01891" w:rsidP="00E44076">
            <w:pPr>
              <w:pStyle w:val="TableText0"/>
            </w:pPr>
            <w:r w:rsidRPr="0075485D">
              <w:t>Time horizon (base case</w:t>
            </w:r>
            <w:r w:rsidR="00E27E19" w:rsidRPr="0075485D">
              <w:t>:</w:t>
            </w:r>
            <w:r w:rsidRPr="0075485D">
              <w:t xml:space="preserve"> 15 years)</w:t>
            </w:r>
          </w:p>
        </w:tc>
        <w:tc>
          <w:tcPr>
            <w:tcW w:w="851" w:type="dxa"/>
            <w:tcBorders>
              <w:top w:val="single" w:sz="4" w:space="0" w:color="auto"/>
              <w:left w:val="single" w:sz="4" w:space="0" w:color="auto"/>
              <w:bottom w:val="nil"/>
              <w:right w:val="single" w:sz="4" w:space="0" w:color="auto"/>
            </w:tcBorders>
          </w:tcPr>
          <w:p w14:paraId="26C258DA" w14:textId="77777777" w:rsidR="00A01891" w:rsidRPr="00C2499E" w:rsidRDefault="00A01891" w:rsidP="00E44076">
            <w:pPr>
              <w:pStyle w:val="TableText0"/>
              <w:jc w:val="center"/>
              <w:rPr>
                <w:highlight w:val="darkGray"/>
              </w:rPr>
            </w:pPr>
          </w:p>
        </w:tc>
        <w:tc>
          <w:tcPr>
            <w:tcW w:w="567" w:type="dxa"/>
            <w:tcBorders>
              <w:top w:val="single" w:sz="4" w:space="0" w:color="auto"/>
              <w:left w:val="single" w:sz="4" w:space="0" w:color="auto"/>
              <w:bottom w:val="nil"/>
              <w:right w:val="single" w:sz="4" w:space="0" w:color="auto"/>
            </w:tcBorders>
          </w:tcPr>
          <w:p w14:paraId="08D76489" w14:textId="77777777" w:rsidR="00A01891" w:rsidRPr="0075485D" w:rsidRDefault="00A01891" w:rsidP="00E44076">
            <w:pPr>
              <w:pStyle w:val="TableText0"/>
              <w:jc w:val="center"/>
            </w:pPr>
          </w:p>
        </w:tc>
        <w:tc>
          <w:tcPr>
            <w:tcW w:w="850" w:type="dxa"/>
            <w:tcBorders>
              <w:top w:val="single" w:sz="4" w:space="0" w:color="auto"/>
              <w:left w:val="single" w:sz="4" w:space="0" w:color="auto"/>
              <w:bottom w:val="nil"/>
              <w:right w:val="single" w:sz="4" w:space="0" w:color="auto"/>
            </w:tcBorders>
          </w:tcPr>
          <w:p w14:paraId="4A389E3B" w14:textId="77777777" w:rsidR="00A01891" w:rsidRPr="00C2499E" w:rsidRDefault="00A01891" w:rsidP="00E44076">
            <w:pPr>
              <w:pStyle w:val="TableText0"/>
              <w:jc w:val="center"/>
              <w:rPr>
                <w:highlight w:val="darkGray"/>
              </w:rPr>
            </w:pPr>
          </w:p>
        </w:tc>
        <w:tc>
          <w:tcPr>
            <w:tcW w:w="709" w:type="dxa"/>
            <w:tcBorders>
              <w:top w:val="single" w:sz="4" w:space="0" w:color="auto"/>
              <w:left w:val="single" w:sz="4" w:space="0" w:color="auto"/>
              <w:bottom w:val="nil"/>
              <w:right w:val="single" w:sz="4" w:space="0" w:color="auto"/>
            </w:tcBorders>
          </w:tcPr>
          <w:p w14:paraId="791B1BB1" w14:textId="77777777" w:rsidR="00A01891" w:rsidRPr="0075485D" w:rsidRDefault="00A01891" w:rsidP="00E44076">
            <w:pPr>
              <w:pStyle w:val="TableText0"/>
              <w:jc w:val="center"/>
            </w:pPr>
          </w:p>
        </w:tc>
      </w:tr>
      <w:tr w:rsidR="00A01891" w:rsidRPr="0075485D" w14:paraId="13608D43" w14:textId="77777777" w:rsidTr="00E44076">
        <w:tc>
          <w:tcPr>
            <w:tcW w:w="6232" w:type="dxa"/>
            <w:tcBorders>
              <w:top w:val="nil"/>
              <w:left w:val="single" w:sz="4" w:space="0" w:color="auto"/>
              <w:bottom w:val="nil"/>
              <w:right w:val="single" w:sz="4" w:space="0" w:color="auto"/>
            </w:tcBorders>
            <w:vAlign w:val="center"/>
            <w:hideMark/>
          </w:tcPr>
          <w:p w14:paraId="11BCE876" w14:textId="77777777" w:rsidR="00A01891" w:rsidRPr="0075485D" w:rsidRDefault="00A01891" w:rsidP="00E44076">
            <w:pPr>
              <w:pStyle w:val="TableText0"/>
              <w:ind w:left="112"/>
            </w:pPr>
            <w:r w:rsidRPr="0075485D">
              <w:t>5 years</w:t>
            </w:r>
          </w:p>
        </w:tc>
        <w:tc>
          <w:tcPr>
            <w:tcW w:w="851" w:type="dxa"/>
            <w:tcBorders>
              <w:top w:val="nil"/>
              <w:left w:val="single" w:sz="4" w:space="0" w:color="auto"/>
              <w:bottom w:val="nil"/>
              <w:right w:val="single" w:sz="4" w:space="0" w:color="auto"/>
            </w:tcBorders>
            <w:hideMark/>
          </w:tcPr>
          <w:p w14:paraId="172EBBCE" w14:textId="1D09EFB6" w:rsidR="00A01891" w:rsidRPr="00C2499E" w:rsidRDefault="008D2482" w:rsidP="00E44076">
            <w:pPr>
              <w:pStyle w:val="TableText0"/>
              <w:jc w:val="center"/>
              <w:rPr>
                <w:highlight w:val="darkGray"/>
              </w:rPr>
            </w:pPr>
            <w:r w:rsidRPr="008D2482">
              <w:rPr>
                <w:color w:val="000000"/>
                <w:spacing w:val="50"/>
                <w:shd w:val="solid" w:color="000000" w:fill="000000"/>
                <w:fitText w:val="321" w:id="-1233498355"/>
                <w14:textFill>
                  <w14:solidFill>
                    <w14:srgbClr w14:val="000000">
                      <w14:alpha w14:val="100000"/>
                    </w14:srgbClr>
                  </w14:solidFill>
                </w14:textFill>
              </w:rPr>
              <w:t>|||</w:t>
            </w:r>
            <w:r w:rsidRPr="008D2482">
              <w:rPr>
                <w:color w:val="000000"/>
                <w:spacing w:val="1"/>
                <w:shd w:val="solid" w:color="000000" w:fill="000000"/>
                <w:fitText w:val="321" w:id="-1233498355"/>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76E78581" w14:textId="77777777" w:rsidR="00A01891" w:rsidRPr="0075485D" w:rsidRDefault="00A01891" w:rsidP="00E44076">
            <w:pPr>
              <w:pStyle w:val="TableText0"/>
              <w:jc w:val="center"/>
            </w:pPr>
            <w:r w:rsidRPr="0075485D">
              <w:t>0.33</w:t>
            </w:r>
          </w:p>
        </w:tc>
        <w:tc>
          <w:tcPr>
            <w:tcW w:w="850" w:type="dxa"/>
            <w:tcBorders>
              <w:top w:val="nil"/>
              <w:left w:val="single" w:sz="4" w:space="0" w:color="auto"/>
              <w:bottom w:val="nil"/>
              <w:right w:val="single" w:sz="4" w:space="0" w:color="auto"/>
            </w:tcBorders>
            <w:hideMark/>
          </w:tcPr>
          <w:p w14:paraId="2AF9A47E" w14:textId="4FEB0C32" w:rsidR="00A01891" w:rsidRPr="00C2499E" w:rsidRDefault="008D2482" w:rsidP="00E44076">
            <w:pPr>
              <w:pStyle w:val="TableText0"/>
              <w:jc w:val="center"/>
              <w:rPr>
                <w:highlight w:val="darkGray"/>
              </w:rPr>
            </w:pPr>
            <w:r w:rsidRPr="008D2482">
              <w:rPr>
                <w:color w:val="000000"/>
                <w:spacing w:val="68"/>
                <w:shd w:val="solid" w:color="000000" w:fill="000000"/>
                <w:fitText w:val="376" w:id="-1233498354"/>
                <w14:textFill>
                  <w14:solidFill>
                    <w14:srgbClr w14:val="000000">
                      <w14:alpha w14:val="100000"/>
                    </w14:srgbClr>
                  </w14:solidFill>
                </w14:textFill>
              </w:rPr>
              <w:t>|||</w:t>
            </w:r>
            <w:r w:rsidRPr="008D2482">
              <w:rPr>
                <w:color w:val="000000"/>
                <w:spacing w:val="2"/>
                <w:shd w:val="solid" w:color="000000" w:fill="000000"/>
                <w:fitText w:val="376" w:id="-1233498354"/>
                <w14:textFill>
                  <w14:solidFill>
                    <w14:srgbClr w14:val="000000">
                      <w14:alpha w14:val="100000"/>
                    </w14:srgbClr>
                  </w14:solidFill>
                </w14:textFill>
              </w:rPr>
              <w:t>|</w:t>
            </w:r>
            <w:r w:rsidR="00AA73B7" w:rsidRPr="00AA73B7">
              <w:t xml:space="preserve"> </w:t>
            </w:r>
            <w:r w:rsidR="00C2499E">
              <w:rPr>
                <w:rFonts w:cs="Arial"/>
                <w:iCs/>
                <w:szCs w:val="20"/>
                <w:vertAlign w:val="superscript"/>
              </w:rPr>
              <w:t>2</w:t>
            </w:r>
          </w:p>
        </w:tc>
        <w:tc>
          <w:tcPr>
            <w:tcW w:w="709" w:type="dxa"/>
            <w:tcBorders>
              <w:top w:val="nil"/>
              <w:left w:val="single" w:sz="4" w:space="0" w:color="auto"/>
              <w:bottom w:val="nil"/>
              <w:right w:val="single" w:sz="4" w:space="0" w:color="auto"/>
            </w:tcBorders>
            <w:hideMark/>
          </w:tcPr>
          <w:p w14:paraId="46284EB7" w14:textId="77777777" w:rsidR="00A01891" w:rsidRPr="0075485D" w:rsidRDefault="00A01891" w:rsidP="00E44076">
            <w:pPr>
              <w:pStyle w:val="TableText0"/>
              <w:jc w:val="center"/>
            </w:pPr>
            <w:r w:rsidRPr="0075485D">
              <w:t>80.7%</w:t>
            </w:r>
          </w:p>
        </w:tc>
      </w:tr>
      <w:tr w:rsidR="00A01891" w:rsidRPr="0075485D" w14:paraId="7A940D35" w14:textId="77777777" w:rsidTr="00E44076">
        <w:tc>
          <w:tcPr>
            <w:tcW w:w="6232" w:type="dxa"/>
            <w:tcBorders>
              <w:top w:val="nil"/>
              <w:left w:val="single" w:sz="4" w:space="0" w:color="auto"/>
              <w:bottom w:val="nil"/>
              <w:right w:val="single" w:sz="4" w:space="0" w:color="auto"/>
            </w:tcBorders>
            <w:vAlign w:val="center"/>
            <w:hideMark/>
          </w:tcPr>
          <w:p w14:paraId="7A180174" w14:textId="77777777" w:rsidR="00A01891" w:rsidRPr="0075485D" w:rsidRDefault="00A01891" w:rsidP="00E44076">
            <w:pPr>
              <w:pStyle w:val="TableText0"/>
              <w:ind w:left="112"/>
            </w:pPr>
            <w:r w:rsidRPr="0075485D">
              <w:t>7.5 years</w:t>
            </w:r>
          </w:p>
        </w:tc>
        <w:tc>
          <w:tcPr>
            <w:tcW w:w="851" w:type="dxa"/>
            <w:tcBorders>
              <w:top w:val="nil"/>
              <w:left w:val="single" w:sz="4" w:space="0" w:color="auto"/>
              <w:bottom w:val="nil"/>
              <w:right w:val="single" w:sz="4" w:space="0" w:color="auto"/>
            </w:tcBorders>
            <w:hideMark/>
          </w:tcPr>
          <w:p w14:paraId="05FCAF3D" w14:textId="6C43C3DD" w:rsidR="00A01891" w:rsidRPr="00C2499E" w:rsidRDefault="008D2482" w:rsidP="00E44076">
            <w:pPr>
              <w:pStyle w:val="TableText0"/>
              <w:jc w:val="center"/>
              <w:rPr>
                <w:highlight w:val="darkGray"/>
              </w:rPr>
            </w:pPr>
            <w:r w:rsidRPr="008D2482">
              <w:rPr>
                <w:color w:val="000000"/>
                <w:spacing w:val="50"/>
                <w:shd w:val="solid" w:color="000000" w:fill="000000"/>
                <w:fitText w:val="321" w:id="-1233498353"/>
                <w14:textFill>
                  <w14:solidFill>
                    <w14:srgbClr w14:val="000000">
                      <w14:alpha w14:val="100000"/>
                    </w14:srgbClr>
                  </w14:solidFill>
                </w14:textFill>
              </w:rPr>
              <w:t>|||</w:t>
            </w:r>
            <w:r w:rsidRPr="008D2482">
              <w:rPr>
                <w:color w:val="000000"/>
                <w:spacing w:val="1"/>
                <w:shd w:val="solid" w:color="000000" w:fill="000000"/>
                <w:fitText w:val="321" w:id="-1233498353"/>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49DB6072" w14:textId="77777777" w:rsidR="00A01891" w:rsidRPr="0075485D" w:rsidRDefault="00A01891" w:rsidP="00E44076">
            <w:pPr>
              <w:pStyle w:val="TableText0"/>
              <w:jc w:val="center"/>
            </w:pPr>
            <w:r w:rsidRPr="0075485D">
              <w:t>0.57</w:t>
            </w:r>
          </w:p>
        </w:tc>
        <w:tc>
          <w:tcPr>
            <w:tcW w:w="850" w:type="dxa"/>
            <w:tcBorders>
              <w:top w:val="nil"/>
              <w:left w:val="single" w:sz="4" w:space="0" w:color="auto"/>
              <w:bottom w:val="nil"/>
              <w:right w:val="single" w:sz="4" w:space="0" w:color="auto"/>
            </w:tcBorders>
            <w:hideMark/>
          </w:tcPr>
          <w:p w14:paraId="000FD27B" w14:textId="3E3278FC" w:rsidR="00A01891" w:rsidRPr="00C2499E" w:rsidRDefault="008D2482" w:rsidP="00E44076">
            <w:pPr>
              <w:pStyle w:val="TableText0"/>
              <w:jc w:val="center"/>
              <w:rPr>
                <w:highlight w:val="darkGray"/>
              </w:rPr>
            </w:pPr>
            <w:r w:rsidRPr="008D2482">
              <w:rPr>
                <w:color w:val="000000"/>
                <w:spacing w:val="68"/>
                <w:shd w:val="solid" w:color="000000" w:fill="000000"/>
                <w:fitText w:val="376" w:id="-1233498352"/>
                <w14:textFill>
                  <w14:solidFill>
                    <w14:srgbClr w14:val="000000">
                      <w14:alpha w14:val="100000"/>
                    </w14:srgbClr>
                  </w14:solidFill>
                </w14:textFill>
              </w:rPr>
              <w:t>|||</w:t>
            </w:r>
            <w:r w:rsidRPr="008D2482">
              <w:rPr>
                <w:color w:val="000000"/>
                <w:spacing w:val="2"/>
                <w:shd w:val="solid" w:color="000000" w:fill="000000"/>
                <w:fitText w:val="376" w:id="-1233498352"/>
                <w14:textFill>
                  <w14:solidFill>
                    <w14:srgbClr w14:val="000000">
                      <w14:alpha w14:val="100000"/>
                    </w14:srgbClr>
                  </w14:solidFill>
                </w14:textFill>
              </w:rPr>
              <w:t>|</w:t>
            </w:r>
            <w:r w:rsidR="00AA73B7" w:rsidRPr="00AA73B7">
              <w:t xml:space="preserve"> </w:t>
            </w:r>
            <w:r w:rsidR="00C2499E">
              <w:rPr>
                <w:rFonts w:cs="Arial"/>
                <w:iCs/>
                <w:szCs w:val="20"/>
                <w:vertAlign w:val="superscript"/>
              </w:rPr>
              <w:t>3</w:t>
            </w:r>
          </w:p>
        </w:tc>
        <w:tc>
          <w:tcPr>
            <w:tcW w:w="709" w:type="dxa"/>
            <w:tcBorders>
              <w:top w:val="nil"/>
              <w:left w:val="single" w:sz="4" w:space="0" w:color="auto"/>
              <w:bottom w:val="nil"/>
              <w:right w:val="single" w:sz="4" w:space="0" w:color="auto"/>
            </w:tcBorders>
            <w:hideMark/>
          </w:tcPr>
          <w:p w14:paraId="7A0A5CB9" w14:textId="77777777" w:rsidR="00A01891" w:rsidRPr="0075485D" w:rsidRDefault="00A01891" w:rsidP="00E44076">
            <w:pPr>
              <w:pStyle w:val="TableText0"/>
              <w:jc w:val="center"/>
            </w:pPr>
            <w:r w:rsidRPr="0075485D">
              <w:t>32.1%</w:t>
            </w:r>
          </w:p>
        </w:tc>
      </w:tr>
      <w:tr w:rsidR="00A01891" w:rsidRPr="0075485D" w14:paraId="632F7BC3" w14:textId="77777777" w:rsidTr="00E0132A">
        <w:tc>
          <w:tcPr>
            <w:tcW w:w="6232" w:type="dxa"/>
            <w:tcBorders>
              <w:top w:val="nil"/>
              <w:left w:val="single" w:sz="4" w:space="0" w:color="auto"/>
              <w:bottom w:val="single" w:sz="4" w:space="0" w:color="auto"/>
              <w:right w:val="single" w:sz="4" w:space="0" w:color="auto"/>
            </w:tcBorders>
            <w:vAlign w:val="center"/>
            <w:hideMark/>
          </w:tcPr>
          <w:p w14:paraId="1CCB9661" w14:textId="77777777" w:rsidR="00A01891" w:rsidRPr="0075485D" w:rsidRDefault="00A01891" w:rsidP="00E44076">
            <w:pPr>
              <w:pStyle w:val="TableText0"/>
              <w:ind w:left="112"/>
            </w:pPr>
            <w:r w:rsidRPr="0075485D">
              <w:t>10 years</w:t>
            </w:r>
          </w:p>
        </w:tc>
        <w:tc>
          <w:tcPr>
            <w:tcW w:w="851" w:type="dxa"/>
            <w:tcBorders>
              <w:top w:val="nil"/>
              <w:left w:val="single" w:sz="4" w:space="0" w:color="auto"/>
              <w:bottom w:val="single" w:sz="4" w:space="0" w:color="auto"/>
              <w:right w:val="single" w:sz="4" w:space="0" w:color="auto"/>
            </w:tcBorders>
            <w:hideMark/>
          </w:tcPr>
          <w:p w14:paraId="4954BEE9" w14:textId="4D3A72EE" w:rsidR="00A01891" w:rsidRPr="00C2499E" w:rsidRDefault="008D2482" w:rsidP="00E44076">
            <w:pPr>
              <w:pStyle w:val="TableText0"/>
              <w:jc w:val="center"/>
              <w:rPr>
                <w:highlight w:val="darkGray"/>
              </w:rPr>
            </w:pPr>
            <w:r w:rsidRPr="008D2482">
              <w:rPr>
                <w:color w:val="000000"/>
                <w:spacing w:val="50"/>
                <w:shd w:val="solid" w:color="000000" w:fill="000000"/>
                <w:fitText w:val="321" w:id="-1233498368"/>
                <w14:textFill>
                  <w14:solidFill>
                    <w14:srgbClr w14:val="000000">
                      <w14:alpha w14:val="100000"/>
                    </w14:srgbClr>
                  </w14:solidFill>
                </w14:textFill>
              </w:rPr>
              <w:t>|||</w:t>
            </w:r>
            <w:r w:rsidRPr="008D2482">
              <w:rPr>
                <w:color w:val="000000"/>
                <w:spacing w:val="1"/>
                <w:shd w:val="solid" w:color="000000" w:fill="000000"/>
                <w:fitText w:val="321" w:id="-1233498368"/>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532CC8E9" w14:textId="77777777" w:rsidR="00A01891" w:rsidRPr="0075485D" w:rsidRDefault="00A01891" w:rsidP="00E44076">
            <w:pPr>
              <w:pStyle w:val="TableText0"/>
              <w:jc w:val="center"/>
            </w:pPr>
            <w:r w:rsidRPr="0075485D">
              <w:t>0.77</w:t>
            </w:r>
          </w:p>
        </w:tc>
        <w:tc>
          <w:tcPr>
            <w:tcW w:w="850" w:type="dxa"/>
            <w:tcBorders>
              <w:top w:val="nil"/>
              <w:left w:val="single" w:sz="4" w:space="0" w:color="auto"/>
              <w:bottom w:val="single" w:sz="4" w:space="0" w:color="auto"/>
              <w:right w:val="single" w:sz="4" w:space="0" w:color="auto"/>
            </w:tcBorders>
            <w:hideMark/>
          </w:tcPr>
          <w:p w14:paraId="78246B6E" w14:textId="1923D2D7" w:rsidR="00A01891" w:rsidRPr="00C2499E" w:rsidRDefault="008D2482" w:rsidP="00E44076">
            <w:pPr>
              <w:pStyle w:val="TableText0"/>
              <w:jc w:val="center"/>
              <w:rPr>
                <w:highlight w:val="darkGray"/>
              </w:rPr>
            </w:pPr>
            <w:r w:rsidRPr="008D2482">
              <w:rPr>
                <w:color w:val="000000"/>
                <w:spacing w:val="68"/>
                <w:shd w:val="solid" w:color="000000" w:fill="000000"/>
                <w:fitText w:val="376" w:id="-1233498367"/>
                <w14:textFill>
                  <w14:solidFill>
                    <w14:srgbClr w14:val="000000">
                      <w14:alpha w14:val="100000"/>
                    </w14:srgbClr>
                  </w14:solidFill>
                </w14:textFill>
              </w:rPr>
              <w:t>|||</w:t>
            </w:r>
            <w:r w:rsidRPr="008D2482">
              <w:rPr>
                <w:color w:val="000000"/>
                <w:spacing w:val="2"/>
                <w:shd w:val="solid" w:color="000000" w:fill="000000"/>
                <w:fitText w:val="376" w:id="-1233498367"/>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single" w:sz="4" w:space="0" w:color="auto"/>
              <w:right w:val="single" w:sz="4" w:space="0" w:color="auto"/>
            </w:tcBorders>
            <w:hideMark/>
          </w:tcPr>
          <w:p w14:paraId="283A6488" w14:textId="77777777" w:rsidR="00A01891" w:rsidRPr="0075485D" w:rsidRDefault="00A01891" w:rsidP="00E44076">
            <w:pPr>
              <w:pStyle w:val="TableText0"/>
              <w:jc w:val="center"/>
            </w:pPr>
            <w:r w:rsidRPr="0075485D">
              <w:t>14.6%</w:t>
            </w:r>
          </w:p>
        </w:tc>
      </w:tr>
      <w:tr w:rsidR="00A01891" w:rsidRPr="0075485D" w14:paraId="1E830D64" w14:textId="77777777" w:rsidTr="00E0132A">
        <w:tc>
          <w:tcPr>
            <w:tcW w:w="6232" w:type="dxa"/>
            <w:tcBorders>
              <w:top w:val="single" w:sz="4" w:space="0" w:color="auto"/>
              <w:left w:val="single" w:sz="4" w:space="0" w:color="auto"/>
              <w:bottom w:val="nil"/>
              <w:right w:val="single" w:sz="4" w:space="0" w:color="auto"/>
            </w:tcBorders>
            <w:vAlign w:val="center"/>
            <w:hideMark/>
          </w:tcPr>
          <w:p w14:paraId="2FABD72F" w14:textId="3FA8107E" w:rsidR="00A01891" w:rsidRPr="0075485D" w:rsidRDefault="00A01891" w:rsidP="00E44076">
            <w:pPr>
              <w:pStyle w:val="TableText0"/>
            </w:pPr>
            <w:r w:rsidRPr="0075485D">
              <w:t>Efficacy data source for PFS, OS, TTD (base case</w:t>
            </w:r>
            <w:r w:rsidR="00E27E19" w:rsidRPr="0075485D">
              <w:t>:</w:t>
            </w:r>
            <w:r w:rsidRPr="0075485D">
              <w:t xml:space="preserve"> ARCHES ITT)</w:t>
            </w:r>
          </w:p>
        </w:tc>
        <w:tc>
          <w:tcPr>
            <w:tcW w:w="851" w:type="dxa"/>
            <w:tcBorders>
              <w:top w:val="single" w:sz="4" w:space="0" w:color="auto"/>
              <w:left w:val="single" w:sz="4" w:space="0" w:color="auto"/>
              <w:bottom w:val="nil"/>
              <w:right w:val="single" w:sz="4" w:space="0" w:color="auto"/>
            </w:tcBorders>
          </w:tcPr>
          <w:p w14:paraId="6E6AFCC4" w14:textId="77777777" w:rsidR="00A01891" w:rsidRPr="00C2499E" w:rsidRDefault="00A01891" w:rsidP="00E44076">
            <w:pPr>
              <w:pStyle w:val="TableText0"/>
              <w:jc w:val="center"/>
              <w:rPr>
                <w:highlight w:val="darkGray"/>
              </w:rPr>
            </w:pPr>
          </w:p>
        </w:tc>
        <w:tc>
          <w:tcPr>
            <w:tcW w:w="567" w:type="dxa"/>
            <w:tcBorders>
              <w:top w:val="single" w:sz="4" w:space="0" w:color="auto"/>
              <w:left w:val="single" w:sz="4" w:space="0" w:color="auto"/>
              <w:bottom w:val="nil"/>
              <w:right w:val="single" w:sz="4" w:space="0" w:color="auto"/>
            </w:tcBorders>
          </w:tcPr>
          <w:p w14:paraId="196FCB1D" w14:textId="77777777" w:rsidR="00A01891" w:rsidRPr="0075485D" w:rsidRDefault="00A01891" w:rsidP="00E44076">
            <w:pPr>
              <w:pStyle w:val="TableText0"/>
              <w:jc w:val="center"/>
            </w:pPr>
          </w:p>
        </w:tc>
        <w:tc>
          <w:tcPr>
            <w:tcW w:w="850" w:type="dxa"/>
            <w:tcBorders>
              <w:top w:val="single" w:sz="4" w:space="0" w:color="auto"/>
              <w:left w:val="single" w:sz="4" w:space="0" w:color="auto"/>
              <w:bottom w:val="nil"/>
              <w:right w:val="single" w:sz="4" w:space="0" w:color="auto"/>
            </w:tcBorders>
          </w:tcPr>
          <w:p w14:paraId="70CFDE31" w14:textId="77777777" w:rsidR="00A01891" w:rsidRPr="00C2499E" w:rsidRDefault="00A01891" w:rsidP="00E44076">
            <w:pPr>
              <w:pStyle w:val="TableText0"/>
              <w:jc w:val="center"/>
              <w:rPr>
                <w:highlight w:val="darkGray"/>
              </w:rPr>
            </w:pPr>
          </w:p>
        </w:tc>
        <w:tc>
          <w:tcPr>
            <w:tcW w:w="709" w:type="dxa"/>
            <w:tcBorders>
              <w:top w:val="single" w:sz="4" w:space="0" w:color="auto"/>
              <w:left w:val="single" w:sz="4" w:space="0" w:color="auto"/>
              <w:bottom w:val="nil"/>
              <w:right w:val="single" w:sz="4" w:space="0" w:color="auto"/>
            </w:tcBorders>
          </w:tcPr>
          <w:p w14:paraId="718BE2A7" w14:textId="77777777" w:rsidR="00A01891" w:rsidRPr="0075485D" w:rsidRDefault="00A01891" w:rsidP="00E44076">
            <w:pPr>
              <w:pStyle w:val="TableText0"/>
              <w:jc w:val="center"/>
            </w:pPr>
          </w:p>
        </w:tc>
      </w:tr>
      <w:tr w:rsidR="00A01891" w:rsidRPr="0075485D" w14:paraId="2ECAFE2A" w14:textId="77777777" w:rsidTr="00E0132A">
        <w:tc>
          <w:tcPr>
            <w:tcW w:w="6232" w:type="dxa"/>
            <w:tcBorders>
              <w:top w:val="nil"/>
              <w:left w:val="single" w:sz="4" w:space="0" w:color="auto"/>
              <w:bottom w:val="nil"/>
              <w:right w:val="single" w:sz="4" w:space="0" w:color="auto"/>
            </w:tcBorders>
            <w:vAlign w:val="center"/>
            <w:hideMark/>
          </w:tcPr>
          <w:p w14:paraId="24A57E63" w14:textId="77777777" w:rsidR="00A01891" w:rsidRPr="0075485D" w:rsidRDefault="00A01891" w:rsidP="00E44076">
            <w:pPr>
              <w:pStyle w:val="TableText0"/>
              <w:ind w:left="112"/>
            </w:pPr>
            <w:r w:rsidRPr="0075485D">
              <w:t>ARCHES HV subgroup</w:t>
            </w:r>
          </w:p>
        </w:tc>
        <w:tc>
          <w:tcPr>
            <w:tcW w:w="851" w:type="dxa"/>
            <w:tcBorders>
              <w:top w:val="nil"/>
              <w:left w:val="single" w:sz="4" w:space="0" w:color="auto"/>
              <w:bottom w:val="nil"/>
              <w:right w:val="single" w:sz="4" w:space="0" w:color="auto"/>
            </w:tcBorders>
            <w:hideMark/>
          </w:tcPr>
          <w:p w14:paraId="7BEE5342" w14:textId="7CEF6F44" w:rsidR="00A01891" w:rsidRPr="00C2499E" w:rsidRDefault="008D2482" w:rsidP="00E44076">
            <w:pPr>
              <w:pStyle w:val="TableText0"/>
              <w:jc w:val="center"/>
              <w:rPr>
                <w:highlight w:val="darkGray"/>
              </w:rPr>
            </w:pPr>
            <w:r w:rsidRPr="008D2482">
              <w:rPr>
                <w:color w:val="000000"/>
                <w:spacing w:val="50"/>
                <w:shd w:val="solid" w:color="000000" w:fill="000000"/>
                <w:fitText w:val="321" w:id="-1233498366"/>
                <w14:textFill>
                  <w14:solidFill>
                    <w14:srgbClr w14:val="000000">
                      <w14:alpha w14:val="100000"/>
                    </w14:srgbClr>
                  </w14:solidFill>
                </w14:textFill>
              </w:rPr>
              <w:t>|||</w:t>
            </w:r>
            <w:r w:rsidRPr="008D2482">
              <w:rPr>
                <w:color w:val="000000"/>
                <w:spacing w:val="1"/>
                <w:shd w:val="solid" w:color="000000" w:fill="000000"/>
                <w:fitText w:val="321" w:id="-1233498366"/>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00FD0D22" w14:textId="77777777" w:rsidR="00A01891" w:rsidRPr="0075485D" w:rsidRDefault="00A01891" w:rsidP="00E44076">
            <w:pPr>
              <w:pStyle w:val="TableText0"/>
              <w:jc w:val="center"/>
            </w:pPr>
            <w:r w:rsidRPr="0075485D">
              <w:t>0.96</w:t>
            </w:r>
          </w:p>
        </w:tc>
        <w:tc>
          <w:tcPr>
            <w:tcW w:w="850" w:type="dxa"/>
            <w:tcBorders>
              <w:top w:val="nil"/>
              <w:left w:val="single" w:sz="4" w:space="0" w:color="auto"/>
              <w:bottom w:val="nil"/>
              <w:right w:val="single" w:sz="4" w:space="0" w:color="auto"/>
            </w:tcBorders>
            <w:hideMark/>
          </w:tcPr>
          <w:p w14:paraId="06ED7219" w14:textId="00F0ACC7" w:rsidR="00A01891" w:rsidRPr="00C2499E" w:rsidRDefault="008D2482" w:rsidP="00E44076">
            <w:pPr>
              <w:pStyle w:val="TableText0"/>
              <w:jc w:val="center"/>
              <w:rPr>
                <w:highlight w:val="darkGray"/>
              </w:rPr>
            </w:pPr>
            <w:r w:rsidRPr="008D2482">
              <w:rPr>
                <w:color w:val="000000"/>
                <w:spacing w:val="68"/>
                <w:shd w:val="solid" w:color="000000" w:fill="000000"/>
                <w:fitText w:val="376" w:id="-1233498365"/>
                <w14:textFill>
                  <w14:solidFill>
                    <w14:srgbClr w14:val="000000">
                      <w14:alpha w14:val="100000"/>
                    </w14:srgbClr>
                  </w14:solidFill>
                </w14:textFill>
              </w:rPr>
              <w:t>|||</w:t>
            </w:r>
            <w:r w:rsidRPr="008D2482">
              <w:rPr>
                <w:color w:val="000000"/>
                <w:spacing w:val="2"/>
                <w:shd w:val="solid" w:color="000000" w:fill="000000"/>
                <w:fitText w:val="376" w:id="-1233498365"/>
                <w14:textFill>
                  <w14:solidFill>
                    <w14:srgbClr w14:val="000000">
                      <w14:alpha w14:val="100000"/>
                    </w14:srgbClr>
                  </w14:solidFill>
                </w14:textFill>
              </w:rPr>
              <w:t>|</w:t>
            </w:r>
            <w:r w:rsidR="00AA73B7" w:rsidRPr="00AA73B7">
              <w:t xml:space="preserve"> </w:t>
            </w:r>
            <w:r w:rsidR="00C2499E">
              <w:rPr>
                <w:rFonts w:cs="Arial"/>
                <w:iCs/>
                <w:szCs w:val="20"/>
                <w:vertAlign w:val="superscript"/>
              </w:rPr>
              <w:t>4</w:t>
            </w:r>
          </w:p>
        </w:tc>
        <w:tc>
          <w:tcPr>
            <w:tcW w:w="709" w:type="dxa"/>
            <w:tcBorders>
              <w:top w:val="nil"/>
              <w:left w:val="single" w:sz="4" w:space="0" w:color="auto"/>
              <w:bottom w:val="nil"/>
              <w:right w:val="single" w:sz="4" w:space="0" w:color="auto"/>
            </w:tcBorders>
            <w:hideMark/>
          </w:tcPr>
          <w:p w14:paraId="5E3EEB05" w14:textId="77777777" w:rsidR="00A01891" w:rsidRPr="0075485D" w:rsidRDefault="00A01891" w:rsidP="00E44076">
            <w:pPr>
              <w:pStyle w:val="TableText0"/>
              <w:jc w:val="center"/>
            </w:pPr>
            <w:r w:rsidRPr="0075485D">
              <w:t>-20.4%</w:t>
            </w:r>
          </w:p>
        </w:tc>
      </w:tr>
      <w:tr w:rsidR="00A01891" w:rsidRPr="0075485D" w14:paraId="319E1D75" w14:textId="77777777" w:rsidTr="00E0132A">
        <w:tc>
          <w:tcPr>
            <w:tcW w:w="6232" w:type="dxa"/>
            <w:tcBorders>
              <w:top w:val="nil"/>
              <w:left w:val="single" w:sz="4" w:space="0" w:color="auto"/>
              <w:bottom w:val="nil"/>
              <w:right w:val="single" w:sz="4" w:space="0" w:color="auto"/>
            </w:tcBorders>
            <w:vAlign w:val="center"/>
            <w:hideMark/>
          </w:tcPr>
          <w:p w14:paraId="3C855D3C" w14:textId="77777777" w:rsidR="00A01891" w:rsidRPr="0075485D" w:rsidRDefault="00A01891" w:rsidP="00E44076">
            <w:pPr>
              <w:pStyle w:val="TableText0"/>
              <w:keepNext w:val="0"/>
              <w:ind w:left="112"/>
            </w:pPr>
            <w:r w:rsidRPr="0075485D">
              <w:t>ARCHES LV subgroup</w:t>
            </w:r>
          </w:p>
        </w:tc>
        <w:tc>
          <w:tcPr>
            <w:tcW w:w="851" w:type="dxa"/>
            <w:tcBorders>
              <w:top w:val="nil"/>
              <w:left w:val="single" w:sz="4" w:space="0" w:color="auto"/>
              <w:bottom w:val="nil"/>
              <w:right w:val="single" w:sz="4" w:space="0" w:color="auto"/>
            </w:tcBorders>
            <w:hideMark/>
          </w:tcPr>
          <w:p w14:paraId="6356A7AD" w14:textId="17F516DF"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4"/>
                <w14:textFill>
                  <w14:solidFill>
                    <w14:srgbClr w14:val="000000">
                      <w14:alpha w14:val="100000"/>
                    </w14:srgbClr>
                  </w14:solidFill>
                </w14:textFill>
              </w:rPr>
              <w:t>|||</w:t>
            </w:r>
            <w:r w:rsidRPr="008D2482">
              <w:rPr>
                <w:color w:val="000000"/>
                <w:spacing w:val="1"/>
                <w:shd w:val="solid" w:color="000000" w:fill="000000"/>
                <w:fitText w:val="321" w:id="-1233498364"/>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0E6B92BC" w14:textId="77777777" w:rsidR="00A01891" w:rsidRPr="0075485D" w:rsidRDefault="00A01891" w:rsidP="00E44076">
            <w:pPr>
              <w:pStyle w:val="TableText0"/>
              <w:keepNext w:val="0"/>
              <w:jc w:val="center"/>
            </w:pPr>
            <w:r w:rsidRPr="0075485D">
              <w:t>1.61</w:t>
            </w:r>
          </w:p>
        </w:tc>
        <w:tc>
          <w:tcPr>
            <w:tcW w:w="850" w:type="dxa"/>
            <w:tcBorders>
              <w:top w:val="nil"/>
              <w:left w:val="single" w:sz="4" w:space="0" w:color="auto"/>
              <w:bottom w:val="nil"/>
              <w:right w:val="single" w:sz="4" w:space="0" w:color="auto"/>
            </w:tcBorders>
            <w:hideMark/>
          </w:tcPr>
          <w:p w14:paraId="4FE8E593" w14:textId="5104CC03"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3"/>
                <w14:textFill>
                  <w14:solidFill>
                    <w14:srgbClr w14:val="000000">
                      <w14:alpha w14:val="100000"/>
                    </w14:srgbClr>
                  </w14:solidFill>
                </w14:textFill>
              </w:rPr>
              <w:t>|||</w:t>
            </w:r>
            <w:r w:rsidRPr="008D2482">
              <w:rPr>
                <w:color w:val="000000"/>
                <w:spacing w:val="2"/>
                <w:shd w:val="solid" w:color="000000" w:fill="000000"/>
                <w:fitText w:val="376" w:id="-1233498363"/>
                <w14:textFill>
                  <w14:solidFill>
                    <w14:srgbClr w14:val="000000">
                      <w14:alpha w14:val="100000"/>
                    </w14:srgbClr>
                  </w14:solidFill>
                </w14:textFill>
              </w:rPr>
              <w:t>|</w:t>
            </w:r>
            <w:r w:rsidR="00AA73B7" w:rsidRPr="00AA73B7">
              <w:t xml:space="preserve"> </w:t>
            </w:r>
            <w:r w:rsidR="00C2499E">
              <w:rPr>
                <w:rFonts w:cs="Arial"/>
                <w:iCs/>
                <w:szCs w:val="20"/>
                <w:vertAlign w:val="superscript"/>
              </w:rPr>
              <w:t>5</w:t>
            </w:r>
          </w:p>
        </w:tc>
        <w:tc>
          <w:tcPr>
            <w:tcW w:w="709" w:type="dxa"/>
            <w:tcBorders>
              <w:top w:val="nil"/>
              <w:left w:val="single" w:sz="4" w:space="0" w:color="auto"/>
              <w:bottom w:val="nil"/>
              <w:right w:val="single" w:sz="4" w:space="0" w:color="auto"/>
            </w:tcBorders>
            <w:hideMark/>
          </w:tcPr>
          <w:p w14:paraId="34BC29D8" w14:textId="77777777" w:rsidR="00A01891" w:rsidRPr="0075485D" w:rsidRDefault="00A01891" w:rsidP="00E44076">
            <w:pPr>
              <w:pStyle w:val="TableText0"/>
              <w:keepNext w:val="0"/>
              <w:jc w:val="center"/>
            </w:pPr>
            <w:r w:rsidRPr="0075485D">
              <w:t>-32.8%</w:t>
            </w:r>
          </w:p>
        </w:tc>
      </w:tr>
      <w:tr w:rsidR="00A01891" w:rsidRPr="0075485D" w14:paraId="20489546" w14:textId="77777777" w:rsidTr="00E0132A">
        <w:tc>
          <w:tcPr>
            <w:tcW w:w="6232" w:type="dxa"/>
            <w:tcBorders>
              <w:top w:val="nil"/>
              <w:left w:val="single" w:sz="4" w:space="0" w:color="auto"/>
              <w:bottom w:val="single" w:sz="4" w:space="0" w:color="auto"/>
              <w:right w:val="single" w:sz="4" w:space="0" w:color="auto"/>
            </w:tcBorders>
            <w:vAlign w:val="center"/>
            <w:hideMark/>
          </w:tcPr>
          <w:p w14:paraId="19DCF11D" w14:textId="77777777" w:rsidR="00A01891" w:rsidRPr="0075485D" w:rsidRDefault="00A01891" w:rsidP="00E44076">
            <w:pPr>
              <w:pStyle w:val="TableText0"/>
              <w:keepNext w:val="0"/>
              <w:ind w:left="112"/>
            </w:pPr>
            <w:r w:rsidRPr="0075485D">
              <w:t>ENZAMET w/o docetaxel subgroup</w:t>
            </w:r>
          </w:p>
        </w:tc>
        <w:tc>
          <w:tcPr>
            <w:tcW w:w="851" w:type="dxa"/>
            <w:tcBorders>
              <w:top w:val="nil"/>
              <w:left w:val="single" w:sz="4" w:space="0" w:color="auto"/>
              <w:bottom w:val="single" w:sz="4" w:space="0" w:color="auto"/>
              <w:right w:val="single" w:sz="4" w:space="0" w:color="auto"/>
            </w:tcBorders>
            <w:hideMark/>
          </w:tcPr>
          <w:p w14:paraId="4C1AB6AF" w14:textId="49017882"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2"/>
                <w14:textFill>
                  <w14:solidFill>
                    <w14:srgbClr w14:val="000000">
                      <w14:alpha w14:val="100000"/>
                    </w14:srgbClr>
                  </w14:solidFill>
                </w14:textFill>
              </w:rPr>
              <w:t>|||</w:t>
            </w:r>
            <w:r w:rsidRPr="008D2482">
              <w:rPr>
                <w:color w:val="000000"/>
                <w:spacing w:val="1"/>
                <w:shd w:val="solid" w:color="000000" w:fill="000000"/>
                <w:fitText w:val="321" w:id="-1233498362"/>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37DF268D" w14:textId="77777777" w:rsidR="00A01891" w:rsidRPr="0075485D" w:rsidRDefault="00A01891" w:rsidP="00E44076">
            <w:pPr>
              <w:pStyle w:val="TableText0"/>
              <w:keepNext w:val="0"/>
              <w:jc w:val="center"/>
            </w:pPr>
            <w:r w:rsidRPr="0075485D">
              <w:t>1.96</w:t>
            </w:r>
          </w:p>
        </w:tc>
        <w:tc>
          <w:tcPr>
            <w:tcW w:w="850" w:type="dxa"/>
            <w:tcBorders>
              <w:top w:val="nil"/>
              <w:left w:val="single" w:sz="4" w:space="0" w:color="auto"/>
              <w:bottom w:val="single" w:sz="4" w:space="0" w:color="auto"/>
              <w:right w:val="single" w:sz="4" w:space="0" w:color="auto"/>
            </w:tcBorders>
            <w:hideMark/>
          </w:tcPr>
          <w:p w14:paraId="06D6B3F0" w14:textId="51F1F4EF"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1"/>
                <w14:textFill>
                  <w14:solidFill>
                    <w14:srgbClr w14:val="000000">
                      <w14:alpha w14:val="100000"/>
                    </w14:srgbClr>
                  </w14:solidFill>
                </w14:textFill>
              </w:rPr>
              <w:t>|||</w:t>
            </w:r>
            <w:r w:rsidRPr="008D2482">
              <w:rPr>
                <w:color w:val="000000"/>
                <w:spacing w:val="2"/>
                <w:shd w:val="solid" w:color="000000" w:fill="000000"/>
                <w:fitText w:val="376" w:id="-1233498361"/>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single" w:sz="4" w:space="0" w:color="auto"/>
              <w:right w:val="single" w:sz="4" w:space="0" w:color="auto"/>
            </w:tcBorders>
            <w:hideMark/>
          </w:tcPr>
          <w:p w14:paraId="75C1A0F4" w14:textId="77777777" w:rsidR="00A01891" w:rsidRPr="0075485D" w:rsidRDefault="00A01891" w:rsidP="00E44076">
            <w:pPr>
              <w:pStyle w:val="TableText0"/>
              <w:keepNext w:val="0"/>
              <w:jc w:val="center"/>
            </w:pPr>
            <w:r w:rsidRPr="0075485D">
              <w:t>-6.8%</w:t>
            </w:r>
          </w:p>
        </w:tc>
      </w:tr>
      <w:tr w:rsidR="00A01891" w:rsidRPr="0075485D" w14:paraId="2BAC414C" w14:textId="77777777" w:rsidTr="00E44076">
        <w:tc>
          <w:tcPr>
            <w:tcW w:w="6232" w:type="dxa"/>
            <w:tcBorders>
              <w:top w:val="single" w:sz="4" w:space="0" w:color="auto"/>
              <w:left w:val="single" w:sz="4" w:space="0" w:color="auto"/>
              <w:bottom w:val="nil"/>
              <w:right w:val="single" w:sz="4" w:space="0" w:color="auto"/>
            </w:tcBorders>
            <w:vAlign w:val="center"/>
            <w:hideMark/>
          </w:tcPr>
          <w:p w14:paraId="1B934FCF" w14:textId="2D8D76DC" w:rsidR="00A01891" w:rsidRPr="0075485D" w:rsidRDefault="00A01891" w:rsidP="00E44076">
            <w:pPr>
              <w:pStyle w:val="TableText0"/>
              <w:keepNext w:val="0"/>
              <w:ind w:left="-35"/>
            </w:pPr>
            <w:r w:rsidRPr="0075485D">
              <w:t>OS extrapolation (base case</w:t>
            </w:r>
            <w:r w:rsidR="00E27E19" w:rsidRPr="0075485D">
              <w:t>:</w:t>
            </w:r>
            <w:r w:rsidRPr="0075485D">
              <w:t xml:space="preserve"> ENZA log-log, ADT log-normal, no convergence)</w:t>
            </w:r>
          </w:p>
        </w:tc>
        <w:tc>
          <w:tcPr>
            <w:tcW w:w="851" w:type="dxa"/>
            <w:tcBorders>
              <w:top w:val="single" w:sz="4" w:space="0" w:color="auto"/>
              <w:left w:val="single" w:sz="4" w:space="0" w:color="auto"/>
              <w:bottom w:val="nil"/>
              <w:right w:val="single" w:sz="4" w:space="0" w:color="auto"/>
            </w:tcBorders>
            <w:vAlign w:val="center"/>
          </w:tcPr>
          <w:p w14:paraId="7D698692" w14:textId="77777777" w:rsidR="00A01891" w:rsidRPr="00C2499E" w:rsidRDefault="00A01891" w:rsidP="00E44076">
            <w:pPr>
              <w:pStyle w:val="TableText0"/>
              <w:keepNext w:val="0"/>
              <w:jc w:val="center"/>
              <w:rPr>
                <w:highlight w:val="darkGray"/>
              </w:rPr>
            </w:pPr>
          </w:p>
        </w:tc>
        <w:tc>
          <w:tcPr>
            <w:tcW w:w="567" w:type="dxa"/>
            <w:tcBorders>
              <w:top w:val="single" w:sz="4" w:space="0" w:color="auto"/>
              <w:left w:val="single" w:sz="4" w:space="0" w:color="auto"/>
              <w:bottom w:val="nil"/>
              <w:right w:val="single" w:sz="4" w:space="0" w:color="auto"/>
            </w:tcBorders>
            <w:vAlign w:val="center"/>
          </w:tcPr>
          <w:p w14:paraId="545C8F17" w14:textId="77777777" w:rsidR="00A01891" w:rsidRPr="0075485D" w:rsidRDefault="00A01891" w:rsidP="00E44076">
            <w:pPr>
              <w:pStyle w:val="TableText0"/>
              <w:keepNext w:val="0"/>
              <w:jc w:val="center"/>
            </w:pPr>
          </w:p>
        </w:tc>
        <w:tc>
          <w:tcPr>
            <w:tcW w:w="850" w:type="dxa"/>
            <w:tcBorders>
              <w:top w:val="single" w:sz="4" w:space="0" w:color="auto"/>
              <w:left w:val="single" w:sz="4" w:space="0" w:color="auto"/>
              <w:bottom w:val="nil"/>
              <w:right w:val="single" w:sz="4" w:space="0" w:color="auto"/>
            </w:tcBorders>
            <w:vAlign w:val="center"/>
          </w:tcPr>
          <w:p w14:paraId="7DEA4F87" w14:textId="77777777" w:rsidR="00A01891" w:rsidRPr="00C2499E" w:rsidRDefault="00A01891" w:rsidP="00E44076">
            <w:pPr>
              <w:pStyle w:val="TableText0"/>
              <w:keepNext w:val="0"/>
              <w:jc w:val="center"/>
              <w:rPr>
                <w:highlight w:val="darkGray"/>
              </w:rPr>
            </w:pPr>
          </w:p>
        </w:tc>
        <w:tc>
          <w:tcPr>
            <w:tcW w:w="709" w:type="dxa"/>
            <w:tcBorders>
              <w:top w:val="single" w:sz="4" w:space="0" w:color="auto"/>
              <w:left w:val="single" w:sz="4" w:space="0" w:color="auto"/>
              <w:bottom w:val="nil"/>
              <w:right w:val="single" w:sz="4" w:space="0" w:color="auto"/>
            </w:tcBorders>
          </w:tcPr>
          <w:p w14:paraId="20F9D6A5" w14:textId="77777777" w:rsidR="00A01891" w:rsidRPr="0075485D" w:rsidRDefault="00A01891" w:rsidP="00E44076">
            <w:pPr>
              <w:pStyle w:val="TableText0"/>
              <w:keepNext w:val="0"/>
              <w:jc w:val="center"/>
            </w:pPr>
          </w:p>
        </w:tc>
      </w:tr>
      <w:tr w:rsidR="00A01891" w:rsidRPr="0075485D" w14:paraId="0B5449F8" w14:textId="77777777" w:rsidTr="00E44076">
        <w:tc>
          <w:tcPr>
            <w:tcW w:w="6232" w:type="dxa"/>
            <w:tcBorders>
              <w:top w:val="nil"/>
              <w:left w:val="single" w:sz="4" w:space="0" w:color="auto"/>
              <w:bottom w:val="nil"/>
              <w:right w:val="single" w:sz="4" w:space="0" w:color="auto"/>
            </w:tcBorders>
            <w:vAlign w:val="center"/>
            <w:hideMark/>
          </w:tcPr>
          <w:p w14:paraId="0A51D3C9" w14:textId="77777777" w:rsidR="00A01891" w:rsidRPr="0075485D" w:rsidRDefault="00A01891" w:rsidP="00E44076">
            <w:pPr>
              <w:pStyle w:val="TableText0"/>
              <w:keepNext w:val="0"/>
            </w:pPr>
            <w:r w:rsidRPr="0075485D">
              <w:t>ENZA Weibull, ADT log-logistic</w:t>
            </w:r>
          </w:p>
        </w:tc>
        <w:tc>
          <w:tcPr>
            <w:tcW w:w="851" w:type="dxa"/>
            <w:tcBorders>
              <w:top w:val="nil"/>
              <w:left w:val="single" w:sz="4" w:space="0" w:color="auto"/>
              <w:bottom w:val="nil"/>
              <w:right w:val="single" w:sz="4" w:space="0" w:color="auto"/>
            </w:tcBorders>
            <w:hideMark/>
          </w:tcPr>
          <w:p w14:paraId="00366AF7" w14:textId="4A435FDD"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0"/>
                <w14:textFill>
                  <w14:solidFill>
                    <w14:srgbClr w14:val="000000">
                      <w14:alpha w14:val="100000"/>
                    </w14:srgbClr>
                  </w14:solidFill>
                </w14:textFill>
              </w:rPr>
              <w:t>|||</w:t>
            </w:r>
            <w:r w:rsidRPr="008D2482">
              <w:rPr>
                <w:color w:val="000000"/>
                <w:spacing w:val="1"/>
                <w:shd w:val="solid" w:color="000000" w:fill="000000"/>
                <w:fitText w:val="321" w:id="-1233498360"/>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42B227E6" w14:textId="77777777" w:rsidR="00A01891" w:rsidRPr="0075485D" w:rsidRDefault="00A01891" w:rsidP="00E44076">
            <w:pPr>
              <w:pStyle w:val="TableText0"/>
              <w:keepNext w:val="0"/>
              <w:jc w:val="center"/>
            </w:pPr>
            <w:r w:rsidRPr="0075485D">
              <w:t>0.81</w:t>
            </w:r>
          </w:p>
        </w:tc>
        <w:tc>
          <w:tcPr>
            <w:tcW w:w="850" w:type="dxa"/>
            <w:tcBorders>
              <w:top w:val="nil"/>
              <w:left w:val="single" w:sz="4" w:space="0" w:color="auto"/>
              <w:bottom w:val="nil"/>
              <w:right w:val="single" w:sz="4" w:space="0" w:color="auto"/>
            </w:tcBorders>
            <w:hideMark/>
          </w:tcPr>
          <w:p w14:paraId="47B175CD" w14:textId="694AABBE"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9"/>
                <w14:textFill>
                  <w14:solidFill>
                    <w14:srgbClr w14:val="000000">
                      <w14:alpha w14:val="100000"/>
                    </w14:srgbClr>
                  </w14:solidFill>
                </w14:textFill>
              </w:rPr>
              <w:t>|||</w:t>
            </w:r>
            <w:r w:rsidRPr="008D2482">
              <w:rPr>
                <w:color w:val="000000"/>
                <w:spacing w:val="2"/>
                <w:shd w:val="solid" w:color="000000" w:fill="000000"/>
                <w:fitText w:val="376" w:id="-1233498359"/>
                <w14:textFill>
                  <w14:solidFill>
                    <w14:srgbClr w14:val="000000">
                      <w14:alpha w14:val="100000"/>
                    </w14:srgbClr>
                  </w14:solidFill>
                </w14:textFill>
              </w:rPr>
              <w:t>|</w:t>
            </w:r>
            <w:r w:rsidR="00AA73B7" w:rsidRPr="00AA73B7">
              <w:t xml:space="preserve"> </w:t>
            </w:r>
            <w:r w:rsidR="00C2499E">
              <w:rPr>
                <w:rFonts w:cs="Arial"/>
                <w:iCs/>
                <w:szCs w:val="20"/>
                <w:vertAlign w:val="superscript"/>
              </w:rPr>
              <w:t>3</w:t>
            </w:r>
          </w:p>
        </w:tc>
        <w:tc>
          <w:tcPr>
            <w:tcW w:w="709" w:type="dxa"/>
            <w:tcBorders>
              <w:top w:val="nil"/>
              <w:left w:val="single" w:sz="4" w:space="0" w:color="auto"/>
              <w:bottom w:val="nil"/>
              <w:right w:val="single" w:sz="4" w:space="0" w:color="auto"/>
            </w:tcBorders>
            <w:hideMark/>
          </w:tcPr>
          <w:p w14:paraId="7E011A20" w14:textId="77777777" w:rsidR="00A01891" w:rsidRPr="0075485D" w:rsidRDefault="00A01891" w:rsidP="00E44076">
            <w:pPr>
              <w:pStyle w:val="TableText0"/>
              <w:keepNext w:val="0"/>
              <w:jc w:val="center"/>
            </w:pPr>
            <w:r w:rsidRPr="0075485D">
              <w:t>24.1%</w:t>
            </w:r>
          </w:p>
        </w:tc>
      </w:tr>
      <w:tr w:rsidR="00A01891" w:rsidRPr="0075485D" w14:paraId="623B97EA" w14:textId="77777777" w:rsidTr="00E44076">
        <w:tc>
          <w:tcPr>
            <w:tcW w:w="6232" w:type="dxa"/>
            <w:tcBorders>
              <w:top w:val="nil"/>
              <w:left w:val="single" w:sz="4" w:space="0" w:color="auto"/>
              <w:bottom w:val="nil"/>
              <w:right w:val="single" w:sz="4" w:space="0" w:color="auto"/>
            </w:tcBorders>
            <w:vAlign w:val="center"/>
            <w:hideMark/>
          </w:tcPr>
          <w:p w14:paraId="3BA66AD0" w14:textId="4212E39F" w:rsidR="00A01891" w:rsidRPr="0075485D" w:rsidRDefault="00A01891" w:rsidP="00E44076">
            <w:pPr>
              <w:pStyle w:val="TableText0"/>
              <w:keepNext w:val="0"/>
              <w:ind w:left="112"/>
            </w:pPr>
            <w:r w:rsidRPr="0075485D">
              <w:t>OS converge from Year 5</w:t>
            </w:r>
            <w:r w:rsidR="002A788F" w:rsidRPr="0075485D">
              <w:t>*</w:t>
            </w:r>
          </w:p>
        </w:tc>
        <w:tc>
          <w:tcPr>
            <w:tcW w:w="851" w:type="dxa"/>
            <w:tcBorders>
              <w:top w:val="nil"/>
              <w:left w:val="single" w:sz="4" w:space="0" w:color="auto"/>
              <w:bottom w:val="nil"/>
              <w:right w:val="single" w:sz="4" w:space="0" w:color="auto"/>
            </w:tcBorders>
            <w:hideMark/>
          </w:tcPr>
          <w:p w14:paraId="7A5C7E7B" w14:textId="3ED10460"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8"/>
                <w14:textFill>
                  <w14:solidFill>
                    <w14:srgbClr w14:val="000000">
                      <w14:alpha w14:val="100000"/>
                    </w14:srgbClr>
                  </w14:solidFill>
                </w14:textFill>
              </w:rPr>
              <w:t>|||</w:t>
            </w:r>
            <w:r w:rsidRPr="008D2482">
              <w:rPr>
                <w:color w:val="000000"/>
                <w:spacing w:val="1"/>
                <w:shd w:val="solid" w:color="000000" w:fill="000000"/>
                <w:fitText w:val="321" w:id="-1233498358"/>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496D3B7B" w14:textId="77777777" w:rsidR="00A01891" w:rsidRPr="0075485D" w:rsidRDefault="00A01891" w:rsidP="00E44076">
            <w:pPr>
              <w:pStyle w:val="TableText0"/>
              <w:keepNext w:val="0"/>
              <w:jc w:val="center"/>
            </w:pPr>
            <w:r w:rsidRPr="0075485D">
              <w:t>0.80</w:t>
            </w:r>
          </w:p>
        </w:tc>
        <w:tc>
          <w:tcPr>
            <w:tcW w:w="850" w:type="dxa"/>
            <w:tcBorders>
              <w:top w:val="nil"/>
              <w:left w:val="single" w:sz="4" w:space="0" w:color="auto"/>
              <w:bottom w:val="nil"/>
              <w:right w:val="single" w:sz="4" w:space="0" w:color="auto"/>
            </w:tcBorders>
            <w:hideMark/>
          </w:tcPr>
          <w:p w14:paraId="7E8FAED4" w14:textId="28809129"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7"/>
                <w14:textFill>
                  <w14:solidFill>
                    <w14:srgbClr w14:val="000000">
                      <w14:alpha w14:val="100000"/>
                    </w14:srgbClr>
                  </w14:solidFill>
                </w14:textFill>
              </w:rPr>
              <w:t>|||</w:t>
            </w:r>
            <w:r w:rsidRPr="008D2482">
              <w:rPr>
                <w:color w:val="000000"/>
                <w:spacing w:val="2"/>
                <w:shd w:val="solid" w:color="000000" w:fill="000000"/>
                <w:fitText w:val="376" w:id="-1233498357"/>
                <w14:textFill>
                  <w14:solidFill>
                    <w14:srgbClr w14:val="000000">
                      <w14:alpha w14:val="100000"/>
                    </w14:srgbClr>
                  </w14:solidFill>
                </w14:textFill>
              </w:rPr>
              <w:t>|</w:t>
            </w:r>
            <w:r w:rsidR="00AA73B7" w:rsidRPr="00AA73B7">
              <w:t xml:space="preserve"> </w:t>
            </w:r>
            <w:r w:rsidR="00C2499E">
              <w:rPr>
                <w:rFonts w:cs="Arial"/>
                <w:iCs/>
                <w:szCs w:val="20"/>
                <w:vertAlign w:val="superscript"/>
              </w:rPr>
              <w:t>3</w:t>
            </w:r>
          </w:p>
        </w:tc>
        <w:tc>
          <w:tcPr>
            <w:tcW w:w="709" w:type="dxa"/>
            <w:tcBorders>
              <w:top w:val="nil"/>
              <w:left w:val="single" w:sz="4" w:space="0" w:color="auto"/>
              <w:bottom w:val="nil"/>
              <w:right w:val="single" w:sz="4" w:space="0" w:color="auto"/>
            </w:tcBorders>
            <w:hideMark/>
          </w:tcPr>
          <w:p w14:paraId="6932F05A" w14:textId="77777777" w:rsidR="00A01891" w:rsidRPr="0075485D" w:rsidRDefault="00A01891" w:rsidP="00E44076">
            <w:pPr>
              <w:pStyle w:val="TableText0"/>
              <w:keepNext w:val="0"/>
              <w:jc w:val="center"/>
            </w:pPr>
            <w:r w:rsidRPr="0075485D">
              <w:t>24.4%</w:t>
            </w:r>
          </w:p>
        </w:tc>
      </w:tr>
      <w:tr w:rsidR="00A01891" w:rsidRPr="0075485D" w14:paraId="3CED9F76" w14:textId="77777777" w:rsidTr="00E44076">
        <w:tc>
          <w:tcPr>
            <w:tcW w:w="6232" w:type="dxa"/>
            <w:tcBorders>
              <w:top w:val="nil"/>
              <w:left w:val="single" w:sz="4" w:space="0" w:color="auto"/>
              <w:bottom w:val="single" w:sz="4" w:space="0" w:color="auto"/>
              <w:right w:val="single" w:sz="4" w:space="0" w:color="auto"/>
            </w:tcBorders>
            <w:vAlign w:val="center"/>
            <w:hideMark/>
          </w:tcPr>
          <w:p w14:paraId="233FE971" w14:textId="69B33322" w:rsidR="00A01891" w:rsidRPr="0075485D" w:rsidRDefault="00A01891" w:rsidP="00E44076">
            <w:pPr>
              <w:pStyle w:val="TableText0"/>
              <w:keepNext w:val="0"/>
              <w:ind w:left="112"/>
            </w:pPr>
            <w:r w:rsidRPr="0075485D">
              <w:t>OS converge from 44 months</w:t>
            </w:r>
            <w:r w:rsidR="002A788F" w:rsidRPr="0075485D">
              <w:t>*</w:t>
            </w:r>
          </w:p>
        </w:tc>
        <w:tc>
          <w:tcPr>
            <w:tcW w:w="851" w:type="dxa"/>
            <w:tcBorders>
              <w:top w:val="nil"/>
              <w:left w:val="single" w:sz="4" w:space="0" w:color="auto"/>
              <w:bottom w:val="single" w:sz="4" w:space="0" w:color="auto"/>
              <w:right w:val="single" w:sz="4" w:space="0" w:color="auto"/>
            </w:tcBorders>
            <w:hideMark/>
          </w:tcPr>
          <w:p w14:paraId="65EB4A12" w14:textId="585925DC"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6"/>
                <w14:textFill>
                  <w14:solidFill>
                    <w14:srgbClr w14:val="000000">
                      <w14:alpha w14:val="100000"/>
                    </w14:srgbClr>
                  </w14:solidFill>
                </w14:textFill>
              </w:rPr>
              <w:t>|||</w:t>
            </w:r>
            <w:r w:rsidRPr="008D2482">
              <w:rPr>
                <w:color w:val="000000"/>
                <w:spacing w:val="1"/>
                <w:shd w:val="solid" w:color="000000" w:fill="000000"/>
                <w:fitText w:val="321" w:id="-1233498356"/>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0E859352" w14:textId="77777777" w:rsidR="00A01891" w:rsidRPr="0075485D" w:rsidRDefault="00A01891" w:rsidP="00E44076">
            <w:pPr>
              <w:pStyle w:val="TableText0"/>
              <w:keepNext w:val="0"/>
              <w:jc w:val="center"/>
            </w:pPr>
            <w:r w:rsidRPr="0075485D">
              <w:t>0.63</w:t>
            </w:r>
          </w:p>
        </w:tc>
        <w:tc>
          <w:tcPr>
            <w:tcW w:w="850" w:type="dxa"/>
            <w:tcBorders>
              <w:top w:val="nil"/>
              <w:left w:val="single" w:sz="4" w:space="0" w:color="auto"/>
              <w:bottom w:val="single" w:sz="4" w:space="0" w:color="auto"/>
              <w:right w:val="single" w:sz="4" w:space="0" w:color="auto"/>
            </w:tcBorders>
            <w:hideMark/>
          </w:tcPr>
          <w:p w14:paraId="35717127" w14:textId="512AD9A7"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5"/>
                <w14:textFill>
                  <w14:solidFill>
                    <w14:srgbClr w14:val="000000">
                      <w14:alpha w14:val="100000"/>
                    </w14:srgbClr>
                  </w14:solidFill>
                </w14:textFill>
              </w:rPr>
              <w:t>|||</w:t>
            </w:r>
            <w:r w:rsidRPr="008D2482">
              <w:rPr>
                <w:color w:val="000000"/>
                <w:spacing w:val="2"/>
                <w:shd w:val="solid" w:color="000000" w:fill="000000"/>
                <w:fitText w:val="376" w:id="-1233498355"/>
                <w14:textFill>
                  <w14:solidFill>
                    <w14:srgbClr w14:val="000000">
                      <w14:alpha w14:val="100000"/>
                    </w14:srgbClr>
                  </w14:solidFill>
                </w14:textFill>
              </w:rPr>
              <w:t>|</w:t>
            </w:r>
            <w:r w:rsidR="00AA73B7" w:rsidRPr="00AA73B7">
              <w:t xml:space="preserve"> </w:t>
            </w:r>
            <w:r w:rsidR="00C2499E">
              <w:rPr>
                <w:rFonts w:cs="Arial"/>
                <w:iCs/>
                <w:szCs w:val="20"/>
                <w:vertAlign w:val="superscript"/>
              </w:rPr>
              <w:t>6</w:t>
            </w:r>
          </w:p>
        </w:tc>
        <w:tc>
          <w:tcPr>
            <w:tcW w:w="709" w:type="dxa"/>
            <w:tcBorders>
              <w:top w:val="nil"/>
              <w:left w:val="single" w:sz="4" w:space="0" w:color="auto"/>
              <w:bottom w:val="single" w:sz="4" w:space="0" w:color="auto"/>
              <w:right w:val="single" w:sz="4" w:space="0" w:color="auto"/>
            </w:tcBorders>
            <w:hideMark/>
          </w:tcPr>
          <w:p w14:paraId="5C0EC021" w14:textId="77777777" w:rsidR="00A01891" w:rsidRPr="0075485D" w:rsidRDefault="00A01891" w:rsidP="00E44076">
            <w:pPr>
              <w:pStyle w:val="TableText0"/>
              <w:keepNext w:val="0"/>
              <w:jc w:val="center"/>
            </w:pPr>
            <w:r w:rsidRPr="0075485D">
              <w:t>53.8%</w:t>
            </w:r>
          </w:p>
        </w:tc>
      </w:tr>
      <w:tr w:rsidR="00A01891" w:rsidRPr="0075485D" w14:paraId="6B7394EC" w14:textId="77777777" w:rsidTr="00E44076">
        <w:tc>
          <w:tcPr>
            <w:tcW w:w="6232" w:type="dxa"/>
            <w:tcBorders>
              <w:top w:val="single" w:sz="4" w:space="0" w:color="auto"/>
              <w:left w:val="single" w:sz="4" w:space="0" w:color="auto"/>
              <w:bottom w:val="nil"/>
              <w:right w:val="single" w:sz="4" w:space="0" w:color="auto"/>
            </w:tcBorders>
            <w:vAlign w:val="center"/>
            <w:hideMark/>
          </w:tcPr>
          <w:p w14:paraId="030B33CF" w14:textId="27159B88" w:rsidR="00A01891" w:rsidRPr="0075485D" w:rsidRDefault="00A01891" w:rsidP="00E44076">
            <w:pPr>
              <w:pStyle w:val="TableText0"/>
              <w:keepNext w:val="0"/>
            </w:pPr>
            <w:r w:rsidRPr="0075485D">
              <w:t xml:space="preserve">PFS extrapolation (base </w:t>
            </w:r>
            <w:r w:rsidR="00E27E19" w:rsidRPr="0075485D">
              <w:t xml:space="preserve">case: </w:t>
            </w:r>
            <w:r w:rsidRPr="0075485D">
              <w:t>independent log-normal)</w:t>
            </w:r>
          </w:p>
        </w:tc>
        <w:tc>
          <w:tcPr>
            <w:tcW w:w="851" w:type="dxa"/>
            <w:tcBorders>
              <w:top w:val="single" w:sz="4" w:space="0" w:color="auto"/>
              <w:left w:val="single" w:sz="4" w:space="0" w:color="auto"/>
              <w:bottom w:val="nil"/>
              <w:right w:val="single" w:sz="4" w:space="0" w:color="auto"/>
            </w:tcBorders>
            <w:vAlign w:val="center"/>
          </w:tcPr>
          <w:p w14:paraId="5FCF39AE" w14:textId="77777777" w:rsidR="00A01891" w:rsidRPr="00C2499E" w:rsidRDefault="00A01891" w:rsidP="00E44076">
            <w:pPr>
              <w:pStyle w:val="TableText0"/>
              <w:keepNext w:val="0"/>
              <w:jc w:val="center"/>
              <w:rPr>
                <w:highlight w:val="darkGray"/>
              </w:rPr>
            </w:pPr>
          </w:p>
        </w:tc>
        <w:tc>
          <w:tcPr>
            <w:tcW w:w="567" w:type="dxa"/>
            <w:tcBorders>
              <w:top w:val="single" w:sz="4" w:space="0" w:color="auto"/>
              <w:left w:val="single" w:sz="4" w:space="0" w:color="auto"/>
              <w:bottom w:val="nil"/>
              <w:right w:val="single" w:sz="4" w:space="0" w:color="auto"/>
            </w:tcBorders>
            <w:vAlign w:val="center"/>
          </w:tcPr>
          <w:p w14:paraId="2BE4ABDF" w14:textId="77777777" w:rsidR="00A01891" w:rsidRPr="0075485D" w:rsidRDefault="00A01891" w:rsidP="00E44076">
            <w:pPr>
              <w:pStyle w:val="TableText0"/>
              <w:keepNext w:val="0"/>
              <w:jc w:val="center"/>
            </w:pPr>
          </w:p>
        </w:tc>
        <w:tc>
          <w:tcPr>
            <w:tcW w:w="850" w:type="dxa"/>
            <w:tcBorders>
              <w:top w:val="single" w:sz="4" w:space="0" w:color="auto"/>
              <w:left w:val="single" w:sz="4" w:space="0" w:color="auto"/>
              <w:bottom w:val="nil"/>
              <w:right w:val="single" w:sz="4" w:space="0" w:color="auto"/>
            </w:tcBorders>
            <w:vAlign w:val="center"/>
          </w:tcPr>
          <w:p w14:paraId="7EA24474" w14:textId="77777777" w:rsidR="00A01891" w:rsidRPr="00C2499E" w:rsidRDefault="00A01891" w:rsidP="00E44076">
            <w:pPr>
              <w:pStyle w:val="TableText0"/>
              <w:keepNext w:val="0"/>
              <w:jc w:val="center"/>
              <w:rPr>
                <w:highlight w:val="darkGray"/>
              </w:rPr>
            </w:pPr>
          </w:p>
        </w:tc>
        <w:tc>
          <w:tcPr>
            <w:tcW w:w="709" w:type="dxa"/>
            <w:tcBorders>
              <w:top w:val="single" w:sz="4" w:space="0" w:color="auto"/>
              <w:left w:val="single" w:sz="4" w:space="0" w:color="auto"/>
              <w:bottom w:val="nil"/>
              <w:right w:val="single" w:sz="4" w:space="0" w:color="auto"/>
            </w:tcBorders>
          </w:tcPr>
          <w:p w14:paraId="32290A0E" w14:textId="77777777" w:rsidR="00A01891" w:rsidRPr="0075485D" w:rsidRDefault="00A01891" w:rsidP="00E44076">
            <w:pPr>
              <w:pStyle w:val="TableText0"/>
              <w:keepNext w:val="0"/>
              <w:jc w:val="center"/>
            </w:pPr>
          </w:p>
        </w:tc>
      </w:tr>
      <w:tr w:rsidR="00A01891" w:rsidRPr="0075485D" w14:paraId="5B7FD221" w14:textId="77777777" w:rsidTr="00E44076">
        <w:tc>
          <w:tcPr>
            <w:tcW w:w="6232" w:type="dxa"/>
            <w:tcBorders>
              <w:top w:val="nil"/>
              <w:left w:val="single" w:sz="4" w:space="0" w:color="auto"/>
              <w:bottom w:val="nil"/>
              <w:right w:val="single" w:sz="4" w:space="0" w:color="auto"/>
            </w:tcBorders>
            <w:vAlign w:val="center"/>
            <w:hideMark/>
          </w:tcPr>
          <w:p w14:paraId="4C2519C5" w14:textId="77777777" w:rsidR="00A01891" w:rsidRPr="0075485D" w:rsidRDefault="00A01891" w:rsidP="00E44076">
            <w:pPr>
              <w:pStyle w:val="TableText0"/>
              <w:keepNext w:val="0"/>
              <w:ind w:left="112"/>
            </w:pPr>
            <w:r w:rsidRPr="0075485D">
              <w:t>ENZA Gompertz, ADT Gamma</w:t>
            </w:r>
          </w:p>
        </w:tc>
        <w:tc>
          <w:tcPr>
            <w:tcW w:w="851" w:type="dxa"/>
            <w:tcBorders>
              <w:top w:val="nil"/>
              <w:left w:val="single" w:sz="4" w:space="0" w:color="auto"/>
              <w:bottom w:val="nil"/>
              <w:right w:val="single" w:sz="4" w:space="0" w:color="auto"/>
            </w:tcBorders>
            <w:hideMark/>
          </w:tcPr>
          <w:p w14:paraId="465A741B" w14:textId="75724B4D"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4"/>
                <w14:textFill>
                  <w14:solidFill>
                    <w14:srgbClr w14:val="000000">
                      <w14:alpha w14:val="100000"/>
                    </w14:srgbClr>
                  </w14:solidFill>
                </w14:textFill>
              </w:rPr>
              <w:t>|||</w:t>
            </w:r>
            <w:r w:rsidRPr="008D2482">
              <w:rPr>
                <w:color w:val="000000"/>
                <w:spacing w:val="1"/>
                <w:shd w:val="solid" w:color="000000" w:fill="000000"/>
                <w:fitText w:val="321" w:id="-1233498354"/>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17250BF9" w14:textId="77777777" w:rsidR="00A01891" w:rsidRPr="0075485D" w:rsidRDefault="00A01891" w:rsidP="00E44076">
            <w:pPr>
              <w:pStyle w:val="TableText0"/>
              <w:keepNext w:val="0"/>
              <w:jc w:val="center"/>
            </w:pPr>
            <w:r w:rsidRPr="0075485D">
              <w:t>0.76</w:t>
            </w:r>
          </w:p>
        </w:tc>
        <w:tc>
          <w:tcPr>
            <w:tcW w:w="850" w:type="dxa"/>
            <w:tcBorders>
              <w:top w:val="nil"/>
              <w:left w:val="single" w:sz="4" w:space="0" w:color="auto"/>
              <w:bottom w:val="nil"/>
              <w:right w:val="single" w:sz="4" w:space="0" w:color="auto"/>
            </w:tcBorders>
            <w:hideMark/>
          </w:tcPr>
          <w:p w14:paraId="034912F9" w14:textId="59760F16"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3"/>
                <w14:textFill>
                  <w14:solidFill>
                    <w14:srgbClr w14:val="000000">
                      <w14:alpha w14:val="100000"/>
                    </w14:srgbClr>
                  </w14:solidFill>
                </w14:textFill>
              </w:rPr>
              <w:t>|||</w:t>
            </w:r>
            <w:r w:rsidRPr="008D2482">
              <w:rPr>
                <w:color w:val="000000"/>
                <w:spacing w:val="2"/>
                <w:shd w:val="solid" w:color="000000" w:fill="000000"/>
                <w:fitText w:val="376" w:id="-1233498353"/>
                <w14:textFill>
                  <w14:solidFill>
                    <w14:srgbClr w14:val="000000">
                      <w14:alpha w14:val="100000"/>
                    </w14:srgbClr>
                  </w14:solidFill>
                </w14:textFill>
              </w:rPr>
              <w:t>|</w:t>
            </w:r>
            <w:r w:rsidR="00AA73B7" w:rsidRPr="00AA73B7">
              <w:t xml:space="preserve"> </w:t>
            </w:r>
            <w:r w:rsidR="00C2499E">
              <w:rPr>
                <w:rFonts w:cs="Arial"/>
                <w:iCs/>
                <w:szCs w:val="20"/>
                <w:vertAlign w:val="superscript"/>
              </w:rPr>
              <w:t>4</w:t>
            </w:r>
          </w:p>
        </w:tc>
        <w:tc>
          <w:tcPr>
            <w:tcW w:w="709" w:type="dxa"/>
            <w:tcBorders>
              <w:top w:val="nil"/>
              <w:left w:val="single" w:sz="4" w:space="0" w:color="auto"/>
              <w:bottom w:val="nil"/>
              <w:right w:val="single" w:sz="4" w:space="0" w:color="auto"/>
            </w:tcBorders>
            <w:hideMark/>
          </w:tcPr>
          <w:p w14:paraId="256980D3" w14:textId="77777777" w:rsidR="00A01891" w:rsidRPr="0075485D" w:rsidRDefault="00A01891" w:rsidP="00E44076">
            <w:pPr>
              <w:pStyle w:val="TableText0"/>
              <w:keepNext w:val="0"/>
              <w:jc w:val="center"/>
            </w:pPr>
            <w:r w:rsidRPr="0075485D">
              <w:t>-17.9%</w:t>
            </w:r>
          </w:p>
        </w:tc>
      </w:tr>
      <w:tr w:rsidR="00A01891" w:rsidRPr="0075485D" w14:paraId="2E19E382" w14:textId="77777777" w:rsidTr="00E44076">
        <w:tc>
          <w:tcPr>
            <w:tcW w:w="6232" w:type="dxa"/>
            <w:tcBorders>
              <w:top w:val="nil"/>
              <w:left w:val="single" w:sz="4" w:space="0" w:color="auto"/>
              <w:bottom w:val="single" w:sz="4" w:space="0" w:color="auto"/>
              <w:right w:val="single" w:sz="4" w:space="0" w:color="auto"/>
            </w:tcBorders>
            <w:vAlign w:val="center"/>
            <w:hideMark/>
          </w:tcPr>
          <w:p w14:paraId="51AD24AA" w14:textId="77777777" w:rsidR="00A01891" w:rsidRPr="0075485D" w:rsidRDefault="00A01891" w:rsidP="00E44076">
            <w:pPr>
              <w:pStyle w:val="TableText0"/>
              <w:keepNext w:val="0"/>
              <w:ind w:left="112"/>
            </w:pPr>
            <w:r w:rsidRPr="0075485D">
              <w:t>PFS=TTD</w:t>
            </w:r>
          </w:p>
        </w:tc>
        <w:tc>
          <w:tcPr>
            <w:tcW w:w="851" w:type="dxa"/>
            <w:tcBorders>
              <w:top w:val="nil"/>
              <w:left w:val="single" w:sz="4" w:space="0" w:color="auto"/>
              <w:bottom w:val="single" w:sz="4" w:space="0" w:color="auto"/>
              <w:right w:val="single" w:sz="4" w:space="0" w:color="auto"/>
            </w:tcBorders>
            <w:hideMark/>
          </w:tcPr>
          <w:p w14:paraId="7A645E14" w14:textId="6CA9787A"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2"/>
                <w14:textFill>
                  <w14:solidFill>
                    <w14:srgbClr w14:val="000000">
                      <w14:alpha w14:val="100000"/>
                    </w14:srgbClr>
                  </w14:solidFill>
                </w14:textFill>
              </w:rPr>
              <w:t>|||</w:t>
            </w:r>
            <w:r w:rsidRPr="008D2482">
              <w:rPr>
                <w:color w:val="000000"/>
                <w:spacing w:val="1"/>
                <w:shd w:val="solid" w:color="000000" w:fill="000000"/>
                <w:fitText w:val="321" w:id="-1233498352"/>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777A1AAD" w14:textId="77777777" w:rsidR="00A01891" w:rsidRPr="0075485D" w:rsidRDefault="00A01891" w:rsidP="00E44076">
            <w:pPr>
              <w:pStyle w:val="TableText0"/>
              <w:keepNext w:val="0"/>
              <w:jc w:val="center"/>
            </w:pPr>
            <w:r w:rsidRPr="0075485D">
              <w:t>1.00</w:t>
            </w:r>
          </w:p>
        </w:tc>
        <w:tc>
          <w:tcPr>
            <w:tcW w:w="850" w:type="dxa"/>
            <w:tcBorders>
              <w:top w:val="nil"/>
              <w:left w:val="single" w:sz="4" w:space="0" w:color="auto"/>
              <w:bottom w:val="single" w:sz="4" w:space="0" w:color="auto"/>
              <w:right w:val="single" w:sz="4" w:space="0" w:color="auto"/>
            </w:tcBorders>
            <w:hideMark/>
          </w:tcPr>
          <w:p w14:paraId="225E50F7" w14:textId="2D5B7093"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8"/>
                <w14:textFill>
                  <w14:solidFill>
                    <w14:srgbClr w14:val="000000">
                      <w14:alpha w14:val="100000"/>
                    </w14:srgbClr>
                  </w14:solidFill>
                </w14:textFill>
              </w:rPr>
              <w:t>|||</w:t>
            </w:r>
            <w:r w:rsidRPr="008D2482">
              <w:rPr>
                <w:color w:val="000000"/>
                <w:spacing w:val="2"/>
                <w:shd w:val="solid" w:color="000000" w:fill="000000"/>
                <w:fitText w:val="376" w:id="-1233498368"/>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single" w:sz="4" w:space="0" w:color="auto"/>
              <w:right w:val="single" w:sz="4" w:space="0" w:color="auto"/>
            </w:tcBorders>
            <w:hideMark/>
          </w:tcPr>
          <w:p w14:paraId="1754DFC9" w14:textId="77777777" w:rsidR="00A01891" w:rsidRPr="0075485D" w:rsidRDefault="00A01891" w:rsidP="00E44076">
            <w:pPr>
              <w:pStyle w:val="TableText0"/>
              <w:keepNext w:val="0"/>
              <w:jc w:val="center"/>
            </w:pPr>
            <w:r w:rsidRPr="0075485D">
              <w:t>12.9%</w:t>
            </w:r>
          </w:p>
        </w:tc>
      </w:tr>
      <w:tr w:rsidR="00A01891" w:rsidRPr="0075485D" w14:paraId="1F39D86D" w14:textId="77777777" w:rsidTr="00E44076">
        <w:tc>
          <w:tcPr>
            <w:tcW w:w="6232" w:type="dxa"/>
            <w:tcBorders>
              <w:top w:val="single" w:sz="4" w:space="0" w:color="auto"/>
              <w:left w:val="single" w:sz="4" w:space="0" w:color="auto"/>
              <w:bottom w:val="nil"/>
              <w:right w:val="single" w:sz="4" w:space="0" w:color="auto"/>
            </w:tcBorders>
            <w:vAlign w:val="center"/>
            <w:hideMark/>
          </w:tcPr>
          <w:p w14:paraId="3239C2A0" w14:textId="38759BDE" w:rsidR="00A01891" w:rsidRPr="0075485D" w:rsidRDefault="00A01891" w:rsidP="00E44076">
            <w:pPr>
              <w:pStyle w:val="TableText0"/>
              <w:keepNext w:val="0"/>
            </w:pPr>
            <w:r w:rsidRPr="0075485D">
              <w:t xml:space="preserve">TTD extrapolation (base </w:t>
            </w:r>
            <w:r w:rsidR="00E27E19" w:rsidRPr="0075485D">
              <w:t xml:space="preserve">case: </w:t>
            </w:r>
            <w:r w:rsidRPr="0075485D">
              <w:t>independent log-logistic)</w:t>
            </w:r>
          </w:p>
        </w:tc>
        <w:tc>
          <w:tcPr>
            <w:tcW w:w="851" w:type="dxa"/>
            <w:tcBorders>
              <w:top w:val="single" w:sz="4" w:space="0" w:color="auto"/>
              <w:left w:val="single" w:sz="4" w:space="0" w:color="auto"/>
              <w:bottom w:val="nil"/>
              <w:right w:val="single" w:sz="4" w:space="0" w:color="auto"/>
            </w:tcBorders>
            <w:vAlign w:val="center"/>
          </w:tcPr>
          <w:p w14:paraId="6CEC4A24" w14:textId="77777777" w:rsidR="00A01891" w:rsidRPr="00C2499E" w:rsidRDefault="00A01891" w:rsidP="00E44076">
            <w:pPr>
              <w:pStyle w:val="TableText0"/>
              <w:keepNext w:val="0"/>
              <w:jc w:val="center"/>
              <w:rPr>
                <w:highlight w:val="darkGray"/>
              </w:rPr>
            </w:pPr>
          </w:p>
        </w:tc>
        <w:tc>
          <w:tcPr>
            <w:tcW w:w="567" w:type="dxa"/>
            <w:tcBorders>
              <w:top w:val="single" w:sz="4" w:space="0" w:color="auto"/>
              <w:left w:val="single" w:sz="4" w:space="0" w:color="auto"/>
              <w:bottom w:val="nil"/>
              <w:right w:val="single" w:sz="4" w:space="0" w:color="auto"/>
            </w:tcBorders>
            <w:vAlign w:val="center"/>
          </w:tcPr>
          <w:p w14:paraId="3FE53500" w14:textId="77777777" w:rsidR="00A01891" w:rsidRPr="0075485D" w:rsidRDefault="00A01891" w:rsidP="00E44076">
            <w:pPr>
              <w:pStyle w:val="TableText0"/>
              <w:keepNext w:val="0"/>
              <w:jc w:val="center"/>
            </w:pPr>
          </w:p>
        </w:tc>
        <w:tc>
          <w:tcPr>
            <w:tcW w:w="850" w:type="dxa"/>
            <w:tcBorders>
              <w:top w:val="single" w:sz="4" w:space="0" w:color="auto"/>
              <w:left w:val="single" w:sz="4" w:space="0" w:color="auto"/>
              <w:bottom w:val="nil"/>
              <w:right w:val="single" w:sz="4" w:space="0" w:color="auto"/>
            </w:tcBorders>
            <w:vAlign w:val="center"/>
          </w:tcPr>
          <w:p w14:paraId="572F0675" w14:textId="77777777" w:rsidR="00A01891" w:rsidRPr="00C2499E" w:rsidRDefault="00A01891" w:rsidP="00E44076">
            <w:pPr>
              <w:pStyle w:val="TableText0"/>
              <w:keepNext w:val="0"/>
              <w:jc w:val="center"/>
              <w:rPr>
                <w:highlight w:val="darkGray"/>
              </w:rPr>
            </w:pPr>
          </w:p>
        </w:tc>
        <w:tc>
          <w:tcPr>
            <w:tcW w:w="709" w:type="dxa"/>
            <w:tcBorders>
              <w:top w:val="single" w:sz="4" w:space="0" w:color="auto"/>
              <w:left w:val="single" w:sz="4" w:space="0" w:color="auto"/>
              <w:bottom w:val="nil"/>
              <w:right w:val="single" w:sz="4" w:space="0" w:color="auto"/>
            </w:tcBorders>
          </w:tcPr>
          <w:p w14:paraId="42179EF4" w14:textId="77777777" w:rsidR="00A01891" w:rsidRPr="0075485D" w:rsidRDefault="00A01891" w:rsidP="00E44076">
            <w:pPr>
              <w:pStyle w:val="TableText0"/>
              <w:keepNext w:val="0"/>
              <w:jc w:val="center"/>
            </w:pPr>
          </w:p>
        </w:tc>
      </w:tr>
      <w:tr w:rsidR="00A01891" w:rsidRPr="0075485D" w14:paraId="7C5AE4A0" w14:textId="77777777" w:rsidTr="00E44076">
        <w:tc>
          <w:tcPr>
            <w:tcW w:w="6232" w:type="dxa"/>
            <w:tcBorders>
              <w:top w:val="nil"/>
              <w:left w:val="single" w:sz="4" w:space="0" w:color="auto"/>
              <w:bottom w:val="nil"/>
              <w:right w:val="single" w:sz="4" w:space="0" w:color="auto"/>
            </w:tcBorders>
            <w:vAlign w:val="center"/>
            <w:hideMark/>
          </w:tcPr>
          <w:p w14:paraId="093082A7" w14:textId="77777777" w:rsidR="00A01891" w:rsidRPr="0075485D" w:rsidRDefault="00A01891" w:rsidP="00E44076">
            <w:pPr>
              <w:pStyle w:val="TableText0"/>
              <w:keepNext w:val="0"/>
              <w:ind w:left="112"/>
            </w:pPr>
            <w:r w:rsidRPr="0075485D">
              <w:t>ENZA exponential, ADT log-normal</w:t>
            </w:r>
          </w:p>
        </w:tc>
        <w:tc>
          <w:tcPr>
            <w:tcW w:w="851" w:type="dxa"/>
            <w:tcBorders>
              <w:top w:val="nil"/>
              <w:left w:val="single" w:sz="4" w:space="0" w:color="auto"/>
              <w:bottom w:val="nil"/>
              <w:right w:val="single" w:sz="4" w:space="0" w:color="auto"/>
            </w:tcBorders>
            <w:hideMark/>
          </w:tcPr>
          <w:p w14:paraId="2510E4DC" w14:textId="7E4F2A81"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7"/>
                <w14:textFill>
                  <w14:solidFill>
                    <w14:srgbClr w14:val="000000">
                      <w14:alpha w14:val="100000"/>
                    </w14:srgbClr>
                  </w14:solidFill>
                </w14:textFill>
              </w:rPr>
              <w:t>|||</w:t>
            </w:r>
            <w:r w:rsidRPr="008D2482">
              <w:rPr>
                <w:color w:val="000000"/>
                <w:spacing w:val="1"/>
                <w:shd w:val="solid" w:color="000000" w:fill="000000"/>
                <w:fitText w:val="321" w:id="-1233498367"/>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nil"/>
              <w:right w:val="single" w:sz="4" w:space="0" w:color="auto"/>
            </w:tcBorders>
            <w:hideMark/>
          </w:tcPr>
          <w:p w14:paraId="14289B80" w14:textId="77777777" w:rsidR="00A01891" w:rsidRPr="0075485D" w:rsidRDefault="00A01891" w:rsidP="00E44076">
            <w:pPr>
              <w:pStyle w:val="TableText0"/>
              <w:keepNext w:val="0"/>
              <w:jc w:val="center"/>
            </w:pPr>
            <w:r w:rsidRPr="0075485D">
              <w:t>1.04</w:t>
            </w:r>
          </w:p>
        </w:tc>
        <w:tc>
          <w:tcPr>
            <w:tcW w:w="850" w:type="dxa"/>
            <w:tcBorders>
              <w:top w:val="nil"/>
              <w:left w:val="single" w:sz="4" w:space="0" w:color="auto"/>
              <w:bottom w:val="nil"/>
              <w:right w:val="single" w:sz="4" w:space="0" w:color="auto"/>
            </w:tcBorders>
            <w:hideMark/>
          </w:tcPr>
          <w:p w14:paraId="74E22D3A" w14:textId="7BEE6990"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6"/>
                <w14:textFill>
                  <w14:solidFill>
                    <w14:srgbClr w14:val="000000">
                      <w14:alpha w14:val="100000"/>
                    </w14:srgbClr>
                  </w14:solidFill>
                </w14:textFill>
              </w:rPr>
              <w:t>|||</w:t>
            </w:r>
            <w:r w:rsidRPr="008D2482">
              <w:rPr>
                <w:color w:val="000000"/>
                <w:spacing w:val="2"/>
                <w:shd w:val="solid" w:color="000000" w:fill="000000"/>
                <w:fitText w:val="376" w:id="-1233498366"/>
                <w14:textFill>
                  <w14:solidFill>
                    <w14:srgbClr w14:val="000000">
                      <w14:alpha w14:val="100000"/>
                    </w14:srgbClr>
                  </w14:solidFill>
                </w14:textFill>
              </w:rPr>
              <w:t>|</w:t>
            </w:r>
            <w:r w:rsidR="00AA73B7" w:rsidRPr="00AA73B7">
              <w:t xml:space="preserve"> </w:t>
            </w:r>
            <w:r w:rsidR="00C2499E">
              <w:rPr>
                <w:rFonts w:cs="Arial"/>
                <w:iCs/>
                <w:szCs w:val="20"/>
                <w:vertAlign w:val="superscript"/>
              </w:rPr>
              <w:t>4</w:t>
            </w:r>
          </w:p>
        </w:tc>
        <w:tc>
          <w:tcPr>
            <w:tcW w:w="709" w:type="dxa"/>
            <w:tcBorders>
              <w:top w:val="nil"/>
              <w:left w:val="single" w:sz="4" w:space="0" w:color="auto"/>
              <w:bottom w:val="nil"/>
              <w:right w:val="single" w:sz="4" w:space="0" w:color="auto"/>
            </w:tcBorders>
            <w:hideMark/>
          </w:tcPr>
          <w:p w14:paraId="23EDFEF6" w14:textId="77777777" w:rsidR="00A01891" w:rsidRPr="0075485D" w:rsidRDefault="00A01891" w:rsidP="00E44076">
            <w:pPr>
              <w:pStyle w:val="TableText0"/>
              <w:keepNext w:val="0"/>
              <w:jc w:val="center"/>
            </w:pPr>
            <w:r w:rsidRPr="0075485D">
              <w:t>-15.3%</w:t>
            </w:r>
          </w:p>
        </w:tc>
      </w:tr>
      <w:tr w:rsidR="00A01891" w:rsidRPr="0075485D" w14:paraId="61A54E7F" w14:textId="77777777" w:rsidTr="00E44076">
        <w:tc>
          <w:tcPr>
            <w:tcW w:w="6232" w:type="dxa"/>
            <w:tcBorders>
              <w:top w:val="nil"/>
              <w:left w:val="single" w:sz="4" w:space="0" w:color="auto"/>
              <w:bottom w:val="single" w:sz="4" w:space="0" w:color="auto"/>
              <w:right w:val="single" w:sz="4" w:space="0" w:color="auto"/>
            </w:tcBorders>
            <w:vAlign w:val="center"/>
            <w:hideMark/>
          </w:tcPr>
          <w:p w14:paraId="4601D658" w14:textId="77777777" w:rsidR="00A01891" w:rsidRPr="0075485D" w:rsidRDefault="00A01891" w:rsidP="00E44076">
            <w:pPr>
              <w:pStyle w:val="TableText0"/>
              <w:keepNext w:val="0"/>
              <w:ind w:left="112"/>
            </w:pPr>
            <w:r w:rsidRPr="0075485D">
              <w:t>TTD=PFS</w:t>
            </w:r>
          </w:p>
        </w:tc>
        <w:tc>
          <w:tcPr>
            <w:tcW w:w="851" w:type="dxa"/>
            <w:tcBorders>
              <w:top w:val="nil"/>
              <w:left w:val="single" w:sz="4" w:space="0" w:color="auto"/>
              <w:bottom w:val="single" w:sz="4" w:space="0" w:color="auto"/>
              <w:right w:val="single" w:sz="4" w:space="0" w:color="auto"/>
            </w:tcBorders>
            <w:hideMark/>
          </w:tcPr>
          <w:p w14:paraId="4F88D080" w14:textId="0C0012F3"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5"/>
                <w14:textFill>
                  <w14:solidFill>
                    <w14:srgbClr w14:val="000000">
                      <w14:alpha w14:val="100000"/>
                    </w14:srgbClr>
                  </w14:solidFill>
                </w14:textFill>
              </w:rPr>
              <w:t>|||</w:t>
            </w:r>
            <w:r w:rsidRPr="008D2482">
              <w:rPr>
                <w:color w:val="000000"/>
                <w:spacing w:val="1"/>
                <w:shd w:val="solid" w:color="000000" w:fill="000000"/>
                <w:fitText w:val="321" w:id="-1233498365"/>
                <w14:textFill>
                  <w14:solidFill>
                    <w14:srgbClr w14:val="000000">
                      <w14:alpha w14:val="100000"/>
                    </w14:srgbClr>
                  </w14:solidFill>
                </w14:textFill>
              </w:rPr>
              <w:t>|</w:t>
            </w:r>
            <w:r w:rsidR="00AA73B7" w:rsidRPr="00AA73B7">
              <w:t xml:space="preserve">  </w:t>
            </w:r>
          </w:p>
        </w:tc>
        <w:tc>
          <w:tcPr>
            <w:tcW w:w="567" w:type="dxa"/>
            <w:tcBorders>
              <w:top w:val="nil"/>
              <w:left w:val="single" w:sz="4" w:space="0" w:color="auto"/>
              <w:bottom w:val="single" w:sz="4" w:space="0" w:color="auto"/>
              <w:right w:val="single" w:sz="4" w:space="0" w:color="auto"/>
            </w:tcBorders>
            <w:hideMark/>
          </w:tcPr>
          <w:p w14:paraId="4EB392DE" w14:textId="77777777" w:rsidR="00A01891" w:rsidRPr="0075485D" w:rsidRDefault="00A01891" w:rsidP="00E44076">
            <w:pPr>
              <w:pStyle w:val="TableText0"/>
              <w:keepNext w:val="0"/>
              <w:jc w:val="center"/>
            </w:pPr>
            <w:r w:rsidRPr="0075485D">
              <w:t>1.04</w:t>
            </w:r>
          </w:p>
        </w:tc>
        <w:tc>
          <w:tcPr>
            <w:tcW w:w="850" w:type="dxa"/>
            <w:tcBorders>
              <w:top w:val="nil"/>
              <w:left w:val="single" w:sz="4" w:space="0" w:color="auto"/>
              <w:bottom w:val="single" w:sz="4" w:space="0" w:color="auto"/>
              <w:right w:val="single" w:sz="4" w:space="0" w:color="auto"/>
            </w:tcBorders>
            <w:hideMark/>
          </w:tcPr>
          <w:p w14:paraId="5A163CB8" w14:textId="4F056937"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4"/>
                <w14:textFill>
                  <w14:solidFill>
                    <w14:srgbClr w14:val="000000">
                      <w14:alpha w14:val="100000"/>
                    </w14:srgbClr>
                  </w14:solidFill>
                </w14:textFill>
              </w:rPr>
              <w:t>|||</w:t>
            </w:r>
            <w:r w:rsidRPr="008D2482">
              <w:rPr>
                <w:color w:val="000000"/>
                <w:spacing w:val="2"/>
                <w:shd w:val="solid" w:color="000000" w:fill="000000"/>
                <w:fitText w:val="376" w:id="-1233498364"/>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nil"/>
              <w:left w:val="single" w:sz="4" w:space="0" w:color="auto"/>
              <w:bottom w:val="single" w:sz="4" w:space="0" w:color="auto"/>
              <w:right w:val="single" w:sz="4" w:space="0" w:color="auto"/>
            </w:tcBorders>
            <w:hideMark/>
          </w:tcPr>
          <w:p w14:paraId="2224322B" w14:textId="77777777" w:rsidR="00A01891" w:rsidRPr="0075485D" w:rsidRDefault="00A01891" w:rsidP="00E44076">
            <w:pPr>
              <w:pStyle w:val="TableText0"/>
              <w:keepNext w:val="0"/>
              <w:jc w:val="center"/>
            </w:pPr>
            <w:r w:rsidRPr="0075485D">
              <w:t>5.1%</w:t>
            </w:r>
          </w:p>
        </w:tc>
      </w:tr>
      <w:tr w:rsidR="00A01891" w:rsidRPr="0075485D" w14:paraId="3093109A" w14:textId="77777777" w:rsidTr="00E44076">
        <w:tc>
          <w:tcPr>
            <w:tcW w:w="6232" w:type="dxa"/>
            <w:tcBorders>
              <w:top w:val="single" w:sz="4" w:space="0" w:color="auto"/>
              <w:left w:val="single" w:sz="4" w:space="0" w:color="auto"/>
              <w:bottom w:val="single" w:sz="4" w:space="0" w:color="auto"/>
              <w:right w:val="single" w:sz="4" w:space="0" w:color="auto"/>
            </w:tcBorders>
            <w:vAlign w:val="center"/>
            <w:hideMark/>
          </w:tcPr>
          <w:p w14:paraId="1DC144CA" w14:textId="47ADBEEE" w:rsidR="00A01891" w:rsidRPr="0075485D" w:rsidRDefault="00A01891" w:rsidP="00E44076">
            <w:pPr>
              <w:pStyle w:val="TableText0"/>
              <w:keepNext w:val="0"/>
            </w:pPr>
            <w:r w:rsidRPr="0075485D">
              <w:t>ADT all patients (base</w:t>
            </w:r>
            <w:r w:rsidR="00E27E19" w:rsidRPr="0075485D">
              <w:t xml:space="preserve"> case:</w:t>
            </w:r>
            <w:r w:rsidRPr="0075485D">
              <w:t xml:space="preserve"> % follows TTD curve in PFS, 90% ENZA pts in PD1, 10% ADT pts in PD1), NB: AE/SRE/health state costs not adjusted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78CD61" w14:textId="375B1066"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3"/>
                <w14:textFill>
                  <w14:solidFill>
                    <w14:srgbClr w14:val="000000">
                      <w14:alpha w14:val="100000"/>
                    </w14:srgbClr>
                  </w14:solidFill>
                </w14:textFill>
              </w:rPr>
              <w:t>|||</w:t>
            </w:r>
            <w:r w:rsidRPr="008D2482">
              <w:rPr>
                <w:color w:val="000000"/>
                <w:spacing w:val="1"/>
                <w:shd w:val="solid" w:color="000000" w:fill="000000"/>
                <w:fitText w:val="321" w:id="-1233498363"/>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6BCD78" w14:textId="77777777" w:rsidR="00A01891" w:rsidRPr="0075485D" w:rsidRDefault="00A01891" w:rsidP="00E44076">
            <w:pPr>
              <w:pStyle w:val="TableText0"/>
              <w:keepNext w:val="0"/>
              <w:jc w:val="center"/>
            </w:pPr>
            <w:r w:rsidRPr="0075485D">
              <w:t>1.04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B63627" w14:textId="58D4568D"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2"/>
                <w14:textFill>
                  <w14:solidFill>
                    <w14:srgbClr w14:val="000000">
                      <w14:alpha w14:val="100000"/>
                    </w14:srgbClr>
                  </w14:solidFill>
                </w14:textFill>
              </w:rPr>
              <w:t>|||</w:t>
            </w:r>
            <w:r w:rsidRPr="008D2482">
              <w:rPr>
                <w:color w:val="000000"/>
                <w:spacing w:val="2"/>
                <w:shd w:val="solid" w:color="000000" w:fill="000000"/>
                <w:fitText w:val="376" w:id="-1233498362"/>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4873E7" w14:textId="77777777" w:rsidR="00A01891" w:rsidRPr="0075485D" w:rsidRDefault="00A01891" w:rsidP="00E44076">
            <w:pPr>
              <w:pStyle w:val="TableText0"/>
              <w:keepNext w:val="0"/>
              <w:jc w:val="center"/>
            </w:pPr>
            <w:r w:rsidRPr="0075485D">
              <w:t>-9.4%</w:t>
            </w:r>
          </w:p>
        </w:tc>
      </w:tr>
      <w:tr w:rsidR="00A01891" w:rsidRPr="0075485D" w14:paraId="77361A37" w14:textId="77777777" w:rsidTr="00E44076">
        <w:tc>
          <w:tcPr>
            <w:tcW w:w="6232" w:type="dxa"/>
            <w:tcBorders>
              <w:top w:val="single" w:sz="4" w:space="0" w:color="auto"/>
              <w:left w:val="single" w:sz="4" w:space="0" w:color="auto"/>
              <w:bottom w:val="single" w:sz="4" w:space="0" w:color="auto"/>
              <w:right w:val="single" w:sz="4" w:space="0" w:color="auto"/>
            </w:tcBorders>
            <w:vAlign w:val="center"/>
            <w:hideMark/>
          </w:tcPr>
          <w:p w14:paraId="14F0B9D2" w14:textId="310971F1" w:rsidR="00A01891" w:rsidRPr="0075485D" w:rsidRDefault="00A01891" w:rsidP="00E44076">
            <w:pPr>
              <w:pStyle w:val="TableText0"/>
              <w:keepNext w:val="0"/>
            </w:pPr>
            <w:r w:rsidRPr="0075485D">
              <w:t>Subsequent NHA 12 months (base</w:t>
            </w:r>
            <w:r w:rsidR="00E27E19" w:rsidRPr="0075485D">
              <w:t xml:space="preserve"> case:</w:t>
            </w:r>
            <w:r w:rsidRPr="0075485D">
              <w:t xml:space="preserve"> 15 months)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15578C" w14:textId="6F38B716"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61"/>
                <w14:textFill>
                  <w14:solidFill>
                    <w14:srgbClr w14:val="000000">
                      <w14:alpha w14:val="100000"/>
                    </w14:srgbClr>
                  </w14:solidFill>
                </w14:textFill>
              </w:rPr>
              <w:t>|||</w:t>
            </w:r>
            <w:r w:rsidRPr="008D2482">
              <w:rPr>
                <w:color w:val="000000"/>
                <w:spacing w:val="1"/>
                <w:shd w:val="solid" w:color="000000" w:fill="000000"/>
                <w:fitText w:val="321" w:id="-1233498361"/>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CC80C8" w14:textId="77777777" w:rsidR="00A01891" w:rsidRPr="0075485D" w:rsidRDefault="00A01891" w:rsidP="00E44076">
            <w:pPr>
              <w:pStyle w:val="TableText0"/>
              <w:keepNext w:val="0"/>
              <w:jc w:val="center"/>
            </w:pPr>
            <w:r w:rsidRPr="0075485D">
              <w:t>1.04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755A4A" w14:textId="068B733C"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60"/>
                <w14:textFill>
                  <w14:solidFill>
                    <w14:srgbClr w14:val="000000">
                      <w14:alpha w14:val="100000"/>
                    </w14:srgbClr>
                  </w14:solidFill>
                </w14:textFill>
              </w:rPr>
              <w:t>|||</w:t>
            </w:r>
            <w:r w:rsidRPr="008D2482">
              <w:rPr>
                <w:color w:val="000000"/>
                <w:spacing w:val="2"/>
                <w:shd w:val="solid" w:color="000000" w:fill="000000"/>
                <w:fitText w:val="376" w:id="-1233498360"/>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15965C" w14:textId="77777777" w:rsidR="00A01891" w:rsidRPr="0075485D" w:rsidRDefault="00A01891" w:rsidP="00E44076">
            <w:pPr>
              <w:pStyle w:val="TableText0"/>
              <w:keepNext w:val="0"/>
              <w:jc w:val="center"/>
            </w:pPr>
            <w:r w:rsidRPr="0075485D">
              <w:t>4.6%</w:t>
            </w:r>
          </w:p>
        </w:tc>
      </w:tr>
      <w:tr w:rsidR="00A01891" w:rsidRPr="0075485D" w14:paraId="489F7979" w14:textId="77777777" w:rsidTr="00E44076">
        <w:tc>
          <w:tcPr>
            <w:tcW w:w="6232" w:type="dxa"/>
            <w:tcBorders>
              <w:top w:val="single" w:sz="4" w:space="0" w:color="auto"/>
              <w:left w:val="single" w:sz="4" w:space="0" w:color="auto"/>
              <w:bottom w:val="single" w:sz="4" w:space="0" w:color="auto"/>
              <w:right w:val="single" w:sz="4" w:space="0" w:color="auto"/>
            </w:tcBorders>
            <w:vAlign w:val="center"/>
          </w:tcPr>
          <w:p w14:paraId="7198A52A" w14:textId="1101C5E9" w:rsidR="00A01891" w:rsidRPr="0075485D" w:rsidRDefault="00A01891" w:rsidP="00E44076">
            <w:pPr>
              <w:jc w:val="left"/>
              <w:rPr>
                <w:rFonts w:ascii="Arial Narrow" w:hAnsi="Arial Narrow" w:cs="Calibri"/>
                <w:color w:val="000000"/>
                <w:sz w:val="20"/>
                <w:szCs w:val="20"/>
              </w:rPr>
            </w:pPr>
            <w:r w:rsidRPr="0075485D">
              <w:rPr>
                <w:rFonts w:ascii="Arial Narrow" w:hAnsi="Arial Narrow" w:cs="Calibri"/>
                <w:color w:val="000000"/>
                <w:sz w:val="20"/>
                <w:szCs w:val="20"/>
              </w:rPr>
              <w:t>Subsequent tx in ADT arm 90% ENZA, 0% ABI, 10% ADT (base</w:t>
            </w:r>
            <w:r w:rsidR="00E27E19" w:rsidRPr="0075485D">
              <w:rPr>
                <w:rFonts w:ascii="Arial Narrow" w:hAnsi="Arial Narrow" w:cs="Calibri"/>
                <w:color w:val="000000"/>
                <w:sz w:val="20"/>
                <w:szCs w:val="20"/>
              </w:rPr>
              <w:t xml:space="preserve"> case:</w:t>
            </w:r>
            <w:r w:rsidRPr="0075485D">
              <w:rPr>
                <w:rFonts w:ascii="Arial Narrow" w:hAnsi="Arial Narrow" w:cs="Calibri"/>
                <w:color w:val="000000"/>
                <w:sz w:val="20"/>
                <w:szCs w:val="20"/>
              </w:rPr>
              <w:t xml:space="preserve"> 60% ENZA, 30% ABI, 10% ADT)</w:t>
            </w:r>
            <w:r w:rsidR="00E27E19" w:rsidRPr="0075485D">
              <w:rPr>
                <w:rFonts w:ascii="Arial Narrow" w:hAnsi="Arial Narrow" w:cs="Calibri"/>
                <w:color w:val="000000"/>
                <w:sz w:val="20"/>
                <w:szCs w:val="20"/>
              </w:rPr>
              <w:t xml:space="preserve"> </w:t>
            </w:r>
            <w:r w:rsidRPr="0075485D">
              <w:rPr>
                <w:rFonts w:ascii="Arial Narrow" w:hAnsi="Arial Narrow" w:cs="Calibri"/>
                <w:color w:val="000000"/>
                <w:sz w:val="20"/>
                <w:szCs w:val="20"/>
              </w:rPr>
              <w:t>-</w:t>
            </w:r>
            <w:r w:rsidR="00E27E19" w:rsidRPr="0075485D">
              <w:rPr>
                <w:rFonts w:ascii="Arial Narrow" w:hAnsi="Arial Narrow" w:cs="Calibri"/>
                <w:color w:val="000000"/>
                <w:sz w:val="20"/>
                <w:szCs w:val="20"/>
              </w:rPr>
              <w:t xml:space="preserve"> </w:t>
            </w:r>
            <w:r w:rsidRPr="0075485D">
              <w:rPr>
                <w:rFonts w:ascii="Arial Narrow" w:hAnsi="Arial Narrow" w:cs="Calibri"/>
                <w:color w:val="000000"/>
                <w:sz w:val="20"/>
                <w:szCs w:val="20"/>
              </w:rPr>
              <w:t>proxy for analysis using effective price of abiraterone.</w:t>
            </w:r>
          </w:p>
        </w:tc>
        <w:tc>
          <w:tcPr>
            <w:tcW w:w="851" w:type="dxa"/>
            <w:tcBorders>
              <w:top w:val="single" w:sz="4" w:space="0" w:color="auto"/>
              <w:left w:val="single" w:sz="4" w:space="0" w:color="auto"/>
              <w:bottom w:val="single" w:sz="4" w:space="0" w:color="auto"/>
              <w:right w:val="single" w:sz="4" w:space="0" w:color="auto"/>
            </w:tcBorders>
            <w:vAlign w:val="center"/>
          </w:tcPr>
          <w:p w14:paraId="08053FC3" w14:textId="763BC721" w:rsidR="00A01891"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9"/>
                <w14:textFill>
                  <w14:solidFill>
                    <w14:srgbClr w14:val="000000">
                      <w14:alpha w14:val="100000"/>
                    </w14:srgbClr>
                  </w14:solidFill>
                </w14:textFill>
              </w:rPr>
              <w:t>|||</w:t>
            </w:r>
            <w:r w:rsidRPr="008D2482">
              <w:rPr>
                <w:color w:val="000000"/>
                <w:spacing w:val="1"/>
                <w:shd w:val="solid" w:color="000000" w:fill="000000"/>
                <w:fitText w:val="321" w:id="-1233498359"/>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C6BC6EC" w14:textId="77777777" w:rsidR="00A01891" w:rsidRPr="0075485D" w:rsidRDefault="00A01891" w:rsidP="00E44076">
            <w:pPr>
              <w:pStyle w:val="TableText0"/>
              <w:keepNext w:val="0"/>
              <w:jc w:val="center"/>
            </w:pPr>
            <w:r w:rsidRPr="0075485D">
              <w:t>1.04</w:t>
            </w:r>
          </w:p>
        </w:tc>
        <w:tc>
          <w:tcPr>
            <w:tcW w:w="850" w:type="dxa"/>
            <w:tcBorders>
              <w:top w:val="single" w:sz="4" w:space="0" w:color="auto"/>
              <w:left w:val="single" w:sz="4" w:space="0" w:color="auto"/>
              <w:bottom w:val="single" w:sz="4" w:space="0" w:color="auto"/>
              <w:right w:val="single" w:sz="4" w:space="0" w:color="auto"/>
            </w:tcBorders>
            <w:vAlign w:val="center"/>
          </w:tcPr>
          <w:p w14:paraId="5DBB3695" w14:textId="66E490E7" w:rsidR="00A01891"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8"/>
                <w14:textFill>
                  <w14:solidFill>
                    <w14:srgbClr w14:val="000000">
                      <w14:alpha w14:val="100000"/>
                    </w14:srgbClr>
                  </w14:solidFill>
                </w14:textFill>
              </w:rPr>
              <w:t>|||</w:t>
            </w:r>
            <w:r w:rsidRPr="008D2482">
              <w:rPr>
                <w:color w:val="000000"/>
                <w:spacing w:val="2"/>
                <w:shd w:val="solid" w:color="000000" w:fill="000000"/>
                <w:fitText w:val="376" w:id="-1233498358"/>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tcPr>
          <w:p w14:paraId="7229CCB7" w14:textId="77777777" w:rsidR="00A01891" w:rsidRPr="0075485D" w:rsidRDefault="00A01891" w:rsidP="00E44076">
            <w:pPr>
              <w:pStyle w:val="TableText0"/>
              <w:keepNext w:val="0"/>
              <w:jc w:val="center"/>
            </w:pPr>
            <w:r w:rsidRPr="0075485D">
              <w:t>13.8%</w:t>
            </w:r>
          </w:p>
        </w:tc>
      </w:tr>
      <w:tr w:rsidR="002A788F" w:rsidRPr="0075485D" w14:paraId="59912C1A" w14:textId="77777777" w:rsidTr="002A788F">
        <w:tc>
          <w:tcPr>
            <w:tcW w:w="6232" w:type="dxa"/>
            <w:tcBorders>
              <w:top w:val="single" w:sz="4" w:space="0" w:color="auto"/>
              <w:left w:val="single" w:sz="4" w:space="0" w:color="auto"/>
              <w:bottom w:val="single" w:sz="4" w:space="0" w:color="auto"/>
              <w:right w:val="single" w:sz="4" w:space="0" w:color="auto"/>
            </w:tcBorders>
          </w:tcPr>
          <w:p w14:paraId="0684680B" w14:textId="26BA20E0" w:rsidR="002A788F" w:rsidRPr="0075485D" w:rsidRDefault="002A788F" w:rsidP="002A788F">
            <w:pPr>
              <w:pStyle w:val="TableText0"/>
              <w:keepNext w:val="0"/>
              <w:rPr>
                <w:b/>
                <w:bCs w:val="0"/>
              </w:rPr>
            </w:pPr>
            <w:r w:rsidRPr="0075485D">
              <w:rPr>
                <w:b/>
                <w:bCs w:val="0"/>
              </w:rPr>
              <w:t>PSCR revised base case</w:t>
            </w:r>
          </w:p>
        </w:tc>
        <w:tc>
          <w:tcPr>
            <w:tcW w:w="851" w:type="dxa"/>
            <w:tcBorders>
              <w:top w:val="single" w:sz="4" w:space="0" w:color="auto"/>
              <w:left w:val="single" w:sz="4" w:space="0" w:color="auto"/>
              <w:bottom w:val="single" w:sz="4" w:space="0" w:color="auto"/>
              <w:right w:val="single" w:sz="4" w:space="0" w:color="auto"/>
            </w:tcBorders>
            <w:vAlign w:val="center"/>
          </w:tcPr>
          <w:p w14:paraId="209811F7" w14:textId="1074D0E5" w:rsidR="002A788F" w:rsidRPr="00C2499E" w:rsidRDefault="008D2482" w:rsidP="00E44076">
            <w:pPr>
              <w:pStyle w:val="TableText0"/>
              <w:keepNext w:val="0"/>
              <w:jc w:val="center"/>
              <w:rPr>
                <w:b/>
                <w:bCs w:val="0"/>
                <w:highlight w:val="darkGray"/>
              </w:rPr>
            </w:pPr>
            <w:r w:rsidRPr="008D2482">
              <w:rPr>
                <w:b/>
                <w:bCs w:val="0"/>
                <w:color w:val="000000"/>
                <w:spacing w:val="64"/>
                <w:shd w:val="solid" w:color="000000" w:fill="000000"/>
                <w:fitText w:val="377" w:id="-1233498357"/>
                <w14:textFill>
                  <w14:solidFill>
                    <w14:srgbClr w14:val="000000">
                      <w14:alpha w14:val="100000"/>
                    </w14:srgbClr>
                  </w14:solidFill>
                </w14:textFill>
              </w:rPr>
              <w:t>|||</w:t>
            </w:r>
            <w:r w:rsidRPr="008D2482">
              <w:rPr>
                <w:b/>
                <w:bCs w:val="0"/>
                <w:color w:val="000000"/>
                <w:spacing w:val="2"/>
                <w:shd w:val="solid" w:color="000000" w:fill="000000"/>
                <w:fitText w:val="377" w:id="-1233498357"/>
                <w14:textFill>
                  <w14:solidFill>
                    <w14:srgbClr w14:val="000000">
                      <w14:alpha w14:val="100000"/>
                    </w14:srgbClr>
                  </w14:solidFill>
                </w14:textFill>
              </w:rPr>
              <w:t>|</w:t>
            </w:r>
            <w:r w:rsidR="00AA73B7" w:rsidRPr="00AA73B7">
              <w:rPr>
                <w:b/>
                <w:bCs w:val="0"/>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4F5EB67" w14:textId="144B2D97" w:rsidR="002A788F" w:rsidRPr="0075485D" w:rsidRDefault="002A788F" w:rsidP="00E44076">
            <w:pPr>
              <w:pStyle w:val="TableText0"/>
              <w:keepNext w:val="0"/>
              <w:jc w:val="center"/>
              <w:rPr>
                <w:b/>
                <w:bCs w:val="0"/>
              </w:rPr>
            </w:pPr>
            <w:r w:rsidRPr="0075485D">
              <w:rPr>
                <w:b/>
                <w:bCs w:val="0"/>
              </w:rPr>
              <w:t>0.83</w:t>
            </w:r>
          </w:p>
        </w:tc>
        <w:tc>
          <w:tcPr>
            <w:tcW w:w="850" w:type="dxa"/>
            <w:tcBorders>
              <w:top w:val="single" w:sz="4" w:space="0" w:color="auto"/>
              <w:left w:val="single" w:sz="4" w:space="0" w:color="auto"/>
              <w:bottom w:val="single" w:sz="4" w:space="0" w:color="auto"/>
              <w:right w:val="single" w:sz="4" w:space="0" w:color="auto"/>
            </w:tcBorders>
            <w:vAlign w:val="center"/>
          </w:tcPr>
          <w:p w14:paraId="69548A82" w14:textId="35EF6794" w:rsidR="002A788F" w:rsidRPr="00C2499E" w:rsidRDefault="008D2482" w:rsidP="00E44076">
            <w:pPr>
              <w:pStyle w:val="TableText0"/>
              <w:keepNext w:val="0"/>
              <w:jc w:val="center"/>
              <w:rPr>
                <w:b/>
                <w:bCs w:val="0"/>
                <w:highlight w:val="darkGray"/>
              </w:rPr>
            </w:pPr>
            <w:r w:rsidRPr="008D2482">
              <w:rPr>
                <w:b/>
                <w:bCs w:val="0"/>
                <w:color w:val="000000"/>
                <w:spacing w:val="31"/>
                <w:shd w:val="solid" w:color="000000" w:fill="000000"/>
                <w:fitText w:val="432" w:id="-1233498356"/>
                <w14:textFill>
                  <w14:solidFill>
                    <w14:srgbClr w14:val="000000">
                      <w14:alpha w14:val="100000"/>
                    </w14:srgbClr>
                  </w14:solidFill>
                </w14:textFill>
              </w:rPr>
              <w:t>|||||</w:t>
            </w:r>
            <w:r w:rsidRPr="008D2482">
              <w:rPr>
                <w:b/>
                <w:bCs w:val="0"/>
                <w:color w:val="000000"/>
                <w:spacing w:val="2"/>
                <w:shd w:val="solid" w:color="000000" w:fill="000000"/>
                <w:fitText w:val="432" w:id="-1233498356"/>
                <w14:textFill>
                  <w14:solidFill>
                    <w14:srgbClr w14:val="000000">
                      <w14:alpha w14:val="100000"/>
                    </w14:srgbClr>
                  </w14:solidFill>
                </w14:textFill>
              </w:rPr>
              <w:t>|</w:t>
            </w:r>
            <w:r w:rsidR="00AA73B7" w:rsidRPr="00AA73B7">
              <w:rPr>
                <w:b/>
                <w:bCs w:val="0"/>
              </w:rPr>
              <w:t xml:space="preserve"> </w:t>
            </w:r>
            <w:r w:rsidR="00C2499E">
              <w:rPr>
                <w:rFonts w:cs="Arial"/>
                <w:iCs/>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vAlign w:val="center"/>
          </w:tcPr>
          <w:p w14:paraId="6B5290FD" w14:textId="4A4A39D5" w:rsidR="002A788F" w:rsidRPr="0075485D" w:rsidRDefault="002A788F" w:rsidP="00E44076">
            <w:pPr>
              <w:pStyle w:val="TableText0"/>
              <w:keepNext w:val="0"/>
              <w:jc w:val="center"/>
              <w:rPr>
                <w:b/>
                <w:bCs w:val="0"/>
              </w:rPr>
            </w:pPr>
            <w:r w:rsidRPr="0075485D">
              <w:rPr>
                <w:b/>
                <w:bCs w:val="0"/>
              </w:rPr>
              <w:t>-</w:t>
            </w:r>
          </w:p>
        </w:tc>
      </w:tr>
      <w:tr w:rsidR="002A788F" w:rsidRPr="0075485D" w14:paraId="6CD287B9" w14:textId="77777777" w:rsidTr="002A788F">
        <w:tc>
          <w:tcPr>
            <w:tcW w:w="6232" w:type="dxa"/>
            <w:tcBorders>
              <w:top w:val="single" w:sz="4" w:space="0" w:color="auto"/>
              <w:left w:val="single" w:sz="4" w:space="0" w:color="auto"/>
              <w:bottom w:val="single" w:sz="4" w:space="0" w:color="auto"/>
              <w:right w:val="single" w:sz="4" w:space="0" w:color="auto"/>
            </w:tcBorders>
          </w:tcPr>
          <w:p w14:paraId="68FB9450" w14:textId="6B835435" w:rsidR="002A788F" w:rsidRPr="0075485D" w:rsidRDefault="002A788F" w:rsidP="002A788F">
            <w:pPr>
              <w:pStyle w:val="TableText0"/>
              <w:keepNext w:val="0"/>
            </w:pPr>
            <w:r w:rsidRPr="0075485D">
              <w:t>OS extrapolation (base case ENZA and ADT Gompertz, no convergence)</w:t>
            </w:r>
          </w:p>
          <w:p w14:paraId="29F9A45F" w14:textId="6CFC21D7" w:rsidR="002A788F" w:rsidRPr="0075485D" w:rsidRDefault="005B6AAB" w:rsidP="002A788F">
            <w:pPr>
              <w:pStyle w:val="TableText0"/>
              <w:keepNext w:val="0"/>
            </w:pPr>
            <w:r>
              <w:t xml:space="preserve"> </w:t>
            </w:r>
            <w:r w:rsidR="002A788F" w:rsidRPr="0075485D">
              <w:t xml:space="preserve"> OS converge from Year 5*</w:t>
            </w:r>
          </w:p>
        </w:tc>
        <w:tc>
          <w:tcPr>
            <w:tcW w:w="851" w:type="dxa"/>
            <w:tcBorders>
              <w:top w:val="single" w:sz="4" w:space="0" w:color="auto"/>
              <w:left w:val="single" w:sz="4" w:space="0" w:color="auto"/>
              <w:bottom w:val="single" w:sz="4" w:space="0" w:color="auto"/>
              <w:right w:val="single" w:sz="4" w:space="0" w:color="auto"/>
            </w:tcBorders>
            <w:vAlign w:val="center"/>
          </w:tcPr>
          <w:p w14:paraId="67954640" w14:textId="77777777" w:rsidR="00AA73B7" w:rsidRPr="00AA73B7" w:rsidRDefault="00AA73B7" w:rsidP="00E44076">
            <w:pPr>
              <w:pStyle w:val="TableText0"/>
              <w:keepNext w:val="0"/>
              <w:jc w:val="center"/>
            </w:pPr>
          </w:p>
          <w:p w14:paraId="6923A69A" w14:textId="66EDB975" w:rsidR="002A788F"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5"/>
                <w14:textFill>
                  <w14:solidFill>
                    <w14:srgbClr w14:val="000000">
                      <w14:alpha w14:val="100000"/>
                    </w14:srgbClr>
                  </w14:solidFill>
                </w14:textFill>
              </w:rPr>
              <w:t>|||</w:t>
            </w:r>
            <w:r w:rsidRPr="008D2482">
              <w:rPr>
                <w:color w:val="000000"/>
                <w:spacing w:val="1"/>
                <w:shd w:val="solid" w:color="000000" w:fill="000000"/>
                <w:fitText w:val="321" w:id="-1233498355"/>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129AE1B" w14:textId="77777777" w:rsidR="002A788F" w:rsidRPr="0075485D" w:rsidRDefault="002A788F" w:rsidP="00E44076">
            <w:pPr>
              <w:pStyle w:val="TableText0"/>
              <w:keepNext w:val="0"/>
              <w:jc w:val="center"/>
            </w:pPr>
          </w:p>
          <w:p w14:paraId="17BB56D6" w14:textId="63997DEA" w:rsidR="002A788F" w:rsidRPr="0075485D" w:rsidRDefault="002A788F" w:rsidP="00E44076">
            <w:pPr>
              <w:pStyle w:val="TableText0"/>
              <w:keepNext w:val="0"/>
              <w:jc w:val="center"/>
            </w:pPr>
            <w:r w:rsidRPr="0075485D">
              <w:t>0.50</w:t>
            </w:r>
          </w:p>
        </w:tc>
        <w:tc>
          <w:tcPr>
            <w:tcW w:w="850" w:type="dxa"/>
            <w:tcBorders>
              <w:top w:val="single" w:sz="4" w:space="0" w:color="auto"/>
              <w:left w:val="single" w:sz="4" w:space="0" w:color="auto"/>
              <w:bottom w:val="single" w:sz="4" w:space="0" w:color="auto"/>
              <w:right w:val="single" w:sz="4" w:space="0" w:color="auto"/>
            </w:tcBorders>
            <w:vAlign w:val="center"/>
          </w:tcPr>
          <w:p w14:paraId="64B4EDFF" w14:textId="77777777" w:rsidR="00AA73B7" w:rsidRPr="00AA73B7" w:rsidRDefault="00AA73B7" w:rsidP="00E44076">
            <w:pPr>
              <w:pStyle w:val="TableText0"/>
              <w:keepNext w:val="0"/>
              <w:jc w:val="center"/>
            </w:pPr>
          </w:p>
          <w:p w14:paraId="08FF1102" w14:textId="2A633031" w:rsidR="002A788F"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4"/>
                <w14:textFill>
                  <w14:solidFill>
                    <w14:srgbClr w14:val="000000">
                      <w14:alpha w14:val="100000"/>
                    </w14:srgbClr>
                  </w14:solidFill>
                </w14:textFill>
              </w:rPr>
              <w:t>|||</w:t>
            </w:r>
            <w:r w:rsidRPr="008D2482">
              <w:rPr>
                <w:color w:val="000000"/>
                <w:spacing w:val="2"/>
                <w:shd w:val="solid" w:color="000000" w:fill="000000"/>
                <w:fitText w:val="376" w:id="-1233498354"/>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center"/>
          </w:tcPr>
          <w:p w14:paraId="7FF2AF2D" w14:textId="77777777" w:rsidR="002A788F" w:rsidRPr="0075485D" w:rsidRDefault="002A788F" w:rsidP="00E44076">
            <w:pPr>
              <w:pStyle w:val="TableText0"/>
              <w:keepNext w:val="0"/>
              <w:jc w:val="center"/>
            </w:pPr>
          </w:p>
          <w:p w14:paraId="3C3C3538" w14:textId="1C3750F4" w:rsidR="002A788F" w:rsidRPr="0075485D" w:rsidRDefault="002A788F" w:rsidP="002A788F">
            <w:pPr>
              <w:pStyle w:val="TableText0"/>
              <w:keepNext w:val="0"/>
              <w:jc w:val="center"/>
            </w:pPr>
            <w:r w:rsidRPr="0075485D">
              <w:t>40.4%</w:t>
            </w:r>
          </w:p>
        </w:tc>
      </w:tr>
      <w:tr w:rsidR="008835DC" w:rsidRPr="0075485D" w14:paraId="7709AE83" w14:textId="77777777" w:rsidTr="002A788F">
        <w:tc>
          <w:tcPr>
            <w:tcW w:w="6232" w:type="dxa"/>
            <w:tcBorders>
              <w:top w:val="single" w:sz="4" w:space="0" w:color="auto"/>
              <w:left w:val="single" w:sz="4" w:space="0" w:color="auto"/>
              <w:bottom w:val="single" w:sz="4" w:space="0" w:color="auto"/>
              <w:right w:val="single" w:sz="4" w:space="0" w:color="auto"/>
            </w:tcBorders>
          </w:tcPr>
          <w:p w14:paraId="2F7E72BA" w14:textId="5558EE46" w:rsidR="008835DC" w:rsidRPr="0075485D" w:rsidRDefault="008835DC" w:rsidP="002A788F">
            <w:pPr>
              <w:pStyle w:val="TableText0"/>
              <w:keepNext w:val="0"/>
            </w:pPr>
            <w:r w:rsidRPr="0075485D">
              <w:t xml:space="preserve">Subsequent </w:t>
            </w:r>
            <w:r w:rsidR="00E27E19" w:rsidRPr="0075485D">
              <w:t>NHA 12 months (base case: 15 months)</w:t>
            </w:r>
          </w:p>
        </w:tc>
        <w:tc>
          <w:tcPr>
            <w:tcW w:w="851" w:type="dxa"/>
            <w:tcBorders>
              <w:top w:val="single" w:sz="4" w:space="0" w:color="auto"/>
              <w:left w:val="single" w:sz="4" w:space="0" w:color="auto"/>
              <w:bottom w:val="single" w:sz="4" w:space="0" w:color="auto"/>
              <w:right w:val="single" w:sz="4" w:space="0" w:color="auto"/>
            </w:tcBorders>
            <w:vAlign w:val="center"/>
          </w:tcPr>
          <w:p w14:paraId="21041433" w14:textId="3A1D78A1" w:rsidR="008835DC" w:rsidRPr="00C2499E" w:rsidRDefault="008D2482" w:rsidP="00E44076">
            <w:pPr>
              <w:pStyle w:val="TableText0"/>
              <w:keepNext w:val="0"/>
              <w:jc w:val="center"/>
              <w:rPr>
                <w:highlight w:val="darkGray"/>
              </w:rPr>
            </w:pPr>
            <w:r w:rsidRPr="008D2482">
              <w:rPr>
                <w:color w:val="000000"/>
                <w:spacing w:val="50"/>
                <w:shd w:val="solid" w:color="000000" w:fill="000000"/>
                <w:fitText w:val="321" w:id="-1233498353"/>
                <w14:textFill>
                  <w14:solidFill>
                    <w14:srgbClr w14:val="000000">
                      <w14:alpha w14:val="100000"/>
                    </w14:srgbClr>
                  </w14:solidFill>
                </w14:textFill>
              </w:rPr>
              <w:t>|||</w:t>
            </w:r>
            <w:r w:rsidRPr="008D2482">
              <w:rPr>
                <w:color w:val="000000"/>
                <w:spacing w:val="1"/>
                <w:shd w:val="solid" w:color="000000" w:fill="000000"/>
                <w:fitText w:val="321" w:id="-1233498353"/>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487BF12" w14:textId="5D3C092C" w:rsidR="008835DC" w:rsidRPr="0075485D" w:rsidRDefault="00E27E19" w:rsidP="00E44076">
            <w:pPr>
              <w:pStyle w:val="TableText0"/>
              <w:keepNext w:val="0"/>
              <w:jc w:val="center"/>
            </w:pPr>
            <w:r w:rsidRPr="0075485D">
              <w:t>0.84</w:t>
            </w:r>
          </w:p>
        </w:tc>
        <w:tc>
          <w:tcPr>
            <w:tcW w:w="850" w:type="dxa"/>
            <w:tcBorders>
              <w:top w:val="single" w:sz="4" w:space="0" w:color="auto"/>
              <w:left w:val="single" w:sz="4" w:space="0" w:color="auto"/>
              <w:bottom w:val="single" w:sz="4" w:space="0" w:color="auto"/>
              <w:right w:val="single" w:sz="4" w:space="0" w:color="auto"/>
            </w:tcBorders>
            <w:vAlign w:val="center"/>
          </w:tcPr>
          <w:p w14:paraId="56B9E782" w14:textId="42CFC03B" w:rsidR="008835DC" w:rsidRPr="00C2499E" w:rsidRDefault="008D2482" w:rsidP="00E44076">
            <w:pPr>
              <w:pStyle w:val="TableText0"/>
              <w:keepNext w:val="0"/>
              <w:jc w:val="center"/>
              <w:rPr>
                <w:highlight w:val="darkGray"/>
              </w:rPr>
            </w:pPr>
            <w:r w:rsidRPr="008D2482">
              <w:rPr>
                <w:color w:val="000000"/>
                <w:spacing w:val="68"/>
                <w:shd w:val="solid" w:color="000000" w:fill="000000"/>
                <w:fitText w:val="376" w:id="-1233498352"/>
                <w14:textFill>
                  <w14:solidFill>
                    <w14:srgbClr w14:val="000000">
                      <w14:alpha w14:val="100000"/>
                    </w14:srgbClr>
                  </w14:solidFill>
                </w14:textFill>
              </w:rPr>
              <w:t>|||</w:t>
            </w:r>
            <w:r w:rsidRPr="008D2482">
              <w:rPr>
                <w:color w:val="000000"/>
                <w:spacing w:val="2"/>
                <w:shd w:val="solid" w:color="000000" w:fill="000000"/>
                <w:fitText w:val="376" w:id="-1233498352"/>
                <w14:textFill>
                  <w14:solidFill>
                    <w14:srgbClr w14:val="000000">
                      <w14:alpha w14:val="100000"/>
                    </w14:srgbClr>
                  </w14:solidFill>
                </w14:textFill>
              </w:rPr>
              <w:t>|</w:t>
            </w:r>
            <w:r w:rsidR="00AA73B7" w:rsidRPr="00AA73B7">
              <w:t xml:space="preserve"> </w:t>
            </w:r>
            <w:r w:rsidR="00C2499E">
              <w:rPr>
                <w:rFonts w:cs="Arial"/>
                <w:iCs/>
                <w:szCs w:val="20"/>
                <w:vertAlign w:val="superscript"/>
              </w:rPr>
              <w:t>4</w:t>
            </w:r>
          </w:p>
        </w:tc>
        <w:tc>
          <w:tcPr>
            <w:tcW w:w="709" w:type="dxa"/>
            <w:tcBorders>
              <w:top w:val="single" w:sz="4" w:space="0" w:color="auto"/>
              <w:left w:val="single" w:sz="4" w:space="0" w:color="auto"/>
              <w:bottom w:val="single" w:sz="4" w:space="0" w:color="auto"/>
              <w:right w:val="single" w:sz="4" w:space="0" w:color="auto"/>
            </w:tcBorders>
            <w:vAlign w:val="center"/>
          </w:tcPr>
          <w:p w14:paraId="34F35B7E" w14:textId="6067F5C6" w:rsidR="008835DC" w:rsidRPr="0075485D" w:rsidRDefault="00E27E19" w:rsidP="00E44076">
            <w:pPr>
              <w:pStyle w:val="TableText0"/>
              <w:keepNext w:val="0"/>
              <w:jc w:val="center"/>
            </w:pPr>
            <w:r w:rsidRPr="0075485D">
              <w:t>3.7%</w:t>
            </w:r>
          </w:p>
        </w:tc>
      </w:tr>
      <w:tr w:rsidR="00E27E19" w:rsidRPr="0075485D" w14:paraId="758DEE2A" w14:textId="77777777" w:rsidTr="00E27E19">
        <w:tc>
          <w:tcPr>
            <w:tcW w:w="6232" w:type="dxa"/>
            <w:tcBorders>
              <w:top w:val="single" w:sz="4" w:space="0" w:color="auto"/>
              <w:left w:val="single" w:sz="4" w:space="0" w:color="auto"/>
              <w:bottom w:val="single" w:sz="4" w:space="0" w:color="auto"/>
              <w:right w:val="single" w:sz="4" w:space="0" w:color="auto"/>
            </w:tcBorders>
          </w:tcPr>
          <w:p w14:paraId="6E58F38B" w14:textId="77777777" w:rsidR="00E27E19" w:rsidRPr="0075485D" w:rsidRDefault="00E27E19" w:rsidP="002A788F">
            <w:pPr>
              <w:pStyle w:val="TableText0"/>
              <w:keepNext w:val="0"/>
            </w:pPr>
            <w:r w:rsidRPr="0075485D">
              <w:t>Multivariate analysis</w:t>
            </w:r>
          </w:p>
          <w:p w14:paraId="69FF87A0" w14:textId="2B04AA0B" w:rsidR="00E27E19" w:rsidRPr="0075485D" w:rsidRDefault="00E27E19" w:rsidP="002A788F">
            <w:pPr>
              <w:pStyle w:val="TableText0"/>
              <w:keepNext w:val="0"/>
            </w:pPr>
            <w:r w:rsidRPr="0075485D">
              <w:t xml:space="preserve"> </w:t>
            </w:r>
            <w:r w:rsidR="005B6AAB">
              <w:t xml:space="preserve"> </w:t>
            </w:r>
            <w:r w:rsidRPr="0075485D">
              <w:t>OS converge from Year 5* and subsequent NHA 12 months</w:t>
            </w:r>
          </w:p>
        </w:tc>
        <w:tc>
          <w:tcPr>
            <w:tcW w:w="851" w:type="dxa"/>
            <w:tcBorders>
              <w:top w:val="single" w:sz="4" w:space="0" w:color="auto"/>
              <w:left w:val="single" w:sz="4" w:space="0" w:color="auto"/>
              <w:bottom w:val="single" w:sz="4" w:space="0" w:color="auto"/>
              <w:right w:val="single" w:sz="4" w:space="0" w:color="auto"/>
            </w:tcBorders>
            <w:vAlign w:val="bottom"/>
          </w:tcPr>
          <w:p w14:paraId="0B03051B" w14:textId="2A15E380" w:rsidR="00E27E19" w:rsidRPr="00C2499E" w:rsidRDefault="008D2482" w:rsidP="00E27E19">
            <w:pPr>
              <w:pStyle w:val="TableText0"/>
              <w:keepNext w:val="0"/>
              <w:jc w:val="center"/>
              <w:rPr>
                <w:highlight w:val="darkGray"/>
              </w:rPr>
            </w:pPr>
            <w:r w:rsidRPr="008D2482">
              <w:rPr>
                <w:color w:val="000000"/>
                <w:spacing w:val="50"/>
                <w:shd w:val="solid" w:color="000000" w:fill="000000"/>
                <w:fitText w:val="321" w:id="-1233498368"/>
                <w14:textFill>
                  <w14:solidFill>
                    <w14:srgbClr w14:val="000000">
                      <w14:alpha w14:val="100000"/>
                    </w14:srgbClr>
                  </w14:solidFill>
                </w14:textFill>
              </w:rPr>
              <w:t>|||</w:t>
            </w:r>
            <w:r w:rsidRPr="008D2482">
              <w:rPr>
                <w:color w:val="000000"/>
                <w:spacing w:val="1"/>
                <w:shd w:val="solid" w:color="000000" w:fill="000000"/>
                <w:fitText w:val="321" w:id="-1233498368"/>
                <w14:textFill>
                  <w14:solidFill>
                    <w14:srgbClr w14:val="000000">
                      <w14:alpha w14:val="100000"/>
                    </w14:srgbClr>
                  </w14:solidFill>
                </w14:textFill>
              </w:rPr>
              <w:t>|</w:t>
            </w:r>
            <w:r w:rsidR="00AA73B7" w:rsidRPr="00AA73B7">
              <w:t xml:space="preserve">  </w:t>
            </w:r>
          </w:p>
        </w:tc>
        <w:tc>
          <w:tcPr>
            <w:tcW w:w="567" w:type="dxa"/>
            <w:tcBorders>
              <w:top w:val="single" w:sz="4" w:space="0" w:color="auto"/>
              <w:left w:val="single" w:sz="4" w:space="0" w:color="auto"/>
              <w:bottom w:val="single" w:sz="4" w:space="0" w:color="auto"/>
              <w:right w:val="single" w:sz="4" w:space="0" w:color="auto"/>
            </w:tcBorders>
            <w:vAlign w:val="bottom"/>
          </w:tcPr>
          <w:p w14:paraId="0DE79994" w14:textId="1341FBB8" w:rsidR="00E27E19" w:rsidRPr="0075485D" w:rsidRDefault="00E27E19" w:rsidP="00E27E19">
            <w:pPr>
              <w:pStyle w:val="TableText0"/>
              <w:keepNext w:val="0"/>
              <w:jc w:val="center"/>
            </w:pPr>
            <w:r w:rsidRPr="0075485D">
              <w:t>0.50</w:t>
            </w:r>
          </w:p>
        </w:tc>
        <w:tc>
          <w:tcPr>
            <w:tcW w:w="850" w:type="dxa"/>
            <w:tcBorders>
              <w:top w:val="single" w:sz="4" w:space="0" w:color="auto"/>
              <w:left w:val="single" w:sz="4" w:space="0" w:color="auto"/>
              <w:bottom w:val="single" w:sz="4" w:space="0" w:color="auto"/>
              <w:right w:val="single" w:sz="4" w:space="0" w:color="auto"/>
            </w:tcBorders>
            <w:vAlign w:val="bottom"/>
          </w:tcPr>
          <w:p w14:paraId="08FB8229" w14:textId="5AAEF6E9" w:rsidR="00E27E19" w:rsidRPr="00C2499E" w:rsidRDefault="008D2482" w:rsidP="00E27E19">
            <w:pPr>
              <w:pStyle w:val="TableText0"/>
              <w:keepNext w:val="0"/>
              <w:jc w:val="center"/>
              <w:rPr>
                <w:highlight w:val="darkGray"/>
              </w:rPr>
            </w:pPr>
            <w:r w:rsidRPr="008D2482">
              <w:rPr>
                <w:color w:val="000000"/>
                <w:spacing w:val="68"/>
                <w:shd w:val="solid" w:color="000000" w:fill="000000"/>
                <w:fitText w:val="376" w:id="-1233498367"/>
                <w14:textFill>
                  <w14:solidFill>
                    <w14:srgbClr w14:val="000000">
                      <w14:alpha w14:val="100000"/>
                    </w14:srgbClr>
                  </w14:solidFill>
                </w14:textFill>
              </w:rPr>
              <w:t>|||</w:t>
            </w:r>
            <w:r w:rsidRPr="008D2482">
              <w:rPr>
                <w:color w:val="000000"/>
                <w:spacing w:val="2"/>
                <w:shd w:val="solid" w:color="000000" w:fill="000000"/>
                <w:fitText w:val="376" w:id="-1233498367"/>
                <w14:textFill>
                  <w14:solidFill>
                    <w14:srgbClr w14:val="000000">
                      <w14:alpha w14:val="100000"/>
                    </w14:srgbClr>
                  </w14:solidFill>
                </w14:textFill>
              </w:rPr>
              <w:t>|</w:t>
            </w:r>
            <w:r w:rsidR="00AA73B7" w:rsidRPr="00AA73B7">
              <w:t xml:space="preserve"> </w:t>
            </w:r>
            <w:r w:rsidR="00C2499E" w:rsidRPr="006B43E0">
              <w:rPr>
                <w:rFonts w:cs="Arial"/>
                <w:iCs/>
                <w:szCs w:val="20"/>
                <w:vertAlign w:val="superscript"/>
              </w:rPr>
              <w:t>1</w:t>
            </w:r>
          </w:p>
        </w:tc>
        <w:tc>
          <w:tcPr>
            <w:tcW w:w="709" w:type="dxa"/>
            <w:tcBorders>
              <w:top w:val="single" w:sz="4" w:space="0" w:color="auto"/>
              <w:left w:val="single" w:sz="4" w:space="0" w:color="auto"/>
              <w:bottom w:val="single" w:sz="4" w:space="0" w:color="auto"/>
              <w:right w:val="single" w:sz="4" w:space="0" w:color="auto"/>
            </w:tcBorders>
            <w:vAlign w:val="bottom"/>
          </w:tcPr>
          <w:p w14:paraId="33BD05A2" w14:textId="06F83C0B" w:rsidR="00E27E19" w:rsidRPr="0075485D" w:rsidRDefault="00E27E19" w:rsidP="00E27E19">
            <w:pPr>
              <w:pStyle w:val="TableText0"/>
              <w:keepNext w:val="0"/>
              <w:jc w:val="center"/>
            </w:pPr>
            <w:r w:rsidRPr="0075485D">
              <w:t>45.9%</w:t>
            </w:r>
          </w:p>
        </w:tc>
      </w:tr>
    </w:tbl>
    <w:p w14:paraId="00041E9B" w14:textId="77777777" w:rsidR="00A01891" w:rsidRDefault="00A01891" w:rsidP="00A01891">
      <w:pPr>
        <w:pStyle w:val="TableFigureHeading"/>
        <w:rPr>
          <w:rStyle w:val="CommentReference"/>
          <w:bCs w:val="0"/>
          <w:sz w:val="18"/>
          <w:szCs w:val="22"/>
        </w:rPr>
      </w:pPr>
      <w:r>
        <w:rPr>
          <w:rStyle w:val="CommentReference"/>
          <w:bCs w:val="0"/>
          <w:sz w:val="18"/>
          <w:szCs w:val="22"/>
        </w:rPr>
        <w:t>Source: compiled during the evaluation based on Table 3.9.2 (pp211-212) of the submission and additional analyses generated during the evaluation.</w:t>
      </w:r>
    </w:p>
    <w:p w14:paraId="3916D343" w14:textId="77C43A93" w:rsidR="00A01891" w:rsidRDefault="00A01891" w:rsidP="00A01891">
      <w:pPr>
        <w:pStyle w:val="TableFigureFooter"/>
      </w:pPr>
      <w:r>
        <w:t>ADT=androgen deprivation therapy; ENZA=enzalutamide, EOL=end of life, MA=multivariate analysis, ICER=incremental cost-effectiveness ratio, ITT = intention-to-treat; mth=month, OS = overall survival; PFS= progression free survival, PD=progressed disease, PD = progressed disease; TTD = time to treatment discontinuation, tx=treatment; QALY=quality adjusted life year.</w:t>
      </w:r>
    </w:p>
    <w:p w14:paraId="3BB37899" w14:textId="570CB541" w:rsidR="00A01891" w:rsidRDefault="002A788F" w:rsidP="00C2499E">
      <w:pPr>
        <w:pStyle w:val="TableFigureFooter"/>
        <w:spacing w:after="0"/>
      </w:pPr>
      <w:r>
        <w:t>* Convergence is modelled as OS HR = 1 from point convergence is assumed to begin</w:t>
      </w:r>
    </w:p>
    <w:p w14:paraId="7167975E" w14:textId="77777777" w:rsidR="00C2499E" w:rsidRPr="009A6D58" w:rsidRDefault="00C2499E" w:rsidP="00C2499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E26F2DA" w14:textId="232562A6" w:rsidR="00C2499E" w:rsidRPr="009A6D58" w:rsidRDefault="00C2499E" w:rsidP="00C2499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C2499E">
        <w:rPr>
          <w:rFonts w:ascii="Arial Narrow" w:hAnsi="Arial Narrow"/>
          <w:i/>
          <w:sz w:val="18"/>
          <w:szCs w:val="18"/>
        </w:rPr>
        <w:t>$55,000 to &lt; $75,000</w:t>
      </w:r>
    </w:p>
    <w:p w14:paraId="273F58DB" w14:textId="3C17E784" w:rsidR="00C2499E" w:rsidRPr="009A6D58" w:rsidRDefault="00C2499E" w:rsidP="00C2499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2499E">
        <w:rPr>
          <w:rFonts w:ascii="Arial Narrow" w:hAnsi="Arial Narrow"/>
          <w:i/>
          <w:sz w:val="18"/>
          <w:szCs w:val="18"/>
        </w:rPr>
        <w:t>$115,000 to &lt; $135,000</w:t>
      </w:r>
    </w:p>
    <w:p w14:paraId="4440A439" w14:textId="2B626758" w:rsidR="00C2499E" w:rsidRDefault="00C2499E" w:rsidP="00C2499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C2499E">
        <w:rPr>
          <w:rFonts w:ascii="Arial Narrow" w:hAnsi="Arial Narrow"/>
          <w:i/>
          <w:sz w:val="18"/>
          <w:szCs w:val="18"/>
        </w:rPr>
        <w:t>$75,000 to &lt; $95,000</w:t>
      </w:r>
    </w:p>
    <w:p w14:paraId="7EE8F04D" w14:textId="499FF743" w:rsidR="00C2499E" w:rsidRDefault="00C2499E" w:rsidP="00C2499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C2499E">
        <w:rPr>
          <w:rFonts w:ascii="Arial Narrow" w:hAnsi="Arial Narrow"/>
          <w:i/>
          <w:sz w:val="18"/>
          <w:szCs w:val="18"/>
        </w:rPr>
        <w:t>$45,000 to &lt; $55,000</w:t>
      </w:r>
    </w:p>
    <w:p w14:paraId="5932E0DF" w14:textId="08B286AC" w:rsidR="00C2499E" w:rsidRDefault="00C2499E" w:rsidP="00C2499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C2499E">
        <w:rPr>
          <w:rFonts w:ascii="Arial Narrow" w:hAnsi="Arial Narrow"/>
          <w:i/>
          <w:sz w:val="18"/>
          <w:szCs w:val="18"/>
        </w:rPr>
        <w:t>$35,000 to &lt; $45,000</w:t>
      </w:r>
    </w:p>
    <w:p w14:paraId="1D9251DC" w14:textId="214B113D" w:rsidR="00C2499E" w:rsidRPr="00C2499E" w:rsidRDefault="00C2499E" w:rsidP="00C2499E">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C2499E">
        <w:rPr>
          <w:rFonts w:ascii="Arial Narrow" w:hAnsi="Arial Narrow"/>
          <w:i/>
          <w:sz w:val="18"/>
          <w:szCs w:val="18"/>
        </w:rPr>
        <w:t>$95,000 to &lt; $115,000</w:t>
      </w:r>
    </w:p>
    <w:p w14:paraId="0F6E59F3" w14:textId="1E844C8E" w:rsidR="00BE6ECA" w:rsidRPr="0075485D" w:rsidRDefault="00BE6ECA" w:rsidP="007F341A">
      <w:pPr>
        <w:pStyle w:val="3-BodyText"/>
        <w:ind w:left="709" w:hanging="709"/>
      </w:pPr>
      <w:bookmarkStart w:id="61" w:name="_Ref127448260"/>
      <w:r w:rsidRPr="0075485D">
        <w:t xml:space="preserve">The ESC </w:t>
      </w:r>
      <w:r w:rsidR="00FC34D3" w:rsidRPr="0075485D">
        <w:t xml:space="preserve">noted that when convergence from 5 years was applied to the revised model presented in the PSCR, the QALY gain was 0.50, which was </w:t>
      </w:r>
      <w:r w:rsidR="00574319" w:rsidRPr="0075485D">
        <w:t xml:space="preserve">more </w:t>
      </w:r>
      <w:r w:rsidR="00FC34D3" w:rsidRPr="0075485D">
        <w:t>consistent with that accepted by the PBAC for apalutamide in July 2022 (QALY gain = 0.56, weighted across the HV and LV models</w:t>
      </w:r>
      <w:r w:rsidR="00F16E3B">
        <w:t>)</w:t>
      </w:r>
      <w:r w:rsidR="00FC34D3" w:rsidRPr="0075485D">
        <w:t xml:space="preserve">. </w:t>
      </w:r>
      <w:r w:rsidR="00E27E19" w:rsidRPr="0075485D">
        <w:t xml:space="preserve">The ESC noted that </w:t>
      </w:r>
      <w:r w:rsidR="00574319" w:rsidRPr="0075485D">
        <w:t xml:space="preserve">reducing the duration of subsequent NHA therapy from 15 to 12 months in the ADT arm had a modest effect on the ICER. </w:t>
      </w:r>
      <w:r w:rsidR="00FC34D3" w:rsidRPr="0075485D">
        <w:t>The ESC considered that the PSCR revised base case could therefore be further updated to include convergence from 5 years</w:t>
      </w:r>
      <w:r w:rsidR="00574319" w:rsidRPr="0075485D">
        <w:t xml:space="preserve"> and a reduction in the duration of subsequent NHA therapy</w:t>
      </w:r>
      <w:r w:rsidR="00FC34D3" w:rsidRPr="0075485D">
        <w:t xml:space="preserve">. </w:t>
      </w:r>
      <w:r w:rsidR="00C656DC" w:rsidRPr="0075485D">
        <w:t xml:space="preserve">As this multivariate analysis, presented in </w:t>
      </w:r>
      <w:r w:rsidR="00C656DC" w:rsidRPr="0075485D">
        <w:fldChar w:fldCharType="begin"/>
      </w:r>
      <w:r w:rsidR="00C656DC" w:rsidRPr="0075485D">
        <w:instrText xml:space="preserve"> REF _Ref104804865 \h  \* MERGEFORMAT </w:instrText>
      </w:r>
      <w:r w:rsidR="00C656DC" w:rsidRPr="0075485D">
        <w:fldChar w:fldCharType="separate"/>
      </w:r>
      <w:r w:rsidR="00307E3A">
        <w:t xml:space="preserve">Table </w:t>
      </w:r>
      <w:r w:rsidR="00307E3A">
        <w:rPr>
          <w:noProof/>
        </w:rPr>
        <w:t>10</w:t>
      </w:r>
      <w:r w:rsidR="00C656DC" w:rsidRPr="0075485D">
        <w:fldChar w:fldCharType="end"/>
      </w:r>
      <w:r w:rsidR="00C656DC" w:rsidRPr="0075485D">
        <w:t xml:space="preserve">, resulted in an ICER of </w:t>
      </w:r>
      <w:r w:rsidR="00C2499E" w:rsidRPr="00C2499E">
        <w:t xml:space="preserve">$55,000 to &lt; $75,000 </w:t>
      </w:r>
      <w:r w:rsidR="00C656DC" w:rsidRPr="0075485D">
        <w:t>per QALY gained, t</w:t>
      </w:r>
      <w:r w:rsidR="00FC34D3" w:rsidRPr="0075485D">
        <w:t>he ESC noted that a price reduction would be required to attain an ICER of &lt; $45,000 per QALY.</w:t>
      </w:r>
      <w:bookmarkEnd w:id="61"/>
    </w:p>
    <w:p w14:paraId="2EBCFD2F" w14:textId="748C353A" w:rsidR="00A01891" w:rsidRPr="00574319" w:rsidRDefault="00A01891" w:rsidP="00A01891">
      <w:pPr>
        <w:pStyle w:val="3-BodyText"/>
        <w:numPr>
          <w:ilvl w:val="0"/>
          <w:numId w:val="0"/>
        </w:numPr>
        <w:outlineLvl w:val="2"/>
        <w:rPr>
          <w:b/>
          <w:bCs/>
        </w:rPr>
      </w:pPr>
      <w:r w:rsidRPr="00574319">
        <w:rPr>
          <w:b/>
          <w:bCs/>
        </w:rPr>
        <w:t xml:space="preserve">Cost minimisation </w:t>
      </w:r>
      <w:r w:rsidR="00273330" w:rsidRPr="00574319">
        <w:rPr>
          <w:b/>
          <w:bCs/>
        </w:rPr>
        <w:t>appr</w:t>
      </w:r>
      <w:r w:rsidR="00FE215E" w:rsidRPr="00574319">
        <w:rPr>
          <w:b/>
          <w:bCs/>
        </w:rPr>
        <w:t>oa</w:t>
      </w:r>
      <w:r w:rsidR="00273330" w:rsidRPr="00574319">
        <w:rPr>
          <w:b/>
          <w:bCs/>
        </w:rPr>
        <w:t>ch</w:t>
      </w:r>
    </w:p>
    <w:p w14:paraId="2349B723" w14:textId="26C6DCE6" w:rsidR="00A01891" w:rsidRPr="0075485D" w:rsidRDefault="00A01891" w:rsidP="00A01891">
      <w:pPr>
        <w:pStyle w:val="3-BodyText"/>
        <w:ind w:left="709" w:hanging="709"/>
      </w:pPr>
      <w:r w:rsidRPr="0075485D">
        <w:t xml:space="preserve">The results of the submission’s cost-minimisation approach are presented below. The only costs included were direct medicine costs, no other costs or cost offsets were included. </w:t>
      </w:r>
      <w:r w:rsidR="00A91076" w:rsidRPr="0075485D">
        <w:t xml:space="preserve">The ESC considered that this was appropriate. </w:t>
      </w:r>
      <w:r w:rsidRPr="0075485D">
        <w:t xml:space="preserve">The price for apalutamide in mHSPC was unknown to the sponsor, so the submission instead estimated the price for apalutamide based on the requested AEMP for enzalutamide. </w:t>
      </w:r>
    </w:p>
    <w:p w14:paraId="5E0382FE" w14:textId="3E75BB62" w:rsidR="00A01891" w:rsidRPr="0075485D" w:rsidRDefault="00A01891" w:rsidP="00A01891">
      <w:pPr>
        <w:pStyle w:val="3-BodyText"/>
        <w:ind w:left="709" w:hanging="709"/>
      </w:pPr>
      <w:r w:rsidRPr="0075485D">
        <w:t xml:space="preserve">The </w:t>
      </w:r>
      <w:r w:rsidR="00273330" w:rsidRPr="0075485D">
        <w:t xml:space="preserve">approach </w:t>
      </w:r>
      <w:r w:rsidRPr="0075485D">
        <w:t>assumed the equi-effective doses for enzalutamide and apalutamide (based on those reported in ARCHES and TITAN) to be:</w:t>
      </w:r>
    </w:p>
    <w:p w14:paraId="47C53CD7" w14:textId="36153C58" w:rsidR="00A01891" w:rsidRPr="0075485D" w:rsidRDefault="00A01891" w:rsidP="00A01891">
      <w:pPr>
        <w:pStyle w:val="ListParagraph"/>
        <w:ind w:left="1134"/>
      </w:pPr>
      <w:r w:rsidRPr="0075485D">
        <w:t>Enzalutamide:</w:t>
      </w:r>
      <w:r w:rsidR="00E0132A" w:rsidRPr="0075485D">
        <w:tab/>
      </w:r>
      <w:r w:rsidRPr="0075485D">
        <w:t>4 x 40 mg capsules daily, ARCHES</w:t>
      </w:r>
    </w:p>
    <w:p w14:paraId="74BBD387" w14:textId="67B8DF2C" w:rsidR="00A01891" w:rsidRPr="0075485D" w:rsidRDefault="00A01891" w:rsidP="00A01891">
      <w:pPr>
        <w:pStyle w:val="ListParagraph"/>
        <w:ind w:left="1134"/>
      </w:pPr>
      <w:r w:rsidRPr="0075485D">
        <w:t>Apalutamide:</w:t>
      </w:r>
      <w:r w:rsidR="00E0132A" w:rsidRPr="0075485D">
        <w:tab/>
      </w:r>
      <w:r w:rsidRPr="0075485D">
        <w:t xml:space="preserve">4 x 60 mg tablets daily, TITAN </w:t>
      </w:r>
    </w:p>
    <w:p w14:paraId="64AED08F" w14:textId="25AB7D7F" w:rsidR="00A01891" w:rsidRPr="00656188" w:rsidRDefault="00A01891" w:rsidP="00A01891">
      <w:pPr>
        <w:pStyle w:val="Caption"/>
        <w:rPr>
          <w:rStyle w:val="CommentReference"/>
          <w:b/>
          <w:szCs w:val="24"/>
        </w:rPr>
      </w:pPr>
      <w:r w:rsidRPr="00656188">
        <w:rPr>
          <w:rStyle w:val="CommentReference"/>
          <w:b/>
          <w:szCs w:val="24"/>
        </w:rPr>
        <w:t xml:space="preserve">Table </w:t>
      </w:r>
      <w:r>
        <w:rPr>
          <w:rStyle w:val="CommentReference"/>
          <w:b/>
          <w:szCs w:val="24"/>
        </w:rPr>
        <w:fldChar w:fldCharType="begin"/>
      </w:r>
      <w:r>
        <w:rPr>
          <w:rStyle w:val="CommentReference"/>
          <w:b/>
          <w:szCs w:val="24"/>
        </w:rPr>
        <w:instrText xml:space="preserve"> SEQ Table \* ARABIC </w:instrText>
      </w:r>
      <w:r>
        <w:rPr>
          <w:rStyle w:val="CommentReference"/>
          <w:b/>
          <w:szCs w:val="24"/>
        </w:rPr>
        <w:fldChar w:fldCharType="separate"/>
      </w:r>
      <w:r w:rsidR="00307E3A">
        <w:rPr>
          <w:rStyle w:val="CommentReference"/>
          <w:b/>
          <w:noProof/>
          <w:szCs w:val="24"/>
        </w:rPr>
        <w:t>11</w:t>
      </w:r>
      <w:r>
        <w:rPr>
          <w:rStyle w:val="CommentReference"/>
          <w:b/>
          <w:szCs w:val="24"/>
        </w:rPr>
        <w:fldChar w:fldCharType="end"/>
      </w:r>
      <w:r w:rsidRPr="00656188">
        <w:rPr>
          <w:rStyle w:val="CommentReference"/>
          <w:b/>
          <w:szCs w:val="24"/>
        </w:rPr>
        <w:t>: Results of the cost-minimisation a</w:t>
      </w:r>
      <w:r>
        <w:rPr>
          <w:rStyle w:val="CommentReference"/>
          <w:b/>
          <w:szCs w:val="24"/>
        </w:rPr>
        <w:t>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252"/>
        <w:gridCol w:w="2218"/>
      </w:tblGrid>
      <w:tr w:rsidR="00A01891" w:rsidRPr="003330C9" w14:paraId="66882240" w14:textId="77777777" w:rsidTr="00E44076">
        <w:tc>
          <w:tcPr>
            <w:tcW w:w="2547" w:type="dxa"/>
          </w:tcPr>
          <w:p w14:paraId="2183FB28" w14:textId="77777777" w:rsidR="00A01891" w:rsidRPr="003330C9" w:rsidRDefault="00A01891" w:rsidP="00E44076">
            <w:pPr>
              <w:pStyle w:val="In-tableHeading"/>
            </w:pPr>
            <w:r w:rsidRPr="003330C9">
              <w:t>Component</w:t>
            </w:r>
          </w:p>
        </w:tc>
        <w:tc>
          <w:tcPr>
            <w:tcW w:w="4252" w:type="dxa"/>
            <w:vAlign w:val="center"/>
          </w:tcPr>
          <w:p w14:paraId="5F46F503" w14:textId="77777777" w:rsidR="00A01891" w:rsidRPr="003330C9" w:rsidRDefault="00A01891" w:rsidP="00E44076">
            <w:pPr>
              <w:pStyle w:val="In-tableHeading"/>
              <w:jc w:val="center"/>
            </w:pPr>
            <w:r w:rsidRPr="003330C9">
              <w:t>Enzalutamide</w:t>
            </w:r>
          </w:p>
        </w:tc>
        <w:tc>
          <w:tcPr>
            <w:tcW w:w="2218" w:type="dxa"/>
            <w:vAlign w:val="center"/>
          </w:tcPr>
          <w:p w14:paraId="403258DE" w14:textId="77777777" w:rsidR="00A01891" w:rsidRPr="003330C9" w:rsidRDefault="00A01891" w:rsidP="00E44076">
            <w:pPr>
              <w:pStyle w:val="In-tableHeading"/>
              <w:jc w:val="center"/>
            </w:pPr>
            <w:r w:rsidRPr="003330C9">
              <w:t>Apalutamide</w:t>
            </w:r>
          </w:p>
        </w:tc>
      </w:tr>
      <w:tr w:rsidR="00A01891" w:rsidRPr="003330C9" w14:paraId="6D3F0AAE" w14:textId="77777777" w:rsidTr="00E44076">
        <w:tc>
          <w:tcPr>
            <w:tcW w:w="2547" w:type="dxa"/>
          </w:tcPr>
          <w:p w14:paraId="0F96D6C8" w14:textId="77777777" w:rsidR="00A01891" w:rsidRPr="003330C9" w:rsidRDefault="00A01891" w:rsidP="00E44076">
            <w:pPr>
              <w:pStyle w:val="TableText0"/>
            </w:pPr>
            <w:r w:rsidRPr="003330C9">
              <w:t>AEMP</w:t>
            </w:r>
          </w:p>
        </w:tc>
        <w:tc>
          <w:tcPr>
            <w:tcW w:w="4252" w:type="dxa"/>
            <w:vAlign w:val="center"/>
          </w:tcPr>
          <w:p w14:paraId="28BA6EDB" w14:textId="5956B668"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218" w:type="dxa"/>
            <w:vAlign w:val="center"/>
          </w:tcPr>
          <w:p w14:paraId="133B83E1" w14:textId="1AF3FE45"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r>
      <w:tr w:rsidR="00A01891" w:rsidRPr="003330C9" w14:paraId="104EB931" w14:textId="77777777" w:rsidTr="00E44076">
        <w:tc>
          <w:tcPr>
            <w:tcW w:w="2547" w:type="dxa"/>
          </w:tcPr>
          <w:p w14:paraId="26899B0A" w14:textId="77777777" w:rsidR="00A01891" w:rsidRPr="003330C9" w:rsidRDefault="00A01891" w:rsidP="00E44076">
            <w:pPr>
              <w:pStyle w:val="TableText0"/>
            </w:pPr>
            <w:r w:rsidRPr="003330C9">
              <w:t>Pack size</w:t>
            </w:r>
          </w:p>
        </w:tc>
        <w:tc>
          <w:tcPr>
            <w:tcW w:w="4252" w:type="dxa"/>
            <w:vAlign w:val="center"/>
          </w:tcPr>
          <w:p w14:paraId="080DA2C8" w14:textId="77777777" w:rsidR="00A01891" w:rsidRPr="003330C9" w:rsidRDefault="00A01891" w:rsidP="00E44076">
            <w:pPr>
              <w:pStyle w:val="TableText0"/>
              <w:jc w:val="center"/>
            </w:pPr>
            <w:r w:rsidRPr="003330C9">
              <w:t>112</w:t>
            </w:r>
          </w:p>
        </w:tc>
        <w:tc>
          <w:tcPr>
            <w:tcW w:w="2218" w:type="dxa"/>
            <w:vAlign w:val="center"/>
          </w:tcPr>
          <w:p w14:paraId="0E2A8576" w14:textId="77777777" w:rsidR="00A01891" w:rsidRPr="003330C9" w:rsidRDefault="00A01891" w:rsidP="00E44076">
            <w:pPr>
              <w:pStyle w:val="TableText0"/>
              <w:jc w:val="center"/>
            </w:pPr>
            <w:r w:rsidRPr="003330C9">
              <w:t>120</w:t>
            </w:r>
          </w:p>
        </w:tc>
      </w:tr>
      <w:tr w:rsidR="00A01891" w:rsidRPr="003330C9" w14:paraId="76BEC052" w14:textId="77777777" w:rsidTr="00E44076">
        <w:tc>
          <w:tcPr>
            <w:tcW w:w="2547" w:type="dxa"/>
          </w:tcPr>
          <w:p w14:paraId="37233E8E" w14:textId="77777777" w:rsidR="00A01891" w:rsidRPr="003330C9" w:rsidRDefault="00A01891" w:rsidP="00E44076">
            <w:pPr>
              <w:pStyle w:val="TableText0"/>
            </w:pPr>
            <w:r w:rsidRPr="003330C9">
              <w:t xml:space="preserve">Treatment days per pack </w:t>
            </w:r>
          </w:p>
        </w:tc>
        <w:tc>
          <w:tcPr>
            <w:tcW w:w="4252" w:type="dxa"/>
            <w:vAlign w:val="center"/>
          </w:tcPr>
          <w:p w14:paraId="5E239870" w14:textId="77777777" w:rsidR="00A01891" w:rsidRPr="003330C9" w:rsidRDefault="00A01891" w:rsidP="00E44076">
            <w:pPr>
              <w:pStyle w:val="TableText0"/>
              <w:jc w:val="center"/>
            </w:pPr>
            <w:r w:rsidRPr="003330C9">
              <w:t>28 days</w:t>
            </w:r>
          </w:p>
        </w:tc>
        <w:tc>
          <w:tcPr>
            <w:tcW w:w="2218" w:type="dxa"/>
            <w:vAlign w:val="center"/>
          </w:tcPr>
          <w:p w14:paraId="169BEC23" w14:textId="77777777" w:rsidR="00A01891" w:rsidRPr="003330C9" w:rsidRDefault="00A01891" w:rsidP="00E44076">
            <w:pPr>
              <w:pStyle w:val="TableText0"/>
              <w:jc w:val="center"/>
            </w:pPr>
            <w:r w:rsidRPr="003330C9">
              <w:t>30 days</w:t>
            </w:r>
          </w:p>
        </w:tc>
      </w:tr>
      <w:tr w:rsidR="00A01891" w:rsidRPr="003330C9" w14:paraId="04C1D301" w14:textId="77777777" w:rsidTr="00E44076">
        <w:tc>
          <w:tcPr>
            <w:tcW w:w="2547" w:type="dxa"/>
          </w:tcPr>
          <w:p w14:paraId="0EE5002E" w14:textId="77777777" w:rsidR="00A01891" w:rsidRPr="003330C9" w:rsidRDefault="00A01891" w:rsidP="00E44076">
            <w:pPr>
              <w:pStyle w:val="TableText0"/>
            </w:pPr>
            <w:r w:rsidRPr="003330C9">
              <w:t>Cost per day</w:t>
            </w:r>
          </w:p>
        </w:tc>
        <w:tc>
          <w:tcPr>
            <w:tcW w:w="4252" w:type="dxa"/>
            <w:vAlign w:val="center"/>
          </w:tcPr>
          <w:p w14:paraId="024497E4" w14:textId="723EBF2D"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218" w:type="dxa"/>
            <w:vAlign w:val="center"/>
          </w:tcPr>
          <w:p w14:paraId="1C83BBA1" w14:textId="0FC53AAC"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r>
      <w:tr w:rsidR="00A01891" w:rsidRPr="003330C9" w14:paraId="794E1290" w14:textId="77777777" w:rsidTr="00E44076">
        <w:tc>
          <w:tcPr>
            <w:tcW w:w="2547" w:type="dxa"/>
          </w:tcPr>
          <w:p w14:paraId="1AC88ABB" w14:textId="77777777" w:rsidR="00A01891" w:rsidRPr="003330C9" w:rsidRDefault="00A01891" w:rsidP="00E44076">
            <w:pPr>
              <w:pStyle w:val="TableText0"/>
            </w:pPr>
            <w:r w:rsidRPr="003330C9">
              <w:t>Dose duration</w:t>
            </w:r>
          </w:p>
        </w:tc>
        <w:tc>
          <w:tcPr>
            <w:tcW w:w="4252" w:type="dxa"/>
            <w:vAlign w:val="center"/>
          </w:tcPr>
          <w:p w14:paraId="1A7EF8B5" w14:textId="77777777" w:rsidR="00A01891" w:rsidRPr="003330C9" w:rsidRDefault="00A01891" w:rsidP="00E44076">
            <w:pPr>
              <w:pStyle w:val="TableText0"/>
              <w:jc w:val="center"/>
            </w:pPr>
            <w:r w:rsidRPr="003330C9">
              <w:t>Until discontinuation (assumed similar to apalutamide)</w:t>
            </w:r>
          </w:p>
        </w:tc>
        <w:tc>
          <w:tcPr>
            <w:tcW w:w="2218" w:type="dxa"/>
            <w:vAlign w:val="center"/>
          </w:tcPr>
          <w:p w14:paraId="14180A41" w14:textId="77777777" w:rsidR="00A01891" w:rsidRPr="003330C9" w:rsidRDefault="00A01891" w:rsidP="00E44076">
            <w:pPr>
              <w:pStyle w:val="TableText0"/>
              <w:jc w:val="center"/>
            </w:pPr>
            <w:r w:rsidRPr="003330C9">
              <w:t>Until discontinuation</w:t>
            </w:r>
          </w:p>
        </w:tc>
      </w:tr>
      <w:tr w:rsidR="00A01891" w:rsidRPr="003330C9" w14:paraId="6900ABC8" w14:textId="77777777" w:rsidTr="00E44076">
        <w:tc>
          <w:tcPr>
            <w:tcW w:w="2547" w:type="dxa"/>
          </w:tcPr>
          <w:p w14:paraId="432B0BEF" w14:textId="77777777" w:rsidR="00A01891" w:rsidRPr="003330C9" w:rsidRDefault="00A01891" w:rsidP="00E44076">
            <w:pPr>
              <w:pStyle w:val="TableText0"/>
            </w:pPr>
            <w:r w:rsidRPr="003330C9">
              <w:t>Administrations per week</w:t>
            </w:r>
          </w:p>
        </w:tc>
        <w:tc>
          <w:tcPr>
            <w:tcW w:w="4252" w:type="dxa"/>
            <w:vAlign w:val="center"/>
          </w:tcPr>
          <w:p w14:paraId="65759FC5" w14:textId="3A5687B5" w:rsidR="00A01891" w:rsidRPr="003330C9" w:rsidRDefault="00A01891" w:rsidP="00E44076">
            <w:pPr>
              <w:pStyle w:val="TableText0"/>
              <w:jc w:val="center"/>
            </w:pPr>
            <w:r w:rsidRPr="003330C9">
              <w:t>7 (4</w:t>
            </w:r>
            <w:r w:rsidR="00E0132A" w:rsidRPr="003330C9">
              <w:t xml:space="preserve"> </w:t>
            </w:r>
            <w:r w:rsidRPr="003330C9">
              <w:t>x</w:t>
            </w:r>
            <w:r w:rsidR="00E0132A" w:rsidRPr="003330C9">
              <w:t xml:space="preserve"> </w:t>
            </w:r>
            <w:r w:rsidRPr="003330C9">
              <w:t>40</w:t>
            </w:r>
            <w:r w:rsidR="00E0132A" w:rsidRPr="003330C9">
              <w:t xml:space="preserve"> </w:t>
            </w:r>
            <w:r w:rsidRPr="003330C9">
              <w:t>mg daily)</w:t>
            </w:r>
          </w:p>
        </w:tc>
        <w:tc>
          <w:tcPr>
            <w:tcW w:w="2218" w:type="dxa"/>
            <w:vAlign w:val="center"/>
          </w:tcPr>
          <w:p w14:paraId="6C7F4180" w14:textId="24A0F3BC" w:rsidR="00A01891" w:rsidRPr="003330C9" w:rsidRDefault="00A01891" w:rsidP="00E44076">
            <w:pPr>
              <w:pStyle w:val="TableText0"/>
              <w:jc w:val="center"/>
            </w:pPr>
            <w:r w:rsidRPr="003330C9">
              <w:t>7 (4</w:t>
            </w:r>
            <w:r w:rsidR="00E0132A" w:rsidRPr="003330C9">
              <w:t xml:space="preserve"> </w:t>
            </w:r>
            <w:r w:rsidRPr="003330C9">
              <w:t>x</w:t>
            </w:r>
            <w:r w:rsidR="00E0132A" w:rsidRPr="003330C9">
              <w:t xml:space="preserve"> </w:t>
            </w:r>
            <w:r w:rsidRPr="003330C9">
              <w:t>60</w:t>
            </w:r>
            <w:r w:rsidR="00E0132A" w:rsidRPr="003330C9">
              <w:t xml:space="preserve"> </w:t>
            </w:r>
            <w:r w:rsidRPr="003330C9">
              <w:t>mg daily)</w:t>
            </w:r>
          </w:p>
        </w:tc>
      </w:tr>
      <w:tr w:rsidR="00A01891" w:rsidRPr="003330C9" w14:paraId="5815F5A9" w14:textId="77777777" w:rsidTr="00E44076">
        <w:tc>
          <w:tcPr>
            <w:tcW w:w="2547" w:type="dxa"/>
          </w:tcPr>
          <w:p w14:paraId="59CB013B" w14:textId="77777777" w:rsidR="00A01891" w:rsidRPr="003330C9" w:rsidRDefault="00A01891" w:rsidP="00E44076">
            <w:pPr>
              <w:pStyle w:val="TableText0"/>
            </w:pPr>
            <w:r w:rsidRPr="003330C9">
              <w:t>Total medicine cost per week</w:t>
            </w:r>
          </w:p>
        </w:tc>
        <w:tc>
          <w:tcPr>
            <w:tcW w:w="4252" w:type="dxa"/>
            <w:vAlign w:val="center"/>
          </w:tcPr>
          <w:p w14:paraId="5BFB0BA6" w14:textId="134199E0"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218" w:type="dxa"/>
            <w:vAlign w:val="center"/>
          </w:tcPr>
          <w:p w14:paraId="48FAC9A1" w14:textId="5579E1C8" w:rsidR="00A01891" w:rsidRPr="003330C9" w:rsidRDefault="00A01891" w:rsidP="00E44076">
            <w:pPr>
              <w:pStyle w:val="TableText0"/>
              <w:jc w:val="center"/>
            </w:pPr>
            <w:r w:rsidRPr="003330C9">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r>
      <w:tr w:rsidR="00A01891" w:rsidRPr="003330C9" w14:paraId="017807AE" w14:textId="77777777" w:rsidTr="00E44076">
        <w:tc>
          <w:tcPr>
            <w:tcW w:w="2547" w:type="dxa"/>
          </w:tcPr>
          <w:p w14:paraId="5D7E3BDE" w14:textId="77777777" w:rsidR="00A01891" w:rsidRPr="003330C9" w:rsidRDefault="00A01891" w:rsidP="00E44076">
            <w:pPr>
              <w:pStyle w:val="TableText0"/>
            </w:pPr>
            <w:r w:rsidRPr="003330C9">
              <w:t>Difference in cost per week</w:t>
            </w:r>
          </w:p>
        </w:tc>
        <w:tc>
          <w:tcPr>
            <w:tcW w:w="4252" w:type="dxa"/>
            <w:vAlign w:val="center"/>
          </w:tcPr>
          <w:p w14:paraId="4ECBADEE" w14:textId="77777777" w:rsidR="00A01891" w:rsidRPr="003330C9" w:rsidRDefault="00A01891" w:rsidP="00E44076">
            <w:pPr>
              <w:pStyle w:val="TableText0"/>
              <w:jc w:val="center"/>
            </w:pPr>
            <w:r w:rsidRPr="003330C9">
              <w:t>$0</w:t>
            </w:r>
          </w:p>
        </w:tc>
        <w:tc>
          <w:tcPr>
            <w:tcW w:w="2218" w:type="dxa"/>
            <w:vAlign w:val="center"/>
          </w:tcPr>
          <w:p w14:paraId="76DC6E15" w14:textId="77777777" w:rsidR="00A01891" w:rsidRPr="003330C9" w:rsidRDefault="00A01891" w:rsidP="00E44076">
            <w:pPr>
              <w:pStyle w:val="TableText0"/>
              <w:jc w:val="center"/>
            </w:pPr>
            <w:r w:rsidRPr="003330C9">
              <w:t>-</w:t>
            </w:r>
          </w:p>
        </w:tc>
      </w:tr>
    </w:tbl>
    <w:p w14:paraId="052FC78A" w14:textId="6B4E04A2" w:rsidR="00A01891" w:rsidRPr="008E1354" w:rsidRDefault="00A01891" w:rsidP="008E1354">
      <w:pPr>
        <w:spacing w:after="120"/>
        <w:rPr>
          <w:rFonts w:ascii="Arial Narrow" w:hAnsi="Arial Narrow"/>
          <w:sz w:val="18"/>
          <w:szCs w:val="18"/>
        </w:rPr>
      </w:pPr>
      <w:r w:rsidRPr="009E2C3D">
        <w:rPr>
          <w:rFonts w:ascii="Arial Narrow" w:hAnsi="Arial Narrow"/>
          <w:sz w:val="18"/>
          <w:szCs w:val="18"/>
        </w:rPr>
        <w:t>Source: Section 3.10.3 p213, Table 3.11-1 p214, and compiled during the evaluation</w:t>
      </w:r>
    </w:p>
    <w:p w14:paraId="1506B8D3" w14:textId="1C8A4B87" w:rsidR="00A01891" w:rsidRPr="00574319" w:rsidRDefault="00A01891" w:rsidP="00A01891">
      <w:pPr>
        <w:pStyle w:val="3-BodyText"/>
        <w:ind w:left="709" w:hanging="709"/>
        <w:rPr>
          <w:iCs/>
        </w:rPr>
      </w:pPr>
      <w:r w:rsidRPr="00574319">
        <w:rPr>
          <w:iCs/>
        </w:rPr>
        <w:t xml:space="preserve">The submission’s calculations were arithmetically correct. While the cost minimisation approach was generally appropriate, a number of differences were noted between enzalutamide </w:t>
      </w:r>
      <w:r w:rsidR="005A54E8" w:rsidRPr="00574319">
        <w:rPr>
          <w:iCs/>
        </w:rPr>
        <w:t xml:space="preserve">and apalutamide </w:t>
      </w:r>
      <w:r w:rsidRPr="00574319">
        <w:rPr>
          <w:iCs/>
        </w:rPr>
        <w:t xml:space="preserve">that could potentially impact the results: </w:t>
      </w:r>
    </w:p>
    <w:p w14:paraId="53FCAF58" w14:textId="46425A12" w:rsidR="00FE215E" w:rsidRPr="0075485D" w:rsidRDefault="00FE215E" w:rsidP="00FE215E">
      <w:pPr>
        <w:pStyle w:val="ListParagraph"/>
        <w:numPr>
          <w:ilvl w:val="0"/>
          <w:numId w:val="23"/>
        </w:numPr>
        <w:ind w:left="1080"/>
      </w:pPr>
      <w:r w:rsidRPr="0075485D">
        <w:t>While median time on treatment was similar for enzalutamide (40.2 months) and apalutamide (39.3 months) based on a median duration of follow up of 44.6 months in ARCHES and 44.0 months in TITAN, the modelled mean treatment durations differed significantly. Mean treatment duration for enzalutamide in the submission’s model was estimated to be 62.2 months for enzalutamide, compared to 30.2 months (HV subgroup) and 39.8 months (LV subgroup) for apalutamide (Table 14, p29, apalutamide PSD, July 2022 PBAC meeting). The ESC noted that the treatment duration for enzalutamide was reduced to 35.8 months in the revised base case model presented in the PSCR</w:t>
      </w:r>
      <w:r w:rsidR="009E1CDB" w:rsidRPr="0075485D">
        <w:t xml:space="preserve"> (see </w:t>
      </w:r>
      <w:r w:rsidR="009E1CDB" w:rsidRPr="0075485D">
        <w:fldChar w:fldCharType="begin"/>
      </w:r>
      <w:r w:rsidR="009E1CDB" w:rsidRPr="0075485D">
        <w:instrText xml:space="preserve"> REF _Ref104805102 \h  \* MERGEFORMAT </w:instrText>
      </w:r>
      <w:r w:rsidR="009E1CDB" w:rsidRPr="0075485D">
        <w:fldChar w:fldCharType="separate"/>
      </w:r>
      <w:r w:rsidR="00307E3A">
        <w:t xml:space="preserve">Table </w:t>
      </w:r>
      <w:r w:rsidR="00307E3A">
        <w:rPr>
          <w:noProof/>
        </w:rPr>
        <w:t>12</w:t>
      </w:r>
      <w:r w:rsidR="009E1CDB" w:rsidRPr="0075485D">
        <w:fldChar w:fldCharType="end"/>
      </w:r>
      <w:r w:rsidR="009E1CDB" w:rsidRPr="0075485D">
        <w:t>)</w:t>
      </w:r>
      <w:r w:rsidRPr="0075485D">
        <w:t xml:space="preserve">. The ESC considered that it was reasonable to assume a similar time on treatment for enzalutamide and apalutamide in mHSPC. </w:t>
      </w:r>
    </w:p>
    <w:p w14:paraId="1FDFAC19" w14:textId="77777777" w:rsidR="00FE215E" w:rsidRPr="0075485D" w:rsidRDefault="00FE215E" w:rsidP="00FE215E">
      <w:pPr>
        <w:pStyle w:val="ListParagraph"/>
        <w:numPr>
          <w:ilvl w:val="0"/>
          <w:numId w:val="23"/>
        </w:numPr>
        <w:ind w:left="1080"/>
      </w:pPr>
      <w:r w:rsidRPr="0075485D">
        <w:t xml:space="preserve">The proposed equi-effective doses were reasonable but did not account for the small difference in trial dose intensity between the drugs (98.94% for enzalutamide in ARCHES and 95.8% for apalutamide in TITAN). </w:t>
      </w:r>
    </w:p>
    <w:p w14:paraId="62D9F3F3" w14:textId="77777777" w:rsidR="00FE215E" w:rsidRPr="0075485D" w:rsidRDefault="00FE215E" w:rsidP="00FE215E">
      <w:pPr>
        <w:pStyle w:val="ListParagraph"/>
        <w:numPr>
          <w:ilvl w:val="0"/>
          <w:numId w:val="23"/>
        </w:numPr>
        <w:ind w:left="1080"/>
      </w:pPr>
      <w:r w:rsidRPr="0075485D">
        <w:t xml:space="preserve">The cost minimisation analysis assumed no difference in adverse event costs between enzalutamide and apalutamide. This may not be entirely appropriate as some differences in AEs were noted between enzalutamide and apalutamide (see Comparative harms). </w:t>
      </w:r>
    </w:p>
    <w:p w14:paraId="34231F34" w14:textId="6EFB1D7B" w:rsidR="00A01891" w:rsidRPr="0075485D" w:rsidRDefault="00FE215E" w:rsidP="00FE215E">
      <w:pPr>
        <w:pStyle w:val="3-BodyText"/>
        <w:ind w:left="709" w:hanging="709"/>
      </w:pPr>
      <w:r w:rsidRPr="0075485D">
        <w:t>Overall, given that the benefit associated with enzalutamide treatment was expected to be similar to that with apalutamide treatment, the ESC considered that the prices should be similar.</w:t>
      </w:r>
    </w:p>
    <w:p w14:paraId="00FAFCA9" w14:textId="732A4CC7" w:rsidR="00A01891" w:rsidRDefault="00A01891" w:rsidP="00A01891">
      <w:pPr>
        <w:pStyle w:val="4-SubsectionHeading"/>
      </w:pPr>
      <w:bookmarkStart w:id="62" w:name="_Toc22897646"/>
      <w:bookmarkStart w:id="63" w:name="_Toc124322778"/>
      <w:bookmarkStart w:id="64" w:name="_Toc124324281"/>
      <w:bookmarkStart w:id="65" w:name="_Toc124862875"/>
      <w:r w:rsidRPr="00574319">
        <w:t>Enzalutamide cost</w:t>
      </w:r>
      <w:r w:rsidRPr="002C2775">
        <w:t>/patient/</w:t>
      </w:r>
      <w:bookmarkEnd w:id="62"/>
      <w:r>
        <w:t>course</w:t>
      </w:r>
      <w:bookmarkEnd w:id="63"/>
      <w:bookmarkEnd w:id="64"/>
      <w:bookmarkEnd w:id="65"/>
    </w:p>
    <w:p w14:paraId="37BB94AB" w14:textId="119F1EC8" w:rsidR="00A01891" w:rsidRPr="00BB732D" w:rsidRDefault="00A01891" w:rsidP="00A01891">
      <w:pPr>
        <w:pStyle w:val="Caption"/>
        <w:rPr>
          <w:rStyle w:val="CommentReference"/>
          <w:b/>
          <w:szCs w:val="24"/>
        </w:rPr>
      </w:pPr>
      <w:bookmarkStart w:id="66" w:name="_Ref104805102"/>
      <w:bookmarkStart w:id="67" w:name="_Hlk124260484"/>
      <w:r>
        <w:t xml:space="preserve">Table </w:t>
      </w:r>
      <w:fldSimple w:instr=" SEQ Table \* ARABIC ">
        <w:r w:rsidR="00307E3A">
          <w:rPr>
            <w:noProof/>
          </w:rPr>
          <w:t>12</w:t>
        </w:r>
      </w:fldSimple>
      <w:bookmarkEnd w:id="66"/>
      <w:r>
        <w:t>:</w:t>
      </w:r>
      <w:r w:rsidRPr="00BB732D">
        <w:rPr>
          <w:rStyle w:val="CommentReference"/>
          <w:b/>
          <w:szCs w:val="24"/>
        </w:rPr>
        <w:t xml:space="preserve">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3"/>
        <w:gridCol w:w="1073"/>
        <w:gridCol w:w="986"/>
        <w:gridCol w:w="957"/>
        <w:gridCol w:w="956"/>
        <w:gridCol w:w="1203"/>
        <w:gridCol w:w="1191"/>
        <w:gridCol w:w="1218"/>
      </w:tblGrid>
      <w:tr w:rsidR="00B95305" w:rsidRPr="00E2771E" w14:paraId="6AA2E63B" w14:textId="06B6D890" w:rsidTr="00D6184E">
        <w:trPr>
          <w:cantSplit/>
          <w:tblHeader/>
          <w:jc w:val="center"/>
        </w:trPr>
        <w:tc>
          <w:tcPr>
            <w:tcW w:w="795" w:type="pct"/>
            <w:vMerge w:val="restart"/>
            <w:shd w:val="clear" w:color="auto" w:fill="auto"/>
            <w:vAlign w:val="center"/>
          </w:tcPr>
          <w:p w14:paraId="32434395" w14:textId="77777777" w:rsidR="00B95305" w:rsidRPr="00E2771E" w:rsidRDefault="00B95305" w:rsidP="00E44076">
            <w:pPr>
              <w:pStyle w:val="In-tableHeading"/>
              <w:jc w:val="center"/>
            </w:pPr>
          </w:p>
        </w:tc>
        <w:tc>
          <w:tcPr>
            <w:tcW w:w="599" w:type="pct"/>
            <w:vMerge w:val="restart"/>
            <w:shd w:val="clear" w:color="auto" w:fill="auto"/>
            <w:vAlign w:val="center"/>
          </w:tcPr>
          <w:p w14:paraId="598479CD" w14:textId="387470FB" w:rsidR="00B95305" w:rsidRPr="00F65EAA" w:rsidRDefault="00B95305" w:rsidP="00B95305">
            <w:pPr>
              <w:pStyle w:val="In-tableHeading"/>
              <w:jc w:val="center"/>
            </w:pPr>
            <w:r w:rsidRPr="00F65EAA">
              <w:t>Trial</w:t>
            </w:r>
            <w:r>
              <w:t xml:space="preserve"> </w:t>
            </w:r>
            <w:r w:rsidRPr="00F65EAA">
              <w:t>dos</w:t>
            </w:r>
            <w:r>
              <w:t>e</w:t>
            </w:r>
            <w:r w:rsidRPr="00F65EAA">
              <w:t xml:space="preserve"> and duration</w:t>
            </w:r>
          </w:p>
        </w:tc>
        <w:tc>
          <w:tcPr>
            <w:tcW w:w="1597" w:type="pct"/>
            <w:gridSpan w:val="3"/>
            <w:shd w:val="clear" w:color="auto" w:fill="auto"/>
            <w:vAlign w:val="center"/>
          </w:tcPr>
          <w:p w14:paraId="389F8B13" w14:textId="4D6154CB" w:rsidR="00B95305" w:rsidRDefault="00B95305" w:rsidP="00E44076">
            <w:pPr>
              <w:pStyle w:val="In-tableHeading"/>
              <w:jc w:val="center"/>
            </w:pPr>
            <w:r>
              <w:t>Model</w:t>
            </w:r>
          </w:p>
        </w:tc>
        <w:tc>
          <w:tcPr>
            <w:tcW w:w="2008" w:type="pct"/>
            <w:gridSpan w:val="3"/>
            <w:shd w:val="clear" w:color="auto" w:fill="auto"/>
            <w:vAlign w:val="center"/>
          </w:tcPr>
          <w:p w14:paraId="2F9EC39C" w14:textId="6D2B26FA" w:rsidR="00B95305" w:rsidRDefault="00B95305" w:rsidP="00E44076">
            <w:pPr>
              <w:pStyle w:val="In-tableHeading"/>
              <w:jc w:val="center"/>
            </w:pPr>
            <w:r>
              <w:t>Financial estimates</w:t>
            </w:r>
          </w:p>
        </w:tc>
      </w:tr>
      <w:tr w:rsidR="00B95305" w:rsidRPr="00E2771E" w14:paraId="19FAFB24" w14:textId="78C31375" w:rsidTr="00D6184E">
        <w:trPr>
          <w:cantSplit/>
          <w:trHeight w:val="107"/>
          <w:jc w:val="center"/>
        </w:trPr>
        <w:tc>
          <w:tcPr>
            <w:tcW w:w="795" w:type="pct"/>
            <w:vMerge/>
            <w:shd w:val="clear" w:color="auto" w:fill="auto"/>
            <w:vAlign w:val="center"/>
          </w:tcPr>
          <w:p w14:paraId="77AC3FFC" w14:textId="77777777" w:rsidR="00B95305" w:rsidRPr="001F5BDA" w:rsidRDefault="00B95305" w:rsidP="00E44076">
            <w:pPr>
              <w:pStyle w:val="TableText0"/>
              <w:rPr>
                <w:lang w:val="en-US"/>
              </w:rPr>
            </w:pPr>
          </w:p>
        </w:tc>
        <w:tc>
          <w:tcPr>
            <w:tcW w:w="599" w:type="pct"/>
            <w:vMerge/>
            <w:shd w:val="clear" w:color="auto" w:fill="auto"/>
            <w:vAlign w:val="center"/>
          </w:tcPr>
          <w:p w14:paraId="261F95D1" w14:textId="46EFF220" w:rsidR="00B95305" w:rsidRPr="00B15CB5" w:rsidRDefault="00B95305" w:rsidP="00E44076">
            <w:pPr>
              <w:pStyle w:val="TableText0"/>
              <w:jc w:val="center"/>
            </w:pPr>
          </w:p>
        </w:tc>
        <w:tc>
          <w:tcPr>
            <w:tcW w:w="532" w:type="pct"/>
            <w:shd w:val="clear" w:color="auto" w:fill="auto"/>
            <w:vAlign w:val="center"/>
          </w:tcPr>
          <w:p w14:paraId="24C342BA" w14:textId="4AD8A7AB" w:rsidR="00B95305" w:rsidRPr="00A902CC" w:rsidRDefault="00B95305" w:rsidP="00E44076">
            <w:pPr>
              <w:pStyle w:val="TableText0"/>
              <w:jc w:val="center"/>
              <w:rPr>
                <w:b/>
                <w:bCs w:val="0"/>
              </w:rPr>
            </w:pPr>
            <w:r w:rsidRPr="00A902CC">
              <w:rPr>
                <w:b/>
                <w:bCs w:val="0"/>
              </w:rPr>
              <w:t>Submission</w:t>
            </w:r>
          </w:p>
        </w:tc>
        <w:tc>
          <w:tcPr>
            <w:tcW w:w="533" w:type="pct"/>
          </w:tcPr>
          <w:p w14:paraId="71E39E34" w14:textId="0FF11B4D" w:rsidR="00B95305" w:rsidRPr="00A902CC" w:rsidRDefault="00B95305" w:rsidP="00E44076">
            <w:pPr>
              <w:pStyle w:val="TableText0"/>
              <w:jc w:val="center"/>
              <w:rPr>
                <w:b/>
                <w:bCs w:val="0"/>
                <w:lang w:val="en-US"/>
              </w:rPr>
            </w:pPr>
            <w:r w:rsidRPr="00A902CC">
              <w:rPr>
                <w:b/>
                <w:bCs w:val="0"/>
                <w:lang w:val="en-US"/>
              </w:rPr>
              <w:t>PSCR</w:t>
            </w:r>
          </w:p>
        </w:tc>
        <w:tc>
          <w:tcPr>
            <w:tcW w:w="532" w:type="pct"/>
          </w:tcPr>
          <w:p w14:paraId="3654ACE8" w14:textId="544B9552" w:rsidR="00B95305" w:rsidRPr="00A902CC" w:rsidRDefault="00B95305" w:rsidP="00E44076">
            <w:pPr>
              <w:pStyle w:val="TableText0"/>
              <w:jc w:val="center"/>
              <w:rPr>
                <w:b/>
                <w:bCs w:val="0"/>
                <w:lang w:val="en-US"/>
              </w:rPr>
            </w:pPr>
            <w:r>
              <w:rPr>
                <w:b/>
                <w:bCs w:val="0"/>
                <w:lang w:val="en-US"/>
              </w:rPr>
              <w:t>Pre-PBAC</w:t>
            </w:r>
          </w:p>
        </w:tc>
        <w:tc>
          <w:tcPr>
            <w:tcW w:w="669" w:type="pct"/>
            <w:shd w:val="clear" w:color="auto" w:fill="auto"/>
            <w:vAlign w:val="center"/>
          </w:tcPr>
          <w:p w14:paraId="4439196A" w14:textId="5BA72574" w:rsidR="00B95305" w:rsidRPr="00A902CC" w:rsidRDefault="00B95305" w:rsidP="00E44076">
            <w:pPr>
              <w:pStyle w:val="TableText0"/>
              <w:jc w:val="center"/>
              <w:rPr>
                <w:b/>
                <w:bCs w:val="0"/>
                <w:lang w:val="en-US"/>
              </w:rPr>
            </w:pPr>
            <w:r w:rsidRPr="00A902CC">
              <w:rPr>
                <w:b/>
                <w:bCs w:val="0"/>
                <w:lang w:val="en-US"/>
              </w:rPr>
              <w:t>Submission</w:t>
            </w:r>
          </w:p>
        </w:tc>
        <w:tc>
          <w:tcPr>
            <w:tcW w:w="662" w:type="pct"/>
          </w:tcPr>
          <w:p w14:paraId="5D90E055" w14:textId="0A166718" w:rsidR="00B95305" w:rsidRPr="00A902CC" w:rsidRDefault="00B95305" w:rsidP="00E44076">
            <w:pPr>
              <w:pStyle w:val="TableText0"/>
              <w:jc w:val="center"/>
              <w:rPr>
                <w:b/>
                <w:bCs w:val="0"/>
                <w:lang w:val="en-US"/>
              </w:rPr>
            </w:pPr>
            <w:r w:rsidRPr="00A902CC">
              <w:rPr>
                <w:b/>
                <w:bCs w:val="0"/>
                <w:lang w:val="en-US"/>
              </w:rPr>
              <w:t>PSCR</w:t>
            </w:r>
          </w:p>
        </w:tc>
        <w:tc>
          <w:tcPr>
            <w:tcW w:w="677" w:type="pct"/>
          </w:tcPr>
          <w:p w14:paraId="6ECE5CE6" w14:textId="61D136E1" w:rsidR="00B95305" w:rsidRPr="00A902CC" w:rsidRDefault="00B95305" w:rsidP="00E44076">
            <w:pPr>
              <w:pStyle w:val="TableText0"/>
              <w:jc w:val="center"/>
              <w:rPr>
                <w:b/>
                <w:bCs w:val="0"/>
                <w:lang w:val="en-US"/>
              </w:rPr>
            </w:pPr>
            <w:r>
              <w:rPr>
                <w:b/>
                <w:bCs w:val="0"/>
                <w:lang w:val="en-US"/>
              </w:rPr>
              <w:t>Pre-PBAC</w:t>
            </w:r>
          </w:p>
        </w:tc>
      </w:tr>
      <w:tr w:rsidR="00B95305" w:rsidRPr="00E2771E" w14:paraId="1EB9E485" w14:textId="7DCEC4E2" w:rsidTr="00D6184E">
        <w:trPr>
          <w:cantSplit/>
          <w:trHeight w:val="107"/>
          <w:jc w:val="center"/>
        </w:trPr>
        <w:tc>
          <w:tcPr>
            <w:tcW w:w="795" w:type="pct"/>
            <w:shd w:val="clear" w:color="auto" w:fill="auto"/>
            <w:vAlign w:val="center"/>
          </w:tcPr>
          <w:p w14:paraId="06674B31" w14:textId="77777777" w:rsidR="00B95305" w:rsidRPr="001F5BDA" w:rsidRDefault="00B95305" w:rsidP="00E44076">
            <w:pPr>
              <w:pStyle w:val="TableText0"/>
              <w:rPr>
                <w:lang w:val="en-US"/>
              </w:rPr>
            </w:pPr>
            <w:r w:rsidRPr="001F5BDA">
              <w:rPr>
                <w:lang w:val="en-US"/>
              </w:rPr>
              <w:t>Mean dose</w:t>
            </w:r>
          </w:p>
        </w:tc>
        <w:tc>
          <w:tcPr>
            <w:tcW w:w="599" w:type="pct"/>
            <w:shd w:val="clear" w:color="auto" w:fill="auto"/>
            <w:vAlign w:val="center"/>
          </w:tcPr>
          <w:p w14:paraId="43BC3D8A" w14:textId="12DFA0FB" w:rsidR="00B95305" w:rsidRPr="00B15CB5" w:rsidRDefault="00B95305" w:rsidP="00E44076">
            <w:pPr>
              <w:pStyle w:val="TableText0"/>
              <w:jc w:val="center"/>
            </w:pPr>
            <w:r w:rsidRPr="00B15CB5">
              <w:t>158.3</w:t>
            </w:r>
            <w:r>
              <w:t xml:space="preserve"> </w:t>
            </w:r>
            <w:r w:rsidRPr="00B15CB5">
              <w:t>mg/day</w:t>
            </w:r>
            <w:r w:rsidRPr="00B15CB5">
              <w:rPr>
                <w:vertAlign w:val="superscript"/>
              </w:rPr>
              <w:t>a</w:t>
            </w:r>
          </w:p>
        </w:tc>
        <w:tc>
          <w:tcPr>
            <w:tcW w:w="1597" w:type="pct"/>
            <w:gridSpan w:val="3"/>
            <w:shd w:val="clear" w:color="auto" w:fill="auto"/>
            <w:vAlign w:val="center"/>
          </w:tcPr>
          <w:p w14:paraId="0A044310" w14:textId="77DC4E71" w:rsidR="00B95305" w:rsidRPr="00B15CB5" w:rsidRDefault="00B95305" w:rsidP="00E44076">
            <w:pPr>
              <w:pStyle w:val="TableText0"/>
              <w:jc w:val="center"/>
              <w:rPr>
                <w:lang w:val="en-US"/>
              </w:rPr>
            </w:pPr>
            <w:r w:rsidRPr="00B15CB5">
              <w:t>158.3</w:t>
            </w:r>
            <w:r>
              <w:t xml:space="preserve"> </w:t>
            </w:r>
            <w:r w:rsidRPr="00B15CB5">
              <w:t>mg/day</w:t>
            </w:r>
            <w:r w:rsidRPr="00B15CB5">
              <w:rPr>
                <w:vertAlign w:val="superscript"/>
              </w:rPr>
              <w:t>a</w:t>
            </w:r>
          </w:p>
        </w:tc>
        <w:tc>
          <w:tcPr>
            <w:tcW w:w="2008" w:type="pct"/>
            <w:gridSpan w:val="3"/>
            <w:shd w:val="clear" w:color="auto" w:fill="auto"/>
            <w:vAlign w:val="center"/>
          </w:tcPr>
          <w:p w14:paraId="00641083" w14:textId="19ABF396" w:rsidR="00B95305" w:rsidRPr="00B15CB5" w:rsidRDefault="00B95305" w:rsidP="00E44076">
            <w:pPr>
              <w:pStyle w:val="TableText0"/>
              <w:jc w:val="center"/>
              <w:rPr>
                <w:lang w:val="en-US"/>
              </w:rPr>
            </w:pPr>
            <w:r w:rsidRPr="00B15CB5">
              <w:rPr>
                <w:lang w:val="en-US"/>
              </w:rPr>
              <w:t>158.3</w:t>
            </w:r>
            <w:r>
              <w:rPr>
                <w:lang w:val="en-US"/>
              </w:rPr>
              <w:t xml:space="preserve"> </w:t>
            </w:r>
            <w:r w:rsidRPr="00B15CB5">
              <w:rPr>
                <w:lang w:val="en-US"/>
              </w:rPr>
              <w:t>mg/day</w:t>
            </w:r>
            <w:r w:rsidRPr="00B15CB5">
              <w:rPr>
                <w:vertAlign w:val="superscript"/>
                <w:lang w:val="en-US"/>
              </w:rPr>
              <w:t>a</w:t>
            </w:r>
          </w:p>
        </w:tc>
      </w:tr>
      <w:tr w:rsidR="00B95305" w:rsidRPr="00E2771E" w14:paraId="727FF885" w14:textId="19DA0F30" w:rsidTr="00D6184E">
        <w:trPr>
          <w:cantSplit/>
          <w:trHeight w:val="578"/>
          <w:jc w:val="center"/>
        </w:trPr>
        <w:tc>
          <w:tcPr>
            <w:tcW w:w="795" w:type="pct"/>
            <w:shd w:val="clear" w:color="auto" w:fill="auto"/>
            <w:vAlign w:val="center"/>
          </w:tcPr>
          <w:p w14:paraId="5C807EEF" w14:textId="77777777" w:rsidR="00B95305" w:rsidRPr="001F5BDA" w:rsidRDefault="00B95305" w:rsidP="00B95305">
            <w:pPr>
              <w:pStyle w:val="TableText0"/>
              <w:rPr>
                <w:lang w:val="en-US"/>
              </w:rPr>
            </w:pPr>
            <w:r w:rsidRPr="001F5BDA">
              <w:rPr>
                <w:lang w:val="en-US"/>
              </w:rPr>
              <w:t>Mean duration</w:t>
            </w:r>
          </w:p>
        </w:tc>
        <w:tc>
          <w:tcPr>
            <w:tcW w:w="599" w:type="pct"/>
            <w:shd w:val="clear" w:color="auto" w:fill="auto"/>
            <w:vAlign w:val="center"/>
          </w:tcPr>
          <w:p w14:paraId="48926EA4" w14:textId="0161EAD1" w:rsidR="00B95305" w:rsidRPr="00B15CB5" w:rsidRDefault="00B95305" w:rsidP="00B95305">
            <w:pPr>
              <w:pStyle w:val="TableText0"/>
              <w:jc w:val="center"/>
            </w:pPr>
            <w:r w:rsidRPr="00B15CB5">
              <w:t>Median</w:t>
            </w:r>
            <w:r>
              <w:t>:</w:t>
            </w:r>
            <w:r w:rsidRPr="00B15CB5">
              <w:t xml:space="preserve"> </w:t>
            </w:r>
            <w:r w:rsidR="00D6184E">
              <w:br/>
            </w:r>
            <w:r w:rsidRPr="00B15CB5">
              <w:t>40.2 months (44.6 month follow up)</w:t>
            </w:r>
          </w:p>
          <w:p w14:paraId="34AB5EEC" w14:textId="77777777" w:rsidR="00B95305" w:rsidRPr="00B15CB5" w:rsidRDefault="00B95305" w:rsidP="00B95305">
            <w:pPr>
              <w:pStyle w:val="TableText0"/>
              <w:jc w:val="center"/>
            </w:pPr>
            <w:r w:rsidRPr="00B15CB5">
              <w:t>Mean</w:t>
            </w:r>
            <w:r>
              <w:t>: not reported</w:t>
            </w:r>
          </w:p>
        </w:tc>
        <w:tc>
          <w:tcPr>
            <w:tcW w:w="532" w:type="pct"/>
            <w:shd w:val="clear" w:color="auto" w:fill="auto"/>
            <w:vAlign w:val="center"/>
          </w:tcPr>
          <w:p w14:paraId="2D65594E" w14:textId="12EBF6A6" w:rsidR="00B95305" w:rsidRPr="00B15CB5" w:rsidRDefault="00B95305" w:rsidP="00B95305">
            <w:pPr>
              <w:pStyle w:val="TableText0"/>
              <w:jc w:val="center"/>
            </w:pPr>
            <w:r w:rsidRPr="00B15CB5">
              <w:t>62.2</w:t>
            </w:r>
            <w:r w:rsidR="00D6184E">
              <w:br/>
            </w:r>
            <w:r w:rsidRPr="00B15CB5">
              <w:t xml:space="preserve"> months</w:t>
            </w:r>
          </w:p>
        </w:tc>
        <w:tc>
          <w:tcPr>
            <w:tcW w:w="533" w:type="pct"/>
            <w:vAlign w:val="center"/>
          </w:tcPr>
          <w:p w14:paraId="701BCEFD" w14:textId="4D863A80" w:rsidR="00B95305" w:rsidRDefault="00B95305" w:rsidP="00B95305">
            <w:pPr>
              <w:pStyle w:val="TableText0"/>
              <w:jc w:val="center"/>
            </w:pPr>
            <w:r>
              <w:t>35.8 months</w:t>
            </w:r>
          </w:p>
        </w:tc>
        <w:tc>
          <w:tcPr>
            <w:tcW w:w="532" w:type="pct"/>
            <w:vAlign w:val="center"/>
          </w:tcPr>
          <w:p w14:paraId="2B4DAD40" w14:textId="798F3057" w:rsidR="00B95305" w:rsidRDefault="00B95305" w:rsidP="00D6184E">
            <w:pPr>
              <w:pStyle w:val="TableText0"/>
              <w:jc w:val="center"/>
            </w:pPr>
            <w:r>
              <w:t>35.8 months</w:t>
            </w:r>
          </w:p>
        </w:tc>
        <w:tc>
          <w:tcPr>
            <w:tcW w:w="669" w:type="pct"/>
            <w:vMerge w:val="restart"/>
            <w:shd w:val="clear" w:color="auto" w:fill="auto"/>
            <w:vAlign w:val="center"/>
          </w:tcPr>
          <w:p w14:paraId="241FC973" w14:textId="4E74C80B" w:rsidR="00B95305" w:rsidRDefault="00B95305" w:rsidP="00D6184E">
            <w:pPr>
              <w:pStyle w:val="TableText0"/>
              <w:jc w:val="center"/>
              <w:rPr>
                <w:b/>
                <w:lang w:val="en-US"/>
              </w:rPr>
            </w:pPr>
            <w:r>
              <w:t>Dose (160 mg/day), dose intensity (98.94%), cost per script ($</w:t>
            </w:r>
            <w:r w:rsidR="008D2482" w:rsidRPr="008D2482">
              <w:rPr>
                <w:color w:val="000000"/>
                <w:spacing w:val="79"/>
                <w:shd w:val="solid" w:color="000000" w:fill="000000"/>
                <w:fitText w:val="410" w:id="-1233498366"/>
                <w14:textFill>
                  <w14:solidFill>
                    <w14:srgbClr w14:val="000000">
                      <w14:alpha w14:val="100000"/>
                    </w14:srgbClr>
                  </w14:solidFill>
                </w14:textFill>
              </w:rPr>
              <w:t>|||</w:t>
            </w:r>
            <w:r w:rsidR="008D2482" w:rsidRPr="008D2482">
              <w:rPr>
                <w:color w:val="000000"/>
                <w:spacing w:val="3"/>
                <w:shd w:val="solid" w:color="000000" w:fill="000000"/>
                <w:fitText w:val="410" w:id="-1233498366"/>
                <w14:textFill>
                  <w14:solidFill>
                    <w14:srgbClr w14:val="000000">
                      <w14:alpha w14:val="100000"/>
                    </w14:srgbClr>
                  </w14:solidFill>
                </w14:textFill>
              </w:rPr>
              <w:t>|</w:t>
            </w:r>
            <w:r w:rsidR="00AA73B7" w:rsidRPr="00AA73B7">
              <w:t xml:space="preserve"> </w:t>
            </w:r>
            <w:r>
              <w:t>) and duration (TTD based on ARCHES time on treatment KM data extrapolated) assumptions consistent with the economic model.</w:t>
            </w:r>
          </w:p>
        </w:tc>
        <w:tc>
          <w:tcPr>
            <w:tcW w:w="662" w:type="pct"/>
            <w:vMerge w:val="restart"/>
            <w:vAlign w:val="center"/>
          </w:tcPr>
          <w:p w14:paraId="4AED96CE" w14:textId="139812CA" w:rsidR="00B95305" w:rsidRDefault="00B95305" w:rsidP="00D6184E">
            <w:pPr>
              <w:pStyle w:val="TableText0"/>
              <w:spacing w:line="256" w:lineRule="auto"/>
              <w:jc w:val="center"/>
            </w:pPr>
            <w:r>
              <w:t>Dose (160 mg/day), dose intensity (98.94%), cost per script ($</w:t>
            </w:r>
            <w:r w:rsidR="008D2482" w:rsidRPr="008D2482">
              <w:rPr>
                <w:color w:val="000000"/>
                <w:spacing w:val="191"/>
                <w:shd w:val="solid" w:color="000000" w:fill="000000"/>
                <w:fitText w:val="277" w:id="-1233498365"/>
                <w14:textFill>
                  <w14:solidFill>
                    <w14:srgbClr w14:val="000000">
                      <w14:alpha w14:val="100000"/>
                    </w14:srgbClr>
                  </w14:solidFill>
                </w14:textFill>
              </w:rPr>
              <w:t>|</w:t>
            </w:r>
            <w:r w:rsidR="008D2482" w:rsidRPr="008D2482">
              <w:rPr>
                <w:color w:val="000000"/>
                <w:spacing w:val="1"/>
                <w:shd w:val="solid" w:color="000000" w:fill="000000"/>
                <w:fitText w:val="277" w:id="-1233498365"/>
                <w14:textFill>
                  <w14:solidFill>
                    <w14:srgbClr w14:val="000000">
                      <w14:alpha w14:val="100000"/>
                    </w14:srgbClr>
                  </w14:solidFill>
                </w14:textFill>
              </w:rPr>
              <w:t>|</w:t>
            </w:r>
            <w:r w:rsidR="00AA73B7" w:rsidRPr="00AA73B7">
              <w:t xml:space="preserve"> </w:t>
            </w:r>
            <w:r>
              <w:t>) consistent with the economic model.</w:t>
            </w:r>
          </w:p>
          <w:p w14:paraId="2F96572F" w14:textId="5AC2D796" w:rsidR="00B95305" w:rsidRDefault="00B95305" w:rsidP="00D6184E">
            <w:pPr>
              <w:pStyle w:val="TableText0"/>
              <w:jc w:val="center"/>
            </w:pPr>
            <w:r>
              <w:t>Duration equivalent to apalutamide PSD, July 2022</w:t>
            </w:r>
            <w:r>
              <w:rPr>
                <w:vertAlign w:val="superscript"/>
              </w:rPr>
              <w:t>b</w:t>
            </w:r>
          </w:p>
        </w:tc>
        <w:tc>
          <w:tcPr>
            <w:tcW w:w="677" w:type="pct"/>
            <w:vMerge w:val="restart"/>
            <w:vAlign w:val="center"/>
          </w:tcPr>
          <w:p w14:paraId="01030FA5" w14:textId="0B97CED1" w:rsidR="00B95305" w:rsidRDefault="00B95305" w:rsidP="00D6184E">
            <w:pPr>
              <w:pStyle w:val="TableText0"/>
              <w:spacing w:line="256" w:lineRule="auto"/>
              <w:jc w:val="center"/>
            </w:pPr>
            <w:r>
              <w:t>Dose (160 mg/day), dose intensity (98.94%), cost per script ($</w:t>
            </w:r>
            <w:r w:rsidR="008D2482" w:rsidRPr="008D2482">
              <w:rPr>
                <w:color w:val="000000"/>
                <w:spacing w:val="158"/>
                <w:shd w:val="solid" w:color="000000" w:fill="000000"/>
                <w:fitText w:val="244" w:id="-1233498364"/>
                <w14:textFill>
                  <w14:solidFill>
                    <w14:srgbClr w14:val="000000">
                      <w14:alpha w14:val="100000"/>
                    </w14:srgbClr>
                  </w14:solidFill>
                </w14:textFill>
              </w:rPr>
              <w:t>|</w:t>
            </w:r>
            <w:r w:rsidR="008D2482" w:rsidRPr="008D2482">
              <w:rPr>
                <w:color w:val="000000"/>
                <w:spacing w:val="1"/>
                <w:shd w:val="solid" w:color="000000" w:fill="000000"/>
                <w:fitText w:val="244" w:id="-1233498364"/>
                <w14:textFill>
                  <w14:solidFill>
                    <w14:srgbClr w14:val="000000">
                      <w14:alpha w14:val="100000"/>
                    </w14:srgbClr>
                  </w14:solidFill>
                </w14:textFill>
              </w:rPr>
              <w:t>|</w:t>
            </w:r>
            <w:r w:rsidR="00AA73B7" w:rsidRPr="00AA73B7">
              <w:t xml:space="preserve"> </w:t>
            </w:r>
            <w:r>
              <w:t>) consistent with the economic model.</w:t>
            </w:r>
          </w:p>
          <w:p w14:paraId="5D85749C" w14:textId="6D7BD0D4" w:rsidR="00B95305" w:rsidRDefault="00B95305" w:rsidP="00D6184E">
            <w:pPr>
              <w:pStyle w:val="TableText0"/>
              <w:spacing w:line="256" w:lineRule="auto"/>
              <w:jc w:val="center"/>
            </w:pPr>
            <w:r>
              <w:t>Duration equivalent to apalutamide PSD, July 2022</w:t>
            </w:r>
            <w:r>
              <w:rPr>
                <w:vertAlign w:val="superscript"/>
              </w:rPr>
              <w:t>b</w:t>
            </w:r>
          </w:p>
        </w:tc>
      </w:tr>
      <w:tr w:rsidR="00B95305" w:rsidRPr="00E2771E" w14:paraId="7C70070C" w14:textId="63D77A83" w:rsidTr="00D6184E">
        <w:trPr>
          <w:cantSplit/>
          <w:trHeight w:val="558"/>
          <w:jc w:val="center"/>
        </w:trPr>
        <w:tc>
          <w:tcPr>
            <w:tcW w:w="795" w:type="pct"/>
            <w:shd w:val="clear" w:color="auto" w:fill="auto"/>
            <w:vAlign w:val="center"/>
          </w:tcPr>
          <w:p w14:paraId="326E0BEA" w14:textId="77777777" w:rsidR="00B95305" w:rsidRPr="00E2771E" w:rsidRDefault="00B95305" w:rsidP="00B95305">
            <w:pPr>
              <w:pStyle w:val="TableText0"/>
              <w:rPr>
                <w:lang w:val="en-US"/>
              </w:rPr>
            </w:pPr>
            <w:r>
              <w:rPr>
                <w:lang w:val="en-US"/>
              </w:rPr>
              <w:t>Cost/patient/month</w:t>
            </w:r>
          </w:p>
        </w:tc>
        <w:tc>
          <w:tcPr>
            <w:tcW w:w="599" w:type="pct"/>
            <w:shd w:val="clear" w:color="auto" w:fill="auto"/>
            <w:vAlign w:val="center"/>
          </w:tcPr>
          <w:p w14:paraId="42CBE4C0" w14:textId="77777777" w:rsidR="00B95305" w:rsidRPr="00B15CB5" w:rsidRDefault="00B95305" w:rsidP="00B95305">
            <w:pPr>
              <w:pStyle w:val="TableText0"/>
              <w:jc w:val="center"/>
            </w:pPr>
            <w:r w:rsidRPr="00B15CB5">
              <w:t>-</w:t>
            </w:r>
          </w:p>
        </w:tc>
        <w:tc>
          <w:tcPr>
            <w:tcW w:w="532" w:type="pct"/>
            <w:shd w:val="clear" w:color="auto" w:fill="auto"/>
            <w:vAlign w:val="center"/>
          </w:tcPr>
          <w:p w14:paraId="2313844D" w14:textId="47AE977B" w:rsidR="00B95305" w:rsidRPr="00B15CB5" w:rsidRDefault="00B95305" w:rsidP="00B95305">
            <w:pPr>
              <w:pStyle w:val="TableText0"/>
              <w:jc w:val="center"/>
            </w:pPr>
            <w:r w:rsidRPr="00B15CB5">
              <w:t>$</w:t>
            </w:r>
            <w:r w:rsidR="008D2482" w:rsidRPr="008D2482">
              <w:rPr>
                <w:color w:val="000000"/>
                <w:spacing w:val="213"/>
                <w:shd w:val="solid" w:color="000000" w:fill="000000"/>
                <w:fitText w:val="299" w:id="-1233498363"/>
                <w14:textFill>
                  <w14:solidFill>
                    <w14:srgbClr w14:val="000000">
                      <w14:alpha w14:val="100000"/>
                    </w14:srgbClr>
                  </w14:solidFill>
                </w14:textFill>
              </w:rPr>
              <w:t>|</w:t>
            </w:r>
            <w:r w:rsidR="008D2482" w:rsidRPr="008D2482">
              <w:rPr>
                <w:color w:val="000000"/>
                <w:spacing w:val="1"/>
                <w:shd w:val="solid" w:color="000000" w:fill="000000"/>
                <w:fitText w:val="299" w:id="-1233498363"/>
                <w14:textFill>
                  <w14:solidFill>
                    <w14:srgbClr w14:val="000000">
                      <w14:alpha w14:val="100000"/>
                    </w14:srgbClr>
                  </w14:solidFill>
                </w14:textFill>
              </w:rPr>
              <w:t>|</w:t>
            </w:r>
            <w:r w:rsidR="00AA73B7" w:rsidRPr="00AA73B7">
              <w:t xml:space="preserve"> </w:t>
            </w:r>
          </w:p>
        </w:tc>
        <w:tc>
          <w:tcPr>
            <w:tcW w:w="533" w:type="pct"/>
            <w:vAlign w:val="center"/>
          </w:tcPr>
          <w:p w14:paraId="4AFA617D" w14:textId="3A927D09" w:rsidR="00B95305" w:rsidRPr="00E2771E" w:rsidRDefault="00B95305" w:rsidP="00B95305">
            <w:pPr>
              <w:pStyle w:val="TableText0"/>
              <w:jc w:val="center"/>
              <w:rPr>
                <w:lang w:val="en-US"/>
              </w:rPr>
            </w:pPr>
            <w:r>
              <w:rPr>
                <w:lang w:val="en-US"/>
              </w:rPr>
              <w:t>$</w:t>
            </w:r>
            <w:r w:rsidR="008D2482" w:rsidRPr="008D2482">
              <w:rPr>
                <w:color w:val="000000"/>
                <w:spacing w:val="213"/>
                <w:shd w:val="solid" w:color="000000" w:fill="000000"/>
                <w:fitText w:val="299" w:id="-1233498362"/>
                <w:lang w:val="en-US"/>
                <w14:textFill>
                  <w14:solidFill>
                    <w14:srgbClr w14:val="000000">
                      <w14:alpha w14:val="100000"/>
                    </w14:srgbClr>
                  </w14:solidFill>
                </w14:textFill>
              </w:rPr>
              <w:t>|</w:t>
            </w:r>
            <w:r w:rsidR="008D2482" w:rsidRPr="008D2482">
              <w:rPr>
                <w:color w:val="000000"/>
                <w:spacing w:val="1"/>
                <w:shd w:val="solid" w:color="000000" w:fill="000000"/>
                <w:fitText w:val="299" w:id="-1233498362"/>
                <w:lang w:val="en-US"/>
                <w14:textFill>
                  <w14:solidFill>
                    <w14:srgbClr w14:val="000000">
                      <w14:alpha w14:val="100000"/>
                    </w14:srgbClr>
                  </w14:solidFill>
                </w14:textFill>
              </w:rPr>
              <w:t>|</w:t>
            </w:r>
            <w:r w:rsidR="00AA73B7" w:rsidRPr="00AA73B7">
              <w:rPr>
                <w:lang w:val="en-US"/>
              </w:rPr>
              <w:t xml:space="preserve"> </w:t>
            </w:r>
          </w:p>
        </w:tc>
        <w:tc>
          <w:tcPr>
            <w:tcW w:w="532" w:type="pct"/>
            <w:vAlign w:val="center"/>
          </w:tcPr>
          <w:p w14:paraId="2DF61C9B" w14:textId="3D68C424" w:rsidR="00B95305" w:rsidRPr="00E2771E" w:rsidRDefault="00B95305" w:rsidP="00D6184E">
            <w:pPr>
              <w:pStyle w:val="TableText0"/>
              <w:jc w:val="center"/>
              <w:rPr>
                <w:lang w:val="en-US"/>
              </w:rPr>
            </w:pPr>
            <w:r>
              <w:rPr>
                <w:lang w:val="en-US"/>
              </w:rPr>
              <w:t>$</w:t>
            </w:r>
            <w:r w:rsidR="008D2482" w:rsidRPr="008D2482">
              <w:rPr>
                <w:color w:val="000000"/>
                <w:spacing w:val="214"/>
                <w:shd w:val="solid" w:color="000000" w:fill="000000"/>
                <w:fitText w:val="300" w:id="-1233498361"/>
                <w:lang w:val="en-US"/>
                <w14:textFill>
                  <w14:solidFill>
                    <w14:srgbClr w14:val="000000">
                      <w14:alpha w14:val="100000"/>
                    </w14:srgbClr>
                  </w14:solidFill>
                </w14:textFill>
              </w:rPr>
              <w:t>|</w:t>
            </w:r>
            <w:r w:rsidR="008D2482" w:rsidRPr="008D2482">
              <w:rPr>
                <w:color w:val="000000"/>
                <w:spacing w:val="1"/>
                <w:shd w:val="solid" w:color="000000" w:fill="000000"/>
                <w:fitText w:val="300" w:id="-1233498361"/>
                <w:lang w:val="en-US"/>
                <w14:textFill>
                  <w14:solidFill>
                    <w14:srgbClr w14:val="000000">
                      <w14:alpha w14:val="100000"/>
                    </w14:srgbClr>
                  </w14:solidFill>
                </w14:textFill>
              </w:rPr>
              <w:t>|</w:t>
            </w:r>
            <w:r w:rsidR="00AA73B7" w:rsidRPr="00AA73B7">
              <w:rPr>
                <w:lang w:val="en-US"/>
              </w:rPr>
              <w:t xml:space="preserve"> </w:t>
            </w:r>
          </w:p>
        </w:tc>
        <w:tc>
          <w:tcPr>
            <w:tcW w:w="669" w:type="pct"/>
            <w:vMerge/>
            <w:shd w:val="clear" w:color="auto" w:fill="auto"/>
            <w:vAlign w:val="center"/>
          </w:tcPr>
          <w:p w14:paraId="3EC73CB0" w14:textId="5DFC2A78" w:rsidR="00B95305" w:rsidRPr="00E2771E" w:rsidRDefault="00B95305" w:rsidP="00B95305">
            <w:pPr>
              <w:pStyle w:val="TableText0"/>
              <w:jc w:val="center"/>
              <w:rPr>
                <w:lang w:val="en-US"/>
              </w:rPr>
            </w:pPr>
          </w:p>
        </w:tc>
        <w:tc>
          <w:tcPr>
            <w:tcW w:w="662" w:type="pct"/>
            <w:vMerge/>
          </w:tcPr>
          <w:p w14:paraId="29FA1783" w14:textId="77777777" w:rsidR="00B95305" w:rsidRPr="00E2771E" w:rsidRDefault="00B95305" w:rsidP="00B95305">
            <w:pPr>
              <w:pStyle w:val="TableText0"/>
              <w:jc w:val="center"/>
              <w:rPr>
                <w:lang w:val="en-US"/>
              </w:rPr>
            </w:pPr>
          </w:p>
        </w:tc>
        <w:tc>
          <w:tcPr>
            <w:tcW w:w="677" w:type="pct"/>
            <w:vMerge/>
          </w:tcPr>
          <w:p w14:paraId="5C83F0F2" w14:textId="77777777" w:rsidR="00B95305" w:rsidRPr="00E2771E" w:rsidRDefault="00B95305" w:rsidP="00B95305">
            <w:pPr>
              <w:pStyle w:val="TableText0"/>
              <w:jc w:val="center"/>
              <w:rPr>
                <w:lang w:val="en-US"/>
              </w:rPr>
            </w:pPr>
          </w:p>
        </w:tc>
      </w:tr>
      <w:tr w:rsidR="00B95305" w:rsidRPr="00E2771E" w14:paraId="09EE9DBE" w14:textId="4CBF4955" w:rsidTr="00D6184E">
        <w:trPr>
          <w:cantSplit/>
          <w:trHeight w:val="688"/>
          <w:jc w:val="center"/>
        </w:trPr>
        <w:tc>
          <w:tcPr>
            <w:tcW w:w="795" w:type="pct"/>
            <w:shd w:val="clear" w:color="auto" w:fill="auto"/>
            <w:vAlign w:val="center"/>
          </w:tcPr>
          <w:p w14:paraId="70CB52C3" w14:textId="77777777" w:rsidR="00B95305" w:rsidRPr="00E2771E" w:rsidRDefault="00B95305" w:rsidP="00B95305">
            <w:pPr>
              <w:pStyle w:val="TableText0"/>
              <w:rPr>
                <w:lang w:val="en-US"/>
              </w:rPr>
            </w:pPr>
            <w:r>
              <w:rPr>
                <w:lang w:val="en-US"/>
              </w:rPr>
              <w:t>Cost/patient/ course</w:t>
            </w:r>
          </w:p>
        </w:tc>
        <w:tc>
          <w:tcPr>
            <w:tcW w:w="599" w:type="pct"/>
            <w:shd w:val="clear" w:color="auto" w:fill="auto"/>
            <w:vAlign w:val="center"/>
          </w:tcPr>
          <w:p w14:paraId="43330956" w14:textId="77777777" w:rsidR="00B95305" w:rsidRPr="00B15CB5" w:rsidRDefault="00B95305" w:rsidP="00B95305">
            <w:pPr>
              <w:pStyle w:val="TableText0"/>
              <w:jc w:val="center"/>
            </w:pPr>
            <w:r w:rsidRPr="00B15CB5">
              <w:t>-</w:t>
            </w:r>
          </w:p>
        </w:tc>
        <w:tc>
          <w:tcPr>
            <w:tcW w:w="532" w:type="pct"/>
            <w:shd w:val="clear" w:color="auto" w:fill="auto"/>
            <w:vAlign w:val="center"/>
          </w:tcPr>
          <w:p w14:paraId="17FA03E2" w14:textId="28288C18" w:rsidR="00B95305" w:rsidRPr="00B15CB5" w:rsidRDefault="00B95305" w:rsidP="00B95305">
            <w:pPr>
              <w:pStyle w:val="TableText0"/>
              <w:jc w:val="center"/>
            </w:pPr>
            <w:r w:rsidRPr="00B15CB5">
              <w:t>$</w:t>
            </w:r>
            <w:r w:rsidR="008D2482" w:rsidRPr="008D2482">
              <w:rPr>
                <w:color w:val="000000"/>
                <w:spacing w:val="213"/>
                <w:shd w:val="solid" w:color="000000" w:fill="000000"/>
                <w:fitText w:val="299" w:id="-1233498360"/>
                <w14:textFill>
                  <w14:solidFill>
                    <w14:srgbClr w14:val="000000">
                      <w14:alpha w14:val="100000"/>
                    </w14:srgbClr>
                  </w14:solidFill>
                </w14:textFill>
              </w:rPr>
              <w:t>|</w:t>
            </w:r>
            <w:r w:rsidR="008D2482" w:rsidRPr="008D2482">
              <w:rPr>
                <w:color w:val="000000"/>
                <w:spacing w:val="1"/>
                <w:shd w:val="solid" w:color="000000" w:fill="000000"/>
                <w:fitText w:val="299" w:id="-1233498360"/>
                <w14:textFill>
                  <w14:solidFill>
                    <w14:srgbClr w14:val="000000">
                      <w14:alpha w14:val="100000"/>
                    </w14:srgbClr>
                  </w14:solidFill>
                </w14:textFill>
              </w:rPr>
              <w:t>|</w:t>
            </w:r>
            <w:r w:rsidR="00AA73B7" w:rsidRPr="00AA73B7">
              <w:t xml:space="preserve"> </w:t>
            </w:r>
          </w:p>
        </w:tc>
        <w:tc>
          <w:tcPr>
            <w:tcW w:w="533" w:type="pct"/>
            <w:vAlign w:val="center"/>
          </w:tcPr>
          <w:p w14:paraId="3C1D3BB7" w14:textId="463F3198" w:rsidR="00B95305" w:rsidRPr="00E2771E" w:rsidRDefault="00B95305" w:rsidP="00B95305">
            <w:pPr>
              <w:pStyle w:val="TableText0"/>
              <w:jc w:val="center"/>
              <w:rPr>
                <w:lang w:val="en-US"/>
              </w:rPr>
            </w:pPr>
            <w:r>
              <w:rPr>
                <w:lang w:val="en-US"/>
              </w:rPr>
              <w:t>$</w:t>
            </w:r>
            <w:r w:rsidR="008D2482" w:rsidRPr="008D2482">
              <w:rPr>
                <w:color w:val="000000"/>
                <w:spacing w:val="213"/>
                <w:shd w:val="solid" w:color="000000" w:fill="000000"/>
                <w:fitText w:val="299" w:id="-1233498359"/>
                <w:lang w:val="en-US"/>
                <w14:textFill>
                  <w14:solidFill>
                    <w14:srgbClr w14:val="000000">
                      <w14:alpha w14:val="100000"/>
                    </w14:srgbClr>
                  </w14:solidFill>
                </w14:textFill>
              </w:rPr>
              <w:t>|</w:t>
            </w:r>
            <w:r w:rsidR="008D2482" w:rsidRPr="008D2482">
              <w:rPr>
                <w:color w:val="000000"/>
                <w:spacing w:val="1"/>
                <w:shd w:val="solid" w:color="000000" w:fill="000000"/>
                <w:fitText w:val="299" w:id="-1233498359"/>
                <w:lang w:val="en-US"/>
                <w14:textFill>
                  <w14:solidFill>
                    <w14:srgbClr w14:val="000000">
                      <w14:alpha w14:val="100000"/>
                    </w14:srgbClr>
                  </w14:solidFill>
                </w14:textFill>
              </w:rPr>
              <w:t>|</w:t>
            </w:r>
            <w:r w:rsidR="00AA73B7" w:rsidRPr="00AA73B7">
              <w:rPr>
                <w:lang w:val="en-US"/>
              </w:rPr>
              <w:t xml:space="preserve"> </w:t>
            </w:r>
          </w:p>
        </w:tc>
        <w:tc>
          <w:tcPr>
            <w:tcW w:w="532" w:type="pct"/>
            <w:vAlign w:val="center"/>
          </w:tcPr>
          <w:p w14:paraId="7B25707B" w14:textId="56B3F13C" w:rsidR="00B95305" w:rsidRPr="00E2771E" w:rsidRDefault="00D6184E" w:rsidP="00D6184E">
            <w:pPr>
              <w:pStyle w:val="TableText0"/>
              <w:jc w:val="center"/>
              <w:rPr>
                <w:lang w:val="en-US"/>
              </w:rPr>
            </w:pPr>
            <w:r>
              <w:rPr>
                <w:lang w:val="en-US"/>
              </w:rPr>
              <w:t>$</w:t>
            </w:r>
            <w:r w:rsidR="008D2482" w:rsidRPr="008D2482">
              <w:rPr>
                <w:color w:val="000000"/>
                <w:spacing w:val="214"/>
                <w:shd w:val="solid" w:color="000000" w:fill="000000"/>
                <w:fitText w:val="300" w:id="-1233498358"/>
                <w:lang w:val="en-US"/>
                <w14:textFill>
                  <w14:solidFill>
                    <w14:srgbClr w14:val="000000">
                      <w14:alpha w14:val="100000"/>
                    </w14:srgbClr>
                  </w14:solidFill>
                </w14:textFill>
              </w:rPr>
              <w:t>|</w:t>
            </w:r>
            <w:r w:rsidR="008D2482" w:rsidRPr="008D2482">
              <w:rPr>
                <w:color w:val="000000"/>
                <w:spacing w:val="1"/>
                <w:shd w:val="solid" w:color="000000" w:fill="000000"/>
                <w:fitText w:val="300" w:id="-1233498358"/>
                <w:lang w:val="en-US"/>
                <w14:textFill>
                  <w14:solidFill>
                    <w14:srgbClr w14:val="000000">
                      <w14:alpha w14:val="100000"/>
                    </w14:srgbClr>
                  </w14:solidFill>
                </w14:textFill>
              </w:rPr>
              <w:t>|</w:t>
            </w:r>
            <w:r w:rsidR="00AA73B7" w:rsidRPr="00AA73B7">
              <w:rPr>
                <w:lang w:val="en-US"/>
              </w:rPr>
              <w:t xml:space="preserve"> </w:t>
            </w:r>
          </w:p>
        </w:tc>
        <w:tc>
          <w:tcPr>
            <w:tcW w:w="669" w:type="pct"/>
            <w:vMerge/>
            <w:shd w:val="clear" w:color="auto" w:fill="auto"/>
            <w:vAlign w:val="center"/>
          </w:tcPr>
          <w:p w14:paraId="6D73AE32" w14:textId="55B42612" w:rsidR="00B95305" w:rsidRPr="00E2771E" w:rsidRDefault="00B95305" w:rsidP="00B95305">
            <w:pPr>
              <w:pStyle w:val="TableText0"/>
              <w:jc w:val="center"/>
              <w:rPr>
                <w:lang w:val="en-US"/>
              </w:rPr>
            </w:pPr>
          </w:p>
        </w:tc>
        <w:tc>
          <w:tcPr>
            <w:tcW w:w="662" w:type="pct"/>
            <w:vMerge/>
          </w:tcPr>
          <w:p w14:paraId="06610FB8" w14:textId="77777777" w:rsidR="00B95305" w:rsidRPr="00E2771E" w:rsidRDefault="00B95305" w:rsidP="00B95305">
            <w:pPr>
              <w:pStyle w:val="TableText0"/>
              <w:jc w:val="center"/>
              <w:rPr>
                <w:lang w:val="en-US"/>
              </w:rPr>
            </w:pPr>
          </w:p>
        </w:tc>
        <w:tc>
          <w:tcPr>
            <w:tcW w:w="677" w:type="pct"/>
            <w:vMerge/>
          </w:tcPr>
          <w:p w14:paraId="616D1E6A" w14:textId="77777777" w:rsidR="00B95305" w:rsidRPr="00E2771E" w:rsidRDefault="00B95305" w:rsidP="00B95305">
            <w:pPr>
              <w:pStyle w:val="TableText0"/>
              <w:jc w:val="center"/>
              <w:rPr>
                <w:lang w:val="en-US"/>
              </w:rPr>
            </w:pPr>
          </w:p>
        </w:tc>
      </w:tr>
    </w:tbl>
    <w:p w14:paraId="222632F4" w14:textId="0FD1772B" w:rsidR="00A01891" w:rsidRDefault="00A01891" w:rsidP="00A01891">
      <w:pPr>
        <w:pStyle w:val="FooterTableFigure"/>
      </w:pPr>
      <w:r w:rsidRPr="007F1017">
        <w:t>Source:</w:t>
      </w:r>
      <w:r>
        <w:t xml:space="preserve"> </w:t>
      </w:r>
      <w:r w:rsidRPr="00F32398">
        <w:t>compiled during the evaluation</w:t>
      </w:r>
    </w:p>
    <w:p w14:paraId="71D56052" w14:textId="244B5C4F" w:rsidR="00A902CC" w:rsidRPr="00F32398" w:rsidRDefault="00A902CC" w:rsidP="00A01891">
      <w:pPr>
        <w:pStyle w:val="FooterTableFigure"/>
      </w:pPr>
      <w:r>
        <w:t>HV = high volume; KM = Kaplan Meier; LV = low volume; TTD = time to treatment discontinuation</w:t>
      </w:r>
    </w:p>
    <w:p w14:paraId="2E7D8592" w14:textId="2CCCB92D" w:rsidR="00A01891" w:rsidRDefault="00A01891" w:rsidP="00A01891">
      <w:pPr>
        <w:pStyle w:val="FooterTableFigure"/>
      </w:pPr>
      <w:r>
        <w:t>a</w:t>
      </w:r>
      <w:r>
        <w:tab/>
        <w:t>prescribed dose of 160mg/day adjusted for 98.94% dose intensity from ARCHES</w:t>
      </w:r>
    </w:p>
    <w:p w14:paraId="2079FE18" w14:textId="2B14A33A" w:rsidR="00A01891" w:rsidRDefault="00A902CC" w:rsidP="00A01891">
      <w:pPr>
        <w:pStyle w:val="FooterTableFigure"/>
      </w:pPr>
      <w:r>
        <w:t>b From Table 15 of the apalutamide PSD, applying the weighted average of the HV and LV subgroups</w:t>
      </w:r>
    </w:p>
    <w:p w14:paraId="71DE6335" w14:textId="77777777" w:rsidR="009E1CDB" w:rsidRPr="00C9624D" w:rsidRDefault="009E1CDB" w:rsidP="009E1CDB">
      <w:pPr>
        <w:pStyle w:val="4-SubsectionHeading"/>
      </w:pPr>
      <w:bookmarkStart w:id="68" w:name="_Toc124322779"/>
      <w:bookmarkStart w:id="69" w:name="_Toc124324282"/>
      <w:bookmarkStart w:id="70" w:name="_Toc124862876"/>
      <w:bookmarkEnd w:id="67"/>
      <w:r w:rsidRPr="00C9624D">
        <w:t>Estimated PBS usage &amp; financial implications</w:t>
      </w:r>
      <w:bookmarkEnd w:id="68"/>
      <w:bookmarkEnd w:id="69"/>
      <w:bookmarkEnd w:id="70"/>
    </w:p>
    <w:p w14:paraId="6FAFE1A6" w14:textId="63813940" w:rsidR="00A01891" w:rsidRDefault="00A01891" w:rsidP="00A01891">
      <w:pPr>
        <w:pStyle w:val="3-BodyText"/>
        <w:ind w:left="709" w:hanging="709"/>
      </w:pPr>
      <w:r w:rsidRPr="004E4523">
        <w:t xml:space="preserve">This submission </w:t>
      </w:r>
      <w:r w:rsidR="003330C9">
        <w:t>was</w:t>
      </w:r>
      <w:r w:rsidRPr="004E4523">
        <w:t xml:space="preserve"> not considered by DUSC. The submission applied an epidemiological approach to the financial estimates, based on the July 2022 apalutamide resubmission for mHSPC. Detail of the approach is outlined in </w:t>
      </w:r>
      <w:r w:rsidRPr="004E4523">
        <w:fldChar w:fldCharType="begin"/>
      </w:r>
      <w:r w:rsidRPr="004E4523">
        <w:instrText xml:space="preserve"> REF _Ref124322823 </w:instrText>
      </w:r>
      <w:r>
        <w:instrText xml:space="preserve"> \* MERGEFORMAT </w:instrText>
      </w:r>
      <w:r w:rsidRPr="004E4523">
        <w:fldChar w:fldCharType="separate"/>
      </w:r>
      <w:r w:rsidR="00307E3A" w:rsidRPr="00307E3A">
        <w:t>Table 13</w:t>
      </w:r>
      <w:r w:rsidRPr="004E4523">
        <w:fldChar w:fldCharType="end"/>
      </w:r>
      <w:r w:rsidRPr="004E4523">
        <w:t>.</w:t>
      </w:r>
    </w:p>
    <w:p w14:paraId="7FC4D392" w14:textId="4B9E2F12" w:rsidR="00A01891" w:rsidRPr="007925DF" w:rsidRDefault="00A01891" w:rsidP="004901F0">
      <w:pPr>
        <w:pStyle w:val="Caption"/>
        <w:rPr>
          <w:rStyle w:val="CommentReference"/>
          <w:b/>
          <w:szCs w:val="24"/>
        </w:rPr>
      </w:pPr>
      <w:bookmarkStart w:id="71" w:name="_Ref124322823"/>
      <w:r w:rsidRPr="00656188">
        <w:rPr>
          <w:rStyle w:val="CommentReference"/>
          <w:b/>
          <w:szCs w:val="24"/>
        </w:rPr>
        <w:t xml:space="preserve">Table </w:t>
      </w:r>
      <w:r>
        <w:rPr>
          <w:rStyle w:val="CommentReference"/>
          <w:b/>
          <w:szCs w:val="24"/>
        </w:rPr>
        <w:fldChar w:fldCharType="begin"/>
      </w:r>
      <w:r>
        <w:rPr>
          <w:rStyle w:val="CommentReference"/>
          <w:b/>
          <w:szCs w:val="24"/>
        </w:rPr>
        <w:instrText xml:space="preserve"> SEQ Table \* ARABIC </w:instrText>
      </w:r>
      <w:r>
        <w:rPr>
          <w:rStyle w:val="CommentReference"/>
          <w:b/>
          <w:szCs w:val="24"/>
        </w:rPr>
        <w:fldChar w:fldCharType="separate"/>
      </w:r>
      <w:r w:rsidR="00307E3A">
        <w:rPr>
          <w:rStyle w:val="CommentReference"/>
          <w:b/>
          <w:noProof/>
          <w:szCs w:val="24"/>
        </w:rPr>
        <w:t>13</w:t>
      </w:r>
      <w:r>
        <w:rPr>
          <w:rStyle w:val="CommentReference"/>
          <w:b/>
          <w:szCs w:val="24"/>
        </w:rPr>
        <w:fldChar w:fldCharType="end"/>
      </w:r>
      <w:bookmarkEnd w:id="71"/>
      <w:r w:rsidRPr="00656188">
        <w:rPr>
          <w:rStyle w:val="CommentReference"/>
          <w:b/>
          <w:szCs w:val="24"/>
        </w:rPr>
        <w:t xml:space="preserve">: </w:t>
      </w:r>
      <w:r w:rsidRPr="005E1708">
        <w:rPr>
          <w:rStyle w:val="CommentReference"/>
          <w:b/>
          <w:szCs w:val="24"/>
        </w:rPr>
        <w:t>Data sources and parameter values applied in the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1"/>
        <w:gridCol w:w="433"/>
        <w:gridCol w:w="806"/>
        <w:gridCol w:w="529"/>
        <w:gridCol w:w="711"/>
        <w:gridCol w:w="2780"/>
        <w:gridCol w:w="2597"/>
      </w:tblGrid>
      <w:tr w:rsidR="00A01891" w:rsidRPr="003330C9" w14:paraId="60D4E1A7" w14:textId="77777777" w:rsidTr="004901F0">
        <w:trPr>
          <w:cantSplit/>
          <w:tblHeader/>
        </w:trPr>
        <w:tc>
          <w:tcPr>
            <w:tcW w:w="1211" w:type="dxa"/>
            <w:vAlign w:val="center"/>
          </w:tcPr>
          <w:p w14:paraId="3CF571B0" w14:textId="77777777" w:rsidR="00A01891" w:rsidRPr="0075485D" w:rsidRDefault="00A01891" w:rsidP="004901F0">
            <w:pPr>
              <w:pStyle w:val="Tabletext"/>
              <w:keepNext/>
              <w:keepLines/>
              <w:rPr>
                <w:b/>
                <w:bCs/>
              </w:rPr>
            </w:pPr>
            <w:r w:rsidRPr="0075485D">
              <w:rPr>
                <w:b/>
                <w:bCs/>
              </w:rPr>
              <w:t>Data</w:t>
            </w:r>
          </w:p>
        </w:tc>
        <w:tc>
          <w:tcPr>
            <w:tcW w:w="2479" w:type="dxa"/>
            <w:gridSpan w:val="4"/>
            <w:vAlign w:val="center"/>
          </w:tcPr>
          <w:p w14:paraId="2F174B46" w14:textId="77777777" w:rsidR="00A01891" w:rsidRPr="0075485D" w:rsidRDefault="00A01891" w:rsidP="004901F0">
            <w:pPr>
              <w:pStyle w:val="Tabletext"/>
              <w:keepNext/>
              <w:keepLines/>
              <w:jc w:val="center"/>
              <w:rPr>
                <w:b/>
                <w:bCs/>
              </w:rPr>
            </w:pPr>
            <w:r w:rsidRPr="0075485D">
              <w:rPr>
                <w:b/>
                <w:bCs/>
              </w:rPr>
              <w:t>Value</w:t>
            </w:r>
          </w:p>
        </w:tc>
        <w:tc>
          <w:tcPr>
            <w:tcW w:w="2780" w:type="dxa"/>
            <w:vAlign w:val="center"/>
          </w:tcPr>
          <w:p w14:paraId="2BAF8A35" w14:textId="77777777" w:rsidR="00A01891" w:rsidRPr="0075485D" w:rsidRDefault="00A01891" w:rsidP="004901F0">
            <w:pPr>
              <w:pStyle w:val="Tabletext"/>
              <w:keepNext/>
              <w:keepLines/>
              <w:jc w:val="center"/>
              <w:rPr>
                <w:b/>
                <w:bCs/>
              </w:rPr>
            </w:pPr>
            <w:r w:rsidRPr="0075485D">
              <w:rPr>
                <w:b/>
                <w:bCs/>
              </w:rPr>
              <w:t>Source</w:t>
            </w:r>
          </w:p>
        </w:tc>
        <w:tc>
          <w:tcPr>
            <w:tcW w:w="2597" w:type="dxa"/>
            <w:vAlign w:val="center"/>
          </w:tcPr>
          <w:p w14:paraId="0855DB90" w14:textId="77777777" w:rsidR="00A01891" w:rsidRPr="0075485D" w:rsidRDefault="00A01891" w:rsidP="004901F0">
            <w:pPr>
              <w:pStyle w:val="Tabletext"/>
              <w:keepNext/>
              <w:keepLines/>
              <w:jc w:val="center"/>
              <w:rPr>
                <w:b/>
                <w:bCs/>
              </w:rPr>
            </w:pPr>
            <w:r w:rsidRPr="0075485D">
              <w:rPr>
                <w:b/>
                <w:bCs/>
              </w:rPr>
              <w:t>Comment</w:t>
            </w:r>
          </w:p>
        </w:tc>
      </w:tr>
      <w:tr w:rsidR="00A01891" w:rsidRPr="003330C9" w14:paraId="281C4DA0" w14:textId="77777777" w:rsidTr="004901F0">
        <w:trPr>
          <w:cantSplit/>
        </w:trPr>
        <w:tc>
          <w:tcPr>
            <w:tcW w:w="9067" w:type="dxa"/>
            <w:gridSpan w:val="7"/>
            <w:vAlign w:val="center"/>
          </w:tcPr>
          <w:p w14:paraId="61E1A24D" w14:textId="77777777" w:rsidR="00A01891" w:rsidRPr="0075485D" w:rsidRDefault="00A01891" w:rsidP="004901F0">
            <w:pPr>
              <w:pStyle w:val="Tabletext"/>
              <w:keepNext/>
              <w:keepLines/>
              <w:rPr>
                <w:b/>
                <w:bCs/>
              </w:rPr>
            </w:pPr>
            <w:r w:rsidRPr="0075485D">
              <w:rPr>
                <w:b/>
                <w:bCs/>
              </w:rPr>
              <w:t>Eligible population</w:t>
            </w:r>
          </w:p>
        </w:tc>
      </w:tr>
      <w:tr w:rsidR="00A01891" w:rsidRPr="003330C9" w14:paraId="3C8F13D4" w14:textId="77777777" w:rsidTr="009E1CDB">
        <w:trPr>
          <w:cantSplit/>
        </w:trPr>
        <w:tc>
          <w:tcPr>
            <w:tcW w:w="1211" w:type="dxa"/>
          </w:tcPr>
          <w:p w14:paraId="60DAAAF2" w14:textId="77777777" w:rsidR="00A01891" w:rsidRPr="0075485D" w:rsidRDefault="00A01891" w:rsidP="009E1CDB">
            <w:pPr>
              <w:pStyle w:val="Tabletext"/>
              <w:keepNext/>
              <w:keepLines/>
            </w:pPr>
            <w:r w:rsidRPr="0075485D">
              <w:t>Proportion of HV patients ineligible for chemotherapy; ineligible for docetaxel</w:t>
            </w:r>
          </w:p>
        </w:tc>
        <w:tc>
          <w:tcPr>
            <w:tcW w:w="2479" w:type="dxa"/>
            <w:gridSpan w:val="4"/>
            <w:tcBorders>
              <w:bottom w:val="single" w:sz="4" w:space="0" w:color="auto"/>
            </w:tcBorders>
          </w:tcPr>
          <w:p w14:paraId="3FDCEC1E" w14:textId="77777777" w:rsidR="00A01891" w:rsidRPr="0075485D" w:rsidRDefault="00A01891" w:rsidP="009E1CDB">
            <w:pPr>
              <w:pStyle w:val="Tabletext"/>
              <w:keepNext/>
              <w:keepLines/>
              <w:jc w:val="center"/>
            </w:pPr>
            <w:r w:rsidRPr="0075485D">
              <w:t>25%</w:t>
            </w:r>
          </w:p>
        </w:tc>
        <w:tc>
          <w:tcPr>
            <w:tcW w:w="2780" w:type="dxa"/>
          </w:tcPr>
          <w:p w14:paraId="195B0B73" w14:textId="18D6DE7B" w:rsidR="00A01891" w:rsidRPr="0075485D" w:rsidRDefault="00A01891" w:rsidP="009E1CDB">
            <w:pPr>
              <w:pStyle w:val="Tabletext"/>
              <w:keepNext/>
              <w:keepLines/>
            </w:pPr>
            <w:r w:rsidRPr="0075485D">
              <w:rPr>
                <w:rFonts w:cstheme="minorHAnsi"/>
              </w:rPr>
              <w:t xml:space="preserve">Based on the apalutamide </w:t>
            </w:r>
            <w:r w:rsidR="00502B19">
              <w:rPr>
                <w:rFonts w:cstheme="minorHAnsi"/>
              </w:rPr>
              <w:t>mHSPC July 2022 PSD.</w:t>
            </w:r>
            <w:r w:rsidRPr="0075485D">
              <w:rPr>
                <w:rFonts w:cstheme="minorHAnsi"/>
              </w:rPr>
              <w:t xml:space="preserve"> </w:t>
            </w:r>
          </w:p>
        </w:tc>
        <w:tc>
          <w:tcPr>
            <w:tcW w:w="2597" w:type="dxa"/>
          </w:tcPr>
          <w:p w14:paraId="54D2F85E" w14:textId="77777777" w:rsidR="00A01891" w:rsidRPr="0075485D" w:rsidRDefault="00A01891" w:rsidP="009E1CDB">
            <w:pPr>
              <w:pStyle w:val="Tabletext"/>
              <w:keepNext/>
              <w:keepLines/>
            </w:pPr>
            <w:r w:rsidRPr="0075485D">
              <w:t>Corresponds to PBAC recommendation for apalutamide.</w:t>
            </w:r>
          </w:p>
        </w:tc>
      </w:tr>
      <w:tr w:rsidR="00A01891" w:rsidRPr="003330C9" w14:paraId="26940AF2" w14:textId="77777777" w:rsidTr="009E1CDB">
        <w:trPr>
          <w:cantSplit/>
        </w:trPr>
        <w:tc>
          <w:tcPr>
            <w:tcW w:w="1211" w:type="dxa"/>
          </w:tcPr>
          <w:p w14:paraId="57F87226" w14:textId="77777777" w:rsidR="00A01891" w:rsidRPr="0075485D" w:rsidRDefault="00A01891" w:rsidP="009E1CDB">
            <w:pPr>
              <w:pStyle w:val="Tabletext"/>
            </w:pPr>
            <w:r w:rsidRPr="0075485D">
              <w:t>Incident mHSPC patients - all</w:t>
            </w:r>
          </w:p>
        </w:tc>
        <w:tc>
          <w:tcPr>
            <w:tcW w:w="433" w:type="dxa"/>
            <w:tcBorders>
              <w:bottom w:val="single" w:sz="4" w:space="0" w:color="auto"/>
              <w:right w:val="nil"/>
            </w:tcBorders>
          </w:tcPr>
          <w:p w14:paraId="163DF28C" w14:textId="77777777" w:rsidR="009E1CDB" w:rsidRPr="0075485D" w:rsidRDefault="009E1CDB" w:rsidP="009E1CDB">
            <w:pPr>
              <w:pStyle w:val="Tabletext"/>
              <w:jc w:val="center"/>
            </w:pPr>
          </w:p>
          <w:p w14:paraId="713FF63E" w14:textId="43EA8004" w:rsidR="00A01891" w:rsidRPr="0075485D" w:rsidRDefault="00A01891" w:rsidP="009E1CDB">
            <w:pPr>
              <w:pStyle w:val="Tabletext"/>
              <w:jc w:val="center"/>
            </w:pPr>
            <w:r w:rsidRPr="0075485D">
              <w:t>Yr 1</w:t>
            </w:r>
            <w:r w:rsidR="009E1CDB" w:rsidRPr="0075485D">
              <w:t>:</w:t>
            </w:r>
          </w:p>
          <w:p w14:paraId="3DD68B94" w14:textId="12378F67" w:rsidR="00A01891" w:rsidRPr="0075485D" w:rsidRDefault="00A01891" w:rsidP="009E1CDB">
            <w:pPr>
              <w:pStyle w:val="Tabletext"/>
              <w:jc w:val="center"/>
            </w:pPr>
            <w:r w:rsidRPr="0075485D">
              <w:t>Yr 2</w:t>
            </w:r>
            <w:r w:rsidR="009E1CDB" w:rsidRPr="0075485D">
              <w:t>:</w:t>
            </w:r>
          </w:p>
          <w:p w14:paraId="6AB58BB3" w14:textId="78852F24" w:rsidR="00A01891" w:rsidRPr="0075485D" w:rsidRDefault="00A01891" w:rsidP="009E1CDB">
            <w:pPr>
              <w:pStyle w:val="Tabletext"/>
              <w:jc w:val="center"/>
            </w:pPr>
            <w:r w:rsidRPr="0075485D">
              <w:t>Yr 3</w:t>
            </w:r>
            <w:r w:rsidR="009E1CDB" w:rsidRPr="0075485D">
              <w:t>:</w:t>
            </w:r>
          </w:p>
          <w:p w14:paraId="51BD312F" w14:textId="286E7848" w:rsidR="00A01891" w:rsidRPr="0075485D" w:rsidRDefault="00A01891" w:rsidP="009E1CDB">
            <w:pPr>
              <w:pStyle w:val="Tabletext"/>
              <w:jc w:val="center"/>
            </w:pPr>
            <w:r w:rsidRPr="0075485D">
              <w:t>Yr 4</w:t>
            </w:r>
            <w:r w:rsidR="009E1CDB" w:rsidRPr="0075485D">
              <w:t>:</w:t>
            </w:r>
          </w:p>
          <w:p w14:paraId="6214CC23" w14:textId="310933E7" w:rsidR="00A01891" w:rsidRPr="0075485D" w:rsidRDefault="00A01891" w:rsidP="009E1CDB">
            <w:pPr>
              <w:pStyle w:val="Tabletext"/>
              <w:jc w:val="center"/>
            </w:pPr>
            <w:r w:rsidRPr="0075485D">
              <w:t>Yr 5</w:t>
            </w:r>
            <w:r w:rsidR="009E1CDB" w:rsidRPr="0075485D">
              <w:t>:</w:t>
            </w:r>
          </w:p>
          <w:p w14:paraId="52E8426A" w14:textId="49190547" w:rsidR="00A01891" w:rsidRPr="0075485D" w:rsidRDefault="00A01891" w:rsidP="009E1CDB">
            <w:pPr>
              <w:pStyle w:val="Tabletext"/>
              <w:jc w:val="center"/>
            </w:pPr>
            <w:r w:rsidRPr="0075485D">
              <w:t>Yr 6</w:t>
            </w:r>
            <w:r w:rsidR="009E1CDB" w:rsidRPr="0075485D">
              <w:t>:</w:t>
            </w:r>
          </w:p>
        </w:tc>
        <w:tc>
          <w:tcPr>
            <w:tcW w:w="806" w:type="dxa"/>
            <w:tcBorders>
              <w:left w:val="nil"/>
              <w:bottom w:val="single" w:sz="4" w:space="0" w:color="auto"/>
              <w:right w:val="nil"/>
            </w:tcBorders>
          </w:tcPr>
          <w:p w14:paraId="3348C555" w14:textId="77777777" w:rsidR="00A01891" w:rsidRPr="0075485D" w:rsidRDefault="00A01891" w:rsidP="009E1CDB">
            <w:pPr>
              <w:pStyle w:val="Tabletext"/>
              <w:jc w:val="center"/>
              <w:rPr>
                <w:u w:val="single"/>
              </w:rPr>
            </w:pPr>
            <w:r w:rsidRPr="0075485D">
              <w:rPr>
                <w:u w:val="single"/>
              </w:rPr>
              <w:t>LV</w:t>
            </w:r>
          </w:p>
          <w:p w14:paraId="0E71012E" w14:textId="059852FF" w:rsidR="00AA73B7" w:rsidRPr="00AA73B7" w:rsidRDefault="008D2482" w:rsidP="009E1CDB">
            <w:pPr>
              <w:pStyle w:val="Tabletext"/>
              <w:jc w:val="center"/>
            </w:pPr>
            <w:r w:rsidRPr="008D2482">
              <w:rPr>
                <w:color w:val="000000"/>
                <w:spacing w:val="75"/>
                <w:shd w:val="solid" w:color="000000" w:fill="000000"/>
                <w:fitText w:val="398" w:id="-1233498357"/>
                <w14:textFill>
                  <w14:solidFill>
                    <w14:srgbClr w14:val="000000">
                      <w14:alpha w14:val="100000"/>
                    </w14:srgbClr>
                  </w14:solidFill>
                </w14:textFill>
              </w:rPr>
              <w:t>|||</w:t>
            </w:r>
            <w:r w:rsidRPr="008D2482">
              <w:rPr>
                <w:color w:val="000000"/>
                <w:spacing w:val="3"/>
                <w:shd w:val="solid" w:color="000000" w:fill="000000"/>
                <w:fitText w:val="398" w:id="-1233498357"/>
                <w14:textFill>
                  <w14:solidFill>
                    <w14:srgbClr w14:val="000000">
                      <w14:alpha w14:val="100000"/>
                    </w14:srgbClr>
                  </w14:solidFill>
                </w14:textFill>
              </w:rPr>
              <w:t>|</w:t>
            </w:r>
            <w:r w:rsidR="00AA73B7" w:rsidRPr="00AA73B7">
              <w:t xml:space="preserve"> </w:t>
            </w:r>
            <w:r w:rsidR="009800DE" w:rsidRPr="009800DE">
              <w:rPr>
                <w:vertAlign w:val="superscript"/>
              </w:rPr>
              <w:t>1</w:t>
            </w:r>
          </w:p>
          <w:p w14:paraId="5B281BE7" w14:textId="3B59082A" w:rsidR="00AA73B7" w:rsidRPr="00AA73B7" w:rsidRDefault="008D2482" w:rsidP="009E1CDB">
            <w:pPr>
              <w:pStyle w:val="Tabletext"/>
              <w:jc w:val="center"/>
            </w:pPr>
            <w:r w:rsidRPr="008D2482">
              <w:rPr>
                <w:color w:val="000000"/>
                <w:spacing w:val="75"/>
                <w:shd w:val="solid" w:color="000000" w:fill="000000"/>
                <w:fitText w:val="398" w:id="-1233498356"/>
                <w14:textFill>
                  <w14:solidFill>
                    <w14:srgbClr w14:val="000000">
                      <w14:alpha w14:val="100000"/>
                    </w14:srgbClr>
                  </w14:solidFill>
                </w14:textFill>
              </w:rPr>
              <w:t>|||</w:t>
            </w:r>
            <w:r w:rsidRPr="008D2482">
              <w:rPr>
                <w:color w:val="000000"/>
                <w:spacing w:val="3"/>
                <w:shd w:val="solid" w:color="000000" w:fill="000000"/>
                <w:fitText w:val="398" w:id="-1233498356"/>
                <w14:textFill>
                  <w14:solidFill>
                    <w14:srgbClr w14:val="000000">
                      <w14:alpha w14:val="100000"/>
                    </w14:srgbClr>
                  </w14:solidFill>
                </w14:textFill>
              </w:rPr>
              <w:t>|</w:t>
            </w:r>
            <w:r w:rsidR="00AA73B7" w:rsidRPr="00AA73B7">
              <w:t xml:space="preserve"> </w:t>
            </w:r>
            <w:r w:rsidR="009800DE" w:rsidRPr="009800DE">
              <w:rPr>
                <w:vertAlign w:val="superscript"/>
              </w:rPr>
              <w:t>1</w:t>
            </w:r>
          </w:p>
          <w:p w14:paraId="5ED3E03A" w14:textId="10C1515B" w:rsidR="00AA73B7" w:rsidRPr="00AA73B7" w:rsidRDefault="008D2482" w:rsidP="009E1CDB">
            <w:pPr>
              <w:pStyle w:val="Tabletext"/>
              <w:jc w:val="center"/>
            </w:pPr>
            <w:r w:rsidRPr="008D2482">
              <w:rPr>
                <w:color w:val="000000"/>
                <w:spacing w:val="75"/>
                <w:shd w:val="solid" w:color="000000" w:fill="000000"/>
                <w:fitText w:val="398" w:id="-1233498355"/>
                <w14:textFill>
                  <w14:solidFill>
                    <w14:srgbClr w14:val="000000">
                      <w14:alpha w14:val="100000"/>
                    </w14:srgbClr>
                  </w14:solidFill>
                </w14:textFill>
              </w:rPr>
              <w:t>|||</w:t>
            </w:r>
            <w:r w:rsidRPr="008D2482">
              <w:rPr>
                <w:color w:val="000000"/>
                <w:spacing w:val="3"/>
                <w:shd w:val="solid" w:color="000000" w:fill="000000"/>
                <w:fitText w:val="398" w:id="-1233498355"/>
                <w14:textFill>
                  <w14:solidFill>
                    <w14:srgbClr w14:val="000000">
                      <w14:alpha w14:val="100000"/>
                    </w14:srgbClr>
                  </w14:solidFill>
                </w14:textFill>
              </w:rPr>
              <w:t>|</w:t>
            </w:r>
            <w:r w:rsidR="00AA73B7" w:rsidRPr="00AA73B7">
              <w:t xml:space="preserve"> </w:t>
            </w:r>
            <w:r w:rsidR="009800DE" w:rsidRPr="009800DE">
              <w:rPr>
                <w:vertAlign w:val="superscript"/>
              </w:rPr>
              <w:t>1</w:t>
            </w:r>
          </w:p>
          <w:p w14:paraId="283C1BA9" w14:textId="0EC84D8A" w:rsidR="00AA73B7" w:rsidRPr="00AA73B7" w:rsidRDefault="008D2482" w:rsidP="009E1CDB">
            <w:pPr>
              <w:pStyle w:val="Tabletext"/>
              <w:jc w:val="center"/>
            </w:pPr>
            <w:r w:rsidRPr="008D2482">
              <w:rPr>
                <w:color w:val="000000"/>
                <w:spacing w:val="75"/>
                <w:shd w:val="solid" w:color="000000" w:fill="000000"/>
                <w:fitText w:val="398" w:id="-1233498354"/>
                <w14:textFill>
                  <w14:solidFill>
                    <w14:srgbClr w14:val="000000">
                      <w14:alpha w14:val="100000"/>
                    </w14:srgbClr>
                  </w14:solidFill>
                </w14:textFill>
              </w:rPr>
              <w:t>|||</w:t>
            </w:r>
            <w:r w:rsidRPr="008D2482">
              <w:rPr>
                <w:color w:val="000000"/>
                <w:spacing w:val="3"/>
                <w:shd w:val="solid" w:color="000000" w:fill="000000"/>
                <w:fitText w:val="398" w:id="-1233498354"/>
                <w14:textFill>
                  <w14:solidFill>
                    <w14:srgbClr w14:val="000000">
                      <w14:alpha w14:val="100000"/>
                    </w14:srgbClr>
                  </w14:solidFill>
                </w14:textFill>
              </w:rPr>
              <w:t>|</w:t>
            </w:r>
            <w:r w:rsidR="00AA73B7" w:rsidRPr="00AA73B7">
              <w:t xml:space="preserve"> </w:t>
            </w:r>
            <w:r w:rsidR="009800DE" w:rsidRPr="009800DE">
              <w:rPr>
                <w:vertAlign w:val="superscript"/>
              </w:rPr>
              <w:t>1</w:t>
            </w:r>
          </w:p>
          <w:p w14:paraId="3A27DBFF" w14:textId="775C21E7" w:rsidR="00AA73B7" w:rsidRPr="00AA73B7" w:rsidRDefault="008D2482" w:rsidP="009E1CDB">
            <w:pPr>
              <w:pStyle w:val="Tabletext"/>
              <w:jc w:val="center"/>
            </w:pPr>
            <w:r w:rsidRPr="008D2482">
              <w:rPr>
                <w:color w:val="000000"/>
                <w:spacing w:val="75"/>
                <w:shd w:val="solid" w:color="000000" w:fill="000000"/>
                <w:fitText w:val="398" w:id="-1233498353"/>
                <w14:textFill>
                  <w14:solidFill>
                    <w14:srgbClr w14:val="000000">
                      <w14:alpha w14:val="100000"/>
                    </w14:srgbClr>
                  </w14:solidFill>
                </w14:textFill>
              </w:rPr>
              <w:t>|||</w:t>
            </w:r>
            <w:r w:rsidRPr="008D2482">
              <w:rPr>
                <w:color w:val="000000"/>
                <w:spacing w:val="3"/>
                <w:shd w:val="solid" w:color="000000" w:fill="000000"/>
                <w:fitText w:val="398" w:id="-1233498353"/>
                <w14:textFill>
                  <w14:solidFill>
                    <w14:srgbClr w14:val="000000">
                      <w14:alpha w14:val="100000"/>
                    </w14:srgbClr>
                  </w14:solidFill>
                </w14:textFill>
              </w:rPr>
              <w:t>|</w:t>
            </w:r>
            <w:r w:rsidR="00AA73B7" w:rsidRPr="00AA73B7">
              <w:t xml:space="preserve"> </w:t>
            </w:r>
            <w:r w:rsidR="009800DE" w:rsidRPr="009800DE">
              <w:rPr>
                <w:vertAlign w:val="superscript"/>
              </w:rPr>
              <w:t>1</w:t>
            </w:r>
          </w:p>
          <w:p w14:paraId="128845D5" w14:textId="3CC003BC" w:rsidR="00A01891" w:rsidRPr="0075485D" w:rsidRDefault="008D2482" w:rsidP="009E1CDB">
            <w:pPr>
              <w:pStyle w:val="Tabletext"/>
              <w:jc w:val="center"/>
            </w:pPr>
            <w:r w:rsidRPr="008D2482">
              <w:rPr>
                <w:color w:val="000000"/>
                <w:spacing w:val="75"/>
                <w:shd w:val="solid" w:color="000000" w:fill="000000"/>
                <w:fitText w:val="398" w:id="-1233498352"/>
                <w14:textFill>
                  <w14:solidFill>
                    <w14:srgbClr w14:val="000000">
                      <w14:alpha w14:val="100000"/>
                    </w14:srgbClr>
                  </w14:solidFill>
                </w14:textFill>
              </w:rPr>
              <w:t>|||</w:t>
            </w:r>
            <w:r w:rsidRPr="008D2482">
              <w:rPr>
                <w:color w:val="000000"/>
                <w:spacing w:val="3"/>
                <w:shd w:val="solid" w:color="000000" w:fill="000000"/>
                <w:fitText w:val="398" w:id="-1233498352"/>
                <w14:textFill>
                  <w14:solidFill>
                    <w14:srgbClr w14:val="000000">
                      <w14:alpha w14:val="100000"/>
                    </w14:srgbClr>
                  </w14:solidFill>
                </w14:textFill>
              </w:rPr>
              <w:t>|</w:t>
            </w:r>
            <w:r w:rsidR="00AA73B7" w:rsidRPr="00AA73B7">
              <w:t xml:space="preserve"> </w:t>
            </w:r>
            <w:r w:rsidR="009800DE" w:rsidRPr="009800DE">
              <w:rPr>
                <w:vertAlign w:val="superscript"/>
              </w:rPr>
              <w:t>1</w:t>
            </w:r>
          </w:p>
          <w:p w14:paraId="10EBB255" w14:textId="77777777" w:rsidR="00A01891" w:rsidRPr="0075485D" w:rsidRDefault="00A01891" w:rsidP="009E1CDB">
            <w:pPr>
              <w:pStyle w:val="Tabletext"/>
              <w:jc w:val="center"/>
            </w:pPr>
          </w:p>
        </w:tc>
        <w:tc>
          <w:tcPr>
            <w:tcW w:w="529" w:type="dxa"/>
            <w:tcBorders>
              <w:left w:val="nil"/>
              <w:bottom w:val="single" w:sz="4" w:space="0" w:color="auto"/>
              <w:right w:val="nil"/>
            </w:tcBorders>
          </w:tcPr>
          <w:p w14:paraId="3D2511F7" w14:textId="77777777" w:rsidR="00A01891" w:rsidRPr="0075485D" w:rsidRDefault="00A01891" w:rsidP="009E1CDB">
            <w:pPr>
              <w:pStyle w:val="Tabletext"/>
              <w:jc w:val="center"/>
              <w:rPr>
                <w:u w:val="single"/>
              </w:rPr>
            </w:pPr>
            <w:r w:rsidRPr="0075485D">
              <w:rPr>
                <w:u w:val="single"/>
              </w:rPr>
              <w:t>HV</w:t>
            </w:r>
          </w:p>
          <w:p w14:paraId="08A613E5" w14:textId="572AF463" w:rsidR="00AA73B7" w:rsidRPr="00AA73B7" w:rsidRDefault="008D2482" w:rsidP="009E1CDB">
            <w:pPr>
              <w:pStyle w:val="Tabletext"/>
              <w:jc w:val="center"/>
            </w:pPr>
            <w:r w:rsidRPr="008D2482">
              <w:rPr>
                <w:color w:val="000000"/>
                <w:spacing w:val="33"/>
                <w:shd w:val="solid" w:color="000000" w:fill="000000"/>
                <w:fitText w:val="421" w:id="-1233498368"/>
                <w14:textFill>
                  <w14:solidFill>
                    <w14:srgbClr w14:val="000000">
                      <w14:alpha w14:val="100000"/>
                    </w14:srgbClr>
                  </w14:solidFill>
                </w14:textFill>
              </w:rPr>
              <w:t>|||||</w:t>
            </w:r>
            <w:r w:rsidRPr="008D2482">
              <w:rPr>
                <w:color w:val="000000"/>
                <w:spacing w:val="1"/>
                <w:shd w:val="solid" w:color="000000" w:fill="000000"/>
                <w:fitText w:val="421" w:id="-1233498368"/>
                <w14:textFill>
                  <w14:solidFill>
                    <w14:srgbClr w14:val="000000">
                      <w14:alpha w14:val="100000"/>
                    </w14:srgbClr>
                  </w14:solidFill>
                </w14:textFill>
              </w:rPr>
              <w:t>|</w:t>
            </w:r>
            <w:r w:rsidR="00AA73B7" w:rsidRPr="00AA73B7">
              <w:t xml:space="preserve"> </w:t>
            </w:r>
            <w:r w:rsidR="009800DE" w:rsidRPr="009800DE">
              <w:rPr>
                <w:vertAlign w:val="superscript"/>
              </w:rPr>
              <w:t>1</w:t>
            </w:r>
          </w:p>
          <w:p w14:paraId="0B4FB900" w14:textId="07C0E9F9" w:rsidR="00AA73B7" w:rsidRPr="00AA73B7" w:rsidRDefault="008D2482" w:rsidP="009E1CDB">
            <w:pPr>
              <w:pStyle w:val="Tabletext"/>
              <w:jc w:val="center"/>
            </w:pPr>
            <w:r w:rsidRPr="008D2482">
              <w:rPr>
                <w:color w:val="000000"/>
                <w:spacing w:val="33"/>
                <w:shd w:val="solid" w:color="000000" w:fill="000000"/>
                <w:fitText w:val="421" w:id="-1233498367"/>
                <w14:textFill>
                  <w14:solidFill>
                    <w14:srgbClr w14:val="000000">
                      <w14:alpha w14:val="100000"/>
                    </w14:srgbClr>
                  </w14:solidFill>
                </w14:textFill>
              </w:rPr>
              <w:t>|||||</w:t>
            </w:r>
            <w:r w:rsidRPr="008D2482">
              <w:rPr>
                <w:color w:val="000000"/>
                <w:spacing w:val="1"/>
                <w:shd w:val="solid" w:color="000000" w:fill="000000"/>
                <w:fitText w:val="421" w:id="-1233498367"/>
                <w14:textFill>
                  <w14:solidFill>
                    <w14:srgbClr w14:val="000000">
                      <w14:alpha w14:val="100000"/>
                    </w14:srgbClr>
                  </w14:solidFill>
                </w14:textFill>
              </w:rPr>
              <w:t>|</w:t>
            </w:r>
            <w:r w:rsidR="00AA73B7" w:rsidRPr="00AA73B7">
              <w:t xml:space="preserve"> </w:t>
            </w:r>
            <w:r w:rsidR="009800DE" w:rsidRPr="009800DE">
              <w:rPr>
                <w:vertAlign w:val="superscript"/>
              </w:rPr>
              <w:t>1</w:t>
            </w:r>
          </w:p>
          <w:p w14:paraId="16C31340" w14:textId="0610E4AB" w:rsidR="00AA73B7" w:rsidRPr="00AA73B7" w:rsidRDefault="008D2482" w:rsidP="009E1CDB">
            <w:pPr>
              <w:pStyle w:val="Tabletext"/>
              <w:jc w:val="center"/>
            </w:pPr>
            <w:r w:rsidRPr="008D2482">
              <w:rPr>
                <w:color w:val="000000"/>
                <w:spacing w:val="33"/>
                <w:shd w:val="solid" w:color="000000" w:fill="000000"/>
                <w:fitText w:val="421" w:id="-1233498366"/>
                <w14:textFill>
                  <w14:solidFill>
                    <w14:srgbClr w14:val="000000">
                      <w14:alpha w14:val="100000"/>
                    </w14:srgbClr>
                  </w14:solidFill>
                </w14:textFill>
              </w:rPr>
              <w:t>|||||</w:t>
            </w:r>
            <w:r w:rsidRPr="008D2482">
              <w:rPr>
                <w:color w:val="000000"/>
                <w:spacing w:val="1"/>
                <w:shd w:val="solid" w:color="000000" w:fill="000000"/>
                <w:fitText w:val="421" w:id="-1233498366"/>
                <w14:textFill>
                  <w14:solidFill>
                    <w14:srgbClr w14:val="000000">
                      <w14:alpha w14:val="100000"/>
                    </w14:srgbClr>
                  </w14:solidFill>
                </w14:textFill>
              </w:rPr>
              <w:t>|</w:t>
            </w:r>
            <w:r w:rsidR="00AA73B7" w:rsidRPr="00AA73B7">
              <w:t xml:space="preserve"> </w:t>
            </w:r>
            <w:r w:rsidR="009800DE" w:rsidRPr="009800DE">
              <w:rPr>
                <w:vertAlign w:val="superscript"/>
              </w:rPr>
              <w:t>1</w:t>
            </w:r>
          </w:p>
          <w:p w14:paraId="56B2CD19" w14:textId="4520B59F" w:rsidR="00AA73B7" w:rsidRPr="00AA73B7" w:rsidRDefault="008D2482" w:rsidP="009E1CDB">
            <w:pPr>
              <w:pStyle w:val="Tabletext"/>
              <w:jc w:val="center"/>
            </w:pPr>
            <w:r w:rsidRPr="008D2482">
              <w:rPr>
                <w:color w:val="000000"/>
                <w:spacing w:val="33"/>
                <w:shd w:val="solid" w:color="000000" w:fill="000000"/>
                <w:fitText w:val="421" w:id="-1233498365"/>
                <w14:textFill>
                  <w14:solidFill>
                    <w14:srgbClr w14:val="000000">
                      <w14:alpha w14:val="100000"/>
                    </w14:srgbClr>
                  </w14:solidFill>
                </w14:textFill>
              </w:rPr>
              <w:t>|||||</w:t>
            </w:r>
            <w:r w:rsidRPr="008D2482">
              <w:rPr>
                <w:color w:val="000000"/>
                <w:spacing w:val="1"/>
                <w:shd w:val="solid" w:color="000000" w:fill="000000"/>
                <w:fitText w:val="421" w:id="-1233498365"/>
                <w14:textFill>
                  <w14:solidFill>
                    <w14:srgbClr w14:val="000000">
                      <w14:alpha w14:val="100000"/>
                    </w14:srgbClr>
                  </w14:solidFill>
                </w14:textFill>
              </w:rPr>
              <w:t>|</w:t>
            </w:r>
            <w:r w:rsidR="00AA73B7" w:rsidRPr="00AA73B7">
              <w:t xml:space="preserve"> </w:t>
            </w:r>
            <w:r w:rsidR="009800DE" w:rsidRPr="009800DE">
              <w:rPr>
                <w:vertAlign w:val="superscript"/>
              </w:rPr>
              <w:t>1</w:t>
            </w:r>
          </w:p>
          <w:p w14:paraId="6E7A9148" w14:textId="17394664" w:rsidR="00AA73B7" w:rsidRPr="00AA73B7" w:rsidRDefault="008D2482" w:rsidP="009E1CDB">
            <w:pPr>
              <w:pStyle w:val="Tabletext"/>
              <w:jc w:val="center"/>
            </w:pPr>
            <w:r w:rsidRPr="008D2482">
              <w:rPr>
                <w:color w:val="000000"/>
                <w:spacing w:val="33"/>
                <w:shd w:val="solid" w:color="000000" w:fill="000000"/>
                <w:fitText w:val="421" w:id="-1233498364"/>
                <w14:textFill>
                  <w14:solidFill>
                    <w14:srgbClr w14:val="000000">
                      <w14:alpha w14:val="100000"/>
                    </w14:srgbClr>
                  </w14:solidFill>
                </w14:textFill>
              </w:rPr>
              <w:t>|||||</w:t>
            </w:r>
            <w:r w:rsidRPr="008D2482">
              <w:rPr>
                <w:color w:val="000000"/>
                <w:spacing w:val="1"/>
                <w:shd w:val="solid" w:color="000000" w:fill="000000"/>
                <w:fitText w:val="421" w:id="-1233498364"/>
                <w14:textFill>
                  <w14:solidFill>
                    <w14:srgbClr w14:val="000000">
                      <w14:alpha w14:val="100000"/>
                    </w14:srgbClr>
                  </w14:solidFill>
                </w14:textFill>
              </w:rPr>
              <w:t>|</w:t>
            </w:r>
            <w:r w:rsidR="00AA73B7" w:rsidRPr="00AA73B7">
              <w:t xml:space="preserve"> </w:t>
            </w:r>
            <w:r w:rsidR="009800DE" w:rsidRPr="009800DE">
              <w:rPr>
                <w:vertAlign w:val="superscript"/>
              </w:rPr>
              <w:t>1</w:t>
            </w:r>
          </w:p>
          <w:p w14:paraId="260F79D6" w14:textId="5C99AEFD" w:rsidR="00A01891" w:rsidRPr="0075485D" w:rsidRDefault="008D2482" w:rsidP="009E1CDB">
            <w:pPr>
              <w:pStyle w:val="Tabletext"/>
              <w:jc w:val="center"/>
            </w:pPr>
            <w:r w:rsidRPr="00E93B74">
              <w:rPr>
                <w:color w:val="000000"/>
                <w:spacing w:val="33"/>
                <w:shd w:val="solid" w:color="000000" w:fill="000000"/>
                <w:fitText w:val="421" w:id="-1233498363"/>
                <w14:textFill>
                  <w14:solidFill>
                    <w14:srgbClr w14:val="000000">
                      <w14:alpha w14:val="100000"/>
                    </w14:srgbClr>
                  </w14:solidFill>
                </w14:textFill>
              </w:rPr>
              <w:t>|||||</w:t>
            </w:r>
            <w:r w:rsidRPr="00E93B74">
              <w:rPr>
                <w:color w:val="000000"/>
                <w:spacing w:val="1"/>
                <w:shd w:val="solid" w:color="000000" w:fill="000000"/>
                <w:fitText w:val="421" w:id="-1233498363"/>
                <w14:textFill>
                  <w14:solidFill>
                    <w14:srgbClr w14:val="000000">
                      <w14:alpha w14:val="100000"/>
                    </w14:srgbClr>
                  </w14:solidFill>
                </w14:textFill>
              </w:rPr>
              <w:t>|</w:t>
            </w:r>
            <w:r w:rsidR="00AA73B7" w:rsidRPr="00AA73B7">
              <w:t xml:space="preserve"> </w:t>
            </w:r>
            <w:r w:rsidR="009800DE" w:rsidRPr="009800DE">
              <w:rPr>
                <w:vertAlign w:val="superscript"/>
              </w:rPr>
              <w:t>1</w:t>
            </w:r>
          </w:p>
          <w:p w14:paraId="3AC1C47C" w14:textId="77777777" w:rsidR="00A01891" w:rsidRPr="0075485D" w:rsidRDefault="00A01891" w:rsidP="009E1CDB">
            <w:pPr>
              <w:pStyle w:val="Tabletext"/>
              <w:jc w:val="center"/>
            </w:pPr>
          </w:p>
        </w:tc>
        <w:tc>
          <w:tcPr>
            <w:tcW w:w="711" w:type="dxa"/>
            <w:tcBorders>
              <w:left w:val="nil"/>
              <w:bottom w:val="single" w:sz="4" w:space="0" w:color="auto"/>
            </w:tcBorders>
          </w:tcPr>
          <w:p w14:paraId="369B964D" w14:textId="77777777" w:rsidR="00A01891" w:rsidRPr="0075485D" w:rsidRDefault="00A01891" w:rsidP="009E1CDB">
            <w:pPr>
              <w:pStyle w:val="Tabletext"/>
              <w:jc w:val="center"/>
              <w:rPr>
                <w:u w:val="single"/>
              </w:rPr>
            </w:pPr>
            <w:r w:rsidRPr="0075485D">
              <w:rPr>
                <w:u w:val="single"/>
              </w:rPr>
              <w:t>Total</w:t>
            </w:r>
          </w:p>
          <w:p w14:paraId="6393E6B8" w14:textId="27128DE4" w:rsidR="00AA73B7" w:rsidRPr="00AA73B7" w:rsidRDefault="008D2482" w:rsidP="009E1CDB">
            <w:pPr>
              <w:pStyle w:val="Tabletext"/>
              <w:jc w:val="center"/>
            </w:pPr>
            <w:r w:rsidRPr="008D2482">
              <w:rPr>
                <w:color w:val="000000"/>
                <w:spacing w:val="33"/>
                <w:shd w:val="solid" w:color="000000" w:fill="000000"/>
                <w:fitText w:val="421" w:id="-1233498362"/>
                <w14:textFill>
                  <w14:solidFill>
                    <w14:srgbClr w14:val="000000">
                      <w14:alpha w14:val="100000"/>
                    </w14:srgbClr>
                  </w14:solidFill>
                </w14:textFill>
              </w:rPr>
              <w:t>|||||</w:t>
            </w:r>
            <w:r w:rsidRPr="008D2482">
              <w:rPr>
                <w:color w:val="000000"/>
                <w:spacing w:val="1"/>
                <w:shd w:val="solid" w:color="000000" w:fill="000000"/>
                <w:fitText w:val="421" w:id="-1233498362"/>
                <w14:textFill>
                  <w14:solidFill>
                    <w14:srgbClr w14:val="000000">
                      <w14:alpha w14:val="100000"/>
                    </w14:srgbClr>
                  </w14:solidFill>
                </w14:textFill>
              </w:rPr>
              <w:t>|</w:t>
            </w:r>
            <w:r w:rsidR="00AA73B7" w:rsidRPr="00AA73B7">
              <w:t xml:space="preserve"> </w:t>
            </w:r>
            <w:r w:rsidR="009800DE" w:rsidRPr="009800DE">
              <w:rPr>
                <w:vertAlign w:val="superscript"/>
              </w:rPr>
              <w:t>1</w:t>
            </w:r>
          </w:p>
          <w:p w14:paraId="7818A033" w14:textId="4EEEC91F" w:rsidR="00AA73B7" w:rsidRPr="00AA73B7" w:rsidRDefault="008D2482" w:rsidP="009E1CDB">
            <w:pPr>
              <w:pStyle w:val="Tabletext"/>
              <w:jc w:val="center"/>
            </w:pPr>
            <w:r w:rsidRPr="008D2482">
              <w:rPr>
                <w:color w:val="000000"/>
                <w:spacing w:val="33"/>
                <w:shd w:val="solid" w:color="000000" w:fill="000000"/>
                <w:fitText w:val="421" w:id="-1233498361"/>
                <w14:textFill>
                  <w14:solidFill>
                    <w14:srgbClr w14:val="000000">
                      <w14:alpha w14:val="100000"/>
                    </w14:srgbClr>
                  </w14:solidFill>
                </w14:textFill>
              </w:rPr>
              <w:t>|||||</w:t>
            </w:r>
            <w:r w:rsidRPr="008D2482">
              <w:rPr>
                <w:color w:val="000000"/>
                <w:spacing w:val="1"/>
                <w:shd w:val="solid" w:color="000000" w:fill="000000"/>
                <w:fitText w:val="421" w:id="-1233498361"/>
                <w14:textFill>
                  <w14:solidFill>
                    <w14:srgbClr w14:val="000000">
                      <w14:alpha w14:val="100000"/>
                    </w14:srgbClr>
                  </w14:solidFill>
                </w14:textFill>
              </w:rPr>
              <w:t>|</w:t>
            </w:r>
            <w:r w:rsidR="00AA73B7" w:rsidRPr="00AA73B7">
              <w:t xml:space="preserve"> </w:t>
            </w:r>
            <w:r w:rsidR="009800DE" w:rsidRPr="009800DE">
              <w:rPr>
                <w:vertAlign w:val="superscript"/>
              </w:rPr>
              <w:t>1</w:t>
            </w:r>
          </w:p>
          <w:p w14:paraId="5D19B8CC" w14:textId="2FADB68C" w:rsidR="00AA73B7" w:rsidRPr="00AA73B7" w:rsidRDefault="008D2482" w:rsidP="009E1CDB">
            <w:pPr>
              <w:pStyle w:val="Tabletext"/>
              <w:jc w:val="center"/>
            </w:pPr>
            <w:r w:rsidRPr="008D2482">
              <w:rPr>
                <w:color w:val="000000"/>
                <w:spacing w:val="33"/>
                <w:shd w:val="solid" w:color="000000" w:fill="000000"/>
                <w:fitText w:val="421" w:id="-1233498360"/>
                <w14:textFill>
                  <w14:solidFill>
                    <w14:srgbClr w14:val="000000">
                      <w14:alpha w14:val="100000"/>
                    </w14:srgbClr>
                  </w14:solidFill>
                </w14:textFill>
              </w:rPr>
              <w:t>|||||</w:t>
            </w:r>
            <w:r w:rsidRPr="008D2482">
              <w:rPr>
                <w:color w:val="000000"/>
                <w:spacing w:val="1"/>
                <w:shd w:val="solid" w:color="000000" w:fill="000000"/>
                <w:fitText w:val="421" w:id="-1233498360"/>
                <w14:textFill>
                  <w14:solidFill>
                    <w14:srgbClr w14:val="000000">
                      <w14:alpha w14:val="100000"/>
                    </w14:srgbClr>
                  </w14:solidFill>
                </w14:textFill>
              </w:rPr>
              <w:t>|</w:t>
            </w:r>
            <w:r w:rsidR="00AA73B7" w:rsidRPr="00AA73B7">
              <w:t xml:space="preserve"> </w:t>
            </w:r>
            <w:r w:rsidR="009800DE" w:rsidRPr="009800DE">
              <w:rPr>
                <w:vertAlign w:val="superscript"/>
              </w:rPr>
              <w:t>1</w:t>
            </w:r>
          </w:p>
          <w:p w14:paraId="4CAE52BF" w14:textId="409D6B20" w:rsidR="00AA73B7" w:rsidRPr="00AA73B7" w:rsidRDefault="008D2482" w:rsidP="009E1CDB">
            <w:pPr>
              <w:pStyle w:val="Tabletext"/>
              <w:jc w:val="center"/>
            </w:pPr>
            <w:r w:rsidRPr="008D2482">
              <w:rPr>
                <w:color w:val="000000"/>
                <w:spacing w:val="33"/>
                <w:shd w:val="solid" w:color="000000" w:fill="000000"/>
                <w:fitText w:val="421" w:id="-1233498359"/>
                <w14:textFill>
                  <w14:solidFill>
                    <w14:srgbClr w14:val="000000">
                      <w14:alpha w14:val="100000"/>
                    </w14:srgbClr>
                  </w14:solidFill>
                </w14:textFill>
              </w:rPr>
              <w:t>|||||</w:t>
            </w:r>
            <w:r w:rsidRPr="008D2482">
              <w:rPr>
                <w:color w:val="000000"/>
                <w:spacing w:val="1"/>
                <w:shd w:val="solid" w:color="000000" w:fill="000000"/>
                <w:fitText w:val="421" w:id="-1233498359"/>
                <w14:textFill>
                  <w14:solidFill>
                    <w14:srgbClr w14:val="000000">
                      <w14:alpha w14:val="100000"/>
                    </w14:srgbClr>
                  </w14:solidFill>
                </w14:textFill>
              </w:rPr>
              <w:t>|</w:t>
            </w:r>
            <w:r w:rsidR="00AA73B7" w:rsidRPr="00AA73B7">
              <w:t xml:space="preserve"> </w:t>
            </w:r>
            <w:r w:rsidR="009800DE" w:rsidRPr="009800DE">
              <w:rPr>
                <w:vertAlign w:val="superscript"/>
              </w:rPr>
              <w:t>1</w:t>
            </w:r>
          </w:p>
          <w:p w14:paraId="37E669D6" w14:textId="4D129F9A" w:rsidR="00AA73B7" w:rsidRPr="00AA73B7" w:rsidRDefault="008D2482" w:rsidP="009E1CDB">
            <w:pPr>
              <w:pStyle w:val="Tabletext"/>
              <w:jc w:val="center"/>
            </w:pPr>
            <w:r w:rsidRPr="008D2482">
              <w:rPr>
                <w:color w:val="000000"/>
                <w:spacing w:val="33"/>
                <w:shd w:val="solid" w:color="000000" w:fill="000000"/>
                <w:fitText w:val="421" w:id="-1233498358"/>
                <w14:textFill>
                  <w14:solidFill>
                    <w14:srgbClr w14:val="000000">
                      <w14:alpha w14:val="100000"/>
                    </w14:srgbClr>
                  </w14:solidFill>
                </w14:textFill>
              </w:rPr>
              <w:t>|||||</w:t>
            </w:r>
            <w:r w:rsidRPr="008D2482">
              <w:rPr>
                <w:color w:val="000000"/>
                <w:spacing w:val="1"/>
                <w:shd w:val="solid" w:color="000000" w:fill="000000"/>
                <w:fitText w:val="421" w:id="-1233498358"/>
                <w14:textFill>
                  <w14:solidFill>
                    <w14:srgbClr w14:val="000000">
                      <w14:alpha w14:val="100000"/>
                    </w14:srgbClr>
                  </w14:solidFill>
                </w14:textFill>
              </w:rPr>
              <w:t>|</w:t>
            </w:r>
            <w:r w:rsidR="00AA73B7" w:rsidRPr="00AA73B7">
              <w:t xml:space="preserve"> </w:t>
            </w:r>
            <w:r w:rsidR="009800DE" w:rsidRPr="009800DE">
              <w:rPr>
                <w:vertAlign w:val="superscript"/>
              </w:rPr>
              <w:t>1</w:t>
            </w:r>
          </w:p>
          <w:p w14:paraId="33AF4677" w14:textId="11EDDD07" w:rsidR="00A01891" w:rsidRPr="0075485D" w:rsidRDefault="008D2482" w:rsidP="009E1CDB">
            <w:pPr>
              <w:pStyle w:val="Tabletext"/>
              <w:jc w:val="center"/>
            </w:pPr>
            <w:r w:rsidRPr="00E93B74">
              <w:rPr>
                <w:color w:val="000000"/>
                <w:spacing w:val="33"/>
                <w:shd w:val="solid" w:color="000000" w:fill="000000"/>
                <w:fitText w:val="421" w:id="-1233498357"/>
                <w14:textFill>
                  <w14:solidFill>
                    <w14:srgbClr w14:val="000000">
                      <w14:alpha w14:val="100000"/>
                    </w14:srgbClr>
                  </w14:solidFill>
                </w14:textFill>
              </w:rPr>
              <w:t>|||||</w:t>
            </w:r>
            <w:r w:rsidRPr="00E93B74">
              <w:rPr>
                <w:color w:val="000000"/>
                <w:spacing w:val="1"/>
                <w:shd w:val="solid" w:color="000000" w:fill="000000"/>
                <w:fitText w:val="421" w:id="-1233498357"/>
                <w14:textFill>
                  <w14:solidFill>
                    <w14:srgbClr w14:val="000000">
                      <w14:alpha w14:val="100000"/>
                    </w14:srgbClr>
                  </w14:solidFill>
                </w14:textFill>
              </w:rPr>
              <w:t>|</w:t>
            </w:r>
            <w:r w:rsidR="00AA73B7" w:rsidRPr="00AA73B7">
              <w:t xml:space="preserve"> </w:t>
            </w:r>
            <w:r w:rsidR="009800DE" w:rsidRPr="009800DE">
              <w:rPr>
                <w:vertAlign w:val="superscript"/>
              </w:rPr>
              <w:t>1</w:t>
            </w:r>
          </w:p>
          <w:p w14:paraId="662F1BF2" w14:textId="77777777" w:rsidR="00A01891" w:rsidRPr="0075485D" w:rsidRDefault="00A01891" w:rsidP="009E1CDB">
            <w:pPr>
              <w:pStyle w:val="Tabletext"/>
              <w:jc w:val="center"/>
            </w:pPr>
          </w:p>
        </w:tc>
        <w:tc>
          <w:tcPr>
            <w:tcW w:w="2780" w:type="dxa"/>
          </w:tcPr>
          <w:p w14:paraId="384FEF27" w14:textId="5F32136A" w:rsidR="00A01891" w:rsidRPr="0075485D" w:rsidRDefault="00A01891" w:rsidP="009E1CDB">
            <w:pPr>
              <w:pStyle w:val="Tabletext"/>
            </w:pPr>
            <w:r w:rsidRPr="0075485D">
              <w:t xml:space="preserve">Based on the apalutamide mHSPC July 2022 PSD, which estimated </w:t>
            </w:r>
            <w:r w:rsidR="008D2482" w:rsidRPr="008D2482">
              <w:rPr>
                <w:color w:val="000000"/>
                <w:spacing w:val="35"/>
                <w:shd w:val="solid" w:color="000000" w:fill="000000"/>
                <w:fitText w:val="432" w:id="-1233498356"/>
                <w14:textFill>
                  <w14:solidFill>
                    <w14:srgbClr w14:val="000000">
                      <w14:alpha w14:val="100000"/>
                    </w14:srgbClr>
                  </w14:solidFill>
                </w14:textFill>
              </w:rPr>
              <w:t>|||||</w:t>
            </w:r>
            <w:r w:rsidR="008D2482" w:rsidRPr="008D2482">
              <w:rPr>
                <w:color w:val="000000"/>
                <w:spacing w:val="2"/>
                <w:shd w:val="solid" w:color="000000" w:fill="000000"/>
                <w:fitText w:val="432" w:id="-1233498356"/>
                <w14:textFill>
                  <w14:solidFill>
                    <w14:srgbClr w14:val="000000">
                      <w14:alpha w14:val="100000"/>
                    </w14:srgbClr>
                  </w14:solidFill>
                </w14:textFill>
              </w:rPr>
              <w:t>|</w:t>
            </w:r>
            <w:r w:rsidR="00AA73B7" w:rsidRPr="00AA73B7">
              <w:t xml:space="preserve"> </w:t>
            </w:r>
            <w:r w:rsidR="009800DE" w:rsidRPr="009800DE">
              <w:rPr>
                <w:vertAlign w:val="superscript"/>
              </w:rPr>
              <w:t>1</w:t>
            </w:r>
            <w:r w:rsidRPr="0075485D">
              <w:t xml:space="preserve"> patients in 2023 plus yearly growth of 68.95 patients. Thus </w:t>
            </w:r>
            <w:r w:rsidR="008D2482" w:rsidRPr="008D2482">
              <w:rPr>
                <w:color w:val="000000"/>
                <w:spacing w:val="35"/>
                <w:shd w:val="solid" w:color="000000" w:fill="000000"/>
                <w:fitText w:val="432" w:id="-1233498355"/>
                <w14:textFill>
                  <w14:solidFill>
                    <w14:srgbClr w14:val="000000">
                      <w14:alpha w14:val="100000"/>
                    </w14:srgbClr>
                  </w14:solidFill>
                </w14:textFill>
              </w:rPr>
              <w:t>|||||</w:t>
            </w:r>
            <w:r w:rsidR="008D2482" w:rsidRPr="008D2482">
              <w:rPr>
                <w:color w:val="000000"/>
                <w:spacing w:val="2"/>
                <w:shd w:val="solid" w:color="000000" w:fill="000000"/>
                <w:fitText w:val="432" w:id="-1233498355"/>
                <w14:textFill>
                  <w14:solidFill>
                    <w14:srgbClr w14:val="000000">
                      <w14:alpha w14:val="100000"/>
                    </w14:srgbClr>
                  </w14:solidFill>
                </w14:textFill>
              </w:rPr>
              <w:t>|</w:t>
            </w:r>
            <w:r w:rsidR="00AA73B7" w:rsidRPr="00AA73B7">
              <w:t xml:space="preserve"> </w:t>
            </w:r>
            <w:r w:rsidR="009800DE" w:rsidRPr="009800DE">
              <w:rPr>
                <w:vertAlign w:val="superscript"/>
              </w:rPr>
              <w:t>1</w:t>
            </w:r>
            <w:r w:rsidRPr="0075485D">
              <w:t xml:space="preserve"> patients in Year 1. The estimates were sourced from a regression model fit to historical estimates.</w:t>
            </w:r>
          </w:p>
          <w:p w14:paraId="6D9675A5" w14:textId="77777777" w:rsidR="00A01891" w:rsidRPr="0075485D" w:rsidRDefault="00A01891" w:rsidP="009E1CDB">
            <w:pPr>
              <w:pStyle w:val="Tabletext"/>
            </w:pPr>
            <w:r w:rsidRPr="0075485D">
              <w:t>Proportion of LV (47.7%) and HV (52.3%) patients based on the ENZAMET trial, as in the apalutamide PSD.</w:t>
            </w:r>
          </w:p>
        </w:tc>
        <w:tc>
          <w:tcPr>
            <w:tcW w:w="2597" w:type="dxa"/>
          </w:tcPr>
          <w:p w14:paraId="402C29E9" w14:textId="77777777" w:rsidR="00A01891" w:rsidRPr="0075485D" w:rsidRDefault="00A01891" w:rsidP="009E1CDB">
            <w:pPr>
              <w:pStyle w:val="Tabletext"/>
            </w:pPr>
            <w:r w:rsidRPr="0075485D">
              <w:t>Apalutamide PSD, July 2022 (Table 15) indicated this approach was generally reasonable, although the predictions were likely overestimated as the historical patients were likely overestimated compared to DUSC data.</w:t>
            </w:r>
          </w:p>
          <w:p w14:paraId="7950A9EE" w14:textId="4B24758C" w:rsidR="00A01891" w:rsidRPr="0075485D" w:rsidRDefault="00502B19" w:rsidP="009E1CDB">
            <w:pPr>
              <w:pStyle w:val="Tabletext"/>
            </w:pPr>
            <w:r>
              <w:t>With</w:t>
            </w:r>
            <w:r w:rsidR="00A01891" w:rsidRPr="0075485D">
              <w:t xml:space="preserve"> regard to the proportion of patients with LV and HV disease, the apalutamide PSD (Table 15) indicated the PBAC considered the split proposed in the apalutamide resubmission to be a reasonable estimate.</w:t>
            </w:r>
          </w:p>
        </w:tc>
      </w:tr>
      <w:tr w:rsidR="00A01891" w:rsidRPr="003330C9" w14:paraId="22FF8B07" w14:textId="77777777" w:rsidTr="00502B19">
        <w:trPr>
          <w:cantSplit/>
        </w:trPr>
        <w:tc>
          <w:tcPr>
            <w:tcW w:w="1211" w:type="dxa"/>
          </w:tcPr>
          <w:p w14:paraId="1874A694" w14:textId="77777777" w:rsidR="00A01891" w:rsidRPr="0075485D" w:rsidRDefault="00A01891" w:rsidP="009E1CDB">
            <w:pPr>
              <w:pStyle w:val="Tabletext"/>
            </w:pPr>
            <w:r w:rsidRPr="0075485D">
              <w:t>Eligible incident mHSPC patients</w:t>
            </w:r>
          </w:p>
        </w:tc>
        <w:tc>
          <w:tcPr>
            <w:tcW w:w="433" w:type="dxa"/>
            <w:tcBorders>
              <w:bottom w:val="single" w:sz="4" w:space="0" w:color="auto"/>
              <w:right w:val="nil"/>
            </w:tcBorders>
            <w:vAlign w:val="center"/>
          </w:tcPr>
          <w:p w14:paraId="4674C05D" w14:textId="77777777" w:rsidR="00502B19" w:rsidRDefault="00502B19" w:rsidP="00502B19">
            <w:pPr>
              <w:pStyle w:val="Tabletext"/>
            </w:pPr>
          </w:p>
          <w:p w14:paraId="4E274C3D" w14:textId="352779B4" w:rsidR="00A01891" w:rsidRPr="0075485D" w:rsidRDefault="00A01891" w:rsidP="00502B19">
            <w:pPr>
              <w:pStyle w:val="Tabletext"/>
            </w:pPr>
            <w:r w:rsidRPr="0075485D">
              <w:t>Yr 1</w:t>
            </w:r>
            <w:r w:rsidR="009E1CDB" w:rsidRPr="0075485D">
              <w:t>:</w:t>
            </w:r>
          </w:p>
          <w:p w14:paraId="54A49D25" w14:textId="0535C9B0" w:rsidR="00A01891" w:rsidRPr="0075485D" w:rsidRDefault="00A01891" w:rsidP="00502B19">
            <w:pPr>
              <w:pStyle w:val="Tabletext"/>
            </w:pPr>
            <w:r w:rsidRPr="0075485D">
              <w:t>Yr 2</w:t>
            </w:r>
            <w:r w:rsidR="009E1CDB" w:rsidRPr="0075485D">
              <w:t>:</w:t>
            </w:r>
          </w:p>
          <w:p w14:paraId="4A2D7E3D" w14:textId="7B870707" w:rsidR="00A01891" w:rsidRPr="0075485D" w:rsidRDefault="00A01891" w:rsidP="00502B19">
            <w:pPr>
              <w:pStyle w:val="Tabletext"/>
            </w:pPr>
            <w:r w:rsidRPr="0075485D">
              <w:t>Yr 3</w:t>
            </w:r>
            <w:r w:rsidR="009E1CDB" w:rsidRPr="0075485D">
              <w:t>:</w:t>
            </w:r>
          </w:p>
          <w:p w14:paraId="4E50D648" w14:textId="06258A30" w:rsidR="00A01891" w:rsidRPr="0075485D" w:rsidRDefault="00A01891" w:rsidP="00502B19">
            <w:pPr>
              <w:pStyle w:val="Tabletext"/>
            </w:pPr>
            <w:r w:rsidRPr="0075485D">
              <w:t>Yr 4</w:t>
            </w:r>
            <w:r w:rsidR="009E1CDB" w:rsidRPr="0075485D">
              <w:t>:</w:t>
            </w:r>
          </w:p>
          <w:p w14:paraId="0E39661F" w14:textId="6933039D" w:rsidR="00A01891" w:rsidRPr="0075485D" w:rsidRDefault="00A01891" w:rsidP="00502B19">
            <w:pPr>
              <w:pStyle w:val="Tabletext"/>
            </w:pPr>
            <w:r w:rsidRPr="0075485D">
              <w:t>Yr 5</w:t>
            </w:r>
            <w:r w:rsidR="009E1CDB" w:rsidRPr="0075485D">
              <w:t>:</w:t>
            </w:r>
          </w:p>
          <w:p w14:paraId="4B0F5E32" w14:textId="651E965E" w:rsidR="00A01891" w:rsidRPr="0075485D" w:rsidRDefault="00A01891" w:rsidP="00502B19">
            <w:pPr>
              <w:pStyle w:val="Tabletext"/>
            </w:pPr>
            <w:r w:rsidRPr="0075485D">
              <w:t>Yr 6</w:t>
            </w:r>
            <w:r w:rsidR="009E1CDB" w:rsidRPr="0075485D">
              <w:t>:</w:t>
            </w:r>
          </w:p>
        </w:tc>
        <w:tc>
          <w:tcPr>
            <w:tcW w:w="806" w:type="dxa"/>
            <w:tcBorders>
              <w:left w:val="nil"/>
              <w:bottom w:val="single" w:sz="4" w:space="0" w:color="auto"/>
              <w:right w:val="nil"/>
            </w:tcBorders>
            <w:vAlign w:val="center"/>
          </w:tcPr>
          <w:p w14:paraId="279D8114" w14:textId="77777777" w:rsidR="00A01891" w:rsidRPr="0075485D" w:rsidRDefault="00A01891" w:rsidP="00E44076">
            <w:pPr>
              <w:pStyle w:val="Tabletext"/>
              <w:jc w:val="center"/>
              <w:rPr>
                <w:u w:val="single"/>
              </w:rPr>
            </w:pPr>
            <w:r w:rsidRPr="0075485D">
              <w:rPr>
                <w:u w:val="single"/>
              </w:rPr>
              <w:t>LV</w:t>
            </w:r>
          </w:p>
          <w:p w14:paraId="7A7964AC" w14:textId="26820F48" w:rsidR="00AA73B7" w:rsidRPr="00AA73B7" w:rsidRDefault="008D2482" w:rsidP="00E44076">
            <w:pPr>
              <w:pStyle w:val="Tabletext"/>
              <w:jc w:val="center"/>
            </w:pPr>
            <w:r w:rsidRPr="008D2482">
              <w:rPr>
                <w:color w:val="000000"/>
                <w:spacing w:val="75"/>
                <w:shd w:val="solid" w:color="000000" w:fill="000000"/>
                <w:fitText w:val="398" w:id="-1233498354"/>
                <w14:textFill>
                  <w14:solidFill>
                    <w14:srgbClr w14:val="000000">
                      <w14:alpha w14:val="100000"/>
                    </w14:srgbClr>
                  </w14:solidFill>
                </w14:textFill>
              </w:rPr>
              <w:t>|||</w:t>
            </w:r>
            <w:r w:rsidRPr="008D2482">
              <w:rPr>
                <w:color w:val="000000"/>
                <w:spacing w:val="3"/>
                <w:shd w:val="solid" w:color="000000" w:fill="000000"/>
                <w:fitText w:val="398" w:id="-1233498354"/>
                <w14:textFill>
                  <w14:solidFill>
                    <w14:srgbClr w14:val="000000">
                      <w14:alpha w14:val="100000"/>
                    </w14:srgbClr>
                  </w14:solidFill>
                </w14:textFill>
              </w:rPr>
              <w:t>|</w:t>
            </w:r>
            <w:r w:rsidR="00AA73B7" w:rsidRPr="00AA73B7">
              <w:t xml:space="preserve"> </w:t>
            </w:r>
            <w:r w:rsidR="009800DE" w:rsidRPr="009800DE">
              <w:rPr>
                <w:vertAlign w:val="superscript"/>
              </w:rPr>
              <w:t>1</w:t>
            </w:r>
          </w:p>
          <w:p w14:paraId="19FBEF58" w14:textId="523C6C87" w:rsidR="00AA73B7" w:rsidRPr="00AA73B7" w:rsidRDefault="008D2482" w:rsidP="00E44076">
            <w:pPr>
              <w:pStyle w:val="Tabletext"/>
              <w:jc w:val="center"/>
            </w:pPr>
            <w:r w:rsidRPr="008D2482">
              <w:rPr>
                <w:color w:val="000000"/>
                <w:spacing w:val="75"/>
                <w:shd w:val="solid" w:color="000000" w:fill="000000"/>
                <w:fitText w:val="398" w:id="-1233498353"/>
                <w14:textFill>
                  <w14:solidFill>
                    <w14:srgbClr w14:val="000000">
                      <w14:alpha w14:val="100000"/>
                    </w14:srgbClr>
                  </w14:solidFill>
                </w14:textFill>
              </w:rPr>
              <w:t>|||</w:t>
            </w:r>
            <w:r w:rsidRPr="008D2482">
              <w:rPr>
                <w:color w:val="000000"/>
                <w:spacing w:val="3"/>
                <w:shd w:val="solid" w:color="000000" w:fill="000000"/>
                <w:fitText w:val="398" w:id="-1233498353"/>
                <w14:textFill>
                  <w14:solidFill>
                    <w14:srgbClr w14:val="000000">
                      <w14:alpha w14:val="100000"/>
                    </w14:srgbClr>
                  </w14:solidFill>
                </w14:textFill>
              </w:rPr>
              <w:t>|</w:t>
            </w:r>
            <w:r w:rsidR="00AA73B7" w:rsidRPr="00AA73B7">
              <w:t xml:space="preserve"> </w:t>
            </w:r>
            <w:r w:rsidR="009800DE" w:rsidRPr="009800DE">
              <w:rPr>
                <w:vertAlign w:val="superscript"/>
              </w:rPr>
              <w:t>1</w:t>
            </w:r>
          </w:p>
          <w:p w14:paraId="05A6807E" w14:textId="0900E322" w:rsidR="00AA73B7" w:rsidRPr="00AA73B7" w:rsidRDefault="008D2482" w:rsidP="00E44076">
            <w:pPr>
              <w:pStyle w:val="Tabletext"/>
              <w:jc w:val="center"/>
            </w:pPr>
            <w:r w:rsidRPr="008D2482">
              <w:rPr>
                <w:color w:val="000000"/>
                <w:spacing w:val="75"/>
                <w:shd w:val="solid" w:color="000000" w:fill="000000"/>
                <w:fitText w:val="398" w:id="-1233498352"/>
                <w14:textFill>
                  <w14:solidFill>
                    <w14:srgbClr w14:val="000000">
                      <w14:alpha w14:val="100000"/>
                    </w14:srgbClr>
                  </w14:solidFill>
                </w14:textFill>
              </w:rPr>
              <w:t>|||</w:t>
            </w:r>
            <w:r w:rsidRPr="008D2482">
              <w:rPr>
                <w:color w:val="000000"/>
                <w:spacing w:val="3"/>
                <w:shd w:val="solid" w:color="000000" w:fill="000000"/>
                <w:fitText w:val="398" w:id="-1233498352"/>
                <w14:textFill>
                  <w14:solidFill>
                    <w14:srgbClr w14:val="000000">
                      <w14:alpha w14:val="100000"/>
                    </w14:srgbClr>
                  </w14:solidFill>
                </w14:textFill>
              </w:rPr>
              <w:t>|</w:t>
            </w:r>
            <w:r w:rsidR="00AA73B7" w:rsidRPr="00AA73B7">
              <w:t xml:space="preserve"> </w:t>
            </w:r>
            <w:r w:rsidR="009800DE" w:rsidRPr="009800DE">
              <w:rPr>
                <w:vertAlign w:val="superscript"/>
              </w:rPr>
              <w:t>1</w:t>
            </w:r>
          </w:p>
          <w:p w14:paraId="7F8C6514" w14:textId="5D46802B" w:rsidR="00AA73B7" w:rsidRPr="00AA73B7" w:rsidRDefault="008D2482" w:rsidP="00E44076">
            <w:pPr>
              <w:pStyle w:val="Tabletext"/>
              <w:jc w:val="center"/>
            </w:pPr>
            <w:r w:rsidRPr="008D2482">
              <w:rPr>
                <w:color w:val="000000"/>
                <w:spacing w:val="75"/>
                <w:shd w:val="solid" w:color="000000" w:fill="000000"/>
                <w:fitText w:val="398" w:id="-1233498368"/>
                <w14:textFill>
                  <w14:solidFill>
                    <w14:srgbClr w14:val="000000">
                      <w14:alpha w14:val="100000"/>
                    </w14:srgbClr>
                  </w14:solidFill>
                </w14:textFill>
              </w:rPr>
              <w:t>|||</w:t>
            </w:r>
            <w:r w:rsidRPr="008D2482">
              <w:rPr>
                <w:color w:val="000000"/>
                <w:spacing w:val="3"/>
                <w:shd w:val="solid" w:color="000000" w:fill="000000"/>
                <w:fitText w:val="398" w:id="-1233498368"/>
                <w14:textFill>
                  <w14:solidFill>
                    <w14:srgbClr w14:val="000000">
                      <w14:alpha w14:val="100000"/>
                    </w14:srgbClr>
                  </w14:solidFill>
                </w14:textFill>
              </w:rPr>
              <w:t>|</w:t>
            </w:r>
            <w:r w:rsidR="00AA73B7" w:rsidRPr="00AA73B7">
              <w:t xml:space="preserve"> </w:t>
            </w:r>
            <w:r w:rsidR="009800DE" w:rsidRPr="009800DE">
              <w:rPr>
                <w:vertAlign w:val="superscript"/>
              </w:rPr>
              <w:t>1</w:t>
            </w:r>
          </w:p>
          <w:p w14:paraId="73F9DB57" w14:textId="6142FFCA" w:rsidR="00AA73B7" w:rsidRPr="00AA73B7" w:rsidRDefault="008D2482" w:rsidP="00E44076">
            <w:pPr>
              <w:pStyle w:val="Tabletext"/>
              <w:jc w:val="center"/>
            </w:pPr>
            <w:r w:rsidRPr="008D2482">
              <w:rPr>
                <w:color w:val="000000"/>
                <w:spacing w:val="75"/>
                <w:shd w:val="solid" w:color="000000" w:fill="000000"/>
                <w:fitText w:val="398" w:id="-1233498367"/>
                <w14:textFill>
                  <w14:solidFill>
                    <w14:srgbClr w14:val="000000">
                      <w14:alpha w14:val="100000"/>
                    </w14:srgbClr>
                  </w14:solidFill>
                </w14:textFill>
              </w:rPr>
              <w:t>|||</w:t>
            </w:r>
            <w:r w:rsidRPr="008D2482">
              <w:rPr>
                <w:color w:val="000000"/>
                <w:spacing w:val="3"/>
                <w:shd w:val="solid" w:color="000000" w:fill="000000"/>
                <w:fitText w:val="398" w:id="-1233498367"/>
                <w14:textFill>
                  <w14:solidFill>
                    <w14:srgbClr w14:val="000000">
                      <w14:alpha w14:val="100000"/>
                    </w14:srgbClr>
                  </w14:solidFill>
                </w14:textFill>
              </w:rPr>
              <w:t>|</w:t>
            </w:r>
            <w:r w:rsidR="00AA73B7" w:rsidRPr="00AA73B7">
              <w:t xml:space="preserve"> </w:t>
            </w:r>
            <w:r w:rsidR="009800DE" w:rsidRPr="009800DE">
              <w:rPr>
                <w:vertAlign w:val="superscript"/>
              </w:rPr>
              <w:t>1</w:t>
            </w:r>
          </w:p>
          <w:p w14:paraId="62C08455" w14:textId="7B3953A9" w:rsidR="00A01891" w:rsidRPr="0075485D" w:rsidRDefault="008D2482" w:rsidP="009E1CDB">
            <w:pPr>
              <w:pStyle w:val="Tabletext"/>
              <w:jc w:val="center"/>
            </w:pPr>
            <w:r w:rsidRPr="008D2482">
              <w:rPr>
                <w:color w:val="000000"/>
                <w:spacing w:val="75"/>
                <w:shd w:val="solid" w:color="000000" w:fill="000000"/>
                <w:fitText w:val="398" w:id="-1233498366"/>
                <w14:textFill>
                  <w14:solidFill>
                    <w14:srgbClr w14:val="000000">
                      <w14:alpha w14:val="100000"/>
                    </w14:srgbClr>
                  </w14:solidFill>
                </w14:textFill>
              </w:rPr>
              <w:t>|||</w:t>
            </w:r>
            <w:r w:rsidRPr="008D2482">
              <w:rPr>
                <w:color w:val="000000"/>
                <w:spacing w:val="3"/>
                <w:shd w:val="solid" w:color="000000" w:fill="000000"/>
                <w:fitText w:val="398" w:id="-1233498366"/>
                <w14:textFill>
                  <w14:solidFill>
                    <w14:srgbClr w14:val="000000">
                      <w14:alpha w14:val="100000"/>
                    </w14:srgbClr>
                  </w14:solidFill>
                </w14:textFill>
              </w:rPr>
              <w:t>|</w:t>
            </w:r>
            <w:r w:rsidR="00AA73B7" w:rsidRPr="00AA73B7">
              <w:t xml:space="preserve"> </w:t>
            </w:r>
            <w:r w:rsidR="009800DE" w:rsidRPr="009800DE">
              <w:rPr>
                <w:vertAlign w:val="superscript"/>
              </w:rPr>
              <w:t>1</w:t>
            </w:r>
          </w:p>
        </w:tc>
        <w:tc>
          <w:tcPr>
            <w:tcW w:w="529" w:type="dxa"/>
            <w:tcBorders>
              <w:left w:val="nil"/>
              <w:bottom w:val="single" w:sz="4" w:space="0" w:color="auto"/>
              <w:right w:val="nil"/>
            </w:tcBorders>
            <w:vAlign w:val="center"/>
          </w:tcPr>
          <w:p w14:paraId="0EA1A8D8" w14:textId="77777777" w:rsidR="00A01891" w:rsidRPr="0075485D" w:rsidRDefault="00A01891" w:rsidP="00E44076">
            <w:pPr>
              <w:pStyle w:val="Tabletext"/>
              <w:jc w:val="center"/>
              <w:rPr>
                <w:u w:val="single"/>
              </w:rPr>
            </w:pPr>
            <w:r w:rsidRPr="0075485D">
              <w:rPr>
                <w:u w:val="single"/>
              </w:rPr>
              <w:t>HV</w:t>
            </w:r>
          </w:p>
          <w:p w14:paraId="3C5A28F1" w14:textId="35584E27" w:rsidR="00AA73B7" w:rsidRPr="00AA73B7" w:rsidRDefault="008D2482" w:rsidP="00E44076">
            <w:pPr>
              <w:pStyle w:val="Tabletext"/>
              <w:jc w:val="center"/>
            </w:pPr>
            <w:r w:rsidRPr="008D2482">
              <w:rPr>
                <w:color w:val="000000"/>
                <w:spacing w:val="33"/>
                <w:shd w:val="solid" w:color="000000" w:fill="000000"/>
                <w:fitText w:val="421" w:id="-1233498365"/>
                <w14:textFill>
                  <w14:solidFill>
                    <w14:srgbClr w14:val="000000">
                      <w14:alpha w14:val="100000"/>
                    </w14:srgbClr>
                  </w14:solidFill>
                </w14:textFill>
              </w:rPr>
              <w:t>|||||</w:t>
            </w:r>
            <w:r w:rsidRPr="008D2482">
              <w:rPr>
                <w:color w:val="000000"/>
                <w:spacing w:val="1"/>
                <w:shd w:val="solid" w:color="000000" w:fill="000000"/>
                <w:fitText w:val="421" w:id="-1233498365"/>
                <w14:textFill>
                  <w14:solidFill>
                    <w14:srgbClr w14:val="000000">
                      <w14:alpha w14:val="100000"/>
                    </w14:srgbClr>
                  </w14:solidFill>
                </w14:textFill>
              </w:rPr>
              <w:t>|</w:t>
            </w:r>
            <w:r w:rsidR="00AA73B7" w:rsidRPr="00AA73B7">
              <w:t xml:space="preserve"> </w:t>
            </w:r>
            <w:r w:rsidR="009800DE">
              <w:rPr>
                <w:vertAlign w:val="superscript"/>
              </w:rPr>
              <w:t>2</w:t>
            </w:r>
          </w:p>
          <w:p w14:paraId="0C9E7CF5" w14:textId="6C0E5A49" w:rsidR="00AA73B7" w:rsidRPr="00AA73B7" w:rsidRDefault="008D2482" w:rsidP="00E44076">
            <w:pPr>
              <w:pStyle w:val="Tabletext"/>
              <w:jc w:val="center"/>
            </w:pPr>
            <w:r w:rsidRPr="008D2482">
              <w:rPr>
                <w:color w:val="000000"/>
                <w:spacing w:val="33"/>
                <w:shd w:val="solid" w:color="000000" w:fill="000000"/>
                <w:fitText w:val="421" w:id="-1233498364"/>
                <w14:textFill>
                  <w14:solidFill>
                    <w14:srgbClr w14:val="000000">
                      <w14:alpha w14:val="100000"/>
                    </w14:srgbClr>
                  </w14:solidFill>
                </w14:textFill>
              </w:rPr>
              <w:t>|||||</w:t>
            </w:r>
            <w:r w:rsidRPr="008D2482">
              <w:rPr>
                <w:color w:val="000000"/>
                <w:spacing w:val="1"/>
                <w:shd w:val="solid" w:color="000000" w:fill="000000"/>
                <w:fitText w:val="421" w:id="-1233498364"/>
                <w14:textFill>
                  <w14:solidFill>
                    <w14:srgbClr w14:val="000000">
                      <w14:alpha w14:val="100000"/>
                    </w14:srgbClr>
                  </w14:solidFill>
                </w14:textFill>
              </w:rPr>
              <w:t>|</w:t>
            </w:r>
            <w:r w:rsidR="00AA73B7" w:rsidRPr="00AA73B7">
              <w:t xml:space="preserve"> </w:t>
            </w:r>
            <w:r w:rsidR="009800DE">
              <w:rPr>
                <w:vertAlign w:val="superscript"/>
              </w:rPr>
              <w:t>2</w:t>
            </w:r>
          </w:p>
          <w:p w14:paraId="41BB67FB" w14:textId="08D03E16" w:rsidR="00AA73B7" w:rsidRPr="00AA73B7" w:rsidRDefault="008D2482" w:rsidP="00E44076">
            <w:pPr>
              <w:pStyle w:val="Tabletext"/>
              <w:jc w:val="center"/>
            </w:pPr>
            <w:r w:rsidRPr="008D2482">
              <w:rPr>
                <w:color w:val="000000"/>
                <w:spacing w:val="33"/>
                <w:shd w:val="solid" w:color="000000" w:fill="000000"/>
                <w:fitText w:val="421" w:id="-1233498363"/>
                <w14:textFill>
                  <w14:solidFill>
                    <w14:srgbClr w14:val="000000">
                      <w14:alpha w14:val="100000"/>
                    </w14:srgbClr>
                  </w14:solidFill>
                </w14:textFill>
              </w:rPr>
              <w:t>|||||</w:t>
            </w:r>
            <w:r w:rsidRPr="008D2482">
              <w:rPr>
                <w:color w:val="000000"/>
                <w:spacing w:val="1"/>
                <w:shd w:val="solid" w:color="000000" w:fill="000000"/>
                <w:fitText w:val="421" w:id="-1233498363"/>
                <w14:textFill>
                  <w14:solidFill>
                    <w14:srgbClr w14:val="000000">
                      <w14:alpha w14:val="100000"/>
                    </w14:srgbClr>
                  </w14:solidFill>
                </w14:textFill>
              </w:rPr>
              <w:t>|</w:t>
            </w:r>
            <w:r w:rsidR="00AA73B7" w:rsidRPr="00AA73B7">
              <w:t xml:space="preserve"> </w:t>
            </w:r>
            <w:r w:rsidR="009800DE">
              <w:rPr>
                <w:vertAlign w:val="superscript"/>
              </w:rPr>
              <w:t>2</w:t>
            </w:r>
          </w:p>
          <w:p w14:paraId="4C8ED715" w14:textId="58A813A9" w:rsidR="00AA73B7" w:rsidRPr="00AA73B7" w:rsidRDefault="008D2482" w:rsidP="00E44076">
            <w:pPr>
              <w:pStyle w:val="Tabletext"/>
              <w:jc w:val="center"/>
            </w:pPr>
            <w:r w:rsidRPr="008D2482">
              <w:rPr>
                <w:color w:val="000000"/>
                <w:spacing w:val="33"/>
                <w:shd w:val="solid" w:color="000000" w:fill="000000"/>
                <w:fitText w:val="421" w:id="-1233498362"/>
                <w14:textFill>
                  <w14:solidFill>
                    <w14:srgbClr w14:val="000000">
                      <w14:alpha w14:val="100000"/>
                    </w14:srgbClr>
                  </w14:solidFill>
                </w14:textFill>
              </w:rPr>
              <w:t>|||||</w:t>
            </w:r>
            <w:r w:rsidRPr="008D2482">
              <w:rPr>
                <w:color w:val="000000"/>
                <w:spacing w:val="1"/>
                <w:shd w:val="solid" w:color="000000" w:fill="000000"/>
                <w:fitText w:val="421" w:id="-1233498362"/>
                <w14:textFill>
                  <w14:solidFill>
                    <w14:srgbClr w14:val="000000">
                      <w14:alpha w14:val="100000"/>
                    </w14:srgbClr>
                  </w14:solidFill>
                </w14:textFill>
              </w:rPr>
              <w:t>|</w:t>
            </w:r>
            <w:r w:rsidR="00AA73B7" w:rsidRPr="00AA73B7">
              <w:t xml:space="preserve"> </w:t>
            </w:r>
            <w:r w:rsidR="009800DE">
              <w:rPr>
                <w:vertAlign w:val="superscript"/>
              </w:rPr>
              <w:t>2</w:t>
            </w:r>
          </w:p>
          <w:p w14:paraId="483D2FB1" w14:textId="45E6EA01" w:rsidR="00AA73B7" w:rsidRPr="00AA73B7" w:rsidRDefault="008D2482" w:rsidP="00E44076">
            <w:pPr>
              <w:pStyle w:val="Tabletext"/>
              <w:jc w:val="center"/>
            </w:pPr>
            <w:r w:rsidRPr="008D2482">
              <w:rPr>
                <w:color w:val="000000"/>
                <w:spacing w:val="33"/>
                <w:shd w:val="solid" w:color="000000" w:fill="000000"/>
                <w:fitText w:val="421" w:id="-1233498361"/>
                <w14:textFill>
                  <w14:solidFill>
                    <w14:srgbClr w14:val="000000">
                      <w14:alpha w14:val="100000"/>
                    </w14:srgbClr>
                  </w14:solidFill>
                </w14:textFill>
              </w:rPr>
              <w:t>|||||</w:t>
            </w:r>
            <w:r w:rsidRPr="008D2482">
              <w:rPr>
                <w:color w:val="000000"/>
                <w:spacing w:val="1"/>
                <w:shd w:val="solid" w:color="000000" w:fill="000000"/>
                <w:fitText w:val="421" w:id="-1233498361"/>
                <w14:textFill>
                  <w14:solidFill>
                    <w14:srgbClr w14:val="000000">
                      <w14:alpha w14:val="100000"/>
                    </w14:srgbClr>
                  </w14:solidFill>
                </w14:textFill>
              </w:rPr>
              <w:t>|</w:t>
            </w:r>
            <w:r w:rsidR="00AA73B7" w:rsidRPr="00AA73B7">
              <w:t xml:space="preserve"> </w:t>
            </w:r>
            <w:r w:rsidR="009800DE">
              <w:rPr>
                <w:vertAlign w:val="superscript"/>
              </w:rPr>
              <w:t>2</w:t>
            </w:r>
          </w:p>
          <w:p w14:paraId="7CCD6C9B" w14:textId="4A5EE370" w:rsidR="00A01891" w:rsidRPr="0075485D" w:rsidRDefault="008D2482" w:rsidP="009E1CDB">
            <w:pPr>
              <w:pStyle w:val="Tabletext"/>
              <w:jc w:val="center"/>
            </w:pPr>
            <w:r w:rsidRPr="00E93B74">
              <w:rPr>
                <w:color w:val="000000"/>
                <w:spacing w:val="33"/>
                <w:shd w:val="solid" w:color="000000" w:fill="000000"/>
                <w:fitText w:val="421" w:id="-1233498360"/>
                <w14:textFill>
                  <w14:solidFill>
                    <w14:srgbClr w14:val="000000">
                      <w14:alpha w14:val="100000"/>
                    </w14:srgbClr>
                  </w14:solidFill>
                </w14:textFill>
              </w:rPr>
              <w:t>|||||</w:t>
            </w:r>
            <w:r w:rsidRPr="00E93B74">
              <w:rPr>
                <w:color w:val="000000"/>
                <w:spacing w:val="1"/>
                <w:shd w:val="solid" w:color="000000" w:fill="000000"/>
                <w:fitText w:val="421" w:id="-1233498360"/>
                <w14:textFill>
                  <w14:solidFill>
                    <w14:srgbClr w14:val="000000">
                      <w14:alpha w14:val="100000"/>
                    </w14:srgbClr>
                  </w14:solidFill>
                </w14:textFill>
              </w:rPr>
              <w:t>|</w:t>
            </w:r>
            <w:r w:rsidR="00AA73B7" w:rsidRPr="00AA73B7">
              <w:t xml:space="preserve"> </w:t>
            </w:r>
            <w:r w:rsidR="009800DE">
              <w:rPr>
                <w:vertAlign w:val="superscript"/>
              </w:rPr>
              <w:t>2</w:t>
            </w:r>
          </w:p>
        </w:tc>
        <w:tc>
          <w:tcPr>
            <w:tcW w:w="711" w:type="dxa"/>
            <w:tcBorders>
              <w:left w:val="nil"/>
              <w:bottom w:val="single" w:sz="4" w:space="0" w:color="auto"/>
            </w:tcBorders>
            <w:vAlign w:val="center"/>
          </w:tcPr>
          <w:p w14:paraId="6FCC6A12" w14:textId="77777777" w:rsidR="00A01891" w:rsidRPr="0075485D" w:rsidRDefault="00A01891" w:rsidP="00E44076">
            <w:pPr>
              <w:pStyle w:val="Tabletext"/>
              <w:jc w:val="center"/>
              <w:rPr>
                <w:u w:val="single"/>
              </w:rPr>
            </w:pPr>
            <w:r w:rsidRPr="0075485D">
              <w:rPr>
                <w:u w:val="single"/>
              </w:rPr>
              <w:t>Total</w:t>
            </w:r>
          </w:p>
          <w:p w14:paraId="433DB631" w14:textId="131F6A26" w:rsidR="00AA73B7" w:rsidRPr="00AA73B7" w:rsidRDefault="008D2482" w:rsidP="00E44076">
            <w:pPr>
              <w:pStyle w:val="Tabletext"/>
              <w:jc w:val="center"/>
            </w:pPr>
            <w:r w:rsidRPr="008D2482">
              <w:rPr>
                <w:color w:val="000000"/>
                <w:spacing w:val="33"/>
                <w:shd w:val="solid" w:color="000000" w:fill="000000"/>
                <w:fitText w:val="421" w:id="-1233498359"/>
                <w14:textFill>
                  <w14:solidFill>
                    <w14:srgbClr w14:val="000000">
                      <w14:alpha w14:val="100000"/>
                    </w14:srgbClr>
                  </w14:solidFill>
                </w14:textFill>
              </w:rPr>
              <w:t>|||||</w:t>
            </w:r>
            <w:r w:rsidRPr="008D2482">
              <w:rPr>
                <w:color w:val="000000"/>
                <w:spacing w:val="1"/>
                <w:shd w:val="solid" w:color="000000" w:fill="000000"/>
                <w:fitText w:val="421" w:id="-1233498359"/>
                <w14:textFill>
                  <w14:solidFill>
                    <w14:srgbClr w14:val="000000">
                      <w14:alpha w14:val="100000"/>
                    </w14:srgbClr>
                  </w14:solidFill>
                </w14:textFill>
              </w:rPr>
              <w:t>|</w:t>
            </w:r>
            <w:r w:rsidR="00AA73B7" w:rsidRPr="00AA73B7">
              <w:t xml:space="preserve"> </w:t>
            </w:r>
            <w:r w:rsidR="009800DE" w:rsidRPr="009800DE">
              <w:rPr>
                <w:vertAlign w:val="superscript"/>
              </w:rPr>
              <w:t>1</w:t>
            </w:r>
          </w:p>
          <w:p w14:paraId="174244DB" w14:textId="4642B917" w:rsidR="00AA73B7" w:rsidRPr="00AA73B7" w:rsidRDefault="008D2482" w:rsidP="00E44076">
            <w:pPr>
              <w:pStyle w:val="Tabletext"/>
              <w:jc w:val="center"/>
            </w:pPr>
            <w:r w:rsidRPr="008D2482">
              <w:rPr>
                <w:color w:val="000000"/>
                <w:spacing w:val="33"/>
                <w:shd w:val="solid" w:color="000000" w:fill="000000"/>
                <w:fitText w:val="421" w:id="-1233498358"/>
                <w14:textFill>
                  <w14:solidFill>
                    <w14:srgbClr w14:val="000000">
                      <w14:alpha w14:val="100000"/>
                    </w14:srgbClr>
                  </w14:solidFill>
                </w14:textFill>
              </w:rPr>
              <w:t>|||||</w:t>
            </w:r>
            <w:r w:rsidRPr="008D2482">
              <w:rPr>
                <w:color w:val="000000"/>
                <w:spacing w:val="1"/>
                <w:shd w:val="solid" w:color="000000" w:fill="000000"/>
                <w:fitText w:val="421" w:id="-1233498358"/>
                <w14:textFill>
                  <w14:solidFill>
                    <w14:srgbClr w14:val="000000">
                      <w14:alpha w14:val="100000"/>
                    </w14:srgbClr>
                  </w14:solidFill>
                </w14:textFill>
              </w:rPr>
              <w:t>|</w:t>
            </w:r>
            <w:r w:rsidR="00AA73B7" w:rsidRPr="00AA73B7">
              <w:t xml:space="preserve"> </w:t>
            </w:r>
            <w:r w:rsidR="009800DE" w:rsidRPr="009800DE">
              <w:rPr>
                <w:vertAlign w:val="superscript"/>
              </w:rPr>
              <w:t>1</w:t>
            </w:r>
          </w:p>
          <w:p w14:paraId="26D8E838" w14:textId="2EB8108C" w:rsidR="00AA73B7" w:rsidRPr="00AA73B7" w:rsidRDefault="008D2482" w:rsidP="00E44076">
            <w:pPr>
              <w:pStyle w:val="Tabletext"/>
              <w:jc w:val="center"/>
            </w:pPr>
            <w:r w:rsidRPr="008D2482">
              <w:rPr>
                <w:color w:val="000000"/>
                <w:spacing w:val="33"/>
                <w:shd w:val="solid" w:color="000000" w:fill="000000"/>
                <w:fitText w:val="421" w:id="-1233498357"/>
                <w14:textFill>
                  <w14:solidFill>
                    <w14:srgbClr w14:val="000000">
                      <w14:alpha w14:val="100000"/>
                    </w14:srgbClr>
                  </w14:solidFill>
                </w14:textFill>
              </w:rPr>
              <w:t>|||||</w:t>
            </w:r>
            <w:r w:rsidRPr="008D2482">
              <w:rPr>
                <w:color w:val="000000"/>
                <w:spacing w:val="1"/>
                <w:shd w:val="solid" w:color="000000" w:fill="000000"/>
                <w:fitText w:val="421" w:id="-1233498357"/>
                <w14:textFill>
                  <w14:solidFill>
                    <w14:srgbClr w14:val="000000">
                      <w14:alpha w14:val="100000"/>
                    </w14:srgbClr>
                  </w14:solidFill>
                </w14:textFill>
              </w:rPr>
              <w:t>|</w:t>
            </w:r>
            <w:r w:rsidR="00AA73B7" w:rsidRPr="00AA73B7">
              <w:t xml:space="preserve"> </w:t>
            </w:r>
            <w:r w:rsidR="009800DE" w:rsidRPr="009800DE">
              <w:rPr>
                <w:vertAlign w:val="superscript"/>
              </w:rPr>
              <w:t>1</w:t>
            </w:r>
          </w:p>
          <w:p w14:paraId="53CC53CC" w14:textId="1F1C417D" w:rsidR="00AA73B7" w:rsidRPr="00AA73B7" w:rsidRDefault="008D2482" w:rsidP="00E44076">
            <w:pPr>
              <w:pStyle w:val="Tabletext"/>
              <w:jc w:val="center"/>
            </w:pPr>
            <w:r w:rsidRPr="008D2482">
              <w:rPr>
                <w:color w:val="000000"/>
                <w:spacing w:val="33"/>
                <w:shd w:val="solid" w:color="000000" w:fill="000000"/>
                <w:fitText w:val="421" w:id="-1233498356"/>
                <w14:textFill>
                  <w14:solidFill>
                    <w14:srgbClr w14:val="000000">
                      <w14:alpha w14:val="100000"/>
                    </w14:srgbClr>
                  </w14:solidFill>
                </w14:textFill>
              </w:rPr>
              <w:t>|||||</w:t>
            </w:r>
            <w:r w:rsidRPr="008D2482">
              <w:rPr>
                <w:color w:val="000000"/>
                <w:spacing w:val="1"/>
                <w:shd w:val="solid" w:color="000000" w:fill="000000"/>
                <w:fitText w:val="421" w:id="-1233498356"/>
                <w14:textFill>
                  <w14:solidFill>
                    <w14:srgbClr w14:val="000000">
                      <w14:alpha w14:val="100000"/>
                    </w14:srgbClr>
                  </w14:solidFill>
                </w14:textFill>
              </w:rPr>
              <w:t>|</w:t>
            </w:r>
            <w:r w:rsidR="00AA73B7" w:rsidRPr="00AA73B7">
              <w:t xml:space="preserve"> </w:t>
            </w:r>
            <w:r w:rsidR="009800DE" w:rsidRPr="009800DE">
              <w:rPr>
                <w:vertAlign w:val="superscript"/>
              </w:rPr>
              <w:t>1</w:t>
            </w:r>
          </w:p>
          <w:p w14:paraId="0078A454" w14:textId="58927A8A" w:rsidR="00AA73B7" w:rsidRPr="00AA73B7" w:rsidRDefault="008D2482" w:rsidP="00E44076">
            <w:pPr>
              <w:pStyle w:val="Tabletext"/>
              <w:jc w:val="center"/>
            </w:pPr>
            <w:r w:rsidRPr="008D2482">
              <w:rPr>
                <w:color w:val="000000"/>
                <w:spacing w:val="33"/>
                <w:shd w:val="solid" w:color="000000" w:fill="000000"/>
                <w:fitText w:val="421" w:id="-1233498355"/>
                <w14:textFill>
                  <w14:solidFill>
                    <w14:srgbClr w14:val="000000">
                      <w14:alpha w14:val="100000"/>
                    </w14:srgbClr>
                  </w14:solidFill>
                </w14:textFill>
              </w:rPr>
              <w:t>|||||</w:t>
            </w:r>
            <w:r w:rsidRPr="008D2482">
              <w:rPr>
                <w:color w:val="000000"/>
                <w:spacing w:val="1"/>
                <w:shd w:val="solid" w:color="000000" w:fill="000000"/>
                <w:fitText w:val="421" w:id="-1233498355"/>
                <w14:textFill>
                  <w14:solidFill>
                    <w14:srgbClr w14:val="000000">
                      <w14:alpha w14:val="100000"/>
                    </w14:srgbClr>
                  </w14:solidFill>
                </w14:textFill>
              </w:rPr>
              <w:t>|</w:t>
            </w:r>
            <w:r w:rsidR="00AA73B7" w:rsidRPr="00AA73B7">
              <w:t xml:space="preserve"> </w:t>
            </w:r>
            <w:r w:rsidR="009800DE" w:rsidRPr="009800DE">
              <w:rPr>
                <w:vertAlign w:val="superscript"/>
              </w:rPr>
              <w:t>1</w:t>
            </w:r>
          </w:p>
          <w:p w14:paraId="7219350D" w14:textId="6FA2906E" w:rsidR="00A01891" w:rsidRPr="0075485D" w:rsidRDefault="008D2482" w:rsidP="009E1CDB">
            <w:pPr>
              <w:pStyle w:val="Tabletext"/>
              <w:jc w:val="center"/>
            </w:pPr>
            <w:r w:rsidRPr="00E93B74">
              <w:rPr>
                <w:color w:val="000000"/>
                <w:spacing w:val="33"/>
                <w:shd w:val="solid" w:color="000000" w:fill="000000"/>
                <w:fitText w:val="421" w:id="-1233498354"/>
                <w14:textFill>
                  <w14:solidFill>
                    <w14:srgbClr w14:val="000000">
                      <w14:alpha w14:val="100000"/>
                    </w14:srgbClr>
                  </w14:solidFill>
                </w14:textFill>
              </w:rPr>
              <w:t>|||||</w:t>
            </w:r>
            <w:r w:rsidRPr="00E93B74">
              <w:rPr>
                <w:color w:val="000000"/>
                <w:spacing w:val="1"/>
                <w:shd w:val="solid" w:color="000000" w:fill="000000"/>
                <w:fitText w:val="421" w:id="-1233498354"/>
                <w14:textFill>
                  <w14:solidFill>
                    <w14:srgbClr w14:val="000000">
                      <w14:alpha w14:val="100000"/>
                    </w14:srgbClr>
                  </w14:solidFill>
                </w14:textFill>
              </w:rPr>
              <w:t>|</w:t>
            </w:r>
            <w:r w:rsidR="00AA73B7" w:rsidRPr="00AA73B7">
              <w:t xml:space="preserve"> </w:t>
            </w:r>
            <w:r w:rsidR="009800DE" w:rsidRPr="009800DE">
              <w:rPr>
                <w:vertAlign w:val="superscript"/>
              </w:rPr>
              <w:t>1</w:t>
            </w:r>
          </w:p>
        </w:tc>
        <w:tc>
          <w:tcPr>
            <w:tcW w:w="2780" w:type="dxa"/>
          </w:tcPr>
          <w:p w14:paraId="4C151F52" w14:textId="1DC518CB" w:rsidR="00A01891" w:rsidRPr="003623C8" w:rsidRDefault="00A01891" w:rsidP="009E1CDB">
            <w:pPr>
              <w:pStyle w:val="Tabletext"/>
            </w:pPr>
            <w:r w:rsidRPr="003623C8">
              <w:t xml:space="preserve">All LV patients (47.7% of the incident population) were considered eligible for treatment. </w:t>
            </w:r>
            <w:r w:rsidR="00E57202" w:rsidRPr="003623C8">
              <w:t>As per the July 2022 apalutamide mHSPC PSD, f</w:t>
            </w:r>
            <w:r w:rsidRPr="003623C8">
              <w:t>or HV patients (52.3% of the population), only those</w:t>
            </w:r>
            <w:r w:rsidR="00502B19" w:rsidRPr="003623C8">
              <w:t xml:space="preserve"> </w:t>
            </w:r>
            <w:r w:rsidRPr="003623C8">
              <w:t xml:space="preserve">ineligible for docetaxel (25%) were </w:t>
            </w:r>
            <w:r w:rsidR="00502B19" w:rsidRPr="003623C8">
              <w:t>included in the estimates</w:t>
            </w:r>
            <w:r w:rsidR="003623C8" w:rsidRPr="003623C8">
              <w:t xml:space="preserve">. </w:t>
            </w:r>
          </w:p>
        </w:tc>
        <w:tc>
          <w:tcPr>
            <w:tcW w:w="2597" w:type="dxa"/>
          </w:tcPr>
          <w:p w14:paraId="615F6055" w14:textId="158B0D58" w:rsidR="00A01891" w:rsidRPr="003623C8" w:rsidRDefault="003623C8" w:rsidP="009E1CDB">
            <w:pPr>
              <w:pStyle w:val="Tabletext"/>
            </w:pPr>
            <w:r w:rsidRPr="003623C8">
              <w:t>This was consistent with the apalutamide mHSPC July 2022 PSD in which the PBAC recommended that use in HV patients suitable for docetaxel should be managed through a RSA.</w:t>
            </w:r>
          </w:p>
        </w:tc>
      </w:tr>
      <w:tr w:rsidR="00A01891" w:rsidRPr="003330C9" w14:paraId="36F196AE" w14:textId="77777777" w:rsidTr="009E1CDB">
        <w:trPr>
          <w:cantSplit/>
        </w:trPr>
        <w:tc>
          <w:tcPr>
            <w:tcW w:w="1211" w:type="dxa"/>
          </w:tcPr>
          <w:p w14:paraId="40853F78" w14:textId="77777777" w:rsidR="00A01891" w:rsidRPr="0075485D" w:rsidRDefault="00A01891" w:rsidP="009E1CDB">
            <w:pPr>
              <w:pStyle w:val="Tabletext"/>
            </w:pPr>
            <w:r w:rsidRPr="0075485D">
              <w:t>Prevalent mHSPC patients – all are eligible</w:t>
            </w:r>
          </w:p>
        </w:tc>
        <w:tc>
          <w:tcPr>
            <w:tcW w:w="433" w:type="dxa"/>
            <w:tcBorders>
              <w:right w:val="nil"/>
            </w:tcBorders>
          </w:tcPr>
          <w:p w14:paraId="364BCEDB" w14:textId="77777777" w:rsidR="009E1CDB" w:rsidRPr="0075485D" w:rsidRDefault="009E1CDB" w:rsidP="009E1CDB">
            <w:pPr>
              <w:pStyle w:val="Tabletext"/>
              <w:jc w:val="center"/>
            </w:pPr>
          </w:p>
          <w:p w14:paraId="115B3426" w14:textId="618E9736" w:rsidR="00A01891" w:rsidRPr="0075485D" w:rsidRDefault="00A01891" w:rsidP="009E1CDB">
            <w:pPr>
              <w:pStyle w:val="Tabletext"/>
              <w:jc w:val="center"/>
            </w:pPr>
            <w:r w:rsidRPr="0075485D">
              <w:t>Yr 1</w:t>
            </w:r>
            <w:r w:rsidR="009E1CDB" w:rsidRPr="0075485D">
              <w:t>:</w:t>
            </w:r>
          </w:p>
          <w:p w14:paraId="72EC3FE9" w14:textId="28349660" w:rsidR="00A01891" w:rsidRPr="0075485D" w:rsidRDefault="00A01891" w:rsidP="009E1CDB">
            <w:pPr>
              <w:pStyle w:val="Tabletext"/>
              <w:jc w:val="center"/>
            </w:pPr>
            <w:r w:rsidRPr="0075485D">
              <w:t>Yr 2</w:t>
            </w:r>
            <w:r w:rsidR="009E1CDB" w:rsidRPr="0075485D">
              <w:t>:</w:t>
            </w:r>
          </w:p>
          <w:p w14:paraId="6C5CD0FE" w14:textId="0479B2DA" w:rsidR="00A01891" w:rsidRPr="0075485D" w:rsidRDefault="00A01891" w:rsidP="009E1CDB">
            <w:pPr>
              <w:pStyle w:val="Tabletext"/>
              <w:jc w:val="center"/>
            </w:pPr>
            <w:r w:rsidRPr="0075485D">
              <w:t>Yr 3</w:t>
            </w:r>
            <w:r w:rsidR="009E1CDB" w:rsidRPr="0075485D">
              <w:t>:</w:t>
            </w:r>
          </w:p>
          <w:p w14:paraId="3FCA8A26" w14:textId="4BCEFDBB" w:rsidR="00A01891" w:rsidRPr="0075485D" w:rsidRDefault="00A01891" w:rsidP="009E1CDB">
            <w:pPr>
              <w:pStyle w:val="Tabletext"/>
              <w:jc w:val="center"/>
            </w:pPr>
            <w:r w:rsidRPr="0075485D">
              <w:t>Yr 4</w:t>
            </w:r>
            <w:r w:rsidR="009E1CDB" w:rsidRPr="0075485D">
              <w:t>:</w:t>
            </w:r>
          </w:p>
          <w:p w14:paraId="5822A09B" w14:textId="5EE8D309" w:rsidR="00A01891" w:rsidRPr="0075485D" w:rsidRDefault="00A01891" w:rsidP="009E1CDB">
            <w:pPr>
              <w:pStyle w:val="Tabletext"/>
              <w:jc w:val="center"/>
            </w:pPr>
            <w:r w:rsidRPr="0075485D">
              <w:t>Yr 5</w:t>
            </w:r>
            <w:r w:rsidR="009E1CDB" w:rsidRPr="0075485D">
              <w:t>:</w:t>
            </w:r>
          </w:p>
          <w:p w14:paraId="43783B1E" w14:textId="24F4F3E3" w:rsidR="00A01891" w:rsidRPr="0075485D" w:rsidRDefault="00A01891" w:rsidP="009E1CDB">
            <w:pPr>
              <w:pStyle w:val="Tabletext"/>
              <w:jc w:val="center"/>
            </w:pPr>
            <w:r w:rsidRPr="0075485D">
              <w:t>Yr 6</w:t>
            </w:r>
            <w:r w:rsidR="009E1CDB" w:rsidRPr="0075485D">
              <w:t>:</w:t>
            </w:r>
          </w:p>
        </w:tc>
        <w:tc>
          <w:tcPr>
            <w:tcW w:w="806" w:type="dxa"/>
            <w:tcBorders>
              <w:left w:val="nil"/>
              <w:right w:val="nil"/>
            </w:tcBorders>
          </w:tcPr>
          <w:p w14:paraId="7680BB72" w14:textId="77777777" w:rsidR="00A01891" w:rsidRPr="0075485D" w:rsidRDefault="00A01891" w:rsidP="009E1CDB">
            <w:pPr>
              <w:pStyle w:val="Tabletext"/>
              <w:jc w:val="center"/>
              <w:rPr>
                <w:u w:val="single"/>
              </w:rPr>
            </w:pPr>
            <w:r w:rsidRPr="0075485D">
              <w:rPr>
                <w:u w:val="single"/>
              </w:rPr>
              <w:t>LV</w:t>
            </w:r>
          </w:p>
          <w:p w14:paraId="005B6712" w14:textId="7A67B96D" w:rsidR="00AA73B7" w:rsidRPr="00AA73B7" w:rsidRDefault="008D2482" w:rsidP="009E1CDB">
            <w:pPr>
              <w:pStyle w:val="Tabletext"/>
              <w:jc w:val="center"/>
            </w:pPr>
            <w:r w:rsidRPr="008D2482">
              <w:rPr>
                <w:color w:val="000000"/>
                <w:spacing w:val="75"/>
                <w:shd w:val="solid" w:color="000000" w:fill="000000"/>
                <w:fitText w:val="398" w:id="-1233498353"/>
                <w14:textFill>
                  <w14:solidFill>
                    <w14:srgbClr w14:val="000000">
                      <w14:alpha w14:val="100000"/>
                    </w14:srgbClr>
                  </w14:solidFill>
                </w14:textFill>
              </w:rPr>
              <w:t>|||</w:t>
            </w:r>
            <w:r w:rsidRPr="008D2482">
              <w:rPr>
                <w:color w:val="000000"/>
                <w:spacing w:val="3"/>
                <w:shd w:val="solid" w:color="000000" w:fill="000000"/>
                <w:fitText w:val="398" w:id="-1233498353"/>
                <w14:textFill>
                  <w14:solidFill>
                    <w14:srgbClr w14:val="000000">
                      <w14:alpha w14:val="100000"/>
                    </w14:srgbClr>
                  </w14:solidFill>
                </w14:textFill>
              </w:rPr>
              <w:t>|</w:t>
            </w:r>
            <w:r w:rsidR="00AA73B7" w:rsidRPr="00AA73B7">
              <w:t xml:space="preserve"> </w:t>
            </w:r>
            <w:r w:rsidR="009800DE" w:rsidRPr="009800DE">
              <w:rPr>
                <w:vertAlign w:val="superscript"/>
              </w:rPr>
              <w:t>1</w:t>
            </w:r>
          </w:p>
          <w:p w14:paraId="54F8A3CB" w14:textId="2A6DAA14" w:rsidR="00AA73B7" w:rsidRPr="00AA73B7" w:rsidRDefault="008D2482" w:rsidP="009E1CDB">
            <w:pPr>
              <w:pStyle w:val="Tabletext"/>
              <w:jc w:val="center"/>
            </w:pPr>
            <w:r w:rsidRPr="008D2482">
              <w:rPr>
                <w:color w:val="000000"/>
                <w:spacing w:val="75"/>
                <w:shd w:val="solid" w:color="000000" w:fill="000000"/>
                <w:fitText w:val="398" w:id="-1233498352"/>
                <w14:textFill>
                  <w14:solidFill>
                    <w14:srgbClr w14:val="000000">
                      <w14:alpha w14:val="100000"/>
                    </w14:srgbClr>
                  </w14:solidFill>
                </w14:textFill>
              </w:rPr>
              <w:t>|||</w:t>
            </w:r>
            <w:r w:rsidRPr="008D2482">
              <w:rPr>
                <w:color w:val="000000"/>
                <w:spacing w:val="3"/>
                <w:shd w:val="solid" w:color="000000" w:fill="000000"/>
                <w:fitText w:val="398" w:id="-1233498352"/>
                <w14:textFill>
                  <w14:solidFill>
                    <w14:srgbClr w14:val="000000">
                      <w14:alpha w14:val="100000"/>
                    </w14:srgbClr>
                  </w14:solidFill>
                </w14:textFill>
              </w:rPr>
              <w:t>|</w:t>
            </w:r>
            <w:r w:rsidR="00AA73B7" w:rsidRPr="00AA73B7">
              <w:t xml:space="preserve"> </w:t>
            </w:r>
            <w:r w:rsidR="009800DE" w:rsidRPr="009800DE">
              <w:rPr>
                <w:vertAlign w:val="superscript"/>
              </w:rPr>
              <w:t>1</w:t>
            </w:r>
          </w:p>
          <w:p w14:paraId="4C2C66B4" w14:textId="2D706F7A" w:rsidR="00AA73B7" w:rsidRPr="00AA73B7" w:rsidRDefault="008D2482" w:rsidP="009E1CDB">
            <w:pPr>
              <w:pStyle w:val="Tabletext"/>
              <w:jc w:val="center"/>
            </w:pPr>
            <w:r w:rsidRPr="008D2482">
              <w:rPr>
                <w:color w:val="000000"/>
                <w:spacing w:val="75"/>
                <w:shd w:val="solid" w:color="000000" w:fill="000000"/>
                <w:fitText w:val="398" w:id="-1233498368"/>
                <w14:textFill>
                  <w14:solidFill>
                    <w14:srgbClr w14:val="000000">
                      <w14:alpha w14:val="100000"/>
                    </w14:srgbClr>
                  </w14:solidFill>
                </w14:textFill>
              </w:rPr>
              <w:t>|||</w:t>
            </w:r>
            <w:r w:rsidRPr="008D2482">
              <w:rPr>
                <w:color w:val="000000"/>
                <w:spacing w:val="3"/>
                <w:shd w:val="solid" w:color="000000" w:fill="000000"/>
                <w:fitText w:val="398" w:id="-1233498368"/>
                <w14:textFill>
                  <w14:solidFill>
                    <w14:srgbClr w14:val="000000">
                      <w14:alpha w14:val="100000"/>
                    </w14:srgbClr>
                  </w14:solidFill>
                </w14:textFill>
              </w:rPr>
              <w:t>|</w:t>
            </w:r>
            <w:r w:rsidR="00AA73B7" w:rsidRPr="00AA73B7">
              <w:t xml:space="preserve"> </w:t>
            </w:r>
            <w:r w:rsidR="009800DE" w:rsidRPr="009800DE">
              <w:rPr>
                <w:vertAlign w:val="superscript"/>
              </w:rPr>
              <w:t>1</w:t>
            </w:r>
          </w:p>
          <w:p w14:paraId="14D525E8" w14:textId="4E70E2D2" w:rsidR="00AA73B7" w:rsidRPr="00AA73B7" w:rsidRDefault="008D2482" w:rsidP="009E1CDB">
            <w:pPr>
              <w:pStyle w:val="Tabletext"/>
              <w:jc w:val="center"/>
            </w:pPr>
            <w:r w:rsidRPr="008D2482">
              <w:rPr>
                <w:color w:val="000000"/>
                <w:spacing w:val="75"/>
                <w:shd w:val="solid" w:color="000000" w:fill="000000"/>
                <w:fitText w:val="398" w:id="-1233498367"/>
                <w14:textFill>
                  <w14:solidFill>
                    <w14:srgbClr w14:val="000000">
                      <w14:alpha w14:val="100000"/>
                    </w14:srgbClr>
                  </w14:solidFill>
                </w14:textFill>
              </w:rPr>
              <w:t>|||</w:t>
            </w:r>
            <w:r w:rsidRPr="008D2482">
              <w:rPr>
                <w:color w:val="000000"/>
                <w:spacing w:val="3"/>
                <w:shd w:val="solid" w:color="000000" w:fill="000000"/>
                <w:fitText w:val="398" w:id="-1233498367"/>
                <w14:textFill>
                  <w14:solidFill>
                    <w14:srgbClr w14:val="000000">
                      <w14:alpha w14:val="100000"/>
                    </w14:srgbClr>
                  </w14:solidFill>
                </w14:textFill>
              </w:rPr>
              <w:t>|</w:t>
            </w:r>
            <w:r w:rsidR="00AA73B7" w:rsidRPr="00AA73B7">
              <w:t xml:space="preserve"> </w:t>
            </w:r>
            <w:r w:rsidR="009800DE">
              <w:rPr>
                <w:vertAlign w:val="superscript"/>
              </w:rPr>
              <w:t>2</w:t>
            </w:r>
          </w:p>
          <w:p w14:paraId="5B1EBC3D" w14:textId="1974C048" w:rsidR="00AA73B7" w:rsidRPr="00AA73B7" w:rsidRDefault="008D2482" w:rsidP="009E1CDB">
            <w:pPr>
              <w:pStyle w:val="Tabletext"/>
              <w:jc w:val="center"/>
            </w:pPr>
            <w:r w:rsidRPr="008D2482">
              <w:rPr>
                <w:color w:val="000000"/>
                <w:spacing w:val="75"/>
                <w:shd w:val="solid" w:color="000000" w:fill="000000"/>
                <w:fitText w:val="398" w:id="-1233498366"/>
                <w14:textFill>
                  <w14:solidFill>
                    <w14:srgbClr w14:val="000000">
                      <w14:alpha w14:val="100000"/>
                    </w14:srgbClr>
                  </w14:solidFill>
                </w14:textFill>
              </w:rPr>
              <w:t>|||</w:t>
            </w:r>
            <w:r w:rsidRPr="008D2482">
              <w:rPr>
                <w:color w:val="000000"/>
                <w:spacing w:val="3"/>
                <w:shd w:val="solid" w:color="000000" w:fill="000000"/>
                <w:fitText w:val="398" w:id="-1233498366"/>
                <w14:textFill>
                  <w14:solidFill>
                    <w14:srgbClr w14:val="000000">
                      <w14:alpha w14:val="100000"/>
                    </w14:srgbClr>
                  </w14:solidFill>
                </w14:textFill>
              </w:rPr>
              <w:t>|</w:t>
            </w:r>
            <w:r w:rsidR="00AA73B7" w:rsidRPr="00AA73B7">
              <w:t xml:space="preserve"> </w:t>
            </w:r>
            <w:r w:rsidR="009800DE">
              <w:rPr>
                <w:vertAlign w:val="superscript"/>
              </w:rPr>
              <w:t>2</w:t>
            </w:r>
          </w:p>
          <w:p w14:paraId="75D7AF1B" w14:textId="6FEDA3F8" w:rsidR="00A01891" w:rsidRPr="0075485D" w:rsidRDefault="008D2482" w:rsidP="009E1CDB">
            <w:pPr>
              <w:pStyle w:val="Tabletext"/>
              <w:jc w:val="center"/>
            </w:pPr>
            <w:r w:rsidRPr="008D2482">
              <w:rPr>
                <w:color w:val="000000"/>
                <w:spacing w:val="75"/>
                <w:shd w:val="solid" w:color="000000" w:fill="000000"/>
                <w:fitText w:val="398" w:id="-1233498365"/>
                <w14:textFill>
                  <w14:solidFill>
                    <w14:srgbClr w14:val="000000">
                      <w14:alpha w14:val="100000"/>
                    </w14:srgbClr>
                  </w14:solidFill>
                </w14:textFill>
              </w:rPr>
              <w:t>|||</w:t>
            </w:r>
            <w:r w:rsidRPr="008D2482">
              <w:rPr>
                <w:color w:val="000000"/>
                <w:spacing w:val="3"/>
                <w:shd w:val="solid" w:color="000000" w:fill="000000"/>
                <w:fitText w:val="398" w:id="-1233498365"/>
                <w14:textFill>
                  <w14:solidFill>
                    <w14:srgbClr w14:val="000000">
                      <w14:alpha w14:val="100000"/>
                    </w14:srgbClr>
                  </w14:solidFill>
                </w14:textFill>
              </w:rPr>
              <w:t>|</w:t>
            </w:r>
            <w:r w:rsidR="00AA73B7" w:rsidRPr="00AA73B7">
              <w:t xml:space="preserve"> </w:t>
            </w:r>
            <w:r w:rsidR="009800DE">
              <w:rPr>
                <w:vertAlign w:val="superscript"/>
              </w:rPr>
              <w:t>2</w:t>
            </w:r>
          </w:p>
          <w:p w14:paraId="6E65A155" w14:textId="77777777" w:rsidR="00A01891" w:rsidRPr="0075485D" w:rsidRDefault="00A01891" w:rsidP="009E1CDB">
            <w:pPr>
              <w:pStyle w:val="Tabletext"/>
              <w:jc w:val="center"/>
              <w:rPr>
                <w:u w:val="single"/>
              </w:rPr>
            </w:pPr>
          </w:p>
        </w:tc>
        <w:tc>
          <w:tcPr>
            <w:tcW w:w="529" w:type="dxa"/>
            <w:tcBorders>
              <w:left w:val="nil"/>
              <w:right w:val="nil"/>
            </w:tcBorders>
          </w:tcPr>
          <w:p w14:paraId="4BEB23E7" w14:textId="77777777" w:rsidR="00A01891" w:rsidRPr="0075485D" w:rsidRDefault="00A01891" w:rsidP="009E1CDB">
            <w:pPr>
              <w:pStyle w:val="Tabletext"/>
              <w:jc w:val="center"/>
              <w:rPr>
                <w:u w:val="single"/>
              </w:rPr>
            </w:pPr>
            <w:r w:rsidRPr="0075485D">
              <w:rPr>
                <w:u w:val="single"/>
              </w:rPr>
              <w:t>HV</w:t>
            </w:r>
          </w:p>
          <w:p w14:paraId="3A20E055" w14:textId="14424756" w:rsidR="00AA73B7" w:rsidRPr="00AA73B7" w:rsidRDefault="008D2482" w:rsidP="009E1CDB">
            <w:pPr>
              <w:pStyle w:val="Tabletext"/>
              <w:jc w:val="center"/>
            </w:pPr>
            <w:r w:rsidRPr="008D2482">
              <w:rPr>
                <w:color w:val="000000"/>
                <w:spacing w:val="33"/>
                <w:shd w:val="solid" w:color="000000" w:fill="000000"/>
                <w:fitText w:val="421" w:id="-1233498364"/>
                <w14:textFill>
                  <w14:solidFill>
                    <w14:srgbClr w14:val="000000">
                      <w14:alpha w14:val="100000"/>
                    </w14:srgbClr>
                  </w14:solidFill>
                </w14:textFill>
              </w:rPr>
              <w:t>|||||</w:t>
            </w:r>
            <w:r w:rsidRPr="008D2482">
              <w:rPr>
                <w:color w:val="000000"/>
                <w:spacing w:val="1"/>
                <w:shd w:val="solid" w:color="000000" w:fill="000000"/>
                <w:fitText w:val="421" w:id="-1233498364"/>
                <w14:textFill>
                  <w14:solidFill>
                    <w14:srgbClr w14:val="000000">
                      <w14:alpha w14:val="100000"/>
                    </w14:srgbClr>
                  </w14:solidFill>
                </w14:textFill>
              </w:rPr>
              <w:t>|</w:t>
            </w:r>
            <w:r w:rsidR="00AA73B7" w:rsidRPr="00AA73B7">
              <w:t xml:space="preserve"> </w:t>
            </w:r>
            <w:r w:rsidR="009800DE">
              <w:rPr>
                <w:vertAlign w:val="superscript"/>
              </w:rPr>
              <w:t>2</w:t>
            </w:r>
          </w:p>
          <w:p w14:paraId="451F0E19" w14:textId="4FFDBD00" w:rsidR="00AA73B7" w:rsidRPr="00AA73B7" w:rsidRDefault="008D2482" w:rsidP="009E1CDB">
            <w:pPr>
              <w:pStyle w:val="Tabletext"/>
              <w:jc w:val="center"/>
            </w:pPr>
            <w:r w:rsidRPr="008D2482">
              <w:rPr>
                <w:color w:val="000000"/>
                <w:spacing w:val="33"/>
                <w:shd w:val="solid" w:color="000000" w:fill="000000"/>
                <w:fitText w:val="421" w:id="-1233498363"/>
                <w14:textFill>
                  <w14:solidFill>
                    <w14:srgbClr w14:val="000000">
                      <w14:alpha w14:val="100000"/>
                    </w14:srgbClr>
                  </w14:solidFill>
                </w14:textFill>
              </w:rPr>
              <w:t>|||||</w:t>
            </w:r>
            <w:r w:rsidRPr="008D2482">
              <w:rPr>
                <w:color w:val="000000"/>
                <w:spacing w:val="1"/>
                <w:shd w:val="solid" w:color="000000" w:fill="000000"/>
                <w:fitText w:val="421" w:id="-1233498363"/>
                <w14:textFill>
                  <w14:solidFill>
                    <w14:srgbClr w14:val="000000">
                      <w14:alpha w14:val="100000"/>
                    </w14:srgbClr>
                  </w14:solidFill>
                </w14:textFill>
              </w:rPr>
              <w:t>|</w:t>
            </w:r>
            <w:r w:rsidR="00AA73B7" w:rsidRPr="00AA73B7">
              <w:t xml:space="preserve"> </w:t>
            </w:r>
            <w:r w:rsidR="009800DE">
              <w:rPr>
                <w:vertAlign w:val="superscript"/>
              </w:rPr>
              <w:t>2</w:t>
            </w:r>
          </w:p>
          <w:p w14:paraId="0C9638DD" w14:textId="69DCEDDB" w:rsidR="00AA73B7" w:rsidRPr="00AA73B7" w:rsidRDefault="008D2482" w:rsidP="009E1CDB">
            <w:pPr>
              <w:pStyle w:val="Tabletext"/>
              <w:jc w:val="center"/>
            </w:pPr>
            <w:r w:rsidRPr="008D2482">
              <w:rPr>
                <w:color w:val="000000"/>
                <w:spacing w:val="33"/>
                <w:shd w:val="solid" w:color="000000" w:fill="000000"/>
                <w:fitText w:val="421" w:id="-1233498362"/>
                <w14:textFill>
                  <w14:solidFill>
                    <w14:srgbClr w14:val="000000">
                      <w14:alpha w14:val="100000"/>
                    </w14:srgbClr>
                  </w14:solidFill>
                </w14:textFill>
              </w:rPr>
              <w:t>|||||</w:t>
            </w:r>
            <w:r w:rsidRPr="008D2482">
              <w:rPr>
                <w:color w:val="000000"/>
                <w:spacing w:val="1"/>
                <w:shd w:val="solid" w:color="000000" w:fill="000000"/>
                <w:fitText w:val="421" w:id="-1233498362"/>
                <w14:textFill>
                  <w14:solidFill>
                    <w14:srgbClr w14:val="000000">
                      <w14:alpha w14:val="100000"/>
                    </w14:srgbClr>
                  </w14:solidFill>
                </w14:textFill>
              </w:rPr>
              <w:t>|</w:t>
            </w:r>
            <w:r w:rsidR="00AA73B7" w:rsidRPr="00AA73B7">
              <w:t xml:space="preserve"> </w:t>
            </w:r>
            <w:r w:rsidR="009800DE">
              <w:rPr>
                <w:vertAlign w:val="superscript"/>
              </w:rPr>
              <w:t>2</w:t>
            </w:r>
          </w:p>
          <w:p w14:paraId="5C6369E0" w14:textId="5E30CE87" w:rsidR="00AA73B7" w:rsidRPr="00AA73B7" w:rsidRDefault="008D2482" w:rsidP="009E1CDB">
            <w:pPr>
              <w:pStyle w:val="Tabletext"/>
              <w:jc w:val="center"/>
            </w:pPr>
            <w:r w:rsidRPr="008D2482">
              <w:rPr>
                <w:color w:val="000000"/>
                <w:spacing w:val="33"/>
                <w:shd w:val="solid" w:color="000000" w:fill="000000"/>
                <w:fitText w:val="421" w:id="-1233498361"/>
                <w14:textFill>
                  <w14:solidFill>
                    <w14:srgbClr w14:val="000000">
                      <w14:alpha w14:val="100000"/>
                    </w14:srgbClr>
                  </w14:solidFill>
                </w14:textFill>
              </w:rPr>
              <w:t>|||||</w:t>
            </w:r>
            <w:r w:rsidRPr="008D2482">
              <w:rPr>
                <w:color w:val="000000"/>
                <w:spacing w:val="1"/>
                <w:shd w:val="solid" w:color="000000" w:fill="000000"/>
                <w:fitText w:val="421" w:id="-1233498361"/>
                <w14:textFill>
                  <w14:solidFill>
                    <w14:srgbClr w14:val="000000">
                      <w14:alpha w14:val="100000"/>
                    </w14:srgbClr>
                  </w14:solidFill>
                </w14:textFill>
              </w:rPr>
              <w:t>|</w:t>
            </w:r>
            <w:r w:rsidR="00AA73B7" w:rsidRPr="00AA73B7">
              <w:t xml:space="preserve"> </w:t>
            </w:r>
            <w:r w:rsidR="009800DE">
              <w:rPr>
                <w:vertAlign w:val="superscript"/>
              </w:rPr>
              <w:t>2</w:t>
            </w:r>
          </w:p>
          <w:p w14:paraId="28996F49" w14:textId="7CA3F947" w:rsidR="00AA73B7" w:rsidRPr="00AA73B7" w:rsidRDefault="008D2482" w:rsidP="009E1CDB">
            <w:pPr>
              <w:pStyle w:val="Tabletext"/>
              <w:jc w:val="center"/>
            </w:pPr>
            <w:r w:rsidRPr="008D2482">
              <w:rPr>
                <w:color w:val="000000"/>
                <w:spacing w:val="33"/>
                <w:shd w:val="solid" w:color="000000" w:fill="000000"/>
                <w:fitText w:val="421" w:id="-1233498360"/>
                <w14:textFill>
                  <w14:solidFill>
                    <w14:srgbClr w14:val="000000">
                      <w14:alpha w14:val="100000"/>
                    </w14:srgbClr>
                  </w14:solidFill>
                </w14:textFill>
              </w:rPr>
              <w:t>|||||</w:t>
            </w:r>
            <w:r w:rsidRPr="008D2482">
              <w:rPr>
                <w:color w:val="000000"/>
                <w:spacing w:val="1"/>
                <w:shd w:val="solid" w:color="000000" w:fill="000000"/>
                <w:fitText w:val="421" w:id="-1233498360"/>
                <w14:textFill>
                  <w14:solidFill>
                    <w14:srgbClr w14:val="000000">
                      <w14:alpha w14:val="100000"/>
                    </w14:srgbClr>
                  </w14:solidFill>
                </w14:textFill>
              </w:rPr>
              <w:t>|</w:t>
            </w:r>
            <w:r w:rsidR="00AA73B7" w:rsidRPr="00AA73B7">
              <w:t xml:space="preserve"> </w:t>
            </w:r>
            <w:r w:rsidR="009800DE">
              <w:rPr>
                <w:vertAlign w:val="superscript"/>
              </w:rPr>
              <w:t>2</w:t>
            </w:r>
          </w:p>
          <w:p w14:paraId="164DD97D" w14:textId="6627C8B5" w:rsidR="00A01891" w:rsidRPr="0075485D" w:rsidRDefault="008D2482" w:rsidP="009E1CDB">
            <w:pPr>
              <w:pStyle w:val="Tabletext"/>
              <w:jc w:val="center"/>
            </w:pPr>
            <w:r w:rsidRPr="00E93B74">
              <w:rPr>
                <w:color w:val="000000"/>
                <w:spacing w:val="33"/>
                <w:shd w:val="solid" w:color="000000" w:fill="000000"/>
                <w:fitText w:val="421" w:id="-1233498359"/>
                <w14:textFill>
                  <w14:solidFill>
                    <w14:srgbClr w14:val="000000">
                      <w14:alpha w14:val="100000"/>
                    </w14:srgbClr>
                  </w14:solidFill>
                </w14:textFill>
              </w:rPr>
              <w:t>|||||</w:t>
            </w:r>
            <w:r w:rsidRPr="00E93B74">
              <w:rPr>
                <w:color w:val="000000"/>
                <w:spacing w:val="1"/>
                <w:shd w:val="solid" w:color="000000" w:fill="000000"/>
                <w:fitText w:val="421" w:id="-1233498359"/>
                <w14:textFill>
                  <w14:solidFill>
                    <w14:srgbClr w14:val="000000">
                      <w14:alpha w14:val="100000"/>
                    </w14:srgbClr>
                  </w14:solidFill>
                </w14:textFill>
              </w:rPr>
              <w:t>|</w:t>
            </w:r>
            <w:r w:rsidR="00AA73B7" w:rsidRPr="00AA73B7">
              <w:t xml:space="preserve"> </w:t>
            </w:r>
            <w:r w:rsidR="009800DE">
              <w:rPr>
                <w:vertAlign w:val="superscript"/>
              </w:rPr>
              <w:t>2</w:t>
            </w:r>
          </w:p>
          <w:p w14:paraId="439D3B0B" w14:textId="77777777" w:rsidR="00A01891" w:rsidRPr="0075485D" w:rsidRDefault="00A01891" w:rsidP="009E1CDB">
            <w:pPr>
              <w:pStyle w:val="Tabletext"/>
              <w:jc w:val="center"/>
            </w:pPr>
          </w:p>
        </w:tc>
        <w:tc>
          <w:tcPr>
            <w:tcW w:w="711" w:type="dxa"/>
            <w:tcBorders>
              <w:left w:val="nil"/>
            </w:tcBorders>
          </w:tcPr>
          <w:p w14:paraId="01EEFC67" w14:textId="77777777" w:rsidR="00A01891" w:rsidRPr="0075485D" w:rsidRDefault="00A01891" w:rsidP="009E1CDB">
            <w:pPr>
              <w:pStyle w:val="Tabletext"/>
              <w:jc w:val="center"/>
              <w:rPr>
                <w:u w:val="single"/>
              </w:rPr>
            </w:pPr>
            <w:r w:rsidRPr="0075485D">
              <w:rPr>
                <w:u w:val="single"/>
              </w:rPr>
              <w:t>Total</w:t>
            </w:r>
          </w:p>
          <w:p w14:paraId="72123082" w14:textId="20FE6B01" w:rsidR="00AA73B7" w:rsidRPr="00AA73B7" w:rsidRDefault="008D2482" w:rsidP="009E1CDB">
            <w:pPr>
              <w:pStyle w:val="Tabletext"/>
              <w:jc w:val="center"/>
            </w:pPr>
            <w:r w:rsidRPr="008D2482">
              <w:rPr>
                <w:color w:val="000000"/>
                <w:spacing w:val="35"/>
                <w:shd w:val="solid" w:color="000000" w:fill="000000"/>
                <w:fitText w:val="432" w:id="-1233498358"/>
                <w14:textFill>
                  <w14:solidFill>
                    <w14:srgbClr w14:val="000000">
                      <w14:alpha w14:val="100000"/>
                    </w14:srgbClr>
                  </w14:solidFill>
                </w14:textFill>
              </w:rPr>
              <w:t>|||||</w:t>
            </w:r>
            <w:r w:rsidRPr="008D2482">
              <w:rPr>
                <w:color w:val="000000"/>
                <w:spacing w:val="2"/>
                <w:shd w:val="solid" w:color="000000" w:fill="000000"/>
                <w:fitText w:val="432" w:id="-1233498358"/>
                <w14:textFill>
                  <w14:solidFill>
                    <w14:srgbClr w14:val="000000">
                      <w14:alpha w14:val="100000"/>
                    </w14:srgbClr>
                  </w14:solidFill>
                </w14:textFill>
              </w:rPr>
              <w:t>|</w:t>
            </w:r>
            <w:r w:rsidR="00AA73B7" w:rsidRPr="00AA73B7">
              <w:t xml:space="preserve"> </w:t>
            </w:r>
            <w:r w:rsidR="009800DE" w:rsidRPr="009800DE">
              <w:rPr>
                <w:vertAlign w:val="superscript"/>
              </w:rPr>
              <w:t>1</w:t>
            </w:r>
          </w:p>
          <w:p w14:paraId="11DE9B02" w14:textId="31B33AB9" w:rsidR="00AA73B7" w:rsidRPr="00AA73B7" w:rsidRDefault="008D2482" w:rsidP="009E1CDB">
            <w:pPr>
              <w:pStyle w:val="Tabletext"/>
              <w:jc w:val="center"/>
            </w:pPr>
            <w:r w:rsidRPr="008D2482">
              <w:rPr>
                <w:color w:val="000000"/>
                <w:spacing w:val="35"/>
                <w:shd w:val="solid" w:color="000000" w:fill="000000"/>
                <w:fitText w:val="432" w:id="-1233498357"/>
                <w14:textFill>
                  <w14:solidFill>
                    <w14:srgbClr w14:val="000000">
                      <w14:alpha w14:val="100000"/>
                    </w14:srgbClr>
                  </w14:solidFill>
                </w14:textFill>
              </w:rPr>
              <w:t>|||||</w:t>
            </w:r>
            <w:r w:rsidRPr="008D2482">
              <w:rPr>
                <w:color w:val="000000"/>
                <w:spacing w:val="2"/>
                <w:shd w:val="solid" w:color="000000" w:fill="000000"/>
                <w:fitText w:val="432" w:id="-1233498357"/>
                <w14:textFill>
                  <w14:solidFill>
                    <w14:srgbClr w14:val="000000">
                      <w14:alpha w14:val="100000"/>
                    </w14:srgbClr>
                  </w14:solidFill>
                </w14:textFill>
              </w:rPr>
              <w:t>|</w:t>
            </w:r>
            <w:r w:rsidR="00AA73B7" w:rsidRPr="00AA73B7">
              <w:t xml:space="preserve"> </w:t>
            </w:r>
            <w:r w:rsidR="009800DE" w:rsidRPr="009800DE">
              <w:rPr>
                <w:vertAlign w:val="superscript"/>
              </w:rPr>
              <w:t>1</w:t>
            </w:r>
          </w:p>
          <w:p w14:paraId="659F060C" w14:textId="3F6C94AA" w:rsidR="00AA73B7" w:rsidRPr="00AA73B7" w:rsidRDefault="008D2482" w:rsidP="009E1CDB">
            <w:pPr>
              <w:pStyle w:val="Tabletext"/>
              <w:jc w:val="center"/>
            </w:pPr>
            <w:r w:rsidRPr="008D2482">
              <w:rPr>
                <w:color w:val="000000"/>
                <w:spacing w:val="35"/>
                <w:shd w:val="solid" w:color="000000" w:fill="000000"/>
                <w:fitText w:val="432" w:id="-1233498356"/>
                <w14:textFill>
                  <w14:solidFill>
                    <w14:srgbClr w14:val="000000">
                      <w14:alpha w14:val="100000"/>
                    </w14:srgbClr>
                  </w14:solidFill>
                </w14:textFill>
              </w:rPr>
              <w:t>|||||</w:t>
            </w:r>
            <w:r w:rsidRPr="008D2482">
              <w:rPr>
                <w:color w:val="000000"/>
                <w:spacing w:val="2"/>
                <w:shd w:val="solid" w:color="000000" w:fill="000000"/>
                <w:fitText w:val="432" w:id="-1233498356"/>
                <w14:textFill>
                  <w14:solidFill>
                    <w14:srgbClr w14:val="000000">
                      <w14:alpha w14:val="100000"/>
                    </w14:srgbClr>
                  </w14:solidFill>
                </w14:textFill>
              </w:rPr>
              <w:t>|</w:t>
            </w:r>
            <w:r w:rsidR="00AA73B7" w:rsidRPr="00AA73B7">
              <w:t xml:space="preserve"> </w:t>
            </w:r>
            <w:r w:rsidR="009800DE" w:rsidRPr="009800DE">
              <w:rPr>
                <w:vertAlign w:val="superscript"/>
              </w:rPr>
              <w:t>1</w:t>
            </w:r>
          </w:p>
          <w:p w14:paraId="4A3CF8B4" w14:textId="57100746" w:rsidR="00AA73B7" w:rsidRPr="00AA73B7" w:rsidRDefault="008D2482" w:rsidP="009E1CDB">
            <w:pPr>
              <w:pStyle w:val="Tabletext"/>
              <w:jc w:val="center"/>
            </w:pPr>
            <w:r w:rsidRPr="008D2482">
              <w:rPr>
                <w:color w:val="000000"/>
                <w:spacing w:val="35"/>
                <w:shd w:val="solid" w:color="000000" w:fill="000000"/>
                <w:fitText w:val="432" w:id="-1233498355"/>
                <w14:textFill>
                  <w14:solidFill>
                    <w14:srgbClr w14:val="000000">
                      <w14:alpha w14:val="100000"/>
                    </w14:srgbClr>
                  </w14:solidFill>
                </w14:textFill>
              </w:rPr>
              <w:t>|||||</w:t>
            </w:r>
            <w:r w:rsidRPr="008D2482">
              <w:rPr>
                <w:color w:val="000000"/>
                <w:spacing w:val="2"/>
                <w:shd w:val="solid" w:color="000000" w:fill="000000"/>
                <w:fitText w:val="432" w:id="-1233498355"/>
                <w14:textFill>
                  <w14:solidFill>
                    <w14:srgbClr w14:val="000000">
                      <w14:alpha w14:val="100000"/>
                    </w14:srgbClr>
                  </w14:solidFill>
                </w14:textFill>
              </w:rPr>
              <w:t>|</w:t>
            </w:r>
            <w:r w:rsidR="00AA73B7" w:rsidRPr="00AA73B7">
              <w:t xml:space="preserve"> </w:t>
            </w:r>
            <w:r w:rsidR="009800DE">
              <w:rPr>
                <w:vertAlign w:val="superscript"/>
              </w:rPr>
              <w:t>2</w:t>
            </w:r>
          </w:p>
          <w:p w14:paraId="37CA5D1D" w14:textId="20CD750B" w:rsidR="00AA73B7" w:rsidRPr="00AA73B7" w:rsidRDefault="008D2482" w:rsidP="009E1CDB">
            <w:pPr>
              <w:pStyle w:val="Tabletext"/>
              <w:jc w:val="center"/>
            </w:pPr>
            <w:r w:rsidRPr="008D2482">
              <w:rPr>
                <w:color w:val="000000"/>
                <w:spacing w:val="35"/>
                <w:shd w:val="solid" w:color="000000" w:fill="000000"/>
                <w:fitText w:val="432" w:id="-1233498354"/>
                <w14:textFill>
                  <w14:solidFill>
                    <w14:srgbClr w14:val="000000">
                      <w14:alpha w14:val="100000"/>
                    </w14:srgbClr>
                  </w14:solidFill>
                </w14:textFill>
              </w:rPr>
              <w:t>|||||</w:t>
            </w:r>
            <w:r w:rsidRPr="008D2482">
              <w:rPr>
                <w:color w:val="000000"/>
                <w:spacing w:val="2"/>
                <w:shd w:val="solid" w:color="000000" w:fill="000000"/>
                <w:fitText w:val="432" w:id="-1233498354"/>
                <w14:textFill>
                  <w14:solidFill>
                    <w14:srgbClr w14:val="000000">
                      <w14:alpha w14:val="100000"/>
                    </w14:srgbClr>
                  </w14:solidFill>
                </w14:textFill>
              </w:rPr>
              <w:t>|</w:t>
            </w:r>
            <w:r w:rsidR="00AA73B7" w:rsidRPr="00AA73B7">
              <w:t xml:space="preserve"> </w:t>
            </w:r>
            <w:r w:rsidR="009800DE">
              <w:rPr>
                <w:vertAlign w:val="superscript"/>
              </w:rPr>
              <w:t>2</w:t>
            </w:r>
          </w:p>
          <w:p w14:paraId="1594455A" w14:textId="1307B877" w:rsidR="00A01891" w:rsidRPr="0075485D" w:rsidRDefault="008D2482" w:rsidP="009E1CDB">
            <w:pPr>
              <w:pStyle w:val="Tabletext"/>
              <w:jc w:val="center"/>
            </w:pPr>
            <w:r w:rsidRPr="008D2482">
              <w:rPr>
                <w:color w:val="000000"/>
                <w:spacing w:val="35"/>
                <w:shd w:val="solid" w:color="000000" w:fill="000000"/>
                <w:fitText w:val="432" w:id="-1233498353"/>
                <w14:textFill>
                  <w14:solidFill>
                    <w14:srgbClr w14:val="000000">
                      <w14:alpha w14:val="100000"/>
                    </w14:srgbClr>
                  </w14:solidFill>
                </w14:textFill>
              </w:rPr>
              <w:t>|||||</w:t>
            </w:r>
            <w:r w:rsidRPr="008D2482">
              <w:rPr>
                <w:color w:val="000000"/>
                <w:spacing w:val="2"/>
                <w:shd w:val="solid" w:color="000000" w:fill="000000"/>
                <w:fitText w:val="432" w:id="-1233498353"/>
                <w14:textFill>
                  <w14:solidFill>
                    <w14:srgbClr w14:val="000000">
                      <w14:alpha w14:val="100000"/>
                    </w14:srgbClr>
                  </w14:solidFill>
                </w14:textFill>
              </w:rPr>
              <w:t>|</w:t>
            </w:r>
            <w:r w:rsidR="00AA73B7" w:rsidRPr="00AA73B7">
              <w:t xml:space="preserve"> </w:t>
            </w:r>
            <w:r w:rsidR="009800DE">
              <w:rPr>
                <w:vertAlign w:val="superscript"/>
              </w:rPr>
              <w:t>2</w:t>
            </w:r>
          </w:p>
          <w:p w14:paraId="74355852" w14:textId="77777777" w:rsidR="00A01891" w:rsidRPr="0075485D" w:rsidRDefault="00A01891" w:rsidP="009E1CDB">
            <w:pPr>
              <w:pStyle w:val="Tabletext"/>
              <w:jc w:val="center"/>
            </w:pPr>
          </w:p>
        </w:tc>
        <w:tc>
          <w:tcPr>
            <w:tcW w:w="2780" w:type="dxa"/>
          </w:tcPr>
          <w:p w14:paraId="3D8A3EB2" w14:textId="77777777" w:rsidR="00A01891" w:rsidRPr="0075485D" w:rsidRDefault="00A01891" w:rsidP="009E1CDB">
            <w:pPr>
              <w:pStyle w:val="Tabletext"/>
            </w:pPr>
            <w:r w:rsidRPr="0075485D">
              <w:t>Prevalent patients in Year 2 onward were estimated as a proportion of untreated patients from the previous year who remain mHSPC. These patients will be receiving ADT only and therefore will be eligible to receive treatment. The proportion was based on median time to progression (11.7 months) in the ADT arm of CHAARTED (49.12% = 0.5</w:t>
            </w:r>
            <w:r w:rsidRPr="0075485D">
              <w:rPr>
                <w:rFonts w:cstheme="minorHAnsi"/>
              </w:rPr>
              <w:t>^(1/(11.7/12)).</w:t>
            </w:r>
          </w:p>
          <w:p w14:paraId="7B9404B5" w14:textId="77777777" w:rsidR="00A01891" w:rsidRPr="0075485D" w:rsidRDefault="00A01891" w:rsidP="009E1CDB">
            <w:pPr>
              <w:pStyle w:val="Tabletext"/>
            </w:pPr>
            <w:r w:rsidRPr="0075485D">
              <w:t>Prevalent patients in Year 1 were estimated using the same methodology, and patient numbers were based on a historical cohort of mHSPC incident patients from five years prior to the requested listing of enzalutamide.</w:t>
            </w:r>
          </w:p>
        </w:tc>
        <w:tc>
          <w:tcPr>
            <w:tcW w:w="2597" w:type="dxa"/>
          </w:tcPr>
          <w:p w14:paraId="78858FFB" w14:textId="3149323A" w:rsidR="005D5E9A" w:rsidRPr="0075485D" w:rsidRDefault="00A01891" w:rsidP="009E1CDB">
            <w:pPr>
              <w:pStyle w:val="Tabletext"/>
            </w:pPr>
            <w:r w:rsidRPr="0075485D">
              <w:t>The submission applied the same methodology to estimate prevalent patients as used in the July 2022 apalutamide resubmission (and the November 2021 submission), although the apalutamide resubmission included prevalent patients in Year 1 only. This has a considerable impact on patient numbers, and resultant cost. For apalutamide, the PBAC had considered prevalent patient estimation</w:t>
            </w:r>
            <w:r w:rsidRPr="0075485D" w:rsidDel="00946095">
              <w:t xml:space="preserve"> </w:t>
            </w:r>
            <w:r w:rsidRPr="0075485D">
              <w:t>was uncertain as the method assumed an exponential extrapolation of time to progression that was unrelated to patient characteristics such as HV and LV disease. The submission provided no discussion around the identified uncertainty with the method used.</w:t>
            </w:r>
            <w:r w:rsidR="00273330" w:rsidRPr="0075485D">
              <w:t xml:space="preserve"> </w:t>
            </w:r>
            <w:r w:rsidR="005D5E9A" w:rsidRPr="0075485D">
              <w:t>The PSCR presented a revised base case in which prevalent patients were excluded from Year 2 onwards.</w:t>
            </w:r>
          </w:p>
        </w:tc>
      </w:tr>
      <w:tr w:rsidR="00A01891" w:rsidRPr="003330C9" w14:paraId="2912A04B" w14:textId="77777777" w:rsidTr="009E1CDB">
        <w:trPr>
          <w:cantSplit/>
        </w:trPr>
        <w:tc>
          <w:tcPr>
            <w:tcW w:w="9067" w:type="dxa"/>
            <w:gridSpan w:val="7"/>
          </w:tcPr>
          <w:p w14:paraId="6D2E6CD9" w14:textId="77777777" w:rsidR="00A01891" w:rsidRPr="0075485D" w:rsidRDefault="00A01891" w:rsidP="009E1CDB">
            <w:pPr>
              <w:pStyle w:val="Tabletext"/>
              <w:rPr>
                <w:b/>
              </w:rPr>
            </w:pPr>
            <w:r w:rsidRPr="0075485D">
              <w:rPr>
                <w:b/>
              </w:rPr>
              <w:t xml:space="preserve"> Treatment utilisation</w:t>
            </w:r>
          </w:p>
        </w:tc>
      </w:tr>
      <w:tr w:rsidR="00A01891" w:rsidRPr="003330C9" w14:paraId="5031C6E3" w14:textId="77777777" w:rsidTr="009E1CDB">
        <w:trPr>
          <w:cantSplit/>
        </w:trPr>
        <w:tc>
          <w:tcPr>
            <w:tcW w:w="1211" w:type="dxa"/>
          </w:tcPr>
          <w:p w14:paraId="4A9C209B" w14:textId="77777777" w:rsidR="00A01891" w:rsidRPr="0075485D" w:rsidRDefault="00A01891" w:rsidP="009E1CDB">
            <w:pPr>
              <w:pStyle w:val="Tabletext"/>
            </w:pPr>
            <w:r w:rsidRPr="0075485D">
              <w:t xml:space="preserve">Uptake rate </w:t>
            </w:r>
          </w:p>
        </w:tc>
        <w:tc>
          <w:tcPr>
            <w:tcW w:w="1239" w:type="dxa"/>
            <w:gridSpan w:val="2"/>
            <w:tcBorders>
              <w:right w:val="nil"/>
            </w:tcBorders>
          </w:tcPr>
          <w:p w14:paraId="629BBF76" w14:textId="77777777" w:rsidR="00A01891" w:rsidRPr="0075485D" w:rsidRDefault="00A01891" w:rsidP="009E1CDB">
            <w:pPr>
              <w:pStyle w:val="Tabletext"/>
              <w:jc w:val="center"/>
              <w:rPr>
                <w:u w:val="single"/>
              </w:rPr>
            </w:pPr>
            <w:r w:rsidRPr="0075485D">
              <w:rPr>
                <w:u w:val="single"/>
              </w:rPr>
              <w:t>LV</w:t>
            </w:r>
          </w:p>
          <w:p w14:paraId="0C0CF3F4" w14:textId="77777777" w:rsidR="00A01891" w:rsidRPr="0075485D" w:rsidRDefault="00A01891" w:rsidP="009E1CDB">
            <w:pPr>
              <w:pStyle w:val="Tabletext"/>
              <w:jc w:val="center"/>
            </w:pPr>
            <w:r w:rsidRPr="0075485D">
              <w:t>Yr 1: 40%</w:t>
            </w:r>
          </w:p>
          <w:p w14:paraId="67F78233" w14:textId="77777777" w:rsidR="00A01891" w:rsidRPr="0075485D" w:rsidRDefault="00A01891" w:rsidP="009E1CDB">
            <w:pPr>
              <w:pStyle w:val="Tabletext"/>
              <w:jc w:val="center"/>
            </w:pPr>
            <w:r w:rsidRPr="0075485D">
              <w:t>Yr 2: 50%</w:t>
            </w:r>
          </w:p>
          <w:p w14:paraId="1D4ABEF6" w14:textId="77777777" w:rsidR="00A01891" w:rsidRPr="0075485D" w:rsidRDefault="00A01891" w:rsidP="009E1CDB">
            <w:pPr>
              <w:pStyle w:val="Tabletext"/>
              <w:jc w:val="center"/>
            </w:pPr>
            <w:r w:rsidRPr="0075485D">
              <w:t>Yr 3: 55%</w:t>
            </w:r>
          </w:p>
          <w:p w14:paraId="578CB470" w14:textId="77777777" w:rsidR="00A01891" w:rsidRPr="0075485D" w:rsidRDefault="00A01891" w:rsidP="009E1CDB">
            <w:pPr>
              <w:pStyle w:val="Tabletext"/>
              <w:jc w:val="center"/>
            </w:pPr>
            <w:r w:rsidRPr="0075485D">
              <w:t>Yr 4: 57%</w:t>
            </w:r>
          </w:p>
          <w:p w14:paraId="4BF31B0E" w14:textId="77777777" w:rsidR="00A01891" w:rsidRPr="0075485D" w:rsidRDefault="00A01891" w:rsidP="009E1CDB">
            <w:pPr>
              <w:pStyle w:val="Tabletext"/>
              <w:jc w:val="center"/>
            </w:pPr>
            <w:r w:rsidRPr="0075485D">
              <w:t>Yr 5: 59%</w:t>
            </w:r>
          </w:p>
          <w:p w14:paraId="4861D748" w14:textId="77777777" w:rsidR="00A01891" w:rsidRPr="0075485D" w:rsidRDefault="00A01891" w:rsidP="009E1CDB">
            <w:pPr>
              <w:pStyle w:val="Tabletext"/>
              <w:jc w:val="center"/>
            </w:pPr>
            <w:r w:rsidRPr="0075485D">
              <w:t>Yr 6: 60%</w:t>
            </w:r>
          </w:p>
        </w:tc>
        <w:tc>
          <w:tcPr>
            <w:tcW w:w="1240" w:type="dxa"/>
            <w:gridSpan w:val="2"/>
            <w:tcBorders>
              <w:left w:val="nil"/>
            </w:tcBorders>
          </w:tcPr>
          <w:p w14:paraId="6C8CADE9" w14:textId="77777777" w:rsidR="00A01891" w:rsidRPr="0075485D" w:rsidRDefault="00A01891" w:rsidP="009E1CDB">
            <w:pPr>
              <w:pStyle w:val="Tabletext"/>
              <w:jc w:val="center"/>
              <w:rPr>
                <w:u w:val="single"/>
              </w:rPr>
            </w:pPr>
            <w:r w:rsidRPr="0075485D">
              <w:rPr>
                <w:u w:val="single"/>
              </w:rPr>
              <w:t>HV</w:t>
            </w:r>
          </w:p>
          <w:p w14:paraId="6BF8ABCB" w14:textId="77777777" w:rsidR="00A01891" w:rsidRPr="0075485D" w:rsidRDefault="00A01891" w:rsidP="009E1CDB">
            <w:pPr>
              <w:pStyle w:val="Tabletext"/>
              <w:jc w:val="center"/>
            </w:pPr>
            <w:r w:rsidRPr="0075485D">
              <w:t>Yr 1: 60%</w:t>
            </w:r>
          </w:p>
          <w:p w14:paraId="3DE3772B" w14:textId="77777777" w:rsidR="00A01891" w:rsidRPr="0075485D" w:rsidRDefault="00A01891" w:rsidP="009E1CDB">
            <w:pPr>
              <w:pStyle w:val="Tabletext"/>
              <w:jc w:val="center"/>
            </w:pPr>
            <w:r w:rsidRPr="0075485D">
              <w:t>Yr 2: 75%</w:t>
            </w:r>
          </w:p>
          <w:p w14:paraId="5A5F802A" w14:textId="77777777" w:rsidR="00A01891" w:rsidRPr="0075485D" w:rsidRDefault="00A01891" w:rsidP="009E1CDB">
            <w:pPr>
              <w:pStyle w:val="Tabletext"/>
              <w:jc w:val="center"/>
            </w:pPr>
            <w:r w:rsidRPr="0075485D">
              <w:t>Yr 3: 82%</w:t>
            </w:r>
          </w:p>
          <w:p w14:paraId="1CC4B968" w14:textId="77777777" w:rsidR="00A01891" w:rsidRPr="0075485D" w:rsidRDefault="00A01891" w:rsidP="009E1CDB">
            <w:pPr>
              <w:pStyle w:val="Tabletext"/>
              <w:jc w:val="center"/>
            </w:pPr>
            <w:r w:rsidRPr="0075485D">
              <w:t>Yr 4: 90%</w:t>
            </w:r>
          </w:p>
          <w:p w14:paraId="42097EB5" w14:textId="77777777" w:rsidR="00A01891" w:rsidRPr="0075485D" w:rsidRDefault="00A01891" w:rsidP="009E1CDB">
            <w:pPr>
              <w:pStyle w:val="Tabletext"/>
              <w:jc w:val="center"/>
            </w:pPr>
            <w:r w:rsidRPr="0075485D">
              <w:t>Yr 5: 90%</w:t>
            </w:r>
          </w:p>
          <w:p w14:paraId="014EBAE0" w14:textId="77777777" w:rsidR="00A01891" w:rsidRPr="0075485D" w:rsidRDefault="00A01891" w:rsidP="009E1CDB">
            <w:pPr>
              <w:pStyle w:val="Tabletext"/>
              <w:jc w:val="center"/>
            </w:pPr>
            <w:r w:rsidRPr="0075485D">
              <w:t>Yr 6: 90%</w:t>
            </w:r>
          </w:p>
        </w:tc>
        <w:tc>
          <w:tcPr>
            <w:tcW w:w="2780" w:type="dxa"/>
          </w:tcPr>
          <w:p w14:paraId="4463E40A" w14:textId="77777777" w:rsidR="00A01891" w:rsidRPr="0075485D" w:rsidRDefault="00A01891" w:rsidP="009E1CDB">
            <w:pPr>
              <w:pStyle w:val="Tabletext"/>
            </w:pPr>
            <w:r w:rsidRPr="0075485D">
              <w:t>Sourced from apalutamide July 2022 PSD. The same uptake rates were applied for incidence and prevalence.</w:t>
            </w:r>
          </w:p>
          <w:p w14:paraId="4730241B" w14:textId="77777777" w:rsidR="00A01891" w:rsidRPr="0075485D" w:rsidRDefault="00A01891" w:rsidP="009E1CDB">
            <w:pPr>
              <w:pStyle w:val="Tabletext"/>
            </w:pPr>
          </w:p>
          <w:p w14:paraId="1CE60843" w14:textId="77777777" w:rsidR="00A01891" w:rsidRPr="0075485D" w:rsidRDefault="00A01891" w:rsidP="009E1CDB">
            <w:pPr>
              <w:pStyle w:val="Tabletext"/>
            </w:pPr>
            <w:r w:rsidRPr="0075485D">
              <w:t>Used to calculate eligible incident and prevalent patients initiating treatment.</w:t>
            </w:r>
          </w:p>
        </w:tc>
        <w:tc>
          <w:tcPr>
            <w:tcW w:w="2597" w:type="dxa"/>
          </w:tcPr>
          <w:p w14:paraId="3FD7ADC2" w14:textId="55D12656" w:rsidR="00A01891" w:rsidRPr="0075485D" w:rsidRDefault="00A01891" w:rsidP="009E1CDB">
            <w:pPr>
              <w:pStyle w:val="Tabletext"/>
            </w:pPr>
            <w:r w:rsidRPr="0075485D">
              <w:t xml:space="preserve">The submission did not justify the use of the same uptake rates </w:t>
            </w:r>
            <w:r w:rsidR="005A54E8" w:rsidRPr="0075485D">
              <w:t xml:space="preserve">for </w:t>
            </w:r>
            <w:r w:rsidRPr="0075485D">
              <w:t>incident and prevalent patients. For apalutamide the PBAC had stated this may not be reasonable as incident patients may be more likely to get treated (Table 15, July 2022 PSD). In addition, the submission did not justify the higher uptake rates used for HV disease patients.</w:t>
            </w:r>
          </w:p>
        </w:tc>
      </w:tr>
      <w:tr w:rsidR="00A01891" w:rsidRPr="003330C9" w14:paraId="13B28B70" w14:textId="77777777" w:rsidTr="009E1CDB">
        <w:trPr>
          <w:cantSplit/>
        </w:trPr>
        <w:tc>
          <w:tcPr>
            <w:tcW w:w="1211" w:type="dxa"/>
          </w:tcPr>
          <w:p w14:paraId="20A7E362" w14:textId="77777777" w:rsidR="00A01891" w:rsidRPr="0075485D" w:rsidRDefault="00A01891" w:rsidP="009E1CDB">
            <w:pPr>
              <w:pStyle w:val="Tabletext"/>
            </w:pPr>
            <w:r w:rsidRPr="0075485D">
              <w:t>Grandfathered patients</w:t>
            </w:r>
          </w:p>
        </w:tc>
        <w:tc>
          <w:tcPr>
            <w:tcW w:w="2479" w:type="dxa"/>
            <w:gridSpan w:val="4"/>
          </w:tcPr>
          <w:p w14:paraId="63CAF62C" w14:textId="4322A2EF" w:rsidR="00A01891" w:rsidRPr="0075485D" w:rsidRDefault="00A01891" w:rsidP="009E1CDB">
            <w:pPr>
              <w:pStyle w:val="Tabletext"/>
              <w:jc w:val="center"/>
            </w:pPr>
            <w:r w:rsidRPr="0075485D">
              <w:t xml:space="preserve">Yr 1: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Pr>
                <w:vertAlign w:val="superscript"/>
              </w:rPr>
              <w:t>2</w:t>
            </w:r>
          </w:p>
          <w:p w14:paraId="7C52F270" w14:textId="00565E71" w:rsidR="00A01891" w:rsidRPr="0075485D" w:rsidRDefault="00A01891" w:rsidP="009E1CDB">
            <w:pPr>
              <w:pStyle w:val="Tabletext"/>
              <w:jc w:val="center"/>
            </w:pPr>
            <w:r w:rsidRPr="0075485D">
              <w:t xml:space="preserve">Yr 2 to 6: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Pr>
                <w:vertAlign w:val="superscript"/>
              </w:rPr>
              <w:t>2</w:t>
            </w:r>
          </w:p>
          <w:p w14:paraId="152BA794" w14:textId="77777777" w:rsidR="00A01891" w:rsidRPr="0075485D" w:rsidRDefault="00A01891" w:rsidP="009E1CDB">
            <w:pPr>
              <w:pStyle w:val="Tabletext"/>
              <w:jc w:val="center"/>
            </w:pPr>
          </w:p>
        </w:tc>
        <w:tc>
          <w:tcPr>
            <w:tcW w:w="2780" w:type="dxa"/>
          </w:tcPr>
          <w:p w14:paraId="46C89A07" w14:textId="638050DB" w:rsidR="00A01891" w:rsidRPr="0075485D" w:rsidRDefault="00A01891" w:rsidP="009E1CDB">
            <w:pPr>
              <w:pStyle w:val="Tabletext"/>
            </w:pPr>
            <w:r w:rsidRPr="0075485D">
              <w:t xml:space="preserve">Patient Assistance Program is to be initiated in early 2023. Submission estimated there will be </w:t>
            </w:r>
            <w:r w:rsidR="008D2482" w:rsidRPr="008D2482">
              <w:rPr>
                <w:color w:val="000000"/>
                <w:spacing w:val="37"/>
                <w:shd w:val="solid" w:color="000000" w:fill="000000"/>
                <w:fitText w:val="443" w:id="-1233498112"/>
                <w14:textFill>
                  <w14:solidFill>
                    <w14:srgbClr w14:val="000000">
                      <w14:alpha w14:val="100000"/>
                    </w14:srgbClr>
                  </w14:solidFill>
                </w14:textFill>
              </w:rPr>
              <w:t>|||||</w:t>
            </w:r>
            <w:r w:rsidR="008D2482" w:rsidRPr="008D2482">
              <w:rPr>
                <w:color w:val="000000"/>
                <w:spacing w:val="3"/>
                <w:shd w:val="solid" w:color="000000" w:fill="000000"/>
                <w:fitText w:val="443" w:id="-1233498112"/>
                <w14:textFill>
                  <w14:solidFill>
                    <w14:srgbClr w14:val="000000">
                      <w14:alpha w14:val="100000"/>
                    </w14:srgbClr>
                  </w14:solidFill>
                </w14:textFill>
              </w:rPr>
              <w:t>|</w:t>
            </w:r>
            <w:r w:rsidR="00AA73B7" w:rsidRPr="00AA73B7">
              <w:t xml:space="preserve"> </w:t>
            </w:r>
            <w:r w:rsidR="009800DE">
              <w:rPr>
                <w:vertAlign w:val="superscript"/>
              </w:rPr>
              <w:t>2</w:t>
            </w:r>
            <w:r w:rsidRPr="0075485D">
              <w:t xml:space="preserve"> grandfathered patients in Year 1.</w:t>
            </w:r>
          </w:p>
        </w:tc>
        <w:tc>
          <w:tcPr>
            <w:tcW w:w="2597" w:type="dxa"/>
          </w:tcPr>
          <w:p w14:paraId="18C9E067" w14:textId="77CDCDFD" w:rsidR="00A01891" w:rsidRPr="0075485D" w:rsidRDefault="00A01891" w:rsidP="009E1CDB">
            <w:pPr>
              <w:pStyle w:val="Tabletext"/>
            </w:pPr>
            <w:r w:rsidRPr="0075485D">
              <w:t xml:space="preserve">Submission provided no discussion or rationale for estimation of </w:t>
            </w:r>
            <w:r w:rsidR="008D2482" w:rsidRPr="008D2482">
              <w:rPr>
                <w:color w:val="000000"/>
                <w:spacing w:val="35"/>
                <w:shd w:val="solid" w:color="000000" w:fill="000000"/>
                <w:fitText w:val="432" w:id="-1233498111"/>
                <w14:textFill>
                  <w14:solidFill>
                    <w14:srgbClr w14:val="000000">
                      <w14:alpha w14:val="100000"/>
                    </w14:srgbClr>
                  </w14:solidFill>
                </w14:textFill>
              </w:rPr>
              <w:t>|||||</w:t>
            </w:r>
            <w:r w:rsidR="008D2482" w:rsidRPr="008D2482">
              <w:rPr>
                <w:color w:val="000000"/>
                <w:spacing w:val="2"/>
                <w:shd w:val="solid" w:color="000000" w:fill="000000"/>
                <w:fitText w:val="432" w:id="-1233498111"/>
                <w14:textFill>
                  <w14:solidFill>
                    <w14:srgbClr w14:val="000000">
                      <w14:alpha w14:val="100000"/>
                    </w14:srgbClr>
                  </w14:solidFill>
                </w14:textFill>
              </w:rPr>
              <w:t>|</w:t>
            </w:r>
            <w:r w:rsidR="00AA73B7" w:rsidRPr="00AA73B7">
              <w:t xml:space="preserve"> </w:t>
            </w:r>
            <w:r w:rsidR="009800DE">
              <w:rPr>
                <w:vertAlign w:val="superscript"/>
              </w:rPr>
              <w:t>2</w:t>
            </w:r>
            <w:r w:rsidRPr="0075485D">
              <w:t xml:space="preserve"> grandfathered patients.</w:t>
            </w:r>
          </w:p>
        </w:tc>
      </w:tr>
      <w:tr w:rsidR="00A01891" w:rsidRPr="003330C9" w14:paraId="124DC407" w14:textId="77777777" w:rsidTr="009E1CDB">
        <w:trPr>
          <w:cantSplit/>
        </w:trPr>
        <w:tc>
          <w:tcPr>
            <w:tcW w:w="1211" w:type="dxa"/>
          </w:tcPr>
          <w:p w14:paraId="439C0E1F" w14:textId="77777777" w:rsidR="00A01891" w:rsidRPr="0075485D" w:rsidRDefault="00A01891" w:rsidP="009E1CDB">
            <w:pPr>
              <w:pStyle w:val="Tabletext"/>
            </w:pPr>
            <w:r w:rsidRPr="0075485D">
              <w:t>Treatment duration – proportion on treatment each year</w:t>
            </w:r>
          </w:p>
        </w:tc>
        <w:tc>
          <w:tcPr>
            <w:tcW w:w="2479" w:type="dxa"/>
            <w:gridSpan w:val="4"/>
            <w:vAlign w:val="center"/>
          </w:tcPr>
          <w:tbl>
            <w:tblPr>
              <w:tblStyle w:val="TableGrid"/>
              <w:tblpPr w:leftFromText="180" w:rightFromText="180" w:horzAnchor="margin" w:tblpY="-18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970"/>
              <w:gridCol w:w="750"/>
            </w:tblGrid>
            <w:tr w:rsidR="005D5E9A" w:rsidRPr="0075485D" w14:paraId="70E366C2" w14:textId="77777777" w:rsidTr="009E1CDB">
              <w:tc>
                <w:tcPr>
                  <w:tcW w:w="693" w:type="dxa"/>
                </w:tcPr>
                <w:p w14:paraId="5D501B64" w14:textId="77777777" w:rsidR="005D5E9A" w:rsidRPr="0075485D" w:rsidRDefault="005D5E9A" w:rsidP="009E1CDB">
                  <w:pPr>
                    <w:pStyle w:val="Tabletext"/>
                    <w:jc w:val="center"/>
                  </w:pPr>
                </w:p>
              </w:tc>
              <w:tc>
                <w:tcPr>
                  <w:tcW w:w="970" w:type="dxa"/>
                  <w:tcMar>
                    <w:left w:w="20" w:type="dxa"/>
                    <w:right w:w="20" w:type="dxa"/>
                  </w:tcMar>
                </w:tcPr>
                <w:p w14:paraId="6537C1DD" w14:textId="37C323C4" w:rsidR="005D5E9A" w:rsidRPr="0075485D" w:rsidRDefault="005D5E9A" w:rsidP="009E1CDB">
                  <w:pPr>
                    <w:pStyle w:val="Tabletext"/>
                    <w:jc w:val="center"/>
                    <w:rPr>
                      <w:u w:val="single"/>
                    </w:rPr>
                  </w:pPr>
                  <w:r w:rsidRPr="0075485D">
                    <w:rPr>
                      <w:u w:val="single"/>
                    </w:rPr>
                    <w:t>Submission</w:t>
                  </w:r>
                </w:p>
              </w:tc>
              <w:tc>
                <w:tcPr>
                  <w:tcW w:w="750" w:type="dxa"/>
                  <w:tcMar>
                    <w:left w:w="20" w:type="dxa"/>
                    <w:right w:w="20" w:type="dxa"/>
                  </w:tcMar>
                </w:tcPr>
                <w:p w14:paraId="271522C3" w14:textId="7C69FFB3" w:rsidR="005D5E9A" w:rsidRPr="0075485D" w:rsidRDefault="005D5E9A" w:rsidP="009E1CDB">
                  <w:pPr>
                    <w:pStyle w:val="Tabletext"/>
                    <w:jc w:val="center"/>
                    <w:rPr>
                      <w:u w:val="single"/>
                    </w:rPr>
                  </w:pPr>
                  <w:r w:rsidRPr="0075485D">
                    <w:rPr>
                      <w:u w:val="single"/>
                    </w:rPr>
                    <w:t>PSCR</w:t>
                  </w:r>
                </w:p>
              </w:tc>
            </w:tr>
            <w:tr w:rsidR="005D5E9A" w:rsidRPr="0075485D" w14:paraId="6A1DFE7E" w14:textId="77777777" w:rsidTr="009E1CDB">
              <w:tc>
                <w:tcPr>
                  <w:tcW w:w="693" w:type="dxa"/>
                </w:tcPr>
                <w:p w14:paraId="5EEA0B19" w14:textId="36A2E733" w:rsidR="005D5E9A" w:rsidRPr="0075485D" w:rsidRDefault="005D5E9A" w:rsidP="009E1CDB">
                  <w:pPr>
                    <w:pStyle w:val="Tabletext"/>
                    <w:jc w:val="center"/>
                  </w:pPr>
                  <w:r w:rsidRPr="0075485D">
                    <w:t>Yr 1:</w:t>
                  </w:r>
                </w:p>
              </w:tc>
              <w:tc>
                <w:tcPr>
                  <w:tcW w:w="970" w:type="dxa"/>
                  <w:tcMar>
                    <w:left w:w="20" w:type="dxa"/>
                    <w:right w:w="20" w:type="dxa"/>
                  </w:tcMar>
                </w:tcPr>
                <w:p w14:paraId="53B8AA34" w14:textId="0C600587" w:rsidR="005D5E9A" w:rsidRPr="0075485D" w:rsidRDefault="005D5E9A" w:rsidP="009E1CDB">
                  <w:pPr>
                    <w:pStyle w:val="Tabletext"/>
                    <w:jc w:val="center"/>
                  </w:pPr>
                  <w:r w:rsidRPr="0075485D">
                    <w:t>91.59%</w:t>
                  </w:r>
                </w:p>
              </w:tc>
              <w:tc>
                <w:tcPr>
                  <w:tcW w:w="750" w:type="dxa"/>
                  <w:tcMar>
                    <w:left w:w="20" w:type="dxa"/>
                    <w:right w:w="20" w:type="dxa"/>
                  </w:tcMar>
                </w:tcPr>
                <w:p w14:paraId="6E666AD9" w14:textId="23B34CEC" w:rsidR="005D5E9A" w:rsidRPr="0075485D" w:rsidRDefault="005D5E9A" w:rsidP="009E1CDB">
                  <w:pPr>
                    <w:pStyle w:val="Tabletext"/>
                    <w:jc w:val="center"/>
                  </w:pPr>
                  <w:r w:rsidRPr="0075485D">
                    <w:t>90.15%</w:t>
                  </w:r>
                </w:p>
              </w:tc>
            </w:tr>
            <w:tr w:rsidR="005D5E9A" w:rsidRPr="0075485D" w14:paraId="24F9142F" w14:textId="77777777" w:rsidTr="009E1CDB">
              <w:tc>
                <w:tcPr>
                  <w:tcW w:w="693" w:type="dxa"/>
                </w:tcPr>
                <w:p w14:paraId="1BB904C3" w14:textId="228C5BCE" w:rsidR="005D5E9A" w:rsidRPr="0075485D" w:rsidRDefault="005D5E9A" w:rsidP="009E1CDB">
                  <w:pPr>
                    <w:pStyle w:val="Tabletext"/>
                    <w:jc w:val="center"/>
                  </w:pPr>
                  <w:r w:rsidRPr="0075485D">
                    <w:t>Yr 2:</w:t>
                  </w:r>
                </w:p>
              </w:tc>
              <w:tc>
                <w:tcPr>
                  <w:tcW w:w="970" w:type="dxa"/>
                  <w:tcMar>
                    <w:left w:w="20" w:type="dxa"/>
                    <w:right w:w="20" w:type="dxa"/>
                  </w:tcMar>
                </w:tcPr>
                <w:p w14:paraId="23F87047" w14:textId="5AC0CE5A" w:rsidR="005D5E9A" w:rsidRPr="0075485D" w:rsidRDefault="005D5E9A" w:rsidP="009E1CDB">
                  <w:pPr>
                    <w:pStyle w:val="Tabletext"/>
                    <w:jc w:val="center"/>
                  </w:pPr>
                  <w:r w:rsidRPr="0075485D">
                    <w:t>72.04%</w:t>
                  </w:r>
                </w:p>
              </w:tc>
              <w:tc>
                <w:tcPr>
                  <w:tcW w:w="750" w:type="dxa"/>
                  <w:tcMar>
                    <w:left w:w="20" w:type="dxa"/>
                    <w:right w:w="20" w:type="dxa"/>
                  </w:tcMar>
                </w:tcPr>
                <w:p w14:paraId="0CF8198E" w14:textId="4398CF08" w:rsidR="005D5E9A" w:rsidRPr="0075485D" w:rsidRDefault="005D5E9A" w:rsidP="009E1CDB">
                  <w:pPr>
                    <w:pStyle w:val="Tabletext"/>
                    <w:jc w:val="center"/>
                  </w:pPr>
                  <w:r w:rsidRPr="0075485D">
                    <w:t>73.47%</w:t>
                  </w:r>
                </w:p>
              </w:tc>
            </w:tr>
            <w:tr w:rsidR="005D5E9A" w:rsidRPr="0075485D" w14:paraId="7BAF380E" w14:textId="77777777" w:rsidTr="009E1CDB">
              <w:tc>
                <w:tcPr>
                  <w:tcW w:w="693" w:type="dxa"/>
                </w:tcPr>
                <w:p w14:paraId="02882060" w14:textId="7DAAC43A" w:rsidR="005D5E9A" w:rsidRPr="0075485D" w:rsidRDefault="005D5E9A" w:rsidP="009E1CDB">
                  <w:pPr>
                    <w:pStyle w:val="Tabletext"/>
                    <w:jc w:val="center"/>
                  </w:pPr>
                  <w:r w:rsidRPr="0075485D">
                    <w:t>Yr 3:</w:t>
                  </w:r>
                </w:p>
              </w:tc>
              <w:tc>
                <w:tcPr>
                  <w:tcW w:w="970" w:type="dxa"/>
                  <w:tcMar>
                    <w:left w:w="20" w:type="dxa"/>
                    <w:right w:w="20" w:type="dxa"/>
                  </w:tcMar>
                </w:tcPr>
                <w:p w14:paraId="3B4EB96C" w14:textId="31B94962" w:rsidR="005D5E9A" w:rsidRPr="0075485D" w:rsidRDefault="005D5E9A" w:rsidP="009E1CDB">
                  <w:pPr>
                    <w:pStyle w:val="Tabletext"/>
                    <w:jc w:val="center"/>
                  </w:pPr>
                  <w:r w:rsidRPr="0075485D">
                    <w:t>58.06%</w:t>
                  </w:r>
                </w:p>
              </w:tc>
              <w:tc>
                <w:tcPr>
                  <w:tcW w:w="750" w:type="dxa"/>
                  <w:tcMar>
                    <w:left w:w="20" w:type="dxa"/>
                    <w:right w:w="20" w:type="dxa"/>
                  </w:tcMar>
                </w:tcPr>
                <w:p w14:paraId="562C4711" w14:textId="129F4541" w:rsidR="005D5E9A" w:rsidRPr="0075485D" w:rsidRDefault="005D5E9A" w:rsidP="009E1CDB">
                  <w:pPr>
                    <w:pStyle w:val="Tabletext"/>
                    <w:jc w:val="center"/>
                  </w:pPr>
                  <w:r w:rsidRPr="0075485D">
                    <w:t>56.40%</w:t>
                  </w:r>
                </w:p>
              </w:tc>
            </w:tr>
            <w:tr w:rsidR="005D5E9A" w:rsidRPr="0075485D" w14:paraId="08A303CD" w14:textId="77777777" w:rsidTr="009E1CDB">
              <w:tc>
                <w:tcPr>
                  <w:tcW w:w="693" w:type="dxa"/>
                </w:tcPr>
                <w:p w14:paraId="0C066BF9" w14:textId="1B36CF79" w:rsidR="005D5E9A" w:rsidRPr="0075485D" w:rsidRDefault="005D5E9A" w:rsidP="009E1CDB">
                  <w:pPr>
                    <w:pStyle w:val="Tabletext"/>
                    <w:jc w:val="center"/>
                  </w:pPr>
                  <w:r w:rsidRPr="0075485D">
                    <w:t>Yr 4:</w:t>
                  </w:r>
                </w:p>
              </w:tc>
              <w:tc>
                <w:tcPr>
                  <w:tcW w:w="970" w:type="dxa"/>
                  <w:tcMar>
                    <w:left w:w="20" w:type="dxa"/>
                    <w:right w:w="20" w:type="dxa"/>
                  </w:tcMar>
                </w:tcPr>
                <w:p w14:paraId="6D68DEBC" w14:textId="2C4103A7" w:rsidR="005D5E9A" w:rsidRPr="0075485D" w:rsidRDefault="005D5E9A" w:rsidP="009E1CDB">
                  <w:pPr>
                    <w:pStyle w:val="Tabletext"/>
                    <w:jc w:val="center"/>
                  </w:pPr>
                  <w:r w:rsidRPr="0075485D">
                    <w:t>48.12%</w:t>
                  </w:r>
                </w:p>
              </w:tc>
              <w:tc>
                <w:tcPr>
                  <w:tcW w:w="750" w:type="dxa"/>
                  <w:tcMar>
                    <w:left w:w="20" w:type="dxa"/>
                    <w:right w:w="20" w:type="dxa"/>
                  </w:tcMar>
                </w:tcPr>
                <w:p w14:paraId="6B35C3BC" w14:textId="4305EC11" w:rsidR="005D5E9A" w:rsidRPr="0075485D" w:rsidRDefault="005D5E9A" w:rsidP="009E1CDB">
                  <w:pPr>
                    <w:pStyle w:val="Tabletext"/>
                    <w:jc w:val="center"/>
                  </w:pPr>
                  <w:r w:rsidRPr="0075485D">
                    <w:t>42.04%</w:t>
                  </w:r>
                </w:p>
              </w:tc>
            </w:tr>
            <w:tr w:rsidR="005D5E9A" w:rsidRPr="0075485D" w14:paraId="11A8179F" w14:textId="77777777" w:rsidTr="009E1CDB">
              <w:tc>
                <w:tcPr>
                  <w:tcW w:w="693" w:type="dxa"/>
                </w:tcPr>
                <w:p w14:paraId="70D596BA" w14:textId="20C205BD" w:rsidR="005D5E9A" w:rsidRPr="0075485D" w:rsidRDefault="005D5E9A" w:rsidP="009E1CDB">
                  <w:pPr>
                    <w:pStyle w:val="Tabletext"/>
                    <w:jc w:val="center"/>
                  </w:pPr>
                  <w:r w:rsidRPr="0075485D">
                    <w:t>Yr 5:</w:t>
                  </w:r>
                </w:p>
              </w:tc>
              <w:tc>
                <w:tcPr>
                  <w:tcW w:w="970" w:type="dxa"/>
                  <w:tcMar>
                    <w:left w:w="20" w:type="dxa"/>
                    <w:right w:w="20" w:type="dxa"/>
                  </w:tcMar>
                </w:tcPr>
                <w:p w14:paraId="4D0453CF" w14:textId="04C90807" w:rsidR="005D5E9A" w:rsidRPr="0075485D" w:rsidRDefault="005D5E9A" w:rsidP="009E1CDB">
                  <w:pPr>
                    <w:pStyle w:val="Tabletext"/>
                    <w:jc w:val="center"/>
                  </w:pPr>
                  <w:r w:rsidRPr="0075485D">
                    <w:t>40.74%</w:t>
                  </w:r>
                </w:p>
              </w:tc>
              <w:tc>
                <w:tcPr>
                  <w:tcW w:w="750" w:type="dxa"/>
                  <w:tcMar>
                    <w:left w:w="20" w:type="dxa"/>
                    <w:right w:w="20" w:type="dxa"/>
                  </w:tcMar>
                </w:tcPr>
                <w:p w14:paraId="3A0FF7F4" w14:textId="35A9E036" w:rsidR="005D5E9A" w:rsidRPr="0075485D" w:rsidRDefault="005D5E9A" w:rsidP="009E1CDB">
                  <w:pPr>
                    <w:pStyle w:val="Tabletext"/>
                    <w:jc w:val="center"/>
                  </w:pPr>
                  <w:r w:rsidRPr="0075485D">
                    <w:t>23.18%</w:t>
                  </w:r>
                </w:p>
              </w:tc>
            </w:tr>
            <w:tr w:rsidR="005D5E9A" w:rsidRPr="0075485D" w14:paraId="5C53C1DA" w14:textId="77777777" w:rsidTr="009E1CDB">
              <w:tc>
                <w:tcPr>
                  <w:tcW w:w="693" w:type="dxa"/>
                </w:tcPr>
                <w:p w14:paraId="789EE947" w14:textId="4E62E0A7" w:rsidR="005D5E9A" w:rsidRPr="0075485D" w:rsidRDefault="005D5E9A" w:rsidP="009E1CDB">
                  <w:pPr>
                    <w:pStyle w:val="Tabletext"/>
                    <w:jc w:val="center"/>
                  </w:pPr>
                  <w:r w:rsidRPr="0075485D">
                    <w:t>Yr 6:</w:t>
                  </w:r>
                </w:p>
              </w:tc>
              <w:tc>
                <w:tcPr>
                  <w:tcW w:w="970" w:type="dxa"/>
                  <w:tcMar>
                    <w:left w:w="20" w:type="dxa"/>
                    <w:right w:w="20" w:type="dxa"/>
                  </w:tcMar>
                </w:tcPr>
                <w:p w14:paraId="036843AE" w14:textId="5535E958" w:rsidR="005D5E9A" w:rsidRPr="0075485D" w:rsidRDefault="005D5E9A" w:rsidP="009E1CDB">
                  <w:pPr>
                    <w:pStyle w:val="Tabletext"/>
                    <w:jc w:val="center"/>
                  </w:pPr>
                  <w:r w:rsidRPr="0075485D">
                    <w:t>35.13%</w:t>
                  </w:r>
                </w:p>
              </w:tc>
              <w:tc>
                <w:tcPr>
                  <w:tcW w:w="750" w:type="dxa"/>
                  <w:tcMar>
                    <w:left w:w="20" w:type="dxa"/>
                    <w:right w:w="20" w:type="dxa"/>
                  </w:tcMar>
                </w:tcPr>
                <w:p w14:paraId="51F9197D" w14:textId="1FB22687" w:rsidR="005D5E9A" w:rsidRPr="0075485D" w:rsidRDefault="005D5E9A" w:rsidP="009E1CDB">
                  <w:pPr>
                    <w:pStyle w:val="Tabletext"/>
                    <w:jc w:val="center"/>
                  </w:pPr>
                  <w:r w:rsidRPr="0075485D">
                    <w:t>9.28%</w:t>
                  </w:r>
                </w:p>
              </w:tc>
            </w:tr>
          </w:tbl>
          <w:p w14:paraId="1A74966D" w14:textId="4C820C17" w:rsidR="005D5E9A" w:rsidRPr="0075485D" w:rsidRDefault="005D5E9A" w:rsidP="00E44076">
            <w:pPr>
              <w:pStyle w:val="Tabletext"/>
            </w:pPr>
          </w:p>
        </w:tc>
        <w:tc>
          <w:tcPr>
            <w:tcW w:w="2780" w:type="dxa"/>
          </w:tcPr>
          <w:p w14:paraId="05BBA38D" w14:textId="77777777" w:rsidR="00A01891" w:rsidRPr="0075485D" w:rsidRDefault="00A01891" w:rsidP="009E1CDB">
            <w:pPr>
              <w:pStyle w:val="Tabletext"/>
            </w:pPr>
            <w:r w:rsidRPr="0075485D">
              <w:t>Proportions were sourced from the ‘TTD’ worksheet of the economic model. The submission claimed this was consistent with the approach used to estimate treatment duration for apalutamide in mHSPC (July 2022), with the only difference being that time on treatment was not applied to LV and HV patients separately. Modelled mean treatment duration was significantly higher for enzalutamide versus apalutamide (62.2 months for enzalutamide, compared to 30.2 months (HV subgroup) and 39.8 months (LV subgroup) for apalutamide (Table 14, p29, apalutamide PSD, July 2022). This is reflected as higher proportions on treatment each year for enzalutamide versus apalutamide (Data for apalutamide is available in Table 15, p31, apalutamide PSD, July 2022).</w:t>
            </w:r>
          </w:p>
        </w:tc>
        <w:tc>
          <w:tcPr>
            <w:tcW w:w="2597" w:type="dxa"/>
          </w:tcPr>
          <w:p w14:paraId="0A7E046F" w14:textId="77777777" w:rsidR="00A01891" w:rsidRPr="0075485D" w:rsidRDefault="00A01891" w:rsidP="009E1CDB">
            <w:pPr>
              <w:pStyle w:val="Tabletext"/>
            </w:pPr>
            <w:r w:rsidRPr="0075485D">
              <w:t>May not be reasonable as treatment duration (proportion on treatment) relies on the economic model, which is influenced by the extrapolation curve selected.</w:t>
            </w:r>
          </w:p>
          <w:p w14:paraId="1F7CD03F" w14:textId="1604664E" w:rsidR="00A01891" w:rsidRPr="0075485D" w:rsidRDefault="00A01891" w:rsidP="009E1CDB">
            <w:pPr>
              <w:pStyle w:val="Tabletext"/>
            </w:pPr>
            <w:r w:rsidRPr="0075485D">
              <w:t>The use of proportions for all patients combined instead of LV and HV populations separately may be reasonable, although separate groups could be set up with different durations applied.</w:t>
            </w:r>
            <w:r w:rsidR="005D5E9A" w:rsidRPr="0075485D">
              <w:t xml:space="preserve"> The PSCR presented revised base case estimates in which the proportion of patients remaining on enzalutamide in the mHSPC setting were based on those reported in Table 15 of the apalutamide PSD.</w:t>
            </w:r>
          </w:p>
        </w:tc>
      </w:tr>
      <w:tr w:rsidR="00A01891" w:rsidRPr="003330C9" w14:paraId="20704C07" w14:textId="77777777" w:rsidTr="009E1CDB">
        <w:trPr>
          <w:cantSplit/>
        </w:trPr>
        <w:tc>
          <w:tcPr>
            <w:tcW w:w="1211" w:type="dxa"/>
          </w:tcPr>
          <w:p w14:paraId="4C65EA6D" w14:textId="77777777" w:rsidR="00A01891" w:rsidRPr="0075485D" w:rsidRDefault="00A01891" w:rsidP="009E1CDB">
            <w:pPr>
              <w:pStyle w:val="Tabletext"/>
              <w:rPr>
                <w:highlight w:val="green"/>
              </w:rPr>
            </w:pPr>
            <w:r w:rsidRPr="0075485D">
              <w:t>Total treated each year</w:t>
            </w:r>
          </w:p>
        </w:tc>
        <w:tc>
          <w:tcPr>
            <w:tcW w:w="2479" w:type="dxa"/>
            <w:gridSpan w:val="4"/>
          </w:tcPr>
          <w:p w14:paraId="7CDF460A" w14:textId="405FBC60" w:rsidR="00A01891" w:rsidRPr="0075485D" w:rsidRDefault="00A01891" w:rsidP="009E1CDB">
            <w:pPr>
              <w:pStyle w:val="Tabletext"/>
              <w:jc w:val="center"/>
            </w:pPr>
            <w:r w:rsidRPr="0075485D">
              <w:t xml:space="preserve">Yr 1: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sidRPr="009800DE">
              <w:rPr>
                <w:vertAlign w:val="superscript"/>
              </w:rPr>
              <w:t>1</w:t>
            </w:r>
          </w:p>
          <w:p w14:paraId="1C8EE3CC" w14:textId="136CCE09" w:rsidR="00A01891" w:rsidRPr="0075485D" w:rsidRDefault="00A01891" w:rsidP="009E1CDB">
            <w:pPr>
              <w:pStyle w:val="Tabletext"/>
              <w:jc w:val="center"/>
            </w:pPr>
            <w:r w:rsidRPr="0075485D">
              <w:t xml:space="preserve">Yr 2: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sidRPr="009800DE">
              <w:rPr>
                <w:vertAlign w:val="superscript"/>
              </w:rPr>
              <w:t>1</w:t>
            </w:r>
          </w:p>
          <w:p w14:paraId="30C5CDD2" w14:textId="46A890EA" w:rsidR="00A01891" w:rsidRPr="0075485D" w:rsidRDefault="00A01891" w:rsidP="009E1CDB">
            <w:pPr>
              <w:pStyle w:val="Tabletext"/>
              <w:jc w:val="center"/>
            </w:pPr>
            <w:r w:rsidRPr="0075485D">
              <w:t xml:space="preserve">Yr 3: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sidRPr="009800DE">
              <w:rPr>
                <w:vertAlign w:val="superscript"/>
              </w:rPr>
              <w:t>1</w:t>
            </w:r>
          </w:p>
          <w:p w14:paraId="2F75BA6C" w14:textId="6CED1272" w:rsidR="00A01891" w:rsidRPr="0075485D" w:rsidRDefault="00A01891" w:rsidP="009E1CDB">
            <w:pPr>
              <w:pStyle w:val="Tabletext"/>
              <w:jc w:val="center"/>
            </w:pPr>
            <w:r w:rsidRPr="0075485D">
              <w:t xml:space="preserve">Yr 4: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sidRPr="009800DE">
              <w:rPr>
                <w:vertAlign w:val="superscript"/>
              </w:rPr>
              <w:t>1</w:t>
            </w:r>
          </w:p>
          <w:p w14:paraId="527D7F80" w14:textId="5D218C48" w:rsidR="00A01891" w:rsidRPr="0075485D" w:rsidRDefault="00A01891" w:rsidP="009E1CDB">
            <w:pPr>
              <w:pStyle w:val="Tabletext"/>
              <w:jc w:val="center"/>
            </w:pPr>
            <w:r w:rsidRPr="0075485D">
              <w:t xml:space="preserve">Yr 5: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sidRPr="009800DE">
              <w:rPr>
                <w:vertAlign w:val="superscript"/>
              </w:rPr>
              <w:t>1</w:t>
            </w:r>
          </w:p>
          <w:p w14:paraId="3391292B" w14:textId="32AF96A4" w:rsidR="00A01891" w:rsidRPr="0075485D" w:rsidRDefault="00A01891" w:rsidP="009E1CDB">
            <w:pPr>
              <w:pStyle w:val="Tabletext"/>
              <w:jc w:val="center"/>
            </w:pPr>
            <w:r w:rsidRPr="0075485D">
              <w:t xml:space="preserve">Yr 6: </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r w:rsidR="009800DE">
              <w:rPr>
                <w:vertAlign w:val="superscript"/>
              </w:rPr>
              <w:t>3</w:t>
            </w:r>
          </w:p>
        </w:tc>
        <w:tc>
          <w:tcPr>
            <w:tcW w:w="2780" w:type="dxa"/>
          </w:tcPr>
          <w:p w14:paraId="0ABDD05B" w14:textId="6018A852" w:rsidR="00A01891" w:rsidRPr="0075485D" w:rsidRDefault="00A01891" w:rsidP="009E1CDB">
            <w:pPr>
              <w:pStyle w:val="Tabletext"/>
            </w:pPr>
            <w:r w:rsidRPr="0075485D">
              <w:t>Number of patients initiating treatment × proportion on treatment each year.</w:t>
            </w:r>
          </w:p>
        </w:tc>
        <w:tc>
          <w:tcPr>
            <w:tcW w:w="2597" w:type="dxa"/>
          </w:tcPr>
          <w:p w14:paraId="2EEEF66C" w14:textId="77777777" w:rsidR="00A01891" w:rsidRPr="0075485D" w:rsidRDefault="00A01891" w:rsidP="009E1CDB">
            <w:pPr>
              <w:pStyle w:val="Tabletext"/>
            </w:pPr>
            <w:r w:rsidRPr="0075485D">
              <w:t>Accuracy may be limited by the accuracy of the proportion on treatment each year.</w:t>
            </w:r>
          </w:p>
        </w:tc>
      </w:tr>
      <w:tr w:rsidR="00A01891" w:rsidRPr="003330C9" w14:paraId="3AD2FC85" w14:textId="77777777" w:rsidTr="009E1CDB">
        <w:trPr>
          <w:cantSplit/>
        </w:trPr>
        <w:tc>
          <w:tcPr>
            <w:tcW w:w="1211" w:type="dxa"/>
          </w:tcPr>
          <w:p w14:paraId="0F216444" w14:textId="77777777" w:rsidR="00A01891" w:rsidRPr="0075485D" w:rsidRDefault="00A01891" w:rsidP="009E1CDB">
            <w:pPr>
              <w:pStyle w:val="Tabletext"/>
            </w:pPr>
            <w:r w:rsidRPr="0075485D">
              <w:t>Scripts dispensed</w:t>
            </w:r>
          </w:p>
        </w:tc>
        <w:tc>
          <w:tcPr>
            <w:tcW w:w="2479" w:type="dxa"/>
            <w:gridSpan w:val="4"/>
          </w:tcPr>
          <w:p w14:paraId="0F102F44" w14:textId="04FC8655" w:rsidR="00A01891" w:rsidRPr="0075485D" w:rsidRDefault="00A01891" w:rsidP="009E1CDB">
            <w:pPr>
              <w:pStyle w:val="Tabletext"/>
              <w:jc w:val="center"/>
            </w:pPr>
            <w:r w:rsidRPr="0075485D">
              <w:t>12.91 scripts per year</w:t>
            </w:r>
          </w:p>
        </w:tc>
        <w:tc>
          <w:tcPr>
            <w:tcW w:w="2780" w:type="dxa"/>
          </w:tcPr>
          <w:p w14:paraId="7AF1FDC5" w14:textId="77777777" w:rsidR="00A01891" w:rsidRPr="0075485D" w:rsidRDefault="00A01891" w:rsidP="009E1CDB">
            <w:pPr>
              <w:pStyle w:val="Tabletext"/>
            </w:pPr>
            <w:r w:rsidRPr="0075485D">
              <w:t>13.01 scripts per year × compliance of 98.94% from the ARCHES trial which equals 12.91 scripts per year.</w:t>
            </w:r>
          </w:p>
        </w:tc>
        <w:tc>
          <w:tcPr>
            <w:tcW w:w="2597" w:type="dxa"/>
          </w:tcPr>
          <w:p w14:paraId="30A16601" w14:textId="77777777" w:rsidR="00A01891" w:rsidRPr="0075485D" w:rsidRDefault="00A01891" w:rsidP="009E1CDB">
            <w:pPr>
              <w:pStyle w:val="Tabletext"/>
            </w:pPr>
            <w:r w:rsidRPr="0075485D">
              <w:t>Calculation of script numbers was reasonable, although it is questionable whether compliance from ARCHES will be realised in clinical practice, and the number of patients treated is not likely to be accurate.</w:t>
            </w:r>
          </w:p>
        </w:tc>
      </w:tr>
      <w:tr w:rsidR="00A01891" w:rsidRPr="003330C9" w14:paraId="1A3E0FC5" w14:textId="77777777" w:rsidTr="009E1CDB">
        <w:trPr>
          <w:cantSplit/>
        </w:trPr>
        <w:tc>
          <w:tcPr>
            <w:tcW w:w="1211" w:type="dxa"/>
          </w:tcPr>
          <w:p w14:paraId="4B2E5115" w14:textId="77777777" w:rsidR="00A01891" w:rsidRPr="0075485D" w:rsidRDefault="00A01891" w:rsidP="009E1CDB">
            <w:pPr>
              <w:pStyle w:val="Tabletext"/>
              <w:rPr>
                <w:highlight w:val="green"/>
              </w:rPr>
            </w:pPr>
            <w:r w:rsidRPr="0075485D">
              <w:t>Substituted therapy – proportion in mCRPC health state over time assuming treatment with ADT-only for mHSPC</w:t>
            </w:r>
          </w:p>
        </w:tc>
        <w:tc>
          <w:tcPr>
            <w:tcW w:w="2479" w:type="dxa"/>
            <w:gridSpan w:val="4"/>
          </w:tcPr>
          <w:p w14:paraId="4AE97981" w14:textId="77777777" w:rsidR="00A01891" w:rsidRPr="0075485D" w:rsidRDefault="00A01891" w:rsidP="009E1CDB">
            <w:pPr>
              <w:pStyle w:val="TableText0"/>
              <w:keepNext w:val="0"/>
              <w:jc w:val="center"/>
            </w:pPr>
            <w:r w:rsidRPr="0075485D">
              <w:t>Yr 1: 11.1%</w:t>
            </w:r>
          </w:p>
          <w:p w14:paraId="79E732C2" w14:textId="77777777" w:rsidR="00A01891" w:rsidRPr="0075485D" w:rsidRDefault="00A01891" w:rsidP="009E1CDB">
            <w:pPr>
              <w:pStyle w:val="TableText0"/>
              <w:keepNext w:val="0"/>
              <w:jc w:val="center"/>
            </w:pPr>
            <w:r w:rsidRPr="0075485D">
              <w:t>Yr 2: 25.6%</w:t>
            </w:r>
          </w:p>
          <w:p w14:paraId="35934812" w14:textId="77777777" w:rsidR="00A01891" w:rsidRPr="0075485D" w:rsidRDefault="00A01891" w:rsidP="009E1CDB">
            <w:pPr>
              <w:pStyle w:val="TableText0"/>
              <w:keepNext w:val="0"/>
              <w:jc w:val="center"/>
            </w:pPr>
            <w:r w:rsidRPr="0075485D">
              <w:t>Yr 3: 30.7%</w:t>
            </w:r>
          </w:p>
          <w:p w14:paraId="6E409D4C" w14:textId="77777777" w:rsidR="00A01891" w:rsidRPr="0075485D" w:rsidRDefault="00A01891" w:rsidP="009E1CDB">
            <w:pPr>
              <w:pStyle w:val="TableText0"/>
              <w:keepNext w:val="0"/>
              <w:jc w:val="center"/>
            </w:pPr>
            <w:r w:rsidRPr="0075485D">
              <w:t>Yr 4: 34.2%</w:t>
            </w:r>
          </w:p>
          <w:p w14:paraId="3FDF66BE" w14:textId="77777777" w:rsidR="00A01891" w:rsidRPr="0075485D" w:rsidRDefault="00A01891" w:rsidP="009E1CDB">
            <w:pPr>
              <w:pStyle w:val="TableText0"/>
              <w:keepNext w:val="0"/>
              <w:jc w:val="center"/>
            </w:pPr>
            <w:r w:rsidRPr="0075485D">
              <w:t>Yr 5: 31.5%</w:t>
            </w:r>
          </w:p>
          <w:p w14:paraId="787563DB" w14:textId="77777777" w:rsidR="00A01891" w:rsidRPr="0075485D" w:rsidRDefault="00A01891" w:rsidP="009E1CDB">
            <w:pPr>
              <w:pStyle w:val="Tabletext"/>
              <w:jc w:val="center"/>
            </w:pPr>
            <w:r w:rsidRPr="0075485D">
              <w:t>Yr 6: 26.1%</w:t>
            </w:r>
          </w:p>
        </w:tc>
        <w:tc>
          <w:tcPr>
            <w:tcW w:w="2780" w:type="dxa"/>
          </w:tcPr>
          <w:p w14:paraId="4A84CAC9" w14:textId="77777777" w:rsidR="00A01891" w:rsidRPr="0075485D" w:rsidRDefault="00A01891" w:rsidP="009E1CDB">
            <w:pPr>
              <w:pStyle w:val="Tabletext"/>
            </w:pPr>
            <w:r w:rsidRPr="0075485D">
              <w:t>Abiraterone and enzalutamide for treatment of mCRPC. The estimated decrease in abiraterone and enzalutamide scripts used the same methodology as applied in the July 2022 apalutamide PSD. The submission calculated the patient years with mCRPC, assuming patients had received ADT-only treatment for mHSPC.</w:t>
            </w:r>
          </w:p>
        </w:tc>
        <w:tc>
          <w:tcPr>
            <w:tcW w:w="2597" w:type="dxa"/>
          </w:tcPr>
          <w:p w14:paraId="63644F2B" w14:textId="77777777" w:rsidR="00A01891" w:rsidRPr="0075485D" w:rsidRDefault="00A01891" w:rsidP="009E1CDB">
            <w:pPr>
              <w:pStyle w:val="Tabletext"/>
            </w:pPr>
            <w:r w:rsidRPr="0075485D">
              <w:t>The November 2021 apalutamide PSD noted that these proportions were consistent with the modelled economic evaluation for apalutamide. The submission did not provide any discussion as to whether apalutamide-sourced proportions would also be applicable to enzalutamide.</w:t>
            </w:r>
          </w:p>
        </w:tc>
      </w:tr>
      <w:tr w:rsidR="00A01891" w:rsidRPr="003330C9" w14:paraId="6E198FA2" w14:textId="77777777" w:rsidTr="009E1CDB">
        <w:trPr>
          <w:cantSplit/>
        </w:trPr>
        <w:tc>
          <w:tcPr>
            <w:tcW w:w="1211" w:type="dxa"/>
          </w:tcPr>
          <w:p w14:paraId="59EFC8AA" w14:textId="77777777" w:rsidR="00A01891" w:rsidRPr="0075485D" w:rsidRDefault="00A01891" w:rsidP="009E1CDB">
            <w:pPr>
              <w:pStyle w:val="Tabletext"/>
            </w:pPr>
            <w:r w:rsidRPr="0075485D">
              <w:t>Proportion of time in mCRPC health state spent on ENZA or ABI</w:t>
            </w:r>
          </w:p>
        </w:tc>
        <w:tc>
          <w:tcPr>
            <w:tcW w:w="2479" w:type="dxa"/>
            <w:gridSpan w:val="4"/>
          </w:tcPr>
          <w:p w14:paraId="5EF20244" w14:textId="77777777" w:rsidR="00A01891" w:rsidRPr="0075485D" w:rsidRDefault="00A01891" w:rsidP="009E1CDB">
            <w:pPr>
              <w:pStyle w:val="Tabletext"/>
              <w:jc w:val="center"/>
            </w:pPr>
            <w:r w:rsidRPr="0075485D">
              <w:t>55.24%</w:t>
            </w:r>
          </w:p>
        </w:tc>
        <w:tc>
          <w:tcPr>
            <w:tcW w:w="2780" w:type="dxa"/>
          </w:tcPr>
          <w:p w14:paraId="054DC2BF" w14:textId="77777777" w:rsidR="00A01891" w:rsidRPr="0075485D" w:rsidRDefault="00A01891" w:rsidP="009E1CDB">
            <w:pPr>
              <w:pStyle w:val="Tabletext"/>
            </w:pPr>
            <w:r w:rsidRPr="0075485D">
              <w:t>Assumes 15 months of treatment with NHAs for mCRPC. Based on the July 2022 apalutamide PSD. Submission stated the 15 month duration of NHA treatment also aligns with analysis of 10% PBS sample data.</w:t>
            </w:r>
          </w:p>
        </w:tc>
        <w:tc>
          <w:tcPr>
            <w:tcW w:w="2597" w:type="dxa"/>
          </w:tcPr>
          <w:p w14:paraId="1334DD46" w14:textId="3D77544C" w:rsidR="00A01891" w:rsidRPr="0075485D" w:rsidRDefault="00A01891" w:rsidP="009E1CDB">
            <w:pPr>
              <w:pStyle w:val="Tabletext"/>
            </w:pPr>
            <w:r w:rsidRPr="0075485D">
              <w:t xml:space="preserve">The July 2022 apalutamide PSD indicated that the average of 15 months treatment with NHAs for mCRPC remained uncertain, and the PBAC considered 12 months to be an appropriate estimate for the apalutamide economic </w:t>
            </w:r>
            <w:r w:rsidR="005A54E8" w:rsidRPr="0075485D">
              <w:t>model and</w:t>
            </w:r>
            <w:r w:rsidRPr="0075485D">
              <w:t xml:space="preserve"> should also be revised for financial estimates. The submission argued that 15 months is a more appropriate and accurate estimate, although the 10% PBS sample indicates ju</w:t>
            </w:r>
            <w:r w:rsidR="005A54E8" w:rsidRPr="0075485D">
              <w:t>s</w:t>
            </w:r>
            <w:r w:rsidRPr="0075485D">
              <w:t>t over 30% persistence at 15 months.</w:t>
            </w:r>
          </w:p>
        </w:tc>
      </w:tr>
      <w:tr w:rsidR="00A01891" w:rsidRPr="003330C9" w14:paraId="5746B36F" w14:textId="77777777" w:rsidTr="009E1CDB">
        <w:trPr>
          <w:cantSplit/>
        </w:trPr>
        <w:tc>
          <w:tcPr>
            <w:tcW w:w="1211" w:type="dxa"/>
          </w:tcPr>
          <w:p w14:paraId="65A82572" w14:textId="77777777" w:rsidR="00A01891" w:rsidRPr="0075485D" w:rsidRDefault="00A01891" w:rsidP="009E1CDB">
            <w:pPr>
              <w:pStyle w:val="Tabletext"/>
            </w:pPr>
            <w:r w:rsidRPr="0075485D">
              <w:t>Script volume of NHAs in the mCRPC setting</w:t>
            </w:r>
          </w:p>
        </w:tc>
        <w:tc>
          <w:tcPr>
            <w:tcW w:w="2479" w:type="dxa"/>
            <w:gridSpan w:val="4"/>
          </w:tcPr>
          <w:p w14:paraId="7EB18052" w14:textId="77777777" w:rsidR="00A01891" w:rsidRPr="0075485D" w:rsidRDefault="00A01891" w:rsidP="009E1CDB">
            <w:pPr>
              <w:pStyle w:val="Tabletext"/>
              <w:jc w:val="center"/>
            </w:pPr>
            <w:r w:rsidRPr="0075485D">
              <w:t>Enzalutamide: 66%</w:t>
            </w:r>
          </w:p>
          <w:p w14:paraId="7A94B7EE" w14:textId="77777777" w:rsidR="00A01891" w:rsidRPr="0075485D" w:rsidRDefault="00A01891" w:rsidP="009E1CDB">
            <w:pPr>
              <w:pStyle w:val="Tabletext"/>
              <w:jc w:val="center"/>
            </w:pPr>
            <w:r w:rsidRPr="0075485D">
              <w:t>Abiraterone 250mg: 5%</w:t>
            </w:r>
          </w:p>
          <w:p w14:paraId="36612643" w14:textId="77777777" w:rsidR="00A01891" w:rsidRPr="0075485D" w:rsidRDefault="00A01891" w:rsidP="009E1CDB">
            <w:pPr>
              <w:pStyle w:val="Tabletext"/>
              <w:jc w:val="center"/>
            </w:pPr>
            <w:r w:rsidRPr="0075485D">
              <w:t>Abiraterone 500mg: 29%</w:t>
            </w:r>
          </w:p>
        </w:tc>
        <w:tc>
          <w:tcPr>
            <w:tcW w:w="2780" w:type="dxa"/>
          </w:tcPr>
          <w:p w14:paraId="4805BB78" w14:textId="77777777" w:rsidR="00A01891" w:rsidRPr="0075485D" w:rsidRDefault="00A01891" w:rsidP="009E1CDB">
            <w:pPr>
              <w:pStyle w:val="Tabletext"/>
            </w:pPr>
            <w:r w:rsidRPr="0075485D">
              <w:t>Based on PBS utilisation in calendar year 2021, which the submission stated was in line with the market share reported in the July 2022 apalutamide PSD (66.3% for enzalutamide; 33.7% for abiraterone).</w:t>
            </w:r>
          </w:p>
        </w:tc>
        <w:tc>
          <w:tcPr>
            <w:tcW w:w="2597" w:type="dxa"/>
          </w:tcPr>
          <w:p w14:paraId="1EF5D059" w14:textId="6AF5F4BB" w:rsidR="00A01891" w:rsidRPr="0075485D" w:rsidRDefault="00812D93" w:rsidP="009E1CDB">
            <w:pPr>
              <w:pStyle w:val="Tabletext"/>
            </w:pPr>
            <w:r>
              <w:t>-</w:t>
            </w:r>
          </w:p>
        </w:tc>
      </w:tr>
      <w:tr w:rsidR="00A01891" w:rsidRPr="003330C9" w14:paraId="54FBBFA5" w14:textId="77777777" w:rsidTr="009E1CDB">
        <w:trPr>
          <w:cantSplit/>
        </w:trPr>
        <w:tc>
          <w:tcPr>
            <w:tcW w:w="1211" w:type="dxa"/>
          </w:tcPr>
          <w:p w14:paraId="4E5E7FA4" w14:textId="77777777" w:rsidR="00A01891" w:rsidRPr="0075485D" w:rsidRDefault="00A01891" w:rsidP="009E1CDB">
            <w:pPr>
              <w:pStyle w:val="Tabletext"/>
            </w:pPr>
            <w:r w:rsidRPr="0075485D">
              <w:t>Compliance and scripts per year</w:t>
            </w:r>
          </w:p>
        </w:tc>
        <w:tc>
          <w:tcPr>
            <w:tcW w:w="2479" w:type="dxa"/>
            <w:gridSpan w:val="4"/>
          </w:tcPr>
          <w:p w14:paraId="1A539A03" w14:textId="77777777" w:rsidR="00A01891" w:rsidRPr="0075485D" w:rsidRDefault="00A01891" w:rsidP="009E1CDB">
            <w:pPr>
              <w:pStyle w:val="Tabletext"/>
            </w:pPr>
            <w:r w:rsidRPr="0075485D">
              <w:t>100%; 13.04 scripts for enzalutamide and 12.18 scripts for abiraterone</w:t>
            </w:r>
          </w:p>
        </w:tc>
        <w:tc>
          <w:tcPr>
            <w:tcW w:w="2780" w:type="dxa"/>
          </w:tcPr>
          <w:p w14:paraId="144819FE" w14:textId="77777777" w:rsidR="00A01891" w:rsidRPr="0075485D" w:rsidRDefault="00A01891" w:rsidP="009E1CDB">
            <w:pPr>
              <w:pStyle w:val="Tabletext"/>
            </w:pPr>
            <w:r w:rsidRPr="0075485D">
              <w:t>Consistent with the apalutamide July 2022 PSD.</w:t>
            </w:r>
          </w:p>
        </w:tc>
        <w:tc>
          <w:tcPr>
            <w:tcW w:w="2597" w:type="dxa"/>
          </w:tcPr>
          <w:p w14:paraId="2D19E1E4" w14:textId="78BA8DE3" w:rsidR="00A01891" w:rsidRPr="0075485D" w:rsidRDefault="00812D93" w:rsidP="009E1CDB">
            <w:pPr>
              <w:pStyle w:val="Tabletext"/>
            </w:pPr>
            <w:r>
              <w:t>-</w:t>
            </w:r>
          </w:p>
        </w:tc>
      </w:tr>
      <w:tr w:rsidR="00A01891" w:rsidRPr="003330C9" w14:paraId="6C6A9DC6" w14:textId="77777777" w:rsidTr="009E1CDB">
        <w:trPr>
          <w:cantSplit/>
        </w:trPr>
        <w:tc>
          <w:tcPr>
            <w:tcW w:w="1211" w:type="dxa"/>
          </w:tcPr>
          <w:p w14:paraId="58F3F249" w14:textId="77777777" w:rsidR="00A01891" w:rsidRPr="0075485D" w:rsidRDefault="00A01891" w:rsidP="009E1CDB">
            <w:pPr>
              <w:pStyle w:val="Tabletext"/>
              <w:rPr>
                <w:highlight w:val="green"/>
              </w:rPr>
            </w:pPr>
            <w:r w:rsidRPr="0075485D">
              <w:t>Cost offsets for substituted therapy</w:t>
            </w:r>
          </w:p>
        </w:tc>
        <w:tc>
          <w:tcPr>
            <w:tcW w:w="2479" w:type="dxa"/>
            <w:gridSpan w:val="4"/>
          </w:tcPr>
          <w:p w14:paraId="21A2B017" w14:textId="36A1F005" w:rsidR="00A01891" w:rsidRPr="0075485D" w:rsidRDefault="00A01891" w:rsidP="009E1CDB">
            <w:pPr>
              <w:pStyle w:val="Tabletext"/>
            </w:pPr>
            <w:r w:rsidRPr="0075485D">
              <w:t>Abiraterone for mCRPC effective price: $</w:t>
            </w:r>
            <w:r w:rsidR="008D2482" w:rsidRPr="008D2482">
              <w:rPr>
                <w:color w:val="000000"/>
                <w:spacing w:val="37"/>
                <w:shd w:val="solid" w:color="000000" w:fill="000000"/>
                <w:fitText w:val="443" w:id="-1233498110"/>
                <w14:textFill>
                  <w14:solidFill>
                    <w14:srgbClr w14:val="000000">
                      <w14:alpha w14:val="100000"/>
                    </w14:srgbClr>
                  </w14:solidFill>
                </w14:textFill>
              </w:rPr>
              <w:t>|||||</w:t>
            </w:r>
            <w:r w:rsidR="008D2482" w:rsidRPr="008D2482">
              <w:rPr>
                <w:color w:val="000000"/>
                <w:spacing w:val="3"/>
                <w:shd w:val="solid" w:color="000000" w:fill="000000"/>
                <w:fitText w:val="443" w:id="-1233498110"/>
                <w14:textFill>
                  <w14:solidFill>
                    <w14:srgbClr w14:val="000000">
                      <w14:alpha w14:val="100000"/>
                    </w14:srgbClr>
                  </w14:solidFill>
                </w14:textFill>
              </w:rPr>
              <w:t>|</w:t>
            </w:r>
            <w:r w:rsidR="00AA73B7" w:rsidRPr="00AA73B7">
              <w:t xml:space="preserve"> </w:t>
            </w:r>
          </w:p>
          <w:p w14:paraId="794A2676" w14:textId="27665DA4" w:rsidR="00A01891" w:rsidRPr="0075485D" w:rsidRDefault="00A01891" w:rsidP="009E1CDB">
            <w:pPr>
              <w:pStyle w:val="Tabletext"/>
            </w:pPr>
            <w:r w:rsidRPr="0075485D">
              <w:t>Enzalutamide for mCRPC effective price $</w:t>
            </w:r>
            <w:r w:rsidR="008D2482" w:rsidRPr="008D2482">
              <w:rPr>
                <w:color w:val="000000"/>
                <w:spacing w:val="35"/>
                <w:shd w:val="solid" w:color="000000" w:fill="000000"/>
                <w:fitText w:val="432" w:id="-1233498109"/>
                <w14:textFill>
                  <w14:solidFill>
                    <w14:srgbClr w14:val="000000">
                      <w14:alpha w14:val="100000"/>
                    </w14:srgbClr>
                  </w14:solidFill>
                </w14:textFill>
              </w:rPr>
              <w:t>|||||</w:t>
            </w:r>
            <w:r w:rsidR="008D2482" w:rsidRPr="008D2482">
              <w:rPr>
                <w:color w:val="000000"/>
                <w:spacing w:val="2"/>
                <w:shd w:val="solid" w:color="000000" w:fill="000000"/>
                <w:fitText w:val="432" w:id="-1233498109"/>
                <w14:textFill>
                  <w14:solidFill>
                    <w14:srgbClr w14:val="000000">
                      <w14:alpha w14:val="100000"/>
                    </w14:srgbClr>
                  </w14:solidFill>
                </w14:textFill>
              </w:rPr>
              <w:t>|</w:t>
            </w:r>
            <w:r w:rsidR="00AA73B7" w:rsidRPr="00AA73B7">
              <w:t xml:space="preserve"> </w:t>
            </w:r>
          </w:p>
        </w:tc>
        <w:tc>
          <w:tcPr>
            <w:tcW w:w="2780" w:type="dxa"/>
          </w:tcPr>
          <w:p w14:paraId="2CB28158" w14:textId="77777777" w:rsidR="00A01891" w:rsidRPr="0075485D" w:rsidRDefault="00A01891" w:rsidP="009E1CDB">
            <w:pPr>
              <w:pStyle w:val="Tabletext"/>
            </w:pPr>
            <w:r w:rsidRPr="0075485D">
              <w:t>Based on effective prices sourced from the sponsor’s deed agreement for enzalutamide.</w:t>
            </w:r>
          </w:p>
        </w:tc>
        <w:tc>
          <w:tcPr>
            <w:tcW w:w="2597" w:type="dxa"/>
          </w:tcPr>
          <w:p w14:paraId="5718C5D7" w14:textId="27E2234B" w:rsidR="00A01891" w:rsidRPr="0075485D" w:rsidRDefault="00812D93" w:rsidP="009E1CDB">
            <w:pPr>
              <w:pStyle w:val="Tabletext"/>
            </w:pPr>
            <w:r>
              <w:t>-</w:t>
            </w:r>
          </w:p>
        </w:tc>
      </w:tr>
      <w:tr w:rsidR="00A01891" w:rsidRPr="003330C9" w14:paraId="436E9C80" w14:textId="77777777" w:rsidTr="009E1CDB">
        <w:trPr>
          <w:cantSplit/>
        </w:trPr>
        <w:tc>
          <w:tcPr>
            <w:tcW w:w="9067" w:type="dxa"/>
            <w:gridSpan w:val="7"/>
          </w:tcPr>
          <w:p w14:paraId="51339882" w14:textId="77777777" w:rsidR="00A01891" w:rsidRPr="0075485D" w:rsidRDefault="00A01891" w:rsidP="009E1CDB">
            <w:pPr>
              <w:pStyle w:val="Tabletext"/>
              <w:rPr>
                <w:b/>
              </w:rPr>
            </w:pPr>
            <w:r w:rsidRPr="0075485D">
              <w:rPr>
                <w:b/>
              </w:rPr>
              <w:t>Costs</w:t>
            </w:r>
          </w:p>
        </w:tc>
      </w:tr>
      <w:tr w:rsidR="00A01891" w:rsidRPr="003330C9" w14:paraId="6F24E078" w14:textId="77777777" w:rsidTr="009E1CDB">
        <w:trPr>
          <w:cantSplit/>
        </w:trPr>
        <w:tc>
          <w:tcPr>
            <w:tcW w:w="1211" w:type="dxa"/>
          </w:tcPr>
          <w:p w14:paraId="0576BC36" w14:textId="77777777" w:rsidR="00A01891" w:rsidRPr="0075485D" w:rsidRDefault="00A01891" w:rsidP="009E1CDB">
            <w:pPr>
              <w:pStyle w:val="Tabletext"/>
            </w:pPr>
            <w:r w:rsidRPr="0075485D">
              <w:t>DPMQ Enzalutamide mHSPC</w:t>
            </w:r>
          </w:p>
        </w:tc>
        <w:tc>
          <w:tcPr>
            <w:tcW w:w="2479" w:type="dxa"/>
            <w:gridSpan w:val="4"/>
          </w:tcPr>
          <w:p w14:paraId="371F11B3" w14:textId="1CD45C68" w:rsidR="00A01891" w:rsidRPr="0075485D" w:rsidRDefault="00A01891" w:rsidP="009E1CDB">
            <w:pPr>
              <w:pStyle w:val="Tabletext"/>
              <w:jc w:val="center"/>
            </w:pPr>
            <w:r w:rsidRPr="0075485D">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780" w:type="dxa"/>
          </w:tcPr>
          <w:p w14:paraId="3DF6CEB4" w14:textId="77777777" w:rsidR="00A01891" w:rsidRPr="0075485D" w:rsidRDefault="00A01891" w:rsidP="009E1CDB">
            <w:pPr>
              <w:pStyle w:val="Tabletext"/>
            </w:pPr>
            <w:r w:rsidRPr="0075485D">
              <w:t>Requested price</w:t>
            </w:r>
          </w:p>
        </w:tc>
        <w:tc>
          <w:tcPr>
            <w:tcW w:w="2597" w:type="dxa"/>
          </w:tcPr>
          <w:p w14:paraId="40649E97" w14:textId="18C493BE" w:rsidR="00A01891" w:rsidRPr="0075485D" w:rsidRDefault="005D5E9A" w:rsidP="009E1CDB">
            <w:pPr>
              <w:pStyle w:val="Tabletext"/>
            </w:pPr>
            <w:r w:rsidRPr="0075485D">
              <w:t>Reduced to $</w:t>
            </w:r>
            <w:r w:rsidR="008D2482" w:rsidRPr="008D2482">
              <w:rPr>
                <w:color w:val="000000"/>
                <w:spacing w:val="35"/>
                <w:shd w:val="solid" w:color="000000" w:fill="000000"/>
                <w:fitText w:val="432" w:id="-1233498108"/>
                <w14:textFill>
                  <w14:solidFill>
                    <w14:srgbClr w14:val="000000">
                      <w14:alpha w14:val="100000"/>
                    </w14:srgbClr>
                  </w14:solidFill>
                </w14:textFill>
              </w:rPr>
              <w:t>|||||</w:t>
            </w:r>
            <w:r w:rsidR="008D2482" w:rsidRPr="008D2482">
              <w:rPr>
                <w:color w:val="000000"/>
                <w:spacing w:val="2"/>
                <w:shd w:val="solid" w:color="000000" w:fill="000000"/>
                <w:fitText w:val="432" w:id="-1233498108"/>
                <w14:textFill>
                  <w14:solidFill>
                    <w14:srgbClr w14:val="000000">
                      <w14:alpha w14:val="100000"/>
                    </w14:srgbClr>
                  </w14:solidFill>
                </w14:textFill>
              </w:rPr>
              <w:t>|</w:t>
            </w:r>
            <w:r w:rsidR="00AA73B7" w:rsidRPr="00AA73B7">
              <w:t xml:space="preserve"> </w:t>
            </w:r>
            <w:r w:rsidR="00D45249" w:rsidRPr="0075485D">
              <w:t>in the PSCR</w:t>
            </w:r>
            <w:r w:rsidR="007D0F10">
              <w:t xml:space="preserve"> and $</w:t>
            </w:r>
            <w:r w:rsidR="008D2482" w:rsidRPr="008D2482">
              <w:rPr>
                <w:color w:val="000000"/>
                <w:spacing w:val="35"/>
                <w:shd w:val="solid" w:color="000000" w:fill="000000"/>
                <w:fitText w:val="432" w:id="-1233498107"/>
                <w14:textFill>
                  <w14:solidFill>
                    <w14:srgbClr w14:val="000000">
                      <w14:alpha w14:val="100000"/>
                    </w14:srgbClr>
                  </w14:solidFill>
                </w14:textFill>
              </w:rPr>
              <w:t>|||||</w:t>
            </w:r>
            <w:r w:rsidR="008D2482" w:rsidRPr="008D2482">
              <w:rPr>
                <w:color w:val="000000"/>
                <w:spacing w:val="2"/>
                <w:shd w:val="solid" w:color="000000" w:fill="000000"/>
                <w:fitText w:val="432" w:id="-1233498107"/>
                <w14:textFill>
                  <w14:solidFill>
                    <w14:srgbClr w14:val="000000">
                      <w14:alpha w14:val="100000"/>
                    </w14:srgbClr>
                  </w14:solidFill>
                </w14:textFill>
              </w:rPr>
              <w:t>|</w:t>
            </w:r>
            <w:r w:rsidR="00AA73B7" w:rsidRPr="00AA73B7">
              <w:t xml:space="preserve"> </w:t>
            </w:r>
            <w:r w:rsidR="007D0F10">
              <w:t>in the pre-PBAC response</w:t>
            </w:r>
            <w:r w:rsidR="00D45249" w:rsidRPr="0075485D">
              <w:t>.</w:t>
            </w:r>
          </w:p>
        </w:tc>
      </w:tr>
      <w:tr w:rsidR="00A01891" w:rsidRPr="003330C9" w14:paraId="5ADEA32B" w14:textId="77777777" w:rsidTr="009E1CDB">
        <w:trPr>
          <w:cantSplit/>
        </w:trPr>
        <w:tc>
          <w:tcPr>
            <w:tcW w:w="1211" w:type="dxa"/>
          </w:tcPr>
          <w:p w14:paraId="74C43EB9" w14:textId="77777777" w:rsidR="00A01891" w:rsidRPr="0075485D" w:rsidRDefault="00A01891" w:rsidP="009E1CDB">
            <w:pPr>
              <w:pStyle w:val="Tabletext"/>
            </w:pPr>
            <w:r w:rsidRPr="0075485D">
              <w:t>DPMQ Abiraterone</w:t>
            </w:r>
          </w:p>
        </w:tc>
        <w:tc>
          <w:tcPr>
            <w:tcW w:w="2479" w:type="dxa"/>
            <w:gridSpan w:val="4"/>
          </w:tcPr>
          <w:p w14:paraId="27A72509" w14:textId="6360D476" w:rsidR="00A01891" w:rsidRPr="0075485D" w:rsidRDefault="00A01891" w:rsidP="009E1CDB">
            <w:pPr>
              <w:pStyle w:val="Tabletext"/>
              <w:jc w:val="center"/>
              <w:rPr>
                <w:highlight w:val="yellow"/>
              </w:rPr>
            </w:pPr>
            <w:r w:rsidRPr="0075485D">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780" w:type="dxa"/>
          </w:tcPr>
          <w:p w14:paraId="52449E6A" w14:textId="77777777" w:rsidR="00A01891" w:rsidRPr="0075485D" w:rsidRDefault="00A01891" w:rsidP="009E1CDB">
            <w:pPr>
              <w:pStyle w:val="Tabletext"/>
            </w:pPr>
            <w:r w:rsidRPr="0075485D">
              <w:t>Effective price</w:t>
            </w:r>
          </w:p>
        </w:tc>
        <w:tc>
          <w:tcPr>
            <w:tcW w:w="2597" w:type="dxa"/>
          </w:tcPr>
          <w:p w14:paraId="2D7E21AD" w14:textId="2970C864" w:rsidR="00A01891" w:rsidRPr="0075485D" w:rsidRDefault="00812D93" w:rsidP="009E1CDB">
            <w:pPr>
              <w:pStyle w:val="Tabletext"/>
            </w:pPr>
            <w:r>
              <w:t>-</w:t>
            </w:r>
          </w:p>
        </w:tc>
      </w:tr>
      <w:tr w:rsidR="00A01891" w:rsidRPr="003330C9" w14:paraId="098EF18D" w14:textId="77777777" w:rsidTr="009E1CDB">
        <w:trPr>
          <w:cantSplit/>
        </w:trPr>
        <w:tc>
          <w:tcPr>
            <w:tcW w:w="1211" w:type="dxa"/>
          </w:tcPr>
          <w:p w14:paraId="2A2680BD" w14:textId="77777777" w:rsidR="00A01891" w:rsidRPr="0075485D" w:rsidRDefault="00A01891" w:rsidP="009E1CDB">
            <w:pPr>
              <w:pStyle w:val="Tabletext"/>
            </w:pPr>
            <w:r w:rsidRPr="0075485D">
              <w:t>DPMQ Enzalutamide mCRPC</w:t>
            </w:r>
          </w:p>
        </w:tc>
        <w:tc>
          <w:tcPr>
            <w:tcW w:w="2479" w:type="dxa"/>
            <w:gridSpan w:val="4"/>
          </w:tcPr>
          <w:p w14:paraId="22259D84" w14:textId="542E3B9F" w:rsidR="00A01891" w:rsidRPr="0075485D" w:rsidRDefault="00A01891" w:rsidP="009E1CDB">
            <w:pPr>
              <w:pStyle w:val="Tabletext"/>
              <w:jc w:val="center"/>
              <w:rPr>
                <w:highlight w:val="yellow"/>
              </w:rPr>
            </w:pPr>
            <w:r w:rsidRPr="0075485D">
              <w:t>$</w:t>
            </w:r>
            <w:r w:rsidR="008D2482" w:rsidRPr="008D2482">
              <w:rPr>
                <w:color w:val="000000"/>
                <w:shd w:val="solid" w:color="000000" w:fill="000000"/>
                <w14:textFill>
                  <w14:solidFill>
                    <w14:srgbClr w14:val="000000">
                      <w14:alpha w14:val="100000"/>
                    </w14:srgbClr>
                  </w14:solidFill>
                </w14:textFill>
              </w:rPr>
              <w:t>|</w:t>
            </w:r>
            <w:r w:rsidR="00AA73B7" w:rsidRPr="00AA73B7">
              <w:t xml:space="preserve"> </w:t>
            </w:r>
          </w:p>
        </w:tc>
        <w:tc>
          <w:tcPr>
            <w:tcW w:w="2780" w:type="dxa"/>
          </w:tcPr>
          <w:p w14:paraId="1818960A" w14:textId="77777777" w:rsidR="00A01891" w:rsidRPr="0075485D" w:rsidRDefault="00A01891" w:rsidP="009E1CDB">
            <w:pPr>
              <w:pStyle w:val="Tabletext"/>
            </w:pPr>
            <w:r w:rsidRPr="0075485D">
              <w:t>Effective price, PBS item 10174L</w:t>
            </w:r>
          </w:p>
        </w:tc>
        <w:tc>
          <w:tcPr>
            <w:tcW w:w="2597" w:type="dxa"/>
          </w:tcPr>
          <w:p w14:paraId="0240C33F" w14:textId="66C47D7E" w:rsidR="00A01891" w:rsidRPr="0075485D" w:rsidRDefault="00812D93" w:rsidP="009E1CDB">
            <w:pPr>
              <w:pStyle w:val="Tabletext"/>
            </w:pPr>
            <w:r>
              <w:t>-</w:t>
            </w:r>
          </w:p>
        </w:tc>
      </w:tr>
      <w:tr w:rsidR="00A01891" w:rsidRPr="003330C9" w14:paraId="73D02542" w14:textId="77777777" w:rsidTr="009E1CDB">
        <w:trPr>
          <w:cantSplit/>
        </w:trPr>
        <w:tc>
          <w:tcPr>
            <w:tcW w:w="1211" w:type="dxa"/>
          </w:tcPr>
          <w:p w14:paraId="4BD56167" w14:textId="77777777" w:rsidR="00A01891" w:rsidRPr="0075485D" w:rsidRDefault="00A01891" w:rsidP="009E1CDB">
            <w:pPr>
              <w:pStyle w:val="Tabletext"/>
            </w:pPr>
            <w:r w:rsidRPr="0075485D">
              <w:t>Patient co-payment</w:t>
            </w:r>
          </w:p>
        </w:tc>
        <w:tc>
          <w:tcPr>
            <w:tcW w:w="2479" w:type="dxa"/>
            <w:gridSpan w:val="4"/>
          </w:tcPr>
          <w:p w14:paraId="54067936" w14:textId="77777777" w:rsidR="00A01891" w:rsidRPr="0075485D" w:rsidRDefault="00A01891" w:rsidP="009E1CDB">
            <w:pPr>
              <w:pStyle w:val="Tabletext"/>
              <w:jc w:val="center"/>
            </w:pPr>
            <w:r w:rsidRPr="0075485D">
              <w:t>PBS: $11.99</w:t>
            </w:r>
          </w:p>
          <w:p w14:paraId="1764DE24" w14:textId="77777777" w:rsidR="00A01891" w:rsidRPr="0075485D" w:rsidRDefault="00A01891" w:rsidP="009E1CDB">
            <w:pPr>
              <w:pStyle w:val="Tabletext"/>
              <w:jc w:val="center"/>
            </w:pPr>
            <w:r w:rsidRPr="0075485D">
              <w:t>RPBS: $4.66</w:t>
            </w:r>
          </w:p>
        </w:tc>
        <w:tc>
          <w:tcPr>
            <w:tcW w:w="2780" w:type="dxa"/>
          </w:tcPr>
          <w:p w14:paraId="13AAD689" w14:textId="77777777" w:rsidR="00A01891" w:rsidRPr="0075485D" w:rsidRDefault="00A01891" w:rsidP="009E1CDB">
            <w:pPr>
              <w:pStyle w:val="Tabletext"/>
            </w:pPr>
            <w:r w:rsidRPr="0075485D">
              <w:t xml:space="preserve">PBS/RPBS split: 96.55%/3.45% </w:t>
            </w:r>
          </w:p>
          <w:p w14:paraId="1BF4F5E0" w14:textId="77777777" w:rsidR="00A01891" w:rsidRPr="0075485D" w:rsidRDefault="00A01891" w:rsidP="009E1CDB">
            <w:pPr>
              <w:pStyle w:val="Tabletext"/>
            </w:pPr>
            <w:r w:rsidRPr="0075485D">
              <w:t>Based on enzalutamide utilisation in mCRPC (PBS item 10174L)</w:t>
            </w:r>
          </w:p>
        </w:tc>
        <w:tc>
          <w:tcPr>
            <w:tcW w:w="2597" w:type="dxa"/>
          </w:tcPr>
          <w:p w14:paraId="1F895D61" w14:textId="1B0F2A76" w:rsidR="00A01891" w:rsidRPr="0075485D" w:rsidRDefault="00812D93" w:rsidP="009E1CDB">
            <w:pPr>
              <w:pStyle w:val="Tabletext"/>
            </w:pPr>
            <w:r>
              <w:t>-</w:t>
            </w:r>
          </w:p>
        </w:tc>
      </w:tr>
    </w:tbl>
    <w:p w14:paraId="133238B6" w14:textId="77777777" w:rsidR="00A01891" w:rsidRPr="005E1708" w:rsidRDefault="00A01891" w:rsidP="00A01891">
      <w:pPr>
        <w:pStyle w:val="FooterTableFigure"/>
      </w:pPr>
      <w:r w:rsidRPr="005E1708">
        <w:t xml:space="preserve">Source: </w:t>
      </w:r>
      <w:r>
        <w:t>Table 4.1-1, p222-226; Table 4.2-3, p231</w:t>
      </w:r>
      <w:r w:rsidRPr="005E1708">
        <w:t xml:space="preserve"> of the submission; </w:t>
      </w:r>
      <w:r>
        <w:t>E</w:t>
      </w:r>
      <w:r w:rsidRPr="005E1708">
        <w:t xml:space="preserve">xcel workbook </w:t>
      </w:r>
      <w:r>
        <w:t>‘Attachment 20 – Xtandi mHSPC Section 4 Financial Model_vfinal’.</w:t>
      </w:r>
    </w:p>
    <w:p w14:paraId="08B6489B" w14:textId="348AF438" w:rsidR="00A01891" w:rsidRDefault="00A01891" w:rsidP="009800DE">
      <w:pPr>
        <w:pStyle w:val="FooterTableFigure"/>
        <w:spacing w:after="0"/>
      </w:pPr>
      <w:r w:rsidRPr="005E1708">
        <w:t xml:space="preserve">ABI=abiraterone, ADT=androgen deprivation treatment, ENZA=enzalutamide, </w:t>
      </w:r>
      <w:r>
        <w:t xml:space="preserve">HV=high volume; LV=low volume; </w:t>
      </w:r>
      <w:r w:rsidRPr="005E1708">
        <w:t>mCRPC=metastatic castration-resistant prostate cancer</w:t>
      </w:r>
      <w:r>
        <w:t>;</w:t>
      </w:r>
      <w:r w:rsidRPr="005E1708">
        <w:t xml:space="preserve"> mHSPC=metastatic hormone-sensitive prostate cancer</w:t>
      </w:r>
      <w:r>
        <w:t>;</w:t>
      </w:r>
      <w:r w:rsidRPr="005E1708">
        <w:t xml:space="preserve"> </w:t>
      </w:r>
      <w:r>
        <w:t>NHA=novel hormonal agent; PSD=public summary document; TTD=time to treatment discontinuation, Yr=year.</w:t>
      </w:r>
      <w:r w:rsidRPr="000A6039">
        <w:t xml:space="preserve"> </w:t>
      </w:r>
    </w:p>
    <w:p w14:paraId="2E69C1C9" w14:textId="77777777" w:rsidR="009800DE" w:rsidRPr="009A6D58" w:rsidRDefault="009800DE" w:rsidP="009800D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A3C13D6" w14:textId="2A898249" w:rsidR="009800DE" w:rsidRPr="009A6D58" w:rsidRDefault="009800DE" w:rsidP="009800D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9800DE">
        <w:rPr>
          <w:rFonts w:ascii="Arial Narrow" w:hAnsi="Arial Narrow"/>
          <w:i/>
          <w:sz w:val="18"/>
          <w:szCs w:val="18"/>
        </w:rPr>
        <w:t>500 to &lt; 5,000</w:t>
      </w:r>
    </w:p>
    <w:p w14:paraId="5DD1CE16" w14:textId="553E9671" w:rsidR="009800DE" w:rsidRDefault="009800DE" w:rsidP="009800D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9800DE">
        <w:rPr>
          <w:rFonts w:ascii="Arial Narrow" w:hAnsi="Arial Narrow"/>
          <w:i/>
          <w:sz w:val="18"/>
          <w:szCs w:val="18"/>
        </w:rPr>
        <w:t>&lt; 500</w:t>
      </w:r>
    </w:p>
    <w:p w14:paraId="6A909C3B" w14:textId="31492D9D" w:rsidR="004868DC" w:rsidRPr="009800DE" w:rsidRDefault="004868DC" w:rsidP="009800DE">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800DE">
        <w:rPr>
          <w:rFonts w:ascii="Arial Narrow" w:hAnsi="Arial Narrow"/>
          <w:i/>
          <w:sz w:val="18"/>
          <w:szCs w:val="18"/>
        </w:rPr>
        <w:t>5,000 to &lt; 10,000</w:t>
      </w:r>
    </w:p>
    <w:p w14:paraId="540C1569" w14:textId="7BAFA3BD" w:rsidR="00A01891" w:rsidRPr="003623C8" w:rsidRDefault="00A01891" w:rsidP="00A01891">
      <w:pPr>
        <w:pStyle w:val="3-BodyText"/>
      </w:pPr>
      <w:r>
        <w:fldChar w:fldCharType="begin"/>
      </w:r>
      <w:r>
        <w:instrText xml:space="preserve"> REF _Ref104805295 \h </w:instrText>
      </w:r>
      <w:r>
        <w:fldChar w:fldCharType="separate"/>
      </w:r>
      <w:r w:rsidR="00307E3A">
        <w:t xml:space="preserve">Table </w:t>
      </w:r>
      <w:r w:rsidR="00307E3A">
        <w:rPr>
          <w:noProof/>
        </w:rPr>
        <w:t>14</w:t>
      </w:r>
      <w:r>
        <w:fldChar w:fldCharType="end"/>
      </w:r>
      <w:r>
        <w:t xml:space="preserve"> </w:t>
      </w:r>
      <w:r w:rsidRPr="00D2162D">
        <w:t xml:space="preserve">summarises the estimated net financial implications to the PBS/RPBS for the proposed listing of </w:t>
      </w:r>
      <w:r>
        <w:t>enzalutamide</w:t>
      </w:r>
      <w:r w:rsidRPr="00D2162D">
        <w:t xml:space="preserve"> over the first six years.</w:t>
      </w:r>
      <w:r>
        <w:t xml:space="preserve"> While the submission provided estimated numbers of incident and prevalent patients categorised by LV and HV disease</w:t>
      </w:r>
      <w:r>
        <w:rPr>
          <w:b/>
          <w:bCs/>
          <w:lang w:val="en-US"/>
        </w:rPr>
        <w:t xml:space="preserve"> </w:t>
      </w:r>
      <w:r w:rsidRPr="004733D3">
        <w:t>(</w:t>
      </w:r>
      <w:r w:rsidRPr="004733D3">
        <w:fldChar w:fldCharType="begin"/>
      </w:r>
      <w:r w:rsidRPr="004733D3">
        <w:instrText xml:space="preserve"> REF _Ref124322823 </w:instrText>
      </w:r>
      <w:r>
        <w:instrText xml:space="preserve"> \* MERGEFORMAT </w:instrText>
      </w:r>
      <w:r w:rsidRPr="004733D3">
        <w:fldChar w:fldCharType="separate"/>
      </w:r>
      <w:r w:rsidR="00307E3A" w:rsidRPr="00307E3A">
        <w:t>Table 13</w:t>
      </w:r>
      <w:r w:rsidRPr="004733D3">
        <w:fldChar w:fldCharType="end"/>
      </w:r>
      <w:r w:rsidRPr="004733D3">
        <w:t>),</w:t>
      </w:r>
      <w:r>
        <w:t xml:space="preserve"> the number of treated patients and estimated costs were based on these two patient groups combined, hence all estimates in the table below are for the incident and prevalent patients that make up the total population.</w:t>
      </w:r>
      <w:r w:rsidR="00502B19">
        <w:t xml:space="preserve"> </w:t>
      </w:r>
      <w:r w:rsidR="00E57202" w:rsidRPr="003623C8">
        <w:t xml:space="preserve">As per the July 2022 apalutamide submission, </w:t>
      </w:r>
      <w:r w:rsidR="00502B19" w:rsidRPr="003623C8">
        <w:t xml:space="preserve">enzalutamide use in patients with HV disease who were suitable for docetaxel </w:t>
      </w:r>
      <w:r w:rsidR="003623C8" w:rsidRPr="003623C8">
        <w:t xml:space="preserve">were excluded from the utilisation and financial impact estimates. For apalutamide, in July 2022 the PBAC proposed that HV patients who were suitable for docetaxel </w:t>
      </w:r>
      <w:r w:rsidR="003623C8">
        <w:t>sh</w:t>
      </w:r>
      <w:r w:rsidR="00E57202" w:rsidRPr="003623C8">
        <w:t>ould be managed via the proposed risk sharing arrangement</w:t>
      </w:r>
      <w:r w:rsidR="006F7A84" w:rsidRPr="003623C8">
        <w:t xml:space="preserve"> (RSA)</w:t>
      </w:r>
      <w:r w:rsidR="00E57202" w:rsidRPr="003623C8">
        <w:t>.</w:t>
      </w:r>
    </w:p>
    <w:p w14:paraId="1B38B537" w14:textId="444BCD7A" w:rsidR="00144C6B" w:rsidRPr="0075485D" w:rsidRDefault="00144C6B" w:rsidP="00A01891">
      <w:pPr>
        <w:pStyle w:val="3-BodyText"/>
      </w:pPr>
      <w:bookmarkStart w:id="72" w:name="_Ref129700359"/>
      <w:r w:rsidRPr="0075485D">
        <w:t xml:space="preserve">The results of the revised estimates presented in the PSCR </w:t>
      </w:r>
      <w:r w:rsidR="00C50652">
        <w:t xml:space="preserve">and pre-PBAC response </w:t>
      </w:r>
      <w:r w:rsidRPr="0075485D">
        <w:t>are also included in the table below. The changes included:</w:t>
      </w:r>
      <w:bookmarkEnd w:id="72"/>
    </w:p>
    <w:p w14:paraId="24720812" w14:textId="1AB69440" w:rsidR="00144C6B" w:rsidRPr="0075485D" w:rsidRDefault="00144C6B" w:rsidP="00D45249">
      <w:pPr>
        <w:pStyle w:val="3-BodyText"/>
        <w:numPr>
          <w:ilvl w:val="1"/>
          <w:numId w:val="21"/>
        </w:numPr>
        <w:ind w:left="1080" w:hanging="360"/>
      </w:pPr>
      <w:r w:rsidRPr="0075485D">
        <w:t>The exclusion of prevalent patients from Year 2 onwards;</w:t>
      </w:r>
    </w:p>
    <w:p w14:paraId="69622C65" w14:textId="7F252F35" w:rsidR="00144C6B" w:rsidRPr="0075485D" w:rsidRDefault="00144C6B" w:rsidP="00D45249">
      <w:pPr>
        <w:pStyle w:val="3-BodyText"/>
        <w:numPr>
          <w:ilvl w:val="1"/>
          <w:numId w:val="21"/>
        </w:numPr>
        <w:ind w:left="1080" w:hanging="360"/>
      </w:pPr>
      <w:r w:rsidRPr="0075485D">
        <w:t xml:space="preserve">The proportion of mHSPC patients remaining on enzalutamide treatment was revised to be based on those in the apalutamide PSD (Year 1: 91.15%; Year 2: 73.47%; Year 3: 56.40%; Year 4: 42.04%; Year 5: 23.18%; Year 6: 9.28%); and </w:t>
      </w:r>
    </w:p>
    <w:p w14:paraId="50910428" w14:textId="3213EDB5" w:rsidR="00144C6B" w:rsidRPr="0075485D" w:rsidRDefault="00144C6B" w:rsidP="00661ABB">
      <w:pPr>
        <w:pStyle w:val="3-BodyText"/>
        <w:numPr>
          <w:ilvl w:val="1"/>
          <w:numId w:val="21"/>
        </w:numPr>
        <w:ind w:left="1080" w:hanging="360"/>
      </w:pPr>
      <w:r w:rsidRPr="0075485D">
        <w:t xml:space="preserve">The effective </w:t>
      </w:r>
      <w:r w:rsidR="00D45249" w:rsidRPr="0075485D">
        <w:t>DPMQ</w:t>
      </w:r>
      <w:r w:rsidRPr="0075485D">
        <w:t xml:space="preserve"> of enzalutamide was reduced from $</w:t>
      </w:r>
      <w:r w:rsidR="008D2482" w:rsidRPr="00307E3A">
        <w:rPr>
          <w:color w:val="000000"/>
          <w:w w:val="15"/>
          <w:shd w:val="solid" w:color="000000" w:fill="000000"/>
          <w:fitText w:val="-20" w:id="-1233498106"/>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106"/>
          <w14:textFill>
            <w14:solidFill>
              <w14:srgbClr w14:val="000000">
                <w14:alpha w14:val="100000"/>
              </w14:srgbClr>
            </w14:solidFill>
          </w14:textFill>
        </w:rPr>
        <w:t>|</w:t>
      </w:r>
      <w:r w:rsidR="00AA73B7" w:rsidRPr="00AA73B7">
        <w:t xml:space="preserve"> </w:t>
      </w:r>
      <w:r w:rsidRPr="0075485D">
        <w:t>to $</w:t>
      </w:r>
      <w:r w:rsidR="008D2482" w:rsidRPr="00307E3A">
        <w:rPr>
          <w:color w:val="000000"/>
          <w:w w:val="15"/>
          <w:shd w:val="solid" w:color="000000" w:fill="000000"/>
          <w:fitText w:val="-20" w:id="-1233498105"/>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105"/>
          <w14:textFill>
            <w14:solidFill>
              <w14:srgbClr w14:val="000000">
                <w14:alpha w14:val="100000"/>
              </w14:srgbClr>
            </w14:solidFill>
          </w14:textFill>
        </w:rPr>
        <w:t>|</w:t>
      </w:r>
      <w:r w:rsidRPr="0075485D">
        <w:t>.</w:t>
      </w:r>
      <w:r w:rsidR="00C50652">
        <w:t xml:space="preserve"> This was further reduced to $</w:t>
      </w:r>
      <w:r w:rsidR="008D2482" w:rsidRPr="00307E3A">
        <w:rPr>
          <w:color w:val="000000"/>
          <w:w w:val="15"/>
          <w:shd w:val="solid" w:color="000000" w:fill="000000"/>
          <w:fitText w:val="-20" w:id="-1233498104"/>
          <w14:textFill>
            <w14:solidFill>
              <w14:srgbClr w14:val="000000">
                <w14:alpha w14:val="100000"/>
              </w14:srgbClr>
            </w14:solidFill>
          </w14:textFill>
        </w:rPr>
        <w:t xml:space="preserve">|  </w:t>
      </w:r>
      <w:r w:rsidR="008D2482" w:rsidRPr="00307E3A">
        <w:rPr>
          <w:color w:val="000000"/>
          <w:spacing w:val="-69"/>
          <w:w w:val="15"/>
          <w:shd w:val="solid" w:color="000000" w:fill="000000"/>
          <w:fitText w:val="-20" w:id="-1233498104"/>
          <w14:textFill>
            <w14:solidFill>
              <w14:srgbClr w14:val="000000">
                <w14:alpha w14:val="100000"/>
              </w14:srgbClr>
            </w14:solidFill>
          </w14:textFill>
        </w:rPr>
        <w:t>|</w:t>
      </w:r>
      <w:r w:rsidR="00C50652">
        <w:t xml:space="preserve"> in the pre-PBAC response.</w:t>
      </w:r>
    </w:p>
    <w:p w14:paraId="6E9E3256" w14:textId="48397555" w:rsidR="00A01891" w:rsidRPr="00606FBA" w:rsidRDefault="00A01891" w:rsidP="00661ABB">
      <w:pPr>
        <w:pStyle w:val="Caption"/>
        <w:keepNext w:val="0"/>
      </w:pPr>
      <w:bookmarkStart w:id="73" w:name="_Ref104805295"/>
      <w:r>
        <w:t xml:space="preserve">Table </w:t>
      </w:r>
      <w:fldSimple w:instr=" SEQ Table \* ARABIC ">
        <w:r w:rsidR="00307E3A">
          <w:rPr>
            <w:noProof/>
          </w:rPr>
          <w:t>14</w:t>
        </w:r>
      </w:fldSimple>
      <w:bookmarkEnd w:id="73"/>
      <w:r>
        <w:t>:</w:t>
      </w:r>
      <w:r w:rsidRPr="00606FBA">
        <w:rPr>
          <w:rStyle w:val="CommentReference"/>
          <w:b/>
          <w:szCs w:val="24"/>
        </w:rPr>
        <w:t xml:space="preserve"> Estimated use and financial implications</w:t>
      </w:r>
      <w:r>
        <w:rPr>
          <w:rStyle w:val="CommentReference"/>
          <w:b/>
          <w:szCs w:val="24"/>
        </w:rPr>
        <w:t xml:space="preserve"> </w:t>
      </w:r>
      <w:r w:rsidRPr="005E1708">
        <w:t xml:space="preserve">to the PBS/RPBS for the proposed listing of </w:t>
      </w:r>
      <w:r>
        <w:t>enzalutamide</w:t>
      </w:r>
    </w:p>
    <w:tbl>
      <w:tblPr>
        <w:tblStyle w:val="TableGrid"/>
        <w:tblW w:w="5195" w:type="pct"/>
        <w:tblLayout w:type="fixed"/>
        <w:tblCellMar>
          <w:left w:w="28" w:type="dxa"/>
          <w:right w:w="28" w:type="dxa"/>
        </w:tblCellMar>
        <w:tblLook w:val="04A0" w:firstRow="1" w:lastRow="0" w:firstColumn="1" w:lastColumn="0" w:noHBand="0" w:noVBand="1"/>
      </w:tblPr>
      <w:tblGrid>
        <w:gridCol w:w="1832"/>
        <w:gridCol w:w="1075"/>
        <w:gridCol w:w="15"/>
        <w:gridCol w:w="1062"/>
        <w:gridCol w:w="15"/>
        <w:gridCol w:w="1062"/>
        <w:gridCol w:w="15"/>
        <w:gridCol w:w="1061"/>
        <w:gridCol w:w="17"/>
        <w:gridCol w:w="1061"/>
        <w:gridCol w:w="21"/>
        <w:gridCol w:w="1057"/>
        <w:gridCol w:w="21"/>
        <w:gridCol w:w="1055"/>
      </w:tblGrid>
      <w:tr w:rsidR="00D9013E" w:rsidRPr="0075485D" w14:paraId="328A6FD2" w14:textId="77777777" w:rsidTr="00D9013E">
        <w:trPr>
          <w:tblHeader/>
        </w:trPr>
        <w:tc>
          <w:tcPr>
            <w:tcW w:w="978" w:type="pct"/>
          </w:tcPr>
          <w:p w14:paraId="45FDFB3D" w14:textId="77777777" w:rsidR="00A01891" w:rsidRPr="00D139A1" w:rsidRDefault="00A01891" w:rsidP="00661ABB">
            <w:pPr>
              <w:pStyle w:val="Tabletext"/>
              <w:keepLines/>
              <w:rPr>
                <w:b/>
                <w:bCs/>
                <w:szCs w:val="20"/>
              </w:rPr>
            </w:pPr>
          </w:p>
        </w:tc>
        <w:tc>
          <w:tcPr>
            <w:tcW w:w="582" w:type="pct"/>
            <w:gridSpan w:val="2"/>
            <w:shd w:val="clear" w:color="auto" w:fill="auto"/>
            <w:vAlign w:val="center"/>
          </w:tcPr>
          <w:p w14:paraId="3B9C1F83" w14:textId="77777777" w:rsidR="00A01891" w:rsidRPr="00D139A1" w:rsidRDefault="00A01891" w:rsidP="00661ABB">
            <w:pPr>
              <w:pStyle w:val="Tabletext"/>
              <w:keepLines/>
              <w:jc w:val="center"/>
              <w:rPr>
                <w:b/>
                <w:bCs/>
                <w:szCs w:val="20"/>
              </w:rPr>
            </w:pPr>
            <w:r w:rsidRPr="00D139A1">
              <w:rPr>
                <w:b/>
                <w:bCs/>
                <w:szCs w:val="20"/>
              </w:rPr>
              <w:t>Year 1</w:t>
            </w:r>
          </w:p>
        </w:tc>
        <w:tc>
          <w:tcPr>
            <w:tcW w:w="575" w:type="pct"/>
            <w:gridSpan w:val="2"/>
            <w:shd w:val="clear" w:color="auto" w:fill="auto"/>
            <w:vAlign w:val="center"/>
          </w:tcPr>
          <w:p w14:paraId="6F71C1F3" w14:textId="77777777" w:rsidR="00A01891" w:rsidRPr="00D139A1" w:rsidRDefault="00A01891" w:rsidP="00661ABB">
            <w:pPr>
              <w:pStyle w:val="Tabletext"/>
              <w:keepLines/>
              <w:jc w:val="center"/>
              <w:rPr>
                <w:b/>
                <w:bCs/>
                <w:szCs w:val="20"/>
              </w:rPr>
            </w:pPr>
            <w:r w:rsidRPr="00D139A1">
              <w:rPr>
                <w:b/>
                <w:bCs/>
                <w:szCs w:val="20"/>
              </w:rPr>
              <w:t>Year 2</w:t>
            </w:r>
          </w:p>
        </w:tc>
        <w:tc>
          <w:tcPr>
            <w:tcW w:w="575" w:type="pct"/>
            <w:gridSpan w:val="2"/>
            <w:shd w:val="clear" w:color="auto" w:fill="auto"/>
            <w:vAlign w:val="center"/>
          </w:tcPr>
          <w:p w14:paraId="7A2A6D8D" w14:textId="77777777" w:rsidR="00A01891" w:rsidRPr="00D139A1" w:rsidRDefault="00A01891" w:rsidP="00661ABB">
            <w:pPr>
              <w:pStyle w:val="Tabletext"/>
              <w:keepLines/>
              <w:jc w:val="center"/>
              <w:rPr>
                <w:b/>
                <w:bCs/>
                <w:szCs w:val="20"/>
              </w:rPr>
            </w:pPr>
            <w:r w:rsidRPr="00D139A1">
              <w:rPr>
                <w:b/>
                <w:bCs/>
                <w:szCs w:val="20"/>
              </w:rPr>
              <w:t>Year 3</w:t>
            </w:r>
          </w:p>
        </w:tc>
        <w:tc>
          <w:tcPr>
            <w:tcW w:w="575" w:type="pct"/>
            <w:gridSpan w:val="2"/>
            <w:shd w:val="clear" w:color="auto" w:fill="auto"/>
            <w:vAlign w:val="center"/>
          </w:tcPr>
          <w:p w14:paraId="48B9B82D" w14:textId="77777777" w:rsidR="00A01891" w:rsidRPr="00D139A1" w:rsidRDefault="00A01891" w:rsidP="00661ABB">
            <w:pPr>
              <w:pStyle w:val="Tabletext"/>
              <w:keepLines/>
              <w:jc w:val="center"/>
              <w:rPr>
                <w:b/>
                <w:bCs/>
                <w:szCs w:val="20"/>
              </w:rPr>
            </w:pPr>
            <w:r w:rsidRPr="00D139A1">
              <w:rPr>
                <w:b/>
                <w:bCs/>
                <w:szCs w:val="20"/>
              </w:rPr>
              <w:t>Year 4</w:t>
            </w:r>
          </w:p>
        </w:tc>
        <w:tc>
          <w:tcPr>
            <w:tcW w:w="577" w:type="pct"/>
            <w:gridSpan w:val="2"/>
            <w:shd w:val="clear" w:color="auto" w:fill="auto"/>
            <w:vAlign w:val="center"/>
          </w:tcPr>
          <w:p w14:paraId="17DB7D3A" w14:textId="77777777" w:rsidR="00A01891" w:rsidRPr="00D139A1" w:rsidRDefault="00A01891" w:rsidP="00661ABB">
            <w:pPr>
              <w:pStyle w:val="Tabletext"/>
              <w:keepLines/>
              <w:jc w:val="center"/>
              <w:rPr>
                <w:b/>
                <w:bCs/>
                <w:szCs w:val="20"/>
              </w:rPr>
            </w:pPr>
            <w:r w:rsidRPr="00D139A1">
              <w:rPr>
                <w:b/>
                <w:bCs/>
                <w:szCs w:val="20"/>
              </w:rPr>
              <w:t>Year 5</w:t>
            </w:r>
          </w:p>
        </w:tc>
        <w:tc>
          <w:tcPr>
            <w:tcW w:w="575" w:type="pct"/>
            <w:gridSpan w:val="2"/>
            <w:shd w:val="clear" w:color="auto" w:fill="auto"/>
            <w:vAlign w:val="center"/>
          </w:tcPr>
          <w:p w14:paraId="5A5FDC9B" w14:textId="77777777" w:rsidR="00A01891" w:rsidRPr="00D139A1" w:rsidRDefault="00A01891" w:rsidP="00661ABB">
            <w:pPr>
              <w:pStyle w:val="Tabletext"/>
              <w:keepLines/>
              <w:jc w:val="center"/>
              <w:rPr>
                <w:b/>
                <w:bCs/>
                <w:szCs w:val="20"/>
              </w:rPr>
            </w:pPr>
            <w:r w:rsidRPr="00D139A1">
              <w:rPr>
                <w:b/>
                <w:bCs/>
                <w:szCs w:val="20"/>
              </w:rPr>
              <w:t>Year 6</w:t>
            </w:r>
          </w:p>
        </w:tc>
        <w:tc>
          <w:tcPr>
            <w:tcW w:w="563" w:type="pct"/>
            <w:vAlign w:val="center"/>
          </w:tcPr>
          <w:p w14:paraId="2A9F0B8A" w14:textId="77777777" w:rsidR="00A01891" w:rsidRPr="00D139A1" w:rsidRDefault="00A01891" w:rsidP="00661ABB">
            <w:pPr>
              <w:pStyle w:val="Tabletext"/>
              <w:keepLines/>
              <w:jc w:val="center"/>
              <w:rPr>
                <w:b/>
                <w:bCs/>
                <w:szCs w:val="20"/>
              </w:rPr>
            </w:pPr>
            <w:r w:rsidRPr="00D139A1">
              <w:rPr>
                <w:b/>
                <w:bCs/>
                <w:szCs w:val="20"/>
              </w:rPr>
              <w:t>Total</w:t>
            </w:r>
          </w:p>
        </w:tc>
      </w:tr>
      <w:tr w:rsidR="00A01891" w:rsidRPr="0075485D" w14:paraId="40078B2A" w14:textId="77777777" w:rsidTr="00E44076">
        <w:trPr>
          <w:tblHeader/>
        </w:trPr>
        <w:tc>
          <w:tcPr>
            <w:tcW w:w="5000" w:type="pct"/>
            <w:gridSpan w:val="14"/>
          </w:tcPr>
          <w:p w14:paraId="03F09818" w14:textId="77777777" w:rsidR="00A01891" w:rsidRPr="00D139A1" w:rsidRDefault="00A01891" w:rsidP="00661ABB">
            <w:pPr>
              <w:pStyle w:val="Tabletext"/>
              <w:keepLines/>
              <w:rPr>
                <w:b/>
                <w:bCs/>
                <w:szCs w:val="20"/>
              </w:rPr>
            </w:pPr>
            <w:r w:rsidRPr="00D139A1">
              <w:rPr>
                <w:b/>
                <w:bCs/>
                <w:szCs w:val="20"/>
              </w:rPr>
              <w:t>Number of patients with mHSPC</w:t>
            </w:r>
          </w:p>
        </w:tc>
      </w:tr>
      <w:tr w:rsidR="00D9013E" w:rsidRPr="0075485D" w14:paraId="68320859" w14:textId="77777777" w:rsidTr="00D9013E">
        <w:tc>
          <w:tcPr>
            <w:tcW w:w="978" w:type="pct"/>
          </w:tcPr>
          <w:p w14:paraId="7C7297CE" w14:textId="77777777" w:rsidR="00A01891" w:rsidRPr="00D139A1" w:rsidRDefault="00A01891" w:rsidP="00661ABB">
            <w:pPr>
              <w:pStyle w:val="Tabletext"/>
              <w:keepLines/>
              <w:rPr>
                <w:szCs w:val="20"/>
              </w:rPr>
            </w:pPr>
            <w:r w:rsidRPr="00D139A1">
              <w:rPr>
                <w:szCs w:val="20"/>
              </w:rPr>
              <w:t>Incident patients</w:t>
            </w:r>
          </w:p>
        </w:tc>
        <w:tc>
          <w:tcPr>
            <w:tcW w:w="582" w:type="pct"/>
            <w:gridSpan w:val="2"/>
            <w:vAlign w:val="center"/>
          </w:tcPr>
          <w:p w14:paraId="5336B9F6" w14:textId="087FDFED" w:rsidR="00A01891" w:rsidRPr="00D139A1" w:rsidRDefault="008D2482" w:rsidP="00661ABB">
            <w:pPr>
              <w:pStyle w:val="Tabletext"/>
              <w:keepLines/>
              <w:jc w:val="center"/>
              <w:rPr>
                <w:rFonts w:cstheme="minorHAnsi"/>
                <w:szCs w:val="20"/>
                <w:highlight w:val="darkGray"/>
              </w:rPr>
            </w:pPr>
            <w:r w:rsidRPr="008D2482">
              <w:rPr>
                <w:rFonts w:cs="Arial"/>
                <w:color w:val="000000"/>
                <w:spacing w:val="169"/>
                <w:szCs w:val="20"/>
                <w:shd w:val="solid" w:color="000000" w:fill="000000"/>
                <w:fitText w:val="255" w:id="-1233498103"/>
                <w14:textFill>
                  <w14:solidFill>
                    <w14:srgbClr w14:val="000000">
                      <w14:alpha w14:val="100000"/>
                    </w14:srgbClr>
                  </w14:solidFill>
                </w14:textFill>
              </w:rPr>
              <w:t>|</w:t>
            </w:r>
            <w:r w:rsidRPr="008D2482">
              <w:rPr>
                <w:rFonts w:cs="Arial"/>
                <w:color w:val="000000"/>
                <w:spacing w:val="1"/>
                <w:szCs w:val="20"/>
                <w:shd w:val="solid" w:color="000000" w:fill="000000"/>
                <w:fitText w:val="255" w:id="-1233498103"/>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00A01891" w:rsidRPr="00D139A1">
              <w:rPr>
                <w:rFonts w:cs="Arial"/>
                <w:szCs w:val="20"/>
                <w:vertAlign w:val="superscript"/>
              </w:rPr>
              <w:t xml:space="preserve"> </w:t>
            </w:r>
          </w:p>
        </w:tc>
        <w:tc>
          <w:tcPr>
            <w:tcW w:w="575" w:type="pct"/>
            <w:gridSpan w:val="2"/>
            <w:vAlign w:val="center"/>
          </w:tcPr>
          <w:p w14:paraId="75890395" w14:textId="43177218" w:rsidR="00A01891" w:rsidRPr="00D139A1" w:rsidRDefault="008D2482" w:rsidP="00661ABB">
            <w:pPr>
              <w:pStyle w:val="Tabletext"/>
              <w:keepLines/>
              <w:jc w:val="center"/>
              <w:rPr>
                <w:rFonts w:cstheme="minorHAnsi"/>
                <w:szCs w:val="20"/>
                <w:highlight w:val="darkGray"/>
              </w:rPr>
            </w:pPr>
            <w:r w:rsidRPr="008D2482">
              <w:rPr>
                <w:rFonts w:cs="Arial"/>
                <w:color w:val="000000"/>
                <w:spacing w:val="191"/>
                <w:szCs w:val="20"/>
                <w:shd w:val="solid" w:color="000000" w:fill="000000"/>
                <w:fitText w:val="277" w:id="-1233498102"/>
                <w14:textFill>
                  <w14:solidFill>
                    <w14:srgbClr w14:val="000000">
                      <w14:alpha w14:val="100000"/>
                    </w14:srgbClr>
                  </w14:solidFill>
                </w14:textFill>
              </w:rPr>
              <w:t>|</w:t>
            </w:r>
            <w:r w:rsidRPr="008D2482">
              <w:rPr>
                <w:rFonts w:cs="Arial"/>
                <w:color w:val="000000"/>
                <w:spacing w:val="1"/>
                <w:szCs w:val="20"/>
                <w:shd w:val="solid" w:color="000000" w:fill="000000"/>
                <w:fitText w:val="277" w:id="-1233498102"/>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p>
        </w:tc>
        <w:tc>
          <w:tcPr>
            <w:tcW w:w="575" w:type="pct"/>
            <w:gridSpan w:val="2"/>
            <w:vAlign w:val="center"/>
          </w:tcPr>
          <w:p w14:paraId="245B5694" w14:textId="792B428B" w:rsidR="00A01891" w:rsidRPr="00D139A1" w:rsidRDefault="008D2482" w:rsidP="00661ABB">
            <w:pPr>
              <w:pStyle w:val="Tabletext"/>
              <w:keepLines/>
              <w:jc w:val="center"/>
              <w:rPr>
                <w:rFonts w:cstheme="minorHAnsi"/>
                <w:szCs w:val="20"/>
                <w:highlight w:val="darkGray"/>
              </w:rPr>
            </w:pPr>
            <w:r w:rsidRPr="008D2482">
              <w:rPr>
                <w:rFonts w:cs="Arial"/>
                <w:color w:val="000000"/>
                <w:spacing w:val="158"/>
                <w:szCs w:val="20"/>
                <w:shd w:val="solid" w:color="000000" w:fill="000000"/>
                <w:fitText w:val="244" w:id="-1233498101"/>
                <w14:textFill>
                  <w14:solidFill>
                    <w14:srgbClr w14:val="000000">
                      <w14:alpha w14:val="100000"/>
                    </w14:srgbClr>
                  </w14:solidFill>
                </w14:textFill>
              </w:rPr>
              <w:t>|</w:t>
            </w:r>
            <w:r w:rsidRPr="008D2482">
              <w:rPr>
                <w:rFonts w:cs="Arial"/>
                <w:color w:val="000000"/>
                <w:spacing w:val="1"/>
                <w:szCs w:val="20"/>
                <w:shd w:val="solid" w:color="000000" w:fill="000000"/>
                <w:fitText w:val="244" w:id="-1233498101"/>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5" w:type="pct"/>
            <w:gridSpan w:val="2"/>
            <w:vAlign w:val="center"/>
          </w:tcPr>
          <w:p w14:paraId="5F153186" w14:textId="280CA4C5" w:rsidR="00A01891" w:rsidRPr="00D139A1" w:rsidRDefault="008D2482" w:rsidP="00661ABB">
            <w:pPr>
              <w:pStyle w:val="Tabletext"/>
              <w:keepLines/>
              <w:jc w:val="center"/>
              <w:rPr>
                <w:rFonts w:cstheme="minorHAnsi"/>
                <w:szCs w:val="20"/>
                <w:highlight w:val="darkGray"/>
              </w:rPr>
            </w:pPr>
            <w:r w:rsidRPr="008D2482">
              <w:rPr>
                <w:rFonts w:cs="Arial"/>
                <w:color w:val="000000"/>
                <w:spacing w:val="157"/>
                <w:szCs w:val="20"/>
                <w:shd w:val="solid" w:color="000000" w:fill="000000"/>
                <w:fitText w:val="243" w:id="-1233498100"/>
                <w14:textFill>
                  <w14:solidFill>
                    <w14:srgbClr w14:val="000000">
                      <w14:alpha w14:val="100000"/>
                    </w14:srgbClr>
                  </w14:solidFill>
                </w14:textFill>
              </w:rPr>
              <w:t>|</w:t>
            </w:r>
            <w:r w:rsidRPr="008D2482">
              <w:rPr>
                <w:rFonts w:cs="Arial"/>
                <w:color w:val="000000"/>
                <w:spacing w:val="1"/>
                <w:szCs w:val="20"/>
                <w:shd w:val="solid" w:color="000000" w:fill="000000"/>
                <w:fitText w:val="243" w:id="-123349810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7" w:type="pct"/>
            <w:gridSpan w:val="2"/>
            <w:vAlign w:val="center"/>
          </w:tcPr>
          <w:p w14:paraId="4B19BFA4" w14:textId="377ACAA2" w:rsidR="00A01891" w:rsidRPr="00D139A1" w:rsidRDefault="008D2482" w:rsidP="00661ABB">
            <w:pPr>
              <w:pStyle w:val="Tabletext"/>
              <w:keepLines/>
              <w:jc w:val="center"/>
              <w:rPr>
                <w:rFonts w:cstheme="minorHAnsi"/>
                <w:szCs w:val="20"/>
                <w:highlight w:val="darkGray"/>
              </w:rPr>
            </w:pPr>
            <w:r w:rsidRPr="008D2482">
              <w:rPr>
                <w:rFonts w:cs="Arial"/>
                <w:color w:val="000000"/>
                <w:spacing w:val="158"/>
                <w:szCs w:val="20"/>
                <w:shd w:val="solid" w:color="000000" w:fill="000000"/>
                <w:fitText w:val="244" w:id="-1233498099"/>
                <w14:textFill>
                  <w14:solidFill>
                    <w14:srgbClr w14:val="000000">
                      <w14:alpha w14:val="100000"/>
                    </w14:srgbClr>
                  </w14:solidFill>
                </w14:textFill>
              </w:rPr>
              <w:t>|</w:t>
            </w:r>
            <w:r w:rsidRPr="008D2482">
              <w:rPr>
                <w:rFonts w:cs="Arial"/>
                <w:color w:val="000000"/>
                <w:spacing w:val="1"/>
                <w:szCs w:val="20"/>
                <w:shd w:val="solid" w:color="000000" w:fill="000000"/>
                <w:fitText w:val="244" w:id="-1233498099"/>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5" w:type="pct"/>
            <w:gridSpan w:val="2"/>
            <w:vAlign w:val="center"/>
          </w:tcPr>
          <w:p w14:paraId="35D9C7E0" w14:textId="3BBEC967" w:rsidR="00A01891" w:rsidRPr="00D139A1" w:rsidRDefault="008D2482" w:rsidP="00661ABB">
            <w:pPr>
              <w:pStyle w:val="Tabletext"/>
              <w:keepLines/>
              <w:jc w:val="center"/>
              <w:rPr>
                <w:rFonts w:cstheme="minorHAnsi"/>
                <w:szCs w:val="20"/>
                <w:highlight w:val="darkGray"/>
              </w:rPr>
            </w:pPr>
            <w:r w:rsidRPr="008D2482">
              <w:rPr>
                <w:rFonts w:cs="Arial"/>
                <w:color w:val="000000"/>
                <w:spacing w:val="180"/>
                <w:szCs w:val="20"/>
                <w:shd w:val="solid" w:color="000000" w:fill="000000"/>
                <w:fitText w:val="266" w:id="-1233498098"/>
                <w14:textFill>
                  <w14:solidFill>
                    <w14:srgbClr w14:val="000000">
                      <w14:alpha w14:val="100000"/>
                    </w14:srgbClr>
                  </w14:solidFill>
                </w14:textFill>
              </w:rPr>
              <w:t>|</w:t>
            </w:r>
            <w:r w:rsidRPr="008D2482">
              <w:rPr>
                <w:rFonts w:cs="Arial"/>
                <w:color w:val="000000"/>
                <w:spacing w:val="1"/>
                <w:szCs w:val="20"/>
                <w:shd w:val="solid" w:color="000000" w:fill="000000"/>
                <w:fitText w:val="266" w:id="-1233498098"/>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p>
        </w:tc>
        <w:tc>
          <w:tcPr>
            <w:tcW w:w="563" w:type="pct"/>
            <w:vAlign w:val="center"/>
          </w:tcPr>
          <w:p w14:paraId="7ED5B948" w14:textId="2A5ABD4E"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097"/>
                <w14:textFill>
                  <w14:solidFill>
                    <w14:srgbClr w14:val="000000">
                      <w14:alpha w14:val="100000"/>
                    </w14:srgbClr>
                  </w14:solidFill>
                </w14:textFill>
              </w:rPr>
              <w:t>|</w:t>
            </w:r>
            <w:r w:rsidRPr="008D2482">
              <w:rPr>
                <w:rFonts w:cs="Arial"/>
                <w:color w:val="000000"/>
                <w:spacing w:val="1"/>
                <w:szCs w:val="20"/>
                <w:shd w:val="solid" w:color="000000" w:fill="000000"/>
                <w:fitText w:val="255" w:id="-1233498097"/>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3</w:t>
            </w:r>
            <w:r w:rsidR="00AA73B7" w:rsidRPr="00AA73B7">
              <w:rPr>
                <w:rFonts w:cs="Arial"/>
                <w:color w:val="000000"/>
                <w:szCs w:val="20"/>
              </w:rPr>
              <w:t xml:space="preserve"> </w:t>
            </w:r>
            <w:r w:rsidR="00AA73B7" w:rsidRPr="00AA73B7">
              <w:rPr>
                <w:rFonts w:cs="Arial"/>
                <w:szCs w:val="20"/>
              </w:rPr>
              <w:t xml:space="preserve"> </w:t>
            </w:r>
          </w:p>
        </w:tc>
      </w:tr>
      <w:tr w:rsidR="00D9013E" w:rsidRPr="0075485D" w14:paraId="7C0F1718" w14:textId="77777777" w:rsidTr="00D9013E">
        <w:tc>
          <w:tcPr>
            <w:tcW w:w="978" w:type="pct"/>
          </w:tcPr>
          <w:p w14:paraId="62772EA6" w14:textId="77777777" w:rsidR="00A01891" w:rsidRPr="00D139A1" w:rsidRDefault="00A01891" w:rsidP="00661ABB">
            <w:pPr>
              <w:pStyle w:val="Tabletext"/>
              <w:keepLines/>
              <w:rPr>
                <w:szCs w:val="20"/>
              </w:rPr>
            </w:pPr>
            <w:r w:rsidRPr="00D139A1">
              <w:rPr>
                <w:szCs w:val="20"/>
              </w:rPr>
              <w:t>Prevalent patients</w:t>
            </w:r>
          </w:p>
        </w:tc>
        <w:tc>
          <w:tcPr>
            <w:tcW w:w="582" w:type="pct"/>
            <w:gridSpan w:val="2"/>
            <w:vAlign w:val="center"/>
          </w:tcPr>
          <w:p w14:paraId="11457ADD" w14:textId="6BB82970"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69"/>
                <w:szCs w:val="20"/>
                <w:shd w:val="solid" w:color="000000" w:fill="000000"/>
                <w:fitText w:val="255" w:id="-1233498096"/>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096"/>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31871A9F" w14:textId="621481B1"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12"/>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12"/>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2715114B" w14:textId="67B0EAED"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8"/>
                <w:szCs w:val="20"/>
                <w:shd w:val="solid" w:color="000000" w:fill="000000"/>
                <w:fitText w:val="244" w:id="-1233498111"/>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11"/>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6E452151" w14:textId="6AFE994F"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10"/>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10"/>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7" w:type="pct"/>
            <w:gridSpan w:val="2"/>
            <w:vAlign w:val="center"/>
          </w:tcPr>
          <w:p w14:paraId="6D1C0DAB" w14:textId="6BCD4972"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8"/>
                <w:szCs w:val="20"/>
                <w:shd w:val="solid" w:color="000000" w:fill="000000"/>
                <w:fitText w:val="244" w:id="-1233498109"/>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9"/>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5" w:type="pct"/>
            <w:gridSpan w:val="2"/>
            <w:vAlign w:val="center"/>
          </w:tcPr>
          <w:p w14:paraId="68455307" w14:textId="0DB6BFB0"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08"/>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08"/>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63" w:type="pct"/>
            <w:vAlign w:val="center"/>
          </w:tcPr>
          <w:p w14:paraId="468F21C3" w14:textId="707EEE0B"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107"/>
                <w14:textFill>
                  <w14:solidFill>
                    <w14:srgbClr w14:val="000000">
                      <w14:alpha w14:val="100000"/>
                    </w14:srgbClr>
                  </w14:solidFill>
                </w14:textFill>
              </w:rPr>
              <w:t>|</w:t>
            </w:r>
            <w:r w:rsidRPr="008D2482">
              <w:rPr>
                <w:color w:val="000000"/>
                <w:spacing w:val="1"/>
                <w:szCs w:val="20"/>
                <w:shd w:val="solid" w:color="000000" w:fill="000000"/>
                <w:fitText w:val="255" w:id="-1233498107"/>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r>
      <w:tr w:rsidR="00D9013E" w:rsidRPr="0075485D" w14:paraId="08D20CA1" w14:textId="77777777" w:rsidTr="00D9013E">
        <w:tc>
          <w:tcPr>
            <w:tcW w:w="978" w:type="pct"/>
          </w:tcPr>
          <w:p w14:paraId="69F5EB14" w14:textId="77777777" w:rsidR="00A01891" w:rsidRPr="00D139A1" w:rsidRDefault="00A01891" w:rsidP="00661ABB">
            <w:pPr>
              <w:pStyle w:val="Tabletext"/>
              <w:keepLines/>
              <w:rPr>
                <w:szCs w:val="20"/>
              </w:rPr>
            </w:pPr>
            <w:r w:rsidRPr="00D139A1">
              <w:rPr>
                <w:szCs w:val="20"/>
              </w:rPr>
              <w:t>Total patients mHSPC</w:t>
            </w:r>
          </w:p>
        </w:tc>
        <w:tc>
          <w:tcPr>
            <w:tcW w:w="582" w:type="pct"/>
            <w:gridSpan w:val="2"/>
            <w:vAlign w:val="center"/>
          </w:tcPr>
          <w:p w14:paraId="1A4845BF" w14:textId="264C41AB"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69"/>
                <w:szCs w:val="20"/>
                <w:shd w:val="solid" w:color="000000" w:fill="000000"/>
                <w:fitText w:val="255" w:id="-1233498106"/>
                <w14:textFill>
                  <w14:solidFill>
                    <w14:srgbClr w14:val="000000">
                      <w14:alpha w14:val="100000"/>
                    </w14:srgbClr>
                  </w14:solidFill>
                </w14:textFill>
              </w:rPr>
              <w:t>|</w:t>
            </w:r>
            <w:r w:rsidRPr="008D2482">
              <w:rPr>
                <w:rFonts w:cs="Arial"/>
                <w:color w:val="000000"/>
                <w:spacing w:val="1"/>
                <w:szCs w:val="20"/>
                <w:shd w:val="solid" w:color="000000" w:fill="000000"/>
                <w:fitText w:val="255" w:id="-1233498106"/>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61A85DF1" w14:textId="3A3F9162"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7"/>
                <w:szCs w:val="20"/>
                <w:shd w:val="solid" w:color="000000" w:fill="000000"/>
                <w:fitText w:val="243" w:id="-1233498105"/>
                <w14:textFill>
                  <w14:solidFill>
                    <w14:srgbClr w14:val="000000">
                      <w14:alpha w14:val="100000"/>
                    </w14:srgbClr>
                  </w14:solidFill>
                </w14:textFill>
              </w:rPr>
              <w:t>|</w:t>
            </w:r>
            <w:r w:rsidRPr="008D2482">
              <w:rPr>
                <w:rFonts w:cs="Arial"/>
                <w:color w:val="000000"/>
                <w:spacing w:val="1"/>
                <w:szCs w:val="20"/>
                <w:shd w:val="solid" w:color="000000" w:fill="000000"/>
                <w:fitText w:val="243" w:id="-1233498105"/>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1328D12D" w14:textId="0E296CB9"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8"/>
                <w:szCs w:val="20"/>
                <w:shd w:val="solid" w:color="000000" w:fill="000000"/>
                <w:fitText w:val="244" w:id="-1233498104"/>
                <w14:textFill>
                  <w14:solidFill>
                    <w14:srgbClr w14:val="000000">
                      <w14:alpha w14:val="100000"/>
                    </w14:srgbClr>
                  </w14:solidFill>
                </w14:textFill>
              </w:rPr>
              <w:t>|</w:t>
            </w:r>
            <w:r w:rsidRPr="008D2482">
              <w:rPr>
                <w:rFonts w:cs="Arial"/>
                <w:color w:val="000000"/>
                <w:spacing w:val="1"/>
                <w:szCs w:val="20"/>
                <w:shd w:val="solid" w:color="000000" w:fill="000000"/>
                <w:fitText w:val="244" w:id="-1233498104"/>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1FED7109" w14:textId="4FFBA52A"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7"/>
                <w:szCs w:val="20"/>
                <w:shd w:val="solid" w:color="000000" w:fill="000000"/>
                <w:fitText w:val="243" w:id="-1233498103"/>
                <w14:textFill>
                  <w14:solidFill>
                    <w14:srgbClr w14:val="000000">
                      <w14:alpha w14:val="100000"/>
                    </w14:srgbClr>
                  </w14:solidFill>
                </w14:textFill>
              </w:rPr>
              <w:t>|</w:t>
            </w:r>
            <w:r w:rsidRPr="008D2482">
              <w:rPr>
                <w:rFonts w:cs="Arial"/>
                <w:color w:val="000000"/>
                <w:spacing w:val="1"/>
                <w:szCs w:val="20"/>
                <w:shd w:val="solid" w:color="000000" w:fill="000000"/>
                <w:fitText w:val="243" w:id="-1233498103"/>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7" w:type="pct"/>
            <w:gridSpan w:val="2"/>
            <w:vAlign w:val="center"/>
          </w:tcPr>
          <w:p w14:paraId="731616E5" w14:textId="78D9FF7A"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8"/>
                <w:szCs w:val="20"/>
                <w:shd w:val="solid" w:color="000000" w:fill="000000"/>
                <w:fitText w:val="244" w:id="-1233498102"/>
                <w14:textFill>
                  <w14:solidFill>
                    <w14:srgbClr w14:val="000000">
                      <w14:alpha w14:val="100000"/>
                    </w14:srgbClr>
                  </w14:solidFill>
                </w14:textFill>
              </w:rPr>
              <w:t>|</w:t>
            </w:r>
            <w:r w:rsidRPr="008D2482">
              <w:rPr>
                <w:rFonts w:cs="Arial"/>
                <w:color w:val="000000"/>
                <w:spacing w:val="1"/>
                <w:szCs w:val="20"/>
                <w:shd w:val="solid" w:color="000000" w:fill="000000"/>
                <w:fitText w:val="244" w:id="-1233498102"/>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31794AF9" w14:textId="2EB2709B"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7"/>
                <w:szCs w:val="20"/>
                <w:shd w:val="solid" w:color="000000" w:fill="000000"/>
                <w:fitText w:val="243" w:id="-1233498101"/>
                <w14:textFill>
                  <w14:solidFill>
                    <w14:srgbClr w14:val="000000">
                      <w14:alpha w14:val="100000"/>
                    </w14:srgbClr>
                  </w14:solidFill>
                </w14:textFill>
              </w:rPr>
              <w:t>|</w:t>
            </w:r>
            <w:r w:rsidRPr="008D2482">
              <w:rPr>
                <w:rFonts w:cs="Arial"/>
                <w:color w:val="000000"/>
                <w:spacing w:val="1"/>
                <w:szCs w:val="20"/>
                <w:shd w:val="solid" w:color="000000" w:fill="000000"/>
                <w:fitText w:val="243" w:id="-1233498101"/>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63" w:type="pct"/>
            <w:vAlign w:val="center"/>
          </w:tcPr>
          <w:p w14:paraId="153E0EFF" w14:textId="440C0B74" w:rsidR="00A01891" w:rsidRPr="00D139A1" w:rsidRDefault="008D2482" w:rsidP="00661ABB">
            <w:pPr>
              <w:pStyle w:val="Tabletext"/>
              <w:keepLines/>
              <w:jc w:val="center"/>
              <w:rPr>
                <w:b/>
                <w:bCs/>
                <w:szCs w:val="20"/>
                <w:highlight w:val="darkGray"/>
              </w:rPr>
            </w:pPr>
            <w:r w:rsidRPr="008D2482">
              <w:rPr>
                <w:b/>
                <w:bCs/>
                <w:color w:val="000000"/>
                <w:spacing w:val="53"/>
                <w:szCs w:val="20"/>
                <w:shd w:val="solid" w:color="000000" w:fill="000000"/>
                <w:fitText w:val="343" w:id="-1233498100"/>
                <w14:textFill>
                  <w14:solidFill>
                    <w14:srgbClr w14:val="000000">
                      <w14:alpha w14:val="100000"/>
                    </w14:srgbClr>
                  </w14:solidFill>
                </w14:textFill>
              </w:rPr>
              <w:t>|||</w:t>
            </w:r>
            <w:r w:rsidRPr="008D2482">
              <w:rPr>
                <w:b/>
                <w:bCs/>
                <w:color w:val="000000"/>
                <w:spacing w:val="1"/>
                <w:szCs w:val="20"/>
                <w:shd w:val="solid" w:color="000000" w:fill="000000"/>
                <w:fitText w:val="343" w:id="-1233498100"/>
                <w14:textFill>
                  <w14:solidFill>
                    <w14:srgbClr w14:val="000000">
                      <w14:alpha w14:val="100000"/>
                    </w14:srgbClr>
                  </w14:solidFill>
                </w14:textFill>
              </w:rPr>
              <w:t>|</w:t>
            </w:r>
            <w:r w:rsidR="00AA73B7" w:rsidRPr="00AA73B7">
              <w:rPr>
                <w:b/>
                <w:bCs/>
                <w:szCs w:val="20"/>
              </w:rPr>
              <w:t xml:space="preserve"> </w:t>
            </w:r>
            <w:r w:rsidR="003A7836">
              <w:rPr>
                <w:rFonts w:cs="Arial"/>
                <w:szCs w:val="20"/>
                <w:vertAlign w:val="superscript"/>
              </w:rPr>
              <w:t>10</w:t>
            </w:r>
          </w:p>
        </w:tc>
      </w:tr>
      <w:tr w:rsidR="00A01891" w:rsidRPr="0075485D" w14:paraId="635E2062" w14:textId="77777777" w:rsidTr="00E44076">
        <w:tc>
          <w:tcPr>
            <w:tcW w:w="5000" w:type="pct"/>
            <w:gridSpan w:val="14"/>
          </w:tcPr>
          <w:p w14:paraId="7D3B349B" w14:textId="77777777" w:rsidR="00A01891" w:rsidRPr="00D139A1" w:rsidRDefault="00A01891" w:rsidP="00661ABB">
            <w:pPr>
              <w:pStyle w:val="Tabletext"/>
              <w:keepLines/>
              <w:rPr>
                <w:b/>
                <w:bCs/>
                <w:szCs w:val="20"/>
              </w:rPr>
            </w:pPr>
            <w:r w:rsidRPr="00D139A1">
              <w:rPr>
                <w:b/>
                <w:bCs/>
                <w:szCs w:val="20"/>
              </w:rPr>
              <w:t>Estimated number of patients eligible for the requested restriction</w:t>
            </w:r>
          </w:p>
        </w:tc>
      </w:tr>
      <w:tr w:rsidR="00D9013E" w:rsidRPr="0075485D" w14:paraId="419014CD" w14:textId="77777777" w:rsidTr="00D9013E">
        <w:tc>
          <w:tcPr>
            <w:tcW w:w="978" w:type="pct"/>
          </w:tcPr>
          <w:p w14:paraId="2D0D3608" w14:textId="77777777" w:rsidR="00A01891" w:rsidRPr="00D139A1" w:rsidRDefault="00A01891" w:rsidP="00661ABB">
            <w:pPr>
              <w:pStyle w:val="Tabletext"/>
              <w:keepLines/>
              <w:rPr>
                <w:szCs w:val="20"/>
              </w:rPr>
            </w:pPr>
            <w:r w:rsidRPr="00D139A1">
              <w:rPr>
                <w:szCs w:val="20"/>
              </w:rPr>
              <w:t>Incident patients</w:t>
            </w:r>
          </w:p>
        </w:tc>
        <w:tc>
          <w:tcPr>
            <w:tcW w:w="582" w:type="pct"/>
            <w:gridSpan w:val="2"/>
            <w:vAlign w:val="center"/>
          </w:tcPr>
          <w:p w14:paraId="6EDE8FFE" w14:textId="12A607C0"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91"/>
                <w:szCs w:val="20"/>
                <w:shd w:val="solid" w:color="000000" w:fill="000000"/>
                <w:fitText w:val="277" w:id="-1233498099"/>
                <w14:textFill>
                  <w14:solidFill>
                    <w14:srgbClr w14:val="000000">
                      <w14:alpha w14:val="100000"/>
                    </w14:srgbClr>
                  </w14:solidFill>
                </w14:textFill>
              </w:rPr>
              <w:t>|</w:t>
            </w:r>
            <w:r w:rsidRPr="008D2482">
              <w:rPr>
                <w:rFonts w:cs="Arial"/>
                <w:color w:val="000000"/>
                <w:spacing w:val="1"/>
                <w:szCs w:val="20"/>
                <w:shd w:val="solid" w:color="000000" w:fill="000000"/>
                <w:fitText w:val="277" w:id="-1233498099"/>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6B47013A" w14:textId="11CA7CD7"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7"/>
                <w:szCs w:val="20"/>
                <w:shd w:val="solid" w:color="000000" w:fill="000000"/>
                <w:fitText w:val="243" w:id="-1233498098"/>
                <w14:textFill>
                  <w14:solidFill>
                    <w14:srgbClr w14:val="000000">
                      <w14:alpha w14:val="100000"/>
                    </w14:srgbClr>
                  </w14:solidFill>
                </w14:textFill>
              </w:rPr>
              <w:t>|</w:t>
            </w:r>
            <w:r w:rsidRPr="008D2482">
              <w:rPr>
                <w:rFonts w:cs="Arial"/>
                <w:color w:val="000000"/>
                <w:spacing w:val="1"/>
                <w:szCs w:val="20"/>
                <w:shd w:val="solid" w:color="000000" w:fill="000000"/>
                <w:fitText w:val="243" w:id="-1233498098"/>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 xml:space="preserve">1 </w:t>
            </w:r>
            <w:r w:rsidR="00AA73B7" w:rsidRPr="00AA73B7">
              <w:rPr>
                <w:rFonts w:cs="Arial"/>
                <w:color w:val="000000"/>
                <w:szCs w:val="20"/>
              </w:rPr>
              <w:t xml:space="preserve"> </w:t>
            </w:r>
          </w:p>
        </w:tc>
        <w:tc>
          <w:tcPr>
            <w:tcW w:w="575" w:type="pct"/>
            <w:gridSpan w:val="2"/>
            <w:vAlign w:val="center"/>
          </w:tcPr>
          <w:p w14:paraId="1E06F4F3" w14:textId="7171C3FB"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91"/>
                <w:szCs w:val="20"/>
                <w:shd w:val="solid" w:color="000000" w:fill="000000"/>
                <w:fitText w:val="277" w:id="-1233498097"/>
                <w14:textFill>
                  <w14:solidFill>
                    <w14:srgbClr w14:val="000000">
                      <w14:alpha w14:val="100000"/>
                    </w14:srgbClr>
                  </w14:solidFill>
                </w14:textFill>
              </w:rPr>
              <w:t>|</w:t>
            </w:r>
            <w:r w:rsidRPr="008D2482">
              <w:rPr>
                <w:rFonts w:cs="Arial"/>
                <w:color w:val="000000"/>
                <w:spacing w:val="1"/>
                <w:szCs w:val="20"/>
                <w:shd w:val="solid" w:color="000000" w:fill="000000"/>
                <w:fitText w:val="277" w:id="-1233498097"/>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vAlign w:val="center"/>
          </w:tcPr>
          <w:p w14:paraId="0BEFD0E4" w14:textId="40FC2F2C"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7"/>
                <w:szCs w:val="20"/>
                <w:shd w:val="solid" w:color="000000" w:fill="000000"/>
                <w:fitText w:val="243" w:id="-1233498096"/>
                <w14:textFill>
                  <w14:solidFill>
                    <w14:srgbClr w14:val="000000">
                      <w14:alpha w14:val="100000"/>
                    </w14:srgbClr>
                  </w14:solidFill>
                </w14:textFill>
              </w:rPr>
              <w:t>|</w:t>
            </w:r>
            <w:r w:rsidRPr="008D2482">
              <w:rPr>
                <w:rFonts w:cs="Arial"/>
                <w:color w:val="000000"/>
                <w:spacing w:val="1"/>
                <w:szCs w:val="20"/>
                <w:shd w:val="solid" w:color="000000" w:fill="000000"/>
                <w:fitText w:val="243" w:id="-1233498096"/>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 xml:space="preserve">1 </w:t>
            </w:r>
            <w:r w:rsidR="00AA73B7" w:rsidRPr="00AA73B7">
              <w:rPr>
                <w:rFonts w:cs="Arial"/>
                <w:color w:val="000000"/>
                <w:szCs w:val="20"/>
              </w:rPr>
              <w:t xml:space="preserve"> </w:t>
            </w:r>
          </w:p>
        </w:tc>
        <w:tc>
          <w:tcPr>
            <w:tcW w:w="577" w:type="pct"/>
            <w:gridSpan w:val="2"/>
            <w:vAlign w:val="center"/>
          </w:tcPr>
          <w:p w14:paraId="0A2D80AA" w14:textId="08AFDDF7"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58"/>
                <w:szCs w:val="20"/>
                <w:shd w:val="solid" w:color="000000" w:fill="000000"/>
                <w:fitText w:val="244" w:id="-1233498112"/>
                <w14:textFill>
                  <w14:solidFill>
                    <w14:srgbClr w14:val="000000">
                      <w14:alpha w14:val="100000"/>
                    </w14:srgbClr>
                  </w14:solidFill>
                </w14:textFill>
              </w:rPr>
              <w:t>|</w:t>
            </w:r>
            <w:r w:rsidRPr="008D2482">
              <w:rPr>
                <w:rFonts w:cs="Arial"/>
                <w:color w:val="000000"/>
                <w:spacing w:val="1"/>
                <w:szCs w:val="20"/>
                <w:shd w:val="solid" w:color="000000" w:fill="000000"/>
                <w:fitText w:val="244" w:id="-1233498112"/>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 xml:space="preserve">1 </w:t>
            </w:r>
            <w:r w:rsidR="00AA73B7" w:rsidRPr="00AA73B7">
              <w:rPr>
                <w:rFonts w:cs="Arial"/>
                <w:color w:val="000000"/>
                <w:szCs w:val="20"/>
              </w:rPr>
              <w:t xml:space="preserve"> </w:t>
            </w:r>
          </w:p>
        </w:tc>
        <w:tc>
          <w:tcPr>
            <w:tcW w:w="575" w:type="pct"/>
            <w:gridSpan w:val="2"/>
            <w:vAlign w:val="center"/>
          </w:tcPr>
          <w:p w14:paraId="0EADB854" w14:textId="2D2888B6" w:rsidR="00A01891" w:rsidRPr="00D139A1" w:rsidRDefault="008D2482" w:rsidP="00661ABB">
            <w:pPr>
              <w:pStyle w:val="Tabletext"/>
              <w:keepLines/>
              <w:jc w:val="center"/>
              <w:rPr>
                <w:rFonts w:cstheme="minorHAnsi"/>
                <w:color w:val="000000"/>
                <w:szCs w:val="20"/>
                <w:highlight w:val="darkGray"/>
              </w:rPr>
            </w:pPr>
            <w:r w:rsidRPr="008D2482">
              <w:rPr>
                <w:rFonts w:cs="Arial"/>
                <w:color w:val="000000"/>
                <w:spacing w:val="180"/>
                <w:szCs w:val="20"/>
                <w:shd w:val="solid" w:color="000000" w:fill="000000"/>
                <w:fitText w:val="266" w:id="-1233498111"/>
                <w14:textFill>
                  <w14:solidFill>
                    <w14:srgbClr w14:val="000000">
                      <w14:alpha w14:val="100000"/>
                    </w14:srgbClr>
                  </w14:solidFill>
                </w14:textFill>
              </w:rPr>
              <w:t>|</w:t>
            </w:r>
            <w:r w:rsidRPr="008D2482">
              <w:rPr>
                <w:rFonts w:cs="Arial"/>
                <w:color w:val="000000"/>
                <w:spacing w:val="1"/>
                <w:szCs w:val="20"/>
                <w:shd w:val="solid" w:color="000000" w:fill="000000"/>
                <w:fitText w:val="266" w:id="-1233498111"/>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63" w:type="pct"/>
            <w:vAlign w:val="center"/>
          </w:tcPr>
          <w:p w14:paraId="39851554" w14:textId="2FFF24D7"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10"/>
                <w14:textFill>
                  <w14:solidFill>
                    <w14:srgbClr w14:val="000000">
                      <w14:alpha w14:val="100000"/>
                    </w14:srgbClr>
                  </w14:solidFill>
                </w14:textFill>
              </w:rPr>
              <w:t>|</w:t>
            </w:r>
            <w:r w:rsidRPr="008D2482">
              <w:rPr>
                <w:rFonts w:cs="Arial"/>
                <w:color w:val="000000"/>
                <w:spacing w:val="1"/>
                <w:szCs w:val="20"/>
                <w:shd w:val="solid" w:color="000000" w:fill="000000"/>
                <w:fitText w:val="255" w:id="-1233498110"/>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3</w:t>
            </w:r>
          </w:p>
        </w:tc>
      </w:tr>
      <w:tr w:rsidR="00D9013E" w:rsidRPr="0075485D" w14:paraId="336C940E" w14:textId="77777777" w:rsidTr="00D9013E">
        <w:tc>
          <w:tcPr>
            <w:tcW w:w="978" w:type="pct"/>
          </w:tcPr>
          <w:p w14:paraId="4F7ADBC8" w14:textId="77777777" w:rsidR="00A01891" w:rsidRPr="00D139A1" w:rsidRDefault="00A01891" w:rsidP="00661ABB">
            <w:pPr>
              <w:pStyle w:val="Tabletext"/>
              <w:keepLines/>
              <w:rPr>
                <w:szCs w:val="20"/>
              </w:rPr>
            </w:pPr>
            <w:r w:rsidRPr="00D139A1">
              <w:rPr>
                <w:szCs w:val="20"/>
              </w:rPr>
              <w:t>Prevalent patients</w:t>
            </w:r>
          </w:p>
        </w:tc>
        <w:tc>
          <w:tcPr>
            <w:tcW w:w="582" w:type="pct"/>
            <w:gridSpan w:val="2"/>
            <w:vAlign w:val="center"/>
          </w:tcPr>
          <w:p w14:paraId="374E634B" w14:textId="737208DF"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69"/>
                <w:szCs w:val="20"/>
                <w:shd w:val="solid" w:color="000000" w:fill="000000"/>
                <w:fitText w:val="255" w:id="-1233498109"/>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109"/>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554413B4" w14:textId="4D9DCB7C"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08"/>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08"/>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2FB4C9F7" w14:textId="4D3EDDEF"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8"/>
                <w:szCs w:val="20"/>
                <w:shd w:val="solid" w:color="000000" w:fill="000000"/>
                <w:fitText w:val="244" w:id="-1233498107"/>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7"/>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45B4DFF2" w14:textId="0BD36676"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06"/>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06"/>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7" w:type="pct"/>
            <w:gridSpan w:val="2"/>
            <w:vAlign w:val="center"/>
          </w:tcPr>
          <w:p w14:paraId="4700313D" w14:textId="46606E3A"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8"/>
                <w:szCs w:val="20"/>
                <w:shd w:val="solid" w:color="000000" w:fill="000000"/>
                <w:fitText w:val="244" w:id="-1233498105"/>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5"/>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5" w:type="pct"/>
            <w:gridSpan w:val="2"/>
            <w:vAlign w:val="center"/>
          </w:tcPr>
          <w:p w14:paraId="6D6DC155" w14:textId="750D81AA" w:rsidR="00A01891" w:rsidRPr="00D139A1" w:rsidRDefault="008D2482" w:rsidP="00661ABB">
            <w:pPr>
              <w:pStyle w:val="Tabletext"/>
              <w:keepLines/>
              <w:jc w:val="center"/>
              <w:rPr>
                <w:rFonts w:cstheme="minorHAnsi"/>
                <w:color w:val="000000"/>
                <w:szCs w:val="20"/>
                <w:highlight w:val="darkGray"/>
              </w:rPr>
            </w:pPr>
            <w:r w:rsidRPr="008D2482">
              <w:rPr>
                <w:rFonts w:cstheme="minorHAnsi"/>
                <w:color w:val="000000"/>
                <w:spacing w:val="157"/>
                <w:szCs w:val="20"/>
                <w:shd w:val="solid" w:color="000000" w:fill="000000"/>
                <w:fitText w:val="243" w:id="-1233498104"/>
                <w14:textFill>
                  <w14:solidFill>
                    <w14:srgbClr w14:val="000000">
                      <w14:alpha w14:val="100000"/>
                    </w14:srgbClr>
                  </w14:solidFill>
                </w14:textFill>
              </w:rPr>
              <w:t>|</w:t>
            </w:r>
            <w:r w:rsidRPr="008D2482">
              <w:rPr>
                <w:rFonts w:cstheme="minorHAnsi"/>
                <w:color w:val="000000"/>
                <w:spacing w:val="1"/>
                <w:szCs w:val="20"/>
                <w:shd w:val="solid" w:color="000000" w:fill="000000"/>
                <w:fitText w:val="243" w:id="-1233498104"/>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63" w:type="pct"/>
            <w:vAlign w:val="center"/>
          </w:tcPr>
          <w:p w14:paraId="269EC15B" w14:textId="4933F695"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103"/>
                <w14:textFill>
                  <w14:solidFill>
                    <w14:srgbClr w14:val="000000">
                      <w14:alpha w14:val="100000"/>
                    </w14:srgbClr>
                  </w14:solidFill>
                </w14:textFill>
              </w:rPr>
              <w:t>|</w:t>
            </w:r>
            <w:r w:rsidRPr="008D2482">
              <w:rPr>
                <w:color w:val="000000"/>
                <w:spacing w:val="1"/>
                <w:szCs w:val="20"/>
                <w:shd w:val="solid" w:color="000000" w:fill="000000"/>
                <w:fitText w:val="255" w:id="-1233498103"/>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r>
      <w:tr w:rsidR="00D9013E" w:rsidRPr="0075485D" w14:paraId="17EFBCFA" w14:textId="77777777" w:rsidTr="00D9013E">
        <w:tc>
          <w:tcPr>
            <w:tcW w:w="978" w:type="pct"/>
          </w:tcPr>
          <w:p w14:paraId="6778A850" w14:textId="77777777" w:rsidR="00A01891" w:rsidRPr="00D139A1" w:rsidRDefault="00A01891" w:rsidP="00661ABB">
            <w:pPr>
              <w:pStyle w:val="Tabletext"/>
              <w:keepLines/>
              <w:rPr>
                <w:szCs w:val="20"/>
              </w:rPr>
            </w:pPr>
            <w:r w:rsidRPr="00D139A1">
              <w:rPr>
                <w:szCs w:val="20"/>
              </w:rPr>
              <w:t>Total eligible</w:t>
            </w:r>
          </w:p>
        </w:tc>
        <w:tc>
          <w:tcPr>
            <w:tcW w:w="582" w:type="pct"/>
            <w:gridSpan w:val="2"/>
            <w:vAlign w:val="center"/>
          </w:tcPr>
          <w:p w14:paraId="1ADDECFE" w14:textId="2061FAFB" w:rsidR="00A01891" w:rsidRPr="00D139A1" w:rsidRDefault="008D2482" w:rsidP="00661ABB">
            <w:pPr>
              <w:pStyle w:val="Tabletext"/>
              <w:keepLines/>
              <w:jc w:val="center"/>
              <w:rPr>
                <w:rFonts w:cstheme="minorHAnsi"/>
                <w:szCs w:val="20"/>
                <w:highlight w:val="darkGray"/>
              </w:rPr>
            </w:pPr>
            <w:r w:rsidRPr="008D2482">
              <w:rPr>
                <w:rFonts w:cs="Arial"/>
                <w:color w:val="000000"/>
                <w:spacing w:val="191"/>
                <w:szCs w:val="20"/>
                <w:shd w:val="solid" w:color="000000" w:fill="000000"/>
                <w:fitText w:val="277" w:id="-1233498102"/>
                <w14:textFill>
                  <w14:solidFill>
                    <w14:srgbClr w14:val="000000">
                      <w14:alpha w14:val="100000"/>
                    </w14:srgbClr>
                  </w14:solidFill>
                </w14:textFill>
              </w:rPr>
              <w:t>|</w:t>
            </w:r>
            <w:r w:rsidRPr="008D2482">
              <w:rPr>
                <w:rFonts w:cs="Arial"/>
                <w:color w:val="000000"/>
                <w:spacing w:val="1"/>
                <w:szCs w:val="20"/>
                <w:shd w:val="solid" w:color="000000" w:fill="000000"/>
                <w:fitText w:val="277" w:id="-1233498102"/>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p>
        </w:tc>
        <w:tc>
          <w:tcPr>
            <w:tcW w:w="575" w:type="pct"/>
            <w:gridSpan w:val="2"/>
            <w:vAlign w:val="center"/>
          </w:tcPr>
          <w:p w14:paraId="4ED97D47" w14:textId="2161DB15" w:rsidR="00A01891" w:rsidRPr="00D139A1" w:rsidRDefault="008D2482" w:rsidP="00661ABB">
            <w:pPr>
              <w:pStyle w:val="Tabletext"/>
              <w:keepLines/>
              <w:jc w:val="center"/>
              <w:rPr>
                <w:rFonts w:cstheme="minorHAnsi"/>
                <w:szCs w:val="20"/>
                <w:highlight w:val="darkGray"/>
              </w:rPr>
            </w:pPr>
            <w:r w:rsidRPr="008D2482">
              <w:rPr>
                <w:rFonts w:cs="Arial"/>
                <w:color w:val="000000"/>
                <w:spacing w:val="157"/>
                <w:szCs w:val="20"/>
                <w:shd w:val="solid" w:color="000000" w:fill="000000"/>
                <w:fitText w:val="243" w:id="-1233498101"/>
                <w14:textFill>
                  <w14:solidFill>
                    <w14:srgbClr w14:val="000000">
                      <w14:alpha w14:val="100000"/>
                    </w14:srgbClr>
                  </w14:solidFill>
                </w14:textFill>
              </w:rPr>
              <w:t>|</w:t>
            </w:r>
            <w:r w:rsidRPr="008D2482">
              <w:rPr>
                <w:rFonts w:cs="Arial"/>
                <w:color w:val="000000"/>
                <w:spacing w:val="1"/>
                <w:szCs w:val="20"/>
                <w:shd w:val="solid" w:color="000000" w:fill="000000"/>
                <w:fitText w:val="243" w:id="-1233498101"/>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5" w:type="pct"/>
            <w:gridSpan w:val="2"/>
            <w:vAlign w:val="center"/>
          </w:tcPr>
          <w:p w14:paraId="08A7DEB1" w14:textId="3BB9E43F" w:rsidR="00A01891" w:rsidRPr="00D139A1" w:rsidRDefault="008D2482" w:rsidP="00661ABB">
            <w:pPr>
              <w:pStyle w:val="Tabletext"/>
              <w:keepLines/>
              <w:jc w:val="center"/>
              <w:rPr>
                <w:rFonts w:cstheme="minorHAnsi"/>
                <w:szCs w:val="20"/>
                <w:highlight w:val="darkGray"/>
              </w:rPr>
            </w:pPr>
            <w:r w:rsidRPr="008D2482">
              <w:rPr>
                <w:rFonts w:cs="Arial"/>
                <w:color w:val="000000"/>
                <w:spacing w:val="158"/>
                <w:szCs w:val="20"/>
                <w:shd w:val="solid" w:color="000000" w:fill="000000"/>
                <w:fitText w:val="244" w:id="-1233498100"/>
                <w14:textFill>
                  <w14:solidFill>
                    <w14:srgbClr w14:val="000000">
                      <w14:alpha w14:val="100000"/>
                    </w14:srgbClr>
                  </w14:solidFill>
                </w14:textFill>
              </w:rPr>
              <w:t>|</w:t>
            </w:r>
            <w:r w:rsidRPr="008D2482">
              <w:rPr>
                <w:rFonts w:cs="Arial"/>
                <w:color w:val="000000"/>
                <w:spacing w:val="1"/>
                <w:szCs w:val="20"/>
                <w:shd w:val="solid" w:color="000000" w:fill="000000"/>
                <w:fitText w:val="244" w:id="-123349810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5" w:type="pct"/>
            <w:gridSpan w:val="2"/>
            <w:vAlign w:val="center"/>
          </w:tcPr>
          <w:p w14:paraId="2B16F43C" w14:textId="475EFA87" w:rsidR="00A01891" w:rsidRPr="00D139A1" w:rsidRDefault="008D2482" w:rsidP="00661ABB">
            <w:pPr>
              <w:pStyle w:val="Tabletext"/>
              <w:keepLines/>
              <w:jc w:val="center"/>
              <w:rPr>
                <w:rFonts w:cstheme="minorHAnsi"/>
                <w:szCs w:val="20"/>
                <w:highlight w:val="darkGray"/>
              </w:rPr>
            </w:pPr>
            <w:r w:rsidRPr="008D2482">
              <w:rPr>
                <w:rFonts w:cs="Arial"/>
                <w:color w:val="000000"/>
                <w:spacing w:val="157"/>
                <w:szCs w:val="20"/>
                <w:shd w:val="solid" w:color="000000" w:fill="000000"/>
                <w:fitText w:val="243" w:id="-1233498099"/>
                <w14:textFill>
                  <w14:solidFill>
                    <w14:srgbClr w14:val="000000">
                      <w14:alpha w14:val="100000"/>
                    </w14:srgbClr>
                  </w14:solidFill>
                </w14:textFill>
              </w:rPr>
              <w:t>|</w:t>
            </w:r>
            <w:r w:rsidRPr="008D2482">
              <w:rPr>
                <w:rFonts w:cs="Arial"/>
                <w:color w:val="000000"/>
                <w:spacing w:val="1"/>
                <w:szCs w:val="20"/>
                <w:shd w:val="solid" w:color="000000" w:fill="000000"/>
                <w:fitText w:val="243" w:id="-1233498099"/>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7" w:type="pct"/>
            <w:gridSpan w:val="2"/>
            <w:vAlign w:val="center"/>
          </w:tcPr>
          <w:p w14:paraId="2AA463A9" w14:textId="4ACE9FE1" w:rsidR="00A01891" w:rsidRPr="00D139A1" w:rsidRDefault="008D2482" w:rsidP="00661ABB">
            <w:pPr>
              <w:pStyle w:val="Tabletext"/>
              <w:keepLines/>
              <w:jc w:val="center"/>
              <w:rPr>
                <w:rFonts w:cstheme="minorHAnsi"/>
                <w:szCs w:val="20"/>
                <w:highlight w:val="darkGray"/>
              </w:rPr>
            </w:pPr>
            <w:r w:rsidRPr="008D2482">
              <w:rPr>
                <w:rFonts w:cs="Arial"/>
                <w:color w:val="000000"/>
                <w:spacing w:val="158"/>
                <w:szCs w:val="20"/>
                <w:shd w:val="solid" w:color="000000" w:fill="000000"/>
                <w:fitText w:val="244" w:id="-1233498098"/>
                <w14:textFill>
                  <w14:solidFill>
                    <w14:srgbClr w14:val="000000">
                      <w14:alpha w14:val="100000"/>
                    </w14:srgbClr>
                  </w14:solidFill>
                </w14:textFill>
              </w:rPr>
              <w:t>|</w:t>
            </w:r>
            <w:r w:rsidRPr="008D2482">
              <w:rPr>
                <w:rFonts w:cs="Arial"/>
                <w:color w:val="000000"/>
                <w:spacing w:val="1"/>
                <w:szCs w:val="20"/>
                <w:shd w:val="solid" w:color="000000" w:fill="000000"/>
                <w:fitText w:val="244" w:id="-1233498098"/>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 xml:space="preserve">1 </w:t>
            </w:r>
            <w:r w:rsidR="00AA73B7" w:rsidRPr="00AA73B7">
              <w:rPr>
                <w:rFonts w:cs="Arial"/>
                <w:szCs w:val="20"/>
              </w:rPr>
              <w:t xml:space="preserve"> </w:t>
            </w:r>
          </w:p>
        </w:tc>
        <w:tc>
          <w:tcPr>
            <w:tcW w:w="575" w:type="pct"/>
            <w:gridSpan w:val="2"/>
            <w:vAlign w:val="center"/>
          </w:tcPr>
          <w:p w14:paraId="7F901744" w14:textId="4BB8ED5F" w:rsidR="00A01891" w:rsidRPr="00D139A1" w:rsidRDefault="008D2482" w:rsidP="00661ABB">
            <w:pPr>
              <w:pStyle w:val="Tabletext"/>
              <w:keepLines/>
              <w:jc w:val="center"/>
              <w:rPr>
                <w:rFonts w:cstheme="minorHAnsi"/>
                <w:szCs w:val="20"/>
                <w:highlight w:val="darkGray"/>
              </w:rPr>
            </w:pPr>
            <w:r w:rsidRPr="008D2482">
              <w:rPr>
                <w:rFonts w:cs="Arial"/>
                <w:color w:val="000000"/>
                <w:spacing w:val="180"/>
                <w:szCs w:val="20"/>
                <w:shd w:val="solid" w:color="000000" w:fill="000000"/>
                <w:fitText w:val="266" w:id="-1233498097"/>
                <w14:textFill>
                  <w14:solidFill>
                    <w14:srgbClr w14:val="000000">
                      <w14:alpha w14:val="100000"/>
                    </w14:srgbClr>
                  </w14:solidFill>
                </w14:textFill>
              </w:rPr>
              <w:t>|</w:t>
            </w:r>
            <w:r w:rsidRPr="008D2482">
              <w:rPr>
                <w:rFonts w:cs="Arial"/>
                <w:color w:val="000000"/>
                <w:spacing w:val="1"/>
                <w:szCs w:val="20"/>
                <w:shd w:val="solid" w:color="000000" w:fill="000000"/>
                <w:fitText w:val="266" w:id="-1233498097"/>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p>
        </w:tc>
        <w:tc>
          <w:tcPr>
            <w:tcW w:w="563" w:type="pct"/>
            <w:vAlign w:val="center"/>
          </w:tcPr>
          <w:p w14:paraId="55D999D7" w14:textId="395580DB" w:rsidR="00A01891" w:rsidRPr="00D139A1" w:rsidRDefault="008D2482" w:rsidP="00661ABB">
            <w:pPr>
              <w:pStyle w:val="Tabletext"/>
              <w:keepLines/>
              <w:jc w:val="center"/>
              <w:rPr>
                <w:b/>
                <w:bCs/>
                <w:szCs w:val="20"/>
                <w:highlight w:val="darkGray"/>
              </w:rPr>
            </w:pPr>
            <w:r w:rsidRPr="008D2482">
              <w:rPr>
                <w:b/>
                <w:bCs/>
                <w:color w:val="000000"/>
                <w:spacing w:val="45"/>
                <w:szCs w:val="20"/>
                <w:shd w:val="solid" w:color="000000" w:fill="000000"/>
                <w:fitText w:val="321" w:id="-1233498096"/>
                <w14:textFill>
                  <w14:solidFill>
                    <w14:srgbClr w14:val="000000">
                      <w14:alpha w14:val="100000"/>
                    </w14:srgbClr>
                  </w14:solidFill>
                </w14:textFill>
              </w:rPr>
              <w:t>|||</w:t>
            </w:r>
            <w:r w:rsidRPr="008D2482">
              <w:rPr>
                <w:b/>
                <w:bCs/>
                <w:color w:val="000000"/>
                <w:spacing w:val="3"/>
                <w:szCs w:val="20"/>
                <w:shd w:val="solid" w:color="000000" w:fill="000000"/>
                <w:fitText w:val="321" w:id="-1233498096"/>
                <w14:textFill>
                  <w14:solidFill>
                    <w14:srgbClr w14:val="000000">
                      <w14:alpha w14:val="100000"/>
                    </w14:srgbClr>
                  </w14:solidFill>
                </w14:textFill>
              </w:rPr>
              <w:t>|</w:t>
            </w:r>
            <w:r w:rsidR="00AA73B7" w:rsidRPr="00AA73B7">
              <w:rPr>
                <w:b/>
                <w:bCs/>
                <w:szCs w:val="20"/>
              </w:rPr>
              <w:t xml:space="preserve"> </w:t>
            </w:r>
            <w:r w:rsidR="00185B80" w:rsidRPr="00D139A1">
              <w:rPr>
                <w:rFonts w:cs="Arial"/>
                <w:szCs w:val="20"/>
                <w:vertAlign w:val="superscript"/>
              </w:rPr>
              <w:t>3</w:t>
            </w:r>
          </w:p>
        </w:tc>
      </w:tr>
      <w:tr w:rsidR="00A01891" w:rsidRPr="0075485D" w14:paraId="7CAAE6BC" w14:textId="77777777" w:rsidTr="00E44076">
        <w:tc>
          <w:tcPr>
            <w:tcW w:w="5000" w:type="pct"/>
            <w:gridSpan w:val="14"/>
          </w:tcPr>
          <w:p w14:paraId="63317D90" w14:textId="77777777" w:rsidR="00A01891" w:rsidRPr="00D139A1" w:rsidRDefault="00A01891" w:rsidP="00661ABB">
            <w:pPr>
              <w:pStyle w:val="Tabletext"/>
              <w:keepLines/>
              <w:rPr>
                <w:b/>
                <w:bCs/>
                <w:szCs w:val="20"/>
              </w:rPr>
            </w:pPr>
            <w:r w:rsidRPr="00D139A1">
              <w:rPr>
                <w:b/>
                <w:bCs/>
                <w:szCs w:val="20"/>
              </w:rPr>
              <w:t>Estimated number of patients treated</w:t>
            </w:r>
          </w:p>
        </w:tc>
      </w:tr>
      <w:tr w:rsidR="00D9013E" w:rsidRPr="0075485D" w14:paraId="00EB0774" w14:textId="77777777" w:rsidTr="00D9013E">
        <w:tc>
          <w:tcPr>
            <w:tcW w:w="978" w:type="pct"/>
          </w:tcPr>
          <w:p w14:paraId="4362A9F1" w14:textId="77777777" w:rsidR="00A01891" w:rsidRPr="00D139A1" w:rsidRDefault="00A01891" w:rsidP="00661ABB">
            <w:pPr>
              <w:pStyle w:val="Tabletext"/>
              <w:keepLines/>
              <w:rPr>
                <w:szCs w:val="20"/>
              </w:rPr>
            </w:pPr>
            <w:r w:rsidRPr="00D139A1">
              <w:rPr>
                <w:szCs w:val="20"/>
              </w:rPr>
              <w:t>Incident patients</w:t>
            </w:r>
          </w:p>
        </w:tc>
        <w:tc>
          <w:tcPr>
            <w:tcW w:w="574" w:type="pct"/>
            <w:vAlign w:val="center"/>
          </w:tcPr>
          <w:p w14:paraId="3B1E4EE7" w14:textId="572A7EB1" w:rsidR="00A01891" w:rsidRPr="00D139A1" w:rsidRDefault="008D2482" w:rsidP="00661ABB">
            <w:pPr>
              <w:pStyle w:val="Tabletext"/>
              <w:keepLines/>
              <w:jc w:val="center"/>
              <w:rPr>
                <w:szCs w:val="20"/>
                <w:highlight w:val="darkGray"/>
              </w:rPr>
            </w:pPr>
            <w:r w:rsidRPr="008D2482">
              <w:rPr>
                <w:rFonts w:cstheme="minorHAnsi"/>
                <w:color w:val="000000"/>
                <w:spacing w:val="169"/>
                <w:szCs w:val="20"/>
                <w:shd w:val="solid" w:color="000000" w:fill="000000"/>
                <w:fitText w:val="255" w:id="-1233498112"/>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112"/>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14C5D148" w14:textId="335EFFDC"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11"/>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11"/>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03FA7713" w14:textId="4328EBB7"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10"/>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10"/>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4" w:type="pct"/>
            <w:gridSpan w:val="2"/>
            <w:vAlign w:val="center"/>
          </w:tcPr>
          <w:p w14:paraId="3AB6C50E" w14:textId="2400B457" w:rsidR="00A01891" w:rsidRPr="00D139A1" w:rsidRDefault="008D2482" w:rsidP="00661ABB">
            <w:pPr>
              <w:pStyle w:val="Tabletext"/>
              <w:keepLines/>
              <w:jc w:val="center"/>
              <w:rPr>
                <w:szCs w:val="20"/>
                <w:highlight w:val="darkGray"/>
              </w:rPr>
            </w:pPr>
            <w:r w:rsidRPr="008D2482">
              <w:rPr>
                <w:rFonts w:cstheme="minorHAnsi"/>
                <w:color w:val="000000"/>
                <w:spacing w:val="169"/>
                <w:szCs w:val="20"/>
                <w:shd w:val="solid" w:color="000000" w:fill="000000"/>
                <w:fitText w:val="255" w:id="-1233498109"/>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109"/>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10B289EC" w14:textId="100497A7"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8"/>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8"/>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2C61E26D" w14:textId="59E52E90"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7"/>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7"/>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4" w:type="pct"/>
            <w:gridSpan w:val="2"/>
            <w:vAlign w:val="center"/>
          </w:tcPr>
          <w:p w14:paraId="42383236" w14:textId="609BB41A" w:rsidR="00A01891" w:rsidRPr="00D139A1" w:rsidRDefault="008D2482" w:rsidP="00661ABB">
            <w:pPr>
              <w:pStyle w:val="Tabletext"/>
              <w:keepLines/>
              <w:jc w:val="center"/>
              <w:rPr>
                <w:szCs w:val="20"/>
                <w:highlight w:val="darkGray"/>
              </w:rPr>
            </w:pPr>
            <w:r w:rsidRPr="008D2482">
              <w:rPr>
                <w:color w:val="000000"/>
                <w:spacing w:val="191"/>
                <w:szCs w:val="20"/>
                <w:shd w:val="solid" w:color="000000" w:fill="000000"/>
                <w:fitText w:val="277" w:id="-1233498106"/>
                <w14:textFill>
                  <w14:solidFill>
                    <w14:srgbClr w14:val="000000">
                      <w14:alpha w14:val="100000"/>
                    </w14:srgbClr>
                  </w14:solidFill>
                </w14:textFill>
              </w:rPr>
              <w:t>|</w:t>
            </w:r>
            <w:r w:rsidRPr="008D2482">
              <w:rPr>
                <w:color w:val="000000"/>
                <w:spacing w:val="1"/>
                <w:szCs w:val="20"/>
                <w:shd w:val="solid" w:color="000000" w:fill="000000"/>
                <w:fitText w:val="277" w:id="-1233498106"/>
                <w14:textFill>
                  <w14:solidFill>
                    <w14:srgbClr w14:val="000000">
                      <w14:alpha w14:val="100000"/>
                    </w14:srgbClr>
                  </w14:solidFill>
                </w14:textFill>
              </w:rPr>
              <w:t>|</w:t>
            </w:r>
            <w:r w:rsidR="00AA73B7" w:rsidRPr="00AA73B7">
              <w:rPr>
                <w:szCs w:val="20"/>
              </w:rPr>
              <w:t xml:space="preserve"> </w:t>
            </w:r>
            <w:r w:rsidR="00D139A1" w:rsidRPr="00D139A1">
              <w:rPr>
                <w:rFonts w:cs="Arial"/>
                <w:szCs w:val="20"/>
                <w:vertAlign w:val="superscript"/>
              </w:rPr>
              <w:t>14</w:t>
            </w:r>
          </w:p>
        </w:tc>
      </w:tr>
      <w:tr w:rsidR="00D9013E" w:rsidRPr="0075485D" w14:paraId="3527C981" w14:textId="77777777" w:rsidTr="00D9013E">
        <w:tc>
          <w:tcPr>
            <w:tcW w:w="978" w:type="pct"/>
          </w:tcPr>
          <w:p w14:paraId="5389ABB4" w14:textId="77777777" w:rsidR="00A01891" w:rsidRPr="00D139A1" w:rsidRDefault="00A01891" w:rsidP="00661ABB">
            <w:pPr>
              <w:pStyle w:val="Tabletext"/>
              <w:keepLines/>
              <w:rPr>
                <w:szCs w:val="20"/>
              </w:rPr>
            </w:pPr>
            <w:r w:rsidRPr="00D139A1">
              <w:rPr>
                <w:szCs w:val="20"/>
              </w:rPr>
              <w:t>Prevalent patients</w:t>
            </w:r>
          </w:p>
        </w:tc>
        <w:tc>
          <w:tcPr>
            <w:tcW w:w="574" w:type="pct"/>
            <w:vAlign w:val="center"/>
          </w:tcPr>
          <w:p w14:paraId="638D0BEE" w14:textId="29761794" w:rsidR="00A01891" w:rsidRPr="00D139A1" w:rsidRDefault="008D2482" w:rsidP="00661ABB">
            <w:pPr>
              <w:pStyle w:val="Tabletext"/>
              <w:keepLines/>
              <w:jc w:val="center"/>
              <w:rPr>
                <w:szCs w:val="20"/>
                <w:highlight w:val="darkGray"/>
              </w:rPr>
            </w:pPr>
            <w:r w:rsidRPr="008D2482">
              <w:rPr>
                <w:rFonts w:cstheme="minorHAnsi"/>
                <w:color w:val="000000"/>
                <w:spacing w:val="169"/>
                <w:szCs w:val="20"/>
                <w:shd w:val="solid" w:color="000000" w:fill="000000"/>
                <w:fitText w:val="255" w:id="-1233498105"/>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105"/>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350F9236" w14:textId="37E2A4A4"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4"/>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4"/>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1</w:t>
            </w:r>
          </w:p>
        </w:tc>
        <w:tc>
          <w:tcPr>
            <w:tcW w:w="575" w:type="pct"/>
            <w:gridSpan w:val="2"/>
            <w:vAlign w:val="center"/>
          </w:tcPr>
          <w:p w14:paraId="3168F8E9" w14:textId="5EC987E6"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3"/>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3"/>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4" w:type="pct"/>
            <w:gridSpan w:val="2"/>
            <w:vAlign w:val="center"/>
          </w:tcPr>
          <w:p w14:paraId="2321CD93" w14:textId="5A770DEB" w:rsidR="00A01891" w:rsidRPr="00D139A1" w:rsidRDefault="008D2482" w:rsidP="00661ABB">
            <w:pPr>
              <w:pStyle w:val="Tabletext"/>
              <w:keepLines/>
              <w:jc w:val="center"/>
              <w:rPr>
                <w:szCs w:val="20"/>
                <w:highlight w:val="darkGray"/>
              </w:rPr>
            </w:pPr>
            <w:r w:rsidRPr="008D2482">
              <w:rPr>
                <w:rFonts w:cstheme="minorHAnsi"/>
                <w:color w:val="000000"/>
                <w:spacing w:val="169"/>
                <w:szCs w:val="20"/>
                <w:shd w:val="solid" w:color="000000" w:fill="000000"/>
                <w:fitText w:val="255" w:id="-1233498102"/>
                <w14:textFill>
                  <w14:solidFill>
                    <w14:srgbClr w14:val="000000">
                      <w14:alpha w14:val="100000"/>
                    </w14:srgbClr>
                  </w14:solidFill>
                </w14:textFill>
              </w:rPr>
              <w:t>|</w:t>
            </w:r>
            <w:r w:rsidRPr="008D2482">
              <w:rPr>
                <w:rFonts w:cstheme="minorHAnsi"/>
                <w:color w:val="000000"/>
                <w:spacing w:val="1"/>
                <w:szCs w:val="20"/>
                <w:shd w:val="solid" w:color="000000" w:fill="000000"/>
                <w:fitText w:val="255" w:id="-1233498102"/>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5" w:type="pct"/>
            <w:gridSpan w:val="2"/>
            <w:vAlign w:val="center"/>
          </w:tcPr>
          <w:p w14:paraId="62D84C74" w14:textId="2D407624"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1"/>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1"/>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5" w:type="pct"/>
            <w:gridSpan w:val="2"/>
            <w:vAlign w:val="center"/>
          </w:tcPr>
          <w:p w14:paraId="1EF9E5FE" w14:textId="78A76F0E" w:rsidR="00A01891" w:rsidRPr="00D139A1" w:rsidRDefault="008D2482" w:rsidP="00661ABB">
            <w:pPr>
              <w:pStyle w:val="Tabletext"/>
              <w:keepLines/>
              <w:jc w:val="center"/>
              <w:rPr>
                <w:szCs w:val="20"/>
                <w:highlight w:val="darkGray"/>
              </w:rPr>
            </w:pPr>
            <w:r w:rsidRPr="008D2482">
              <w:rPr>
                <w:rFonts w:cstheme="minorHAnsi"/>
                <w:color w:val="000000"/>
                <w:spacing w:val="158"/>
                <w:szCs w:val="20"/>
                <w:shd w:val="solid" w:color="000000" w:fill="000000"/>
                <w:fitText w:val="244" w:id="-1233498100"/>
                <w14:textFill>
                  <w14:solidFill>
                    <w14:srgbClr w14:val="000000">
                      <w14:alpha w14:val="100000"/>
                    </w14:srgbClr>
                  </w14:solidFill>
                </w14:textFill>
              </w:rPr>
              <w:t>|</w:t>
            </w:r>
            <w:r w:rsidRPr="008D2482">
              <w:rPr>
                <w:rFonts w:cstheme="minorHAnsi"/>
                <w:color w:val="000000"/>
                <w:spacing w:val="1"/>
                <w:szCs w:val="20"/>
                <w:shd w:val="solid" w:color="000000" w:fill="000000"/>
                <w:fitText w:val="244" w:id="-1233498100"/>
                <w14:textFill>
                  <w14:solidFill>
                    <w14:srgbClr w14:val="000000">
                      <w14:alpha w14:val="100000"/>
                    </w14:srgbClr>
                  </w14:solidFill>
                </w14:textFill>
              </w:rPr>
              <w:t>|</w:t>
            </w:r>
            <w:r w:rsidR="00AA73B7" w:rsidRPr="00AA73B7">
              <w:rPr>
                <w:rFonts w:cstheme="minorHAnsi"/>
                <w:color w:val="000000"/>
                <w:szCs w:val="20"/>
              </w:rPr>
              <w:t xml:space="preserve"> </w:t>
            </w:r>
            <w:r w:rsidR="00893089" w:rsidRPr="00D139A1">
              <w:rPr>
                <w:rFonts w:cs="Arial"/>
                <w:szCs w:val="20"/>
                <w:vertAlign w:val="superscript"/>
              </w:rPr>
              <w:t>2</w:t>
            </w:r>
          </w:p>
        </w:tc>
        <w:tc>
          <w:tcPr>
            <w:tcW w:w="574" w:type="pct"/>
            <w:gridSpan w:val="2"/>
            <w:vAlign w:val="center"/>
          </w:tcPr>
          <w:p w14:paraId="73F911AB" w14:textId="28C94ABA"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099"/>
                <w14:textFill>
                  <w14:solidFill>
                    <w14:srgbClr w14:val="000000">
                      <w14:alpha w14:val="100000"/>
                    </w14:srgbClr>
                  </w14:solidFill>
                </w14:textFill>
              </w:rPr>
              <w:t>|</w:t>
            </w:r>
            <w:r w:rsidRPr="008D2482">
              <w:rPr>
                <w:color w:val="000000"/>
                <w:spacing w:val="1"/>
                <w:szCs w:val="20"/>
                <w:shd w:val="solid" w:color="000000" w:fill="000000"/>
                <w:fitText w:val="255" w:id="-1233498099"/>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r>
      <w:tr w:rsidR="00D9013E" w:rsidRPr="0075485D" w14:paraId="0308AA9F" w14:textId="77777777" w:rsidTr="00D9013E">
        <w:tc>
          <w:tcPr>
            <w:tcW w:w="978" w:type="pct"/>
          </w:tcPr>
          <w:p w14:paraId="526A216B" w14:textId="77777777" w:rsidR="00D9013E" w:rsidRPr="00D139A1" w:rsidRDefault="00D9013E" w:rsidP="00661ABB">
            <w:pPr>
              <w:pStyle w:val="Tabletext"/>
              <w:keepLines/>
              <w:rPr>
                <w:szCs w:val="20"/>
              </w:rPr>
            </w:pPr>
            <w:r w:rsidRPr="00D139A1">
              <w:rPr>
                <w:szCs w:val="20"/>
              </w:rPr>
              <w:t>Grandfathered</w:t>
            </w:r>
          </w:p>
        </w:tc>
        <w:tc>
          <w:tcPr>
            <w:tcW w:w="574" w:type="pct"/>
            <w:vAlign w:val="center"/>
          </w:tcPr>
          <w:p w14:paraId="4C90F19E" w14:textId="35573D7F" w:rsidR="00D9013E"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098"/>
                <w14:textFill>
                  <w14:solidFill>
                    <w14:srgbClr w14:val="000000">
                      <w14:alpha w14:val="100000"/>
                    </w14:srgbClr>
                  </w14:solidFill>
                </w14:textFill>
              </w:rPr>
              <w:t>|</w:t>
            </w:r>
            <w:r w:rsidRPr="008D2482">
              <w:rPr>
                <w:color w:val="000000"/>
                <w:spacing w:val="1"/>
                <w:szCs w:val="20"/>
                <w:shd w:val="solid" w:color="000000" w:fill="000000"/>
                <w:fitText w:val="255" w:id="-1233498098"/>
                <w14:textFill>
                  <w14:solidFill>
                    <w14:srgbClr w14:val="000000">
                      <w14:alpha w14:val="100000"/>
                    </w14:srgbClr>
                  </w14:solidFill>
                </w14:textFill>
              </w:rPr>
              <w:t>|</w:t>
            </w:r>
            <w:r w:rsidR="00AA73B7" w:rsidRPr="00AA73B7">
              <w:rPr>
                <w:szCs w:val="20"/>
              </w:rPr>
              <w:t xml:space="preserve"> </w:t>
            </w:r>
            <w:r w:rsidR="00D9013E" w:rsidRPr="00D139A1">
              <w:rPr>
                <w:rFonts w:cs="Arial"/>
                <w:szCs w:val="20"/>
                <w:vertAlign w:val="superscript"/>
              </w:rPr>
              <w:t>2</w:t>
            </w:r>
          </w:p>
        </w:tc>
        <w:tc>
          <w:tcPr>
            <w:tcW w:w="2874" w:type="pct"/>
            <w:gridSpan w:val="10"/>
            <w:vAlign w:val="center"/>
          </w:tcPr>
          <w:p w14:paraId="6F921BE1" w14:textId="77B3045C" w:rsidR="00D9013E" w:rsidRPr="00D139A1" w:rsidRDefault="00D9013E" w:rsidP="00661ABB">
            <w:pPr>
              <w:pStyle w:val="Tabletext"/>
              <w:keepLines/>
              <w:jc w:val="center"/>
              <w:rPr>
                <w:szCs w:val="20"/>
                <w:highlight w:val="darkGray"/>
              </w:rPr>
            </w:pPr>
          </w:p>
        </w:tc>
        <w:tc>
          <w:tcPr>
            <w:tcW w:w="574" w:type="pct"/>
            <w:gridSpan w:val="2"/>
            <w:vAlign w:val="center"/>
          </w:tcPr>
          <w:p w14:paraId="53446CA4" w14:textId="4CF84988" w:rsidR="00D9013E" w:rsidRPr="00D139A1" w:rsidRDefault="008D2482" w:rsidP="00661ABB">
            <w:pPr>
              <w:pStyle w:val="Tabletext"/>
              <w:keepLines/>
              <w:jc w:val="center"/>
              <w:rPr>
                <w:b/>
                <w:bCs/>
                <w:szCs w:val="20"/>
                <w:highlight w:val="darkGray"/>
              </w:rPr>
            </w:pPr>
            <w:r w:rsidRPr="008D2482">
              <w:rPr>
                <w:b/>
                <w:bCs/>
                <w:color w:val="000000"/>
                <w:spacing w:val="42"/>
                <w:szCs w:val="20"/>
                <w:shd w:val="solid" w:color="000000" w:fill="000000"/>
                <w:fitText w:val="310" w:id="-1233498097"/>
                <w14:textFill>
                  <w14:solidFill>
                    <w14:srgbClr w14:val="000000">
                      <w14:alpha w14:val="100000"/>
                    </w14:srgbClr>
                  </w14:solidFill>
                </w14:textFill>
              </w:rPr>
              <w:t>|||</w:t>
            </w:r>
            <w:r w:rsidRPr="008D2482">
              <w:rPr>
                <w:b/>
                <w:bCs/>
                <w:color w:val="000000"/>
                <w:spacing w:val="1"/>
                <w:szCs w:val="20"/>
                <w:shd w:val="solid" w:color="000000" w:fill="000000"/>
                <w:fitText w:val="310" w:id="-1233498097"/>
                <w14:textFill>
                  <w14:solidFill>
                    <w14:srgbClr w14:val="000000">
                      <w14:alpha w14:val="100000"/>
                    </w14:srgbClr>
                  </w14:solidFill>
                </w14:textFill>
              </w:rPr>
              <w:t>|</w:t>
            </w:r>
            <w:r w:rsidR="00AA73B7" w:rsidRPr="00AA73B7">
              <w:rPr>
                <w:b/>
                <w:bCs/>
                <w:szCs w:val="20"/>
              </w:rPr>
              <w:t xml:space="preserve"> </w:t>
            </w:r>
            <w:r w:rsidR="00D9013E" w:rsidRPr="00D139A1">
              <w:rPr>
                <w:rFonts w:cs="Arial"/>
                <w:szCs w:val="20"/>
                <w:vertAlign w:val="superscript"/>
              </w:rPr>
              <w:t>2</w:t>
            </w:r>
          </w:p>
        </w:tc>
      </w:tr>
      <w:tr w:rsidR="00D9013E" w:rsidRPr="0075485D" w14:paraId="1F67B043" w14:textId="77777777" w:rsidTr="00D9013E">
        <w:tc>
          <w:tcPr>
            <w:tcW w:w="978" w:type="pct"/>
          </w:tcPr>
          <w:p w14:paraId="7E863D78" w14:textId="77777777" w:rsidR="00A01891" w:rsidRPr="00D139A1" w:rsidRDefault="00A01891" w:rsidP="00661ABB">
            <w:pPr>
              <w:pStyle w:val="Tabletext"/>
              <w:keepLines/>
              <w:rPr>
                <w:szCs w:val="20"/>
              </w:rPr>
            </w:pPr>
            <w:r w:rsidRPr="00D139A1">
              <w:rPr>
                <w:szCs w:val="20"/>
              </w:rPr>
              <w:t>Total patients initiated on treatment</w:t>
            </w:r>
          </w:p>
        </w:tc>
        <w:tc>
          <w:tcPr>
            <w:tcW w:w="574" w:type="pct"/>
            <w:vAlign w:val="center"/>
          </w:tcPr>
          <w:p w14:paraId="7EF12F23" w14:textId="245E125B"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096"/>
                <w14:textFill>
                  <w14:solidFill>
                    <w14:srgbClr w14:val="000000">
                      <w14:alpha w14:val="100000"/>
                    </w14:srgbClr>
                  </w14:solidFill>
                </w14:textFill>
              </w:rPr>
              <w:t>|</w:t>
            </w:r>
            <w:r w:rsidRPr="008D2482">
              <w:rPr>
                <w:color w:val="000000"/>
                <w:spacing w:val="1"/>
                <w:szCs w:val="20"/>
                <w:shd w:val="solid" w:color="000000" w:fill="000000"/>
                <w:fitText w:val="255" w:id="-1233498096"/>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05AA3CF1" w14:textId="295886A9"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12"/>
                <w14:textFill>
                  <w14:solidFill>
                    <w14:srgbClr w14:val="000000">
                      <w14:alpha w14:val="100000"/>
                    </w14:srgbClr>
                  </w14:solidFill>
                </w14:textFill>
              </w:rPr>
              <w:t>|</w:t>
            </w:r>
            <w:r w:rsidRPr="008D2482">
              <w:rPr>
                <w:color w:val="000000"/>
                <w:spacing w:val="1"/>
                <w:szCs w:val="20"/>
                <w:shd w:val="solid" w:color="000000" w:fill="000000"/>
                <w:fitText w:val="244" w:id="-1233498112"/>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6EF09A54" w14:textId="5663453C"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11"/>
                <w14:textFill>
                  <w14:solidFill>
                    <w14:srgbClr w14:val="000000">
                      <w14:alpha w14:val="100000"/>
                    </w14:srgbClr>
                  </w14:solidFill>
                </w14:textFill>
              </w:rPr>
              <w:t>|</w:t>
            </w:r>
            <w:r w:rsidRPr="008D2482">
              <w:rPr>
                <w:color w:val="000000"/>
                <w:spacing w:val="1"/>
                <w:szCs w:val="20"/>
                <w:shd w:val="solid" w:color="000000" w:fill="000000"/>
                <w:fitText w:val="244" w:id="-1233498111"/>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4" w:type="pct"/>
            <w:gridSpan w:val="2"/>
            <w:vAlign w:val="center"/>
          </w:tcPr>
          <w:p w14:paraId="1F5D6BDF" w14:textId="1D4D9591"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110"/>
                <w14:textFill>
                  <w14:solidFill>
                    <w14:srgbClr w14:val="000000">
                      <w14:alpha w14:val="100000"/>
                    </w14:srgbClr>
                  </w14:solidFill>
                </w14:textFill>
              </w:rPr>
              <w:t>|</w:t>
            </w:r>
            <w:r w:rsidRPr="008D2482">
              <w:rPr>
                <w:color w:val="000000"/>
                <w:spacing w:val="1"/>
                <w:szCs w:val="20"/>
                <w:shd w:val="solid" w:color="000000" w:fill="000000"/>
                <w:fitText w:val="255" w:id="-1233498110"/>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5E001E74" w14:textId="2FEC8532"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09"/>
                <w14:textFill>
                  <w14:solidFill>
                    <w14:srgbClr w14:val="000000">
                      <w14:alpha w14:val="100000"/>
                    </w14:srgbClr>
                  </w14:solidFill>
                </w14:textFill>
              </w:rPr>
              <w:t>|</w:t>
            </w:r>
            <w:r w:rsidRPr="008D2482">
              <w:rPr>
                <w:color w:val="000000"/>
                <w:spacing w:val="1"/>
                <w:szCs w:val="20"/>
                <w:shd w:val="solid" w:color="000000" w:fill="000000"/>
                <w:fitText w:val="244" w:id="-1233498109"/>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459D3D2E" w14:textId="412715BE"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08"/>
                <w14:textFill>
                  <w14:solidFill>
                    <w14:srgbClr w14:val="000000">
                      <w14:alpha w14:val="100000"/>
                    </w14:srgbClr>
                  </w14:solidFill>
                </w14:textFill>
              </w:rPr>
              <w:t>|</w:t>
            </w:r>
            <w:r w:rsidRPr="008D2482">
              <w:rPr>
                <w:color w:val="000000"/>
                <w:spacing w:val="1"/>
                <w:szCs w:val="20"/>
                <w:shd w:val="solid" w:color="000000" w:fill="000000"/>
                <w:fitText w:val="244" w:id="-1233498108"/>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4" w:type="pct"/>
            <w:gridSpan w:val="2"/>
            <w:vAlign w:val="center"/>
          </w:tcPr>
          <w:p w14:paraId="3C40DCE9" w14:textId="78D61BE2" w:rsidR="00A01891" w:rsidRPr="00D139A1" w:rsidRDefault="008D2482" w:rsidP="00661ABB">
            <w:pPr>
              <w:pStyle w:val="Tabletext"/>
              <w:keepLines/>
              <w:jc w:val="center"/>
              <w:rPr>
                <w:b/>
                <w:bCs/>
                <w:szCs w:val="20"/>
                <w:highlight w:val="darkGray"/>
              </w:rPr>
            </w:pPr>
            <w:r w:rsidRPr="008D2482">
              <w:rPr>
                <w:b/>
                <w:bCs/>
                <w:color w:val="000000"/>
                <w:spacing w:val="49"/>
                <w:szCs w:val="20"/>
                <w:shd w:val="solid" w:color="000000" w:fill="000000"/>
                <w:fitText w:val="332" w:id="-1233498107"/>
                <w14:textFill>
                  <w14:solidFill>
                    <w14:srgbClr w14:val="000000">
                      <w14:alpha w14:val="100000"/>
                    </w14:srgbClr>
                  </w14:solidFill>
                </w14:textFill>
              </w:rPr>
              <w:t>|||</w:t>
            </w:r>
            <w:r w:rsidRPr="008D2482">
              <w:rPr>
                <w:b/>
                <w:bCs/>
                <w:color w:val="000000"/>
                <w:spacing w:val="2"/>
                <w:szCs w:val="20"/>
                <w:shd w:val="solid" w:color="000000" w:fill="000000"/>
                <w:fitText w:val="332" w:id="-1233498107"/>
                <w14:textFill>
                  <w14:solidFill>
                    <w14:srgbClr w14:val="000000">
                      <w14:alpha w14:val="100000"/>
                    </w14:srgbClr>
                  </w14:solidFill>
                </w14:textFill>
              </w:rPr>
              <w:t>|</w:t>
            </w:r>
            <w:r w:rsidR="00AA73B7" w:rsidRPr="00AA73B7">
              <w:rPr>
                <w:b/>
                <w:bCs/>
                <w:szCs w:val="20"/>
              </w:rPr>
              <w:t xml:space="preserve"> </w:t>
            </w:r>
            <w:r w:rsidR="00D139A1" w:rsidRPr="00D139A1">
              <w:rPr>
                <w:rFonts w:cs="Arial"/>
                <w:szCs w:val="20"/>
                <w:vertAlign w:val="superscript"/>
              </w:rPr>
              <w:t>14</w:t>
            </w:r>
          </w:p>
        </w:tc>
      </w:tr>
      <w:tr w:rsidR="00D9013E" w:rsidRPr="0075485D" w14:paraId="3749BBCC" w14:textId="77777777" w:rsidTr="00D9013E">
        <w:tc>
          <w:tcPr>
            <w:tcW w:w="978" w:type="pct"/>
          </w:tcPr>
          <w:p w14:paraId="67E1B71B" w14:textId="77777777" w:rsidR="00A01891" w:rsidRPr="00D139A1" w:rsidRDefault="00A01891" w:rsidP="00661ABB">
            <w:pPr>
              <w:pStyle w:val="Tabletext"/>
              <w:keepLines/>
              <w:rPr>
                <w:szCs w:val="20"/>
              </w:rPr>
            </w:pPr>
            <w:r w:rsidRPr="00D139A1">
              <w:rPr>
                <w:szCs w:val="20"/>
              </w:rPr>
              <w:t>Total patients treated each year</w:t>
            </w:r>
            <w:r w:rsidRPr="00D139A1">
              <w:rPr>
                <w:szCs w:val="20"/>
                <w:vertAlign w:val="superscript"/>
              </w:rPr>
              <w:t>a</w:t>
            </w:r>
          </w:p>
        </w:tc>
        <w:tc>
          <w:tcPr>
            <w:tcW w:w="574" w:type="pct"/>
            <w:vAlign w:val="center"/>
          </w:tcPr>
          <w:p w14:paraId="593A6C8F" w14:textId="781BD403"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106"/>
                <w14:textFill>
                  <w14:solidFill>
                    <w14:srgbClr w14:val="000000">
                      <w14:alpha w14:val="100000"/>
                    </w14:srgbClr>
                  </w14:solidFill>
                </w14:textFill>
              </w:rPr>
              <w:t>|</w:t>
            </w:r>
            <w:r w:rsidRPr="008D2482">
              <w:rPr>
                <w:color w:val="000000"/>
                <w:spacing w:val="1"/>
                <w:szCs w:val="20"/>
                <w:shd w:val="solid" w:color="000000" w:fill="000000"/>
                <w:fitText w:val="255" w:id="-1233498106"/>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31639D6A" w14:textId="55623F05"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05"/>
                <w14:textFill>
                  <w14:solidFill>
                    <w14:srgbClr w14:val="000000">
                      <w14:alpha w14:val="100000"/>
                    </w14:srgbClr>
                  </w14:solidFill>
                </w14:textFill>
              </w:rPr>
              <w:t>|</w:t>
            </w:r>
            <w:r w:rsidRPr="008D2482">
              <w:rPr>
                <w:color w:val="000000"/>
                <w:spacing w:val="1"/>
                <w:szCs w:val="20"/>
                <w:shd w:val="solid" w:color="000000" w:fill="000000"/>
                <w:fitText w:val="244" w:id="-1233498105"/>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559AC1D3" w14:textId="419DD12C"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04"/>
                <w14:textFill>
                  <w14:solidFill>
                    <w14:srgbClr w14:val="000000">
                      <w14:alpha w14:val="100000"/>
                    </w14:srgbClr>
                  </w14:solidFill>
                </w14:textFill>
              </w:rPr>
              <w:t>|</w:t>
            </w:r>
            <w:r w:rsidRPr="008D2482">
              <w:rPr>
                <w:color w:val="000000"/>
                <w:spacing w:val="1"/>
                <w:szCs w:val="20"/>
                <w:shd w:val="solid" w:color="000000" w:fill="000000"/>
                <w:fitText w:val="244" w:id="-1233498104"/>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4" w:type="pct"/>
            <w:gridSpan w:val="2"/>
            <w:vAlign w:val="center"/>
          </w:tcPr>
          <w:p w14:paraId="2D0A9F15" w14:textId="3525581B" w:rsidR="00A01891"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8103"/>
                <w14:textFill>
                  <w14:solidFill>
                    <w14:srgbClr w14:val="000000">
                      <w14:alpha w14:val="100000"/>
                    </w14:srgbClr>
                  </w14:solidFill>
                </w14:textFill>
              </w:rPr>
              <w:t>|</w:t>
            </w:r>
            <w:r w:rsidRPr="008D2482">
              <w:rPr>
                <w:color w:val="000000"/>
                <w:spacing w:val="1"/>
                <w:szCs w:val="20"/>
                <w:shd w:val="solid" w:color="000000" w:fill="000000"/>
                <w:fitText w:val="255" w:id="-1233498103"/>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0B85C3E5" w14:textId="1316B4ED" w:rsidR="00A01891" w:rsidRPr="00D139A1" w:rsidRDefault="008D2482" w:rsidP="00661ABB">
            <w:pPr>
              <w:pStyle w:val="Tabletext"/>
              <w:keepLines/>
              <w:jc w:val="center"/>
              <w:rPr>
                <w:szCs w:val="20"/>
                <w:highlight w:val="darkGray"/>
              </w:rPr>
            </w:pPr>
            <w:r w:rsidRPr="008D2482">
              <w:rPr>
                <w:color w:val="000000"/>
                <w:spacing w:val="158"/>
                <w:szCs w:val="20"/>
                <w:shd w:val="solid" w:color="000000" w:fill="000000"/>
                <w:fitText w:val="244" w:id="-1233498102"/>
                <w14:textFill>
                  <w14:solidFill>
                    <w14:srgbClr w14:val="000000">
                      <w14:alpha w14:val="100000"/>
                    </w14:srgbClr>
                  </w14:solidFill>
                </w14:textFill>
              </w:rPr>
              <w:t>|</w:t>
            </w:r>
            <w:r w:rsidRPr="008D2482">
              <w:rPr>
                <w:color w:val="000000"/>
                <w:spacing w:val="1"/>
                <w:szCs w:val="20"/>
                <w:shd w:val="solid" w:color="000000" w:fill="000000"/>
                <w:fitText w:val="244" w:id="-1233498102"/>
                <w14:textFill>
                  <w14:solidFill>
                    <w14:srgbClr w14:val="000000">
                      <w14:alpha w14:val="100000"/>
                    </w14:srgbClr>
                  </w14:solidFill>
                </w14:textFill>
              </w:rPr>
              <w:t>|</w:t>
            </w:r>
            <w:r w:rsidR="00AA73B7" w:rsidRPr="00AA73B7">
              <w:rPr>
                <w:szCs w:val="20"/>
              </w:rPr>
              <w:t xml:space="preserve"> </w:t>
            </w:r>
            <w:r w:rsidR="00893089" w:rsidRPr="00D139A1">
              <w:rPr>
                <w:rFonts w:cs="Arial"/>
                <w:szCs w:val="20"/>
                <w:vertAlign w:val="superscript"/>
              </w:rPr>
              <w:t>1</w:t>
            </w:r>
          </w:p>
        </w:tc>
        <w:tc>
          <w:tcPr>
            <w:tcW w:w="575" w:type="pct"/>
            <w:gridSpan w:val="2"/>
            <w:vAlign w:val="center"/>
          </w:tcPr>
          <w:p w14:paraId="25B8E4CF" w14:textId="3F6188A9" w:rsidR="00A01891" w:rsidRPr="00D139A1" w:rsidRDefault="008D2482" w:rsidP="00661ABB">
            <w:pPr>
              <w:pStyle w:val="Tabletext"/>
              <w:keepLines/>
              <w:jc w:val="center"/>
              <w:rPr>
                <w:szCs w:val="20"/>
                <w:highlight w:val="darkGray"/>
              </w:rPr>
            </w:pPr>
            <w:r w:rsidRPr="008D2482">
              <w:rPr>
                <w:color w:val="000000"/>
                <w:spacing w:val="191"/>
                <w:szCs w:val="20"/>
                <w:shd w:val="solid" w:color="000000" w:fill="000000"/>
                <w:fitText w:val="277" w:id="-1233498101"/>
                <w14:textFill>
                  <w14:solidFill>
                    <w14:srgbClr w14:val="000000">
                      <w14:alpha w14:val="100000"/>
                    </w14:srgbClr>
                  </w14:solidFill>
                </w14:textFill>
              </w:rPr>
              <w:t>|</w:t>
            </w:r>
            <w:r w:rsidRPr="008D2482">
              <w:rPr>
                <w:color w:val="000000"/>
                <w:spacing w:val="1"/>
                <w:szCs w:val="20"/>
                <w:shd w:val="solid" w:color="000000" w:fill="000000"/>
                <w:fitText w:val="277" w:id="-1233498101"/>
                <w14:textFill>
                  <w14:solidFill>
                    <w14:srgbClr w14:val="000000">
                      <w14:alpha w14:val="100000"/>
                    </w14:srgbClr>
                  </w14:solidFill>
                </w14:textFill>
              </w:rPr>
              <w:t>|</w:t>
            </w:r>
            <w:r w:rsidR="00AA73B7" w:rsidRPr="00AA73B7">
              <w:rPr>
                <w:szCs w:val="20"/>
              </w:rPr>
              <w:t xml:space="preserve"> </w:t>
            </w:r>
            <w:r w:rsidR="00D139A1" w:rsidRPr="00D139A1">
              <w:rPr>
                <w:rFonts w:cs="Arial"/>
                <w:szCs w:val="20"/>
                <w:vertAlign w:val="superscript"/>
              </w:rPr>
              <w:t>14</w:t>
            </w:r>
          </w:p>
        </w:tc>
        <w:tc>
          <w:tcPr>
            <w:tcW w:w="574" w:type="pct"/>
            <w:gridSpan w:val="2"/>
            <w:vAlign w:val="center"/>
          </w:tcPr>
          <w:p w14:paraId="412EB104" w14:textId="40CE621E" w:rsidR="00A01891" w:rsidRPr="00D139A1" w:rsidRDefault="008D2482" w:rsidP="00661ABB">
            <w:pPr>
              <w:pStyle w:val="Tabletext"/>
              <w:keepLines/>
              <w:jc w:val="center"/>
              <w:rPr>
                <w:b/>
                <w:bCs/>
                <w:szCs w:val="20"/>
                <w:highlight w:val="darkGray"/>
              </w:rPr>
            </w:pPr>
            <w:r w:rsidRPr="008D2482">
              <w:rPr>
                <w:b/>
                <w:bCs/>
                <w:color w:val="000000"/>
                <w:spacing w:val="49"/>
                <w:szCs w:val="20"/>
                <w:shd w:val="solid" w:color="000000" w:fill="000000"/>
                <w:fitText w:val="332" w:id="-1233498100"/>
                <w14:textFill>
                  <w14:solidFill>
                    <w14:srgbClr w14:val="000000">
                      <w14:alpha w14:val="100000"/>
                    </w14:srgbClr>
                  </w14:solidFill>
                </w14:textFill>
              </w:rPr>
              <w:t>|||</w:t>
            </w:r>
            <w:r w:rsidRPr="008D2482">
              <w:rPr>
                <w:b/>
                <w:bCs/>
                <w:color w:val="000000"/>
                <w:spacing w:val="2"/>
                <w:szCs w:val="20"/>
                <w:shd w:val="solid" w:color="000000" w:fill="000000"/>
                <w:fitText w:val="332" w:id="-1233498100"/>
                <w14:textFill>
                  <w14:solidFill>
                    <w14:srgbClr w14:val="000000">
                      <w14:alpha w14:val="100000"/>
                    </w14:srgbClr>
                  </w14:solidFill>
                </w14:textFill>
              </w:rPr>
              <w:t>|</w:t>
            </w:r>
            <w:r w:rsidR="00AA73B7" w:rsidRPr="00AA73B7">
              <w:rPr>
                <w:b/>
                <w:bCs/>
                <w:szCs w:val="20"/>
              </w:rPr>
              <w:t xml:space="preserve"> </w:t>
            </w:r>
            <w:r w:rsidR="00546242" w:rsidRPr="00D139A1">
              <w:rPr>
                <w:rFonts w:cs="Arial"/>
                <w:szCs w:val="20"/>
                <w:vertAlign w:val="superscript"/>
              </w:rPr>
              <w:t>10</w:t>
            </w:r>
          </w:p>
        </w:tc>
      </w:tr>
      <w:tr w:rsidR="00A01891" w:rsidRPr="0075485D" w14:paraId="48281552" w14:textId="77777777" w:rsidTr="00E44076">
        <w:tc>
          <w:tcPr>
            <w:tcW w:w="5000" w:type="pct"/>
            <w:gridSpan w:val="14"/>
          </w:tcPr>
          <w:p w14:paraId="22B656AE" w14:textId="6F3BD15C" w:rsidR="00A01891" w:rsidRPr="00D139A1" w:rsidRDefault="00A01891" w:rsidP="00661ABB">
            <w:pPr>
              <w:pStyle w:val="Tabletext"/>
              <w:keepLines/>
              <w:rPr>
                <w:b/>
                <w:bCs/>
                <w:szCs w:val="20"/>
              </w:rPr>
            </w:pPr>
            <w:r w:rsidRPr="00D139A1">
              <w:rPr>
                <w:b/>
                <w:bCs/>
                <w:szCs w:val="20"/>
              </w:rPr>
              <w:t>Estimated use and net cost of enzalutamide to PBS/RPBS</w:t>
            </w:r>
            <w:r w:rsidR="00ED7384" w:rsidRPr="00D139A1">
              <w:rPr>
                <w:b/>
                <w:bCs/>
                <w:szCs w:val="20"/>
              </w:rPr>
              <w:t xml:space="preserve"> (DPMQ $</w:t>
            </w:r>
            <w:r w:rsidR="008D2482" w:rsidRPr="008D2482">
              <w:rPr>
                <w:b/>
                <w:bCs/>
                <w:color w:val="000000"/>
                <w:spacing w:val="40"/>
                <w:szCs w:val="20"/>
                <w:shd w:val="solid" w:color="000000" w:fill="000000"/>
                <w:fitText w:val="477" w:id="-1233498099"/>
                <w14:textFill>
                  <w14:solidFill>
                    <w14:srgbClr w14:val="000000">
                      <w14:alpha w14:val="100000"/>
                    </w14:srgbClr>
                  </w14:solidFill>
                </w14:textFill>
              </w:rPr>
              <w:t>|||||</w:t>
            </w:r>
            <w:r w:rsidR="008D2482" w:rsidRPr="008D2482">
              <w:rPr>
                <w:b/>
                <w:bCs/>
                <w:color w:val="000000"/>
                <w:spacing w:val="2"/>
                <w:szCs w:val="20"/>
                <w:shd w:val="solid" w:color="000000" w:fill="000000"/>
                <w:fitText w:val="477" w:id="-1233498099"/>
                <w14:textFill>
                  <w14:solidFill>
                    <w14:srgbClr w14:val="000000">
                      <w14:alpha w14:val="100000"/>
                    </w14:srgbClr>
                  </w14:solidFill>
                </w14:textFill>
              </w:rPr>
              <w:t>|</w:t>
            </w:r>
            <w:r w:rsidR="00AA73B7" w:rsidRPr="00AA73B7">
              <w:rPr>
                <w:b/>
                <w:bCs/>
                <w:szCs w:val="20"/>
              </w:rPr>
              <w:t xml:space="preserve"> </w:t>
            </w:r>
            <w:r w:rsidR="00ED7384" w:rsidRPr="00D139A1">
              <w:rPr>
                <w:b/>
                <w:bCs/>
                <w:szCs w:val="20"/>
              </w:rPr>
              <w:t>)</w:t>
            </w:r>
          </w:p>
        </w:tc>
      </w:tr>
      <w:tr w:rsidR="00D9013E" w:rsidRPr="0075485D" w14:paraId="333D4786" w14:textId="77777777" w:rsidTr="00D9013E">
        <w:tc>
          <w:tcPr>
            <w:tcW w:w="978" w:type="pct"/>
          </w:tcPr>
          <w:p w14:paraId="44C6C8E6" w14:textId="77777777" w:rsidR="00A01891" w:rsidRPr="00D139A1" w:rsidRDefault="00A01891" w:rsidP="00661ABB">
            <w:pPr>
              <w:pStyle w:val="Tabletext"/>
              <w:keepLines/>
              <w:rPr>
                <w:szCs w:val="20"/>
              </w:rPr>
            </w:pPr>
            <w:r w:rsidRPr="00D139A1">
              <w:rPr>
                <w:szCs w:val="20"/>
              </w:rPr>
              <w:t>Number of scripts</w:t>
            </w:r>
          </w:p>
        </w:tc>
        <w:tc>
          <w:tcPr>
            <w:tcW w:w="582" w:type="pct"/>
            <w:gridSpan w:val="2"/>
            <w:vAlign w:val="center"/>
          </w:tcPr>
          <w:p w14:paraId="1915FECB" w14:textId="3E84ED61"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098"/>
                <w14:textFill>
                  <w14:solidFill>
                    <w14:srgbClr w14:val="000000">
                      <w14:alpha w14:val="100000"/>
                    </w14:srgbClr>
                  </w14:solidFill>
                </w14:textFill>
              </w:rPr>
              <w:t>|</w:t>
            </w:r>
            <w:r w:rsidRPr="008D2482">
              <w:rPr>
                <w:rFonts w:cs="Arial"/>
                <w:color w:val="000000"/>
                <w:spacing w:val="1"/>
                <w:szCs w:val="20"/>
                <w:shd w:val="solid" w:color="000000" w:fill="000000"/>
                <w:fitText w:val="255" w:id="-1233498098"/>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3</w:t>
            </w:r>
            <w:r w:rsidR="00AA73B7" w:rsidRPr="00AA73B7">
              <w:rPr>
                <w:rFonts w:cs="Arial"/>
                <w:color w:val="000000"/>
                <w:szCs w:val="20"/>
              </w:rPr>
              <w:t xml:space="preserve"> </w:t>
            </w:r>
          </w:p>
        </w:tc>
        <w:tc>
          <w:tcPr>
            <w:tcW w:w="575" w:type="pct"/>
            <w:gridSpan w:val="2"/>
            <w:vAlign w:val="center"/>
          </w:tcPr>
          <w:p w14:paraId="7BDC600C" w14:textId="408C91E9"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097"/>
                <w14:textFill>
                  <w14:solidFill>
                    <w14:srgbClr w14:val="000000">
                      <w14:alpha w14:val="100000"/>
                    </w14:srgbClr>
                  </w14:solidFill>
                </w14:textFill>
              </w:rPr>
              <w:t>|</w:t>
            </w:r>
            <w:r w:rsidRPr="008D2482">
              <w:rPr>
                <w:rFonts w:cs="Arial"/>
                <w:color w:val="000000"/>
                <w:spacing w:val="1"/>
                <w:szCs w:val="20"/>
                <w:shd w:val="solid" w:color="000000" w:fill="000000"/>
                <w:fitText w:val="243" w:id="-1233498097"/>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7</w:t>
            </w:r>
            <w:r w:rsidR="00AA73B7" w:rsidRPr="00AA73B7">
              <w:rPr>
                <w:rFonts w:cs="Arial"/>
                <w:color w:val="000000"/>
                <w:szCs w:val="20"/>
              </w:rPr>
              <w:t xml:space="preserve"> </w:t>
            </w:r>
          </w:p>
        </w:tc>
        <w:tc>
          <w:tcPr>
            <w:tcW w:w="575" w:type="pct"/>
            <w:gridSpan w:val="2"/>
            <w:vAlign w:val="center"/>
          </w:tcPr>
          <w:p w14:paraId="505DB64D" w14:textId="7A26163C"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096"/>
                <w14:textFill>
                  <w14:solidFill>
                    <w14:srgbClr w14:val="000000">
                      <w14:alpha w14:val="100000"/>
                    </w14:srgbClr>
                  </w14:solidFill>
                </w14:textFill>
              </w:rPr>
              <w:t>|</w:t>
            </w:r>
            <w:r w:rsidRPr="008D2482">
              <w:rPr>
                <w:rFonts w:cs="Arial"/>
                <w:color w:val="000000"/>
                <w:spacing w:val="1"/>
                <w:szCs w:val="20"/>
                <w:shd w:val="solid" w:color="000000" w:fill="000000"/>
                <w:fitText w:val="277" w:id="-1233498096"/>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546242" w:rsidRPr="00D139A1">
              <w:rPr>
                <w:rFonts w:cs="Arial"/>
                <w:szCs w:val="20"/>
                <w:vertAlign w:val="superscript"/>
              </w:rPr>
              <w:t>2</w:t>
            </w:r>
            <w:r w:rsidR="00AA73B7" w:rsidRPr="00AA73B7">
              <w:rPr>
                <w:rFonts w:cs="Arial"/>
                <w:color w:val="000000"/>
                <w:szCs w:val="20"/>
              </w:rPr>
              <w:t xml:space="preserve"> </w:t>
            </w:r>
          </w:p>
        </w:tc>
        <w:tc>
          <w:tcPr>
            <w:tcW w:w="575" w:type="pct"/>
            <w:gridSpan w:val="2"/>
            <w:vAlign w:val="center"/>
          </w:tcPr>
          <w:p w14:paraId="3627913F" w14:textId="7D0B4F51"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12"/>
                <w14:textFill>
                  <w14:solidFill>
                    <w14:srgbClr w14:val="000000">
                      <w14:alpha w14:val="100000"/>
                    </w14:srgbClr>
                  </w14:solidFill>
                </w14:textFill>
              </w:rPr>
              <w:t>|</w:t>
            </w:r>
            <w:r w:rsidRPr="008D2482">
              <w:rPr>
                <w:rFonts w:cs="Arial"/>
                <w:color w:val="000000"/>
                <w:spacing w:val="1"/>
                <w:szCs w:val="20"/>
                <w:shd w:val="solid" w:color="000000" w:fill="000000"/>
                <w:fitText w:val="277" w:id="-1233498112"/>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D139A1" w:rsidRPr="00D139A1">
              <w:rPr>
                <w:rFonts w:cs="Arial"/>
                <w:szCs w:val="20"/>
                <w:vertAlign w:val="superscript"/>
              </w:rPr>
              <w:t>5</w:t>
            </w:r>
            <w:r w:rsidR="00AA73B7" w:rsidRPr="00AA73B7">
              <w:rPr>
                <w:rFonts w:cs="Arial"/>
                <w:color w:val="000000"/>
                <w:szCs w:val="20"/>
              </w:rPr>
              <w:t xml:space="preserve"> </w:t>
            </w:r>
          </w:p>
        </w:tc>
        <w:tc>
          <w:tcPr>
            <w:tcW w:w="577" w:type="pct"/>
            <w:gridSpan w:val="2"/>
            <w:vAlign w:val="center"/>
          </w:tcPr>
          <w:p w14:paraId="26FBFF98" w14:textId="094E1E21" w:rsidR="00A01891" w:rsidRPr="00D139A1" w:rsidRDefault="008D2482" w:rsidP="00661ABB">
            <w:pPr>
              <w:pStyle w:val="Tabletext"/>
              <w:keepLines/>
              <w:jc w:val="center"/>
              <w:rPr>
                <w:szCs w:val="20"/>
                <w:highlight w:val="darkGray"/>
              </w:rPr>
            </w:pPr>
            <w:r w:rsidRPr="008D2482">
              <w:rPr>
                <w:rFonts w:cs="Arial"/>
                <w:color w:val="000000"/>
                <w:spacing w:val="202"/>
                <w:szCs w:val="20"/>
                <w:shd w:val="solid" w:color="000000" w:fill="000000"/>
                <w:fitText w:val="288" w:id="-1233498111"/>
                <w14:textFill>
                  <w14:solidFill>
                    <w14:srgbClr w14:val="000000">
                      <w14:alpha w14:val="100000"/>
                    </w14:srgbClr>
                  </w14:solidFill>
                </w14:textFill>
              </w:rPr>
              <w:t>|</w:t>
            </w:r>
            <w:r w:rsidRPr="008D2482">
              <w:rPr>
                <w:rFonts w:cs="Arial"/>
                <w:color w:val="000000"/>
                <w:spacing w:val="1"/>
                <w:szCs w:val="20"/>
                <w:shd w:val="solid" w:color="000000" w:fill="000000"/>
                <w:fitText w:val="288" w:id="-1233498111"/>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3A7836">
              <w:rPr>
                <w:rFonts w:cs="Arial"/>
                <w:szCs w:val="20"/>
                <w:vertAlign w:val="superscript"/>
              </w:rPr>
              <w:t>8</w:t>
            </w:r>
          </w:p>
        </w:tc>
        <w:tc>
          <w:tcPr>
            <w:tcW w:w="575" w:type="pct"/>
            <w:gridSpan w:val="2"/>
            <w:vAlign w:val="center"/>
          </w:tcPr>
          <w:p w14:paraId="2C893EAA" w14:textId="48B82F28"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10"/>
                <w14:textFill>
                  <w14:solidFill>
                    <w14:srgbClr w14:val="000000">
                      <w14:alpha w14:val="100000"/>
                    </w14:srgbClr>
                  </w14:solidFill>
                </w14:textFill>
              </w:rPr>
              <w:t>|</w:t>
            </w:r>
            <w:r w:rsidRPr="008D2482">
              <w:rPr>
                <w:rFonts w:cs="Arial"/>
                <w:color w:val="000000"/>
                <w:spacing w:val="1"/>
                <w:szCs w:val="20"/>
                <w:shd w:val="solid" w:color="000000" w:fill="000000"/>
                <w:fitText w:val="277" w:id="-1233498110"/>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3A7836">
              <w:rPr>
                <w:rFonts w:cs="Arial"/>
                <w:szCs w:val="20"/>
                <w:vertAlign w:val="superscript"/>
              </w:rPr>
              <w:t>8</w:t>
            </w:r>
          </w:p>
        </w:tc>
        <w:tc>
          <w:tcPr>
            <w:tcW w:w="563" w:type="pct"/>
            <w:vAlign w:val="center"/>
          </w:tcPr>
          <w:p w14:paraId="2835CE6F" w14:textId="51906F11" w:rsidR="00A01891" w:rsidRPr="00D139A1" w:rsidRDefault="008D2482" w:rsidP="00661ABB">
            <w:pPr>
              <w:pStyle w:val="Tabletext"/>
              <w:keepLines/>
              <w:jc w:val="center"/>
              <w:rPr>
                <w:b/>
                <w:bCs/>
                <w:szCs w:val="20"/>
                <w:highlight w:val="darkGray"/>
              </w:rPr>
            </w:pPr>
            <w:r w:rsidRPr="008D2482">
              <w:rPr>
                <w:b/>
                <w:bCs/>
                <w:color w:val="000000"/>
                <w:spacing w:val="53"/>
                <w:szCs w:val="20"/>
                <w:shd w:val="solid" w:color="000000" w:fill="000000"/>
                <w:fitText w:val="343" w:id="-1233498109"/>
                <w14:textFill>
                  <w14:solidFill>
                    <w14:srgbClr w14:val="000000">
                      <w14:alpha w14:val="100000"/>
                    </w14:srgbClr>
                  </w14:solidFill>
                </w14:textFill>
              </w:rPr>
              <w:t>|||</w:t>
            </w:r>
            <w:r w:rsidRPr="008D2482">
              <w:rPr>
                <w:b/>
                <w:bCs/>
                <w:color w:val="000000"/>
                <w:spacing w:val="1"/>
                <w:szCs w:val="20"/>
                <w:shd w:val="solid" w:color="000000" w:fill="000000"/>
                <w:fitText w:val="343" w:id="-1233498109"/>
                <w14:textFill>
                  <w14:solidFill>
                    <w14:srgbClr w14:val="000000">
                      <w14:alpha w14:val="100000"/>
                    </w14:srgbClr>
                  </w14:solidFill>
                </w14:textFill>
              </w:rPr>
              <w:t>|</w:t>
            </w:r>
            <w:r w:rsidR="00AA73B7" w:rsidRPr="00AA73B7">
              <w:rPr>
                <w:b/>
                <w:bCs/>
                <w:szCs w:val="20"/>
              </w:rPr>
              <w:t xml:space="preserve"> </w:t>
            </w:r>
            <w:r w:rsidR="00D9013E" w:rsidRPr="00D139A1">
              <w:rPr>
                <w:rFonts w:cs="Arial"/>
                <w:szCs w:val="20"/>
                <w:vertAlign w:val="superscript"/>
              </w:rPr>
              <w:t>2</w:t>
            </w:r>
            <w:r w:rsidR="003A7836">
              <w:rPr>
                <w:rFonts w:cs="Arial"/>
                <w:szCs w:val="20"/>
                <w:vertAlign w:val="superscript"/>
              </w:rPr>
              <w:t>2</w:t>
            </w:r>
          </w:p>
        </w:tc>
      </w:tr>
      <w:tr w:rsidR="00D9013E" w:rsidRPr="0075485D" w14:paraId="393AF7AD" w14:textId="77777777" w:rsidTr="00D9013E">
        <w:tc>
          <w:tcPr>
            <w:tcW w:w="978" w:type="pct"/>
          </w:tcPr>
          <w:p w14:paraId="50EDB94B" w14:textId="717A4532" w:rsidR="00A01891" w:rsidRPr="00D139A1" w:rsidRDefault="00A01891" w:rsidP="00661ABB">
            <w:pPr>
              <w:pStyle w:val="Tabletext"/>
              <w:keepLines/>
              <w:rPr>
                <w:szCs w:val="20"/>
              </w:rPr>
            </w:pPr>
            <w:r w:rsidRPr="00D139A1">
              <w:rPr>
                <w:szCs w:val="20"/>
              </w:rPr>
              <w:t>Cost PBS/RPBS</w:t>
            </w:r>
            <w:r w:rsidR="009800DE" w:rsidRPr="00D139A1">
              <w:rPr>
                <w:szCs w:val="20"/>
              </w:rPr>
              <w:t xml:space="preserve"> ($)</w:t>
            </w:r>
          </w:p>
        </w:tc>
        <w:tc>
          <w:tcPr>
            <w:tcW w:w="582" w:type="pct"/>
            <w:gridSpan w:val="2"/>
            <w:vAlign w:val="center"/>
          </w:tcPr>
          <w:p w14:paraId="4AEA5560" w14:textId="54C0E9DE"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08"/>
                <w14:textFill>
                  <w14:solidFill>
                    <w14:srgbClr w14:val="000000">
                      <w14:alpha w14:val="100000"/>
                    </w14:srgbClr>
                  </w14:solidFill>
                </w14:textFill>
              </w:rPr>
              <w:t>|</w:t>
            </w:r>
            <w:r w:rsidRPr="008D2482">
              <w:rPr>
                <w:rFonts w:cs="Arial"/>
                <w:color w:val="000000"/>
                <w:spacing w:val="1"/>
                <w:szCs w:val="20"/>
                <w:shd w:val="solid" w:color="000000" w:fill="000000"/>
                <w:fitText w:val="255" w:id="-1233498108"/>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4</w:t>
            </w:r>
          </w:p>
        </w:tc>
        <w:tc>
          <w:tcPr>
            <w:tcW w:w="575" w:type="pct"/>
            <w:gridSpan w:val="2"/>
            <w:vAlign w:val="center"/>
          </w:tcPr>
          <w:p w14:paraId="1ADA29A1" w14:textId="1677DB4B"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7"/>
                <w14:textFill>
                  <w14:solidFill>
                    <w14:srgbClr w14:val="000000">
                      <w14:alpha w14:val="100000"/>
                    </w14:srgbClr>
                  </w14:solidFill>
                </w14:textFill>
              </w:rPr>
              <w:t>|</w:t>
            </w:r>
            <w:r w:rsidRPr="008D2482">
              <w:rPr>
                <w:rFonts w:cs="Arial"/>
                <w:color w:val="000000"/>
                <w:spacing w:val="1"/>
                <w:szCs w:val="20"/>
                <w:shd w:val="solid" w:color="000000" w:fill="000000"/>
                <w:fitText w:val="243" w:id="-1233498107"/>
                <w14:textFill>
                  <w14:solidFill>
                    <w14:srgbClr w14:val="000000">
                      <w14:alpha w14:val="100000"/>
                    </w14:srgbClr>
                  </w14:solidFill>
                </w14:textFill>
              </w:rPr>
              <w:t>|</w:t>
            </w:r>
            <w:r w:rsidR="00AA73B7" w:rsidRPr="00AA73B7">
              <w:rPr>
                <w:rFonts w:cs="Arial"/>
                <w:szCs w:val="20"/>
              </w:rPr>
              <w:t xml:space="preserve"> </w:t>
            </w:r>
            <w:r w:rsidR="009D2A74" w:rsidRPr="00D139A1">
              <w:rPr>
                <w:rFonts w:cs="Arial"/>
                <w:szCs w:val="20"/>
                <w:vertAlign w:val="superscript"/>
              </w:rPr>
              <w:t>8</w:t>
            </w:r>
          </w:p>
        </w:tc>
        <w:tc>
          <w:tcPr>
            <w:tcW w:w="575" w:type="pct"/>
            <w:gridSpan w:val="2"/>
            <w:vAlign w:val="center"/>
          </w:tcPr>
          <w:p w14:paraId="3E7BD297" w14:textId="41D234C4"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6"/>
                <w14:textFill>
                  <w14:solidFill>
                    <w14:srgbClr w14:val="000000">
                      <w14:alpha w14:val="100000"/>
                    </w14:srgbClr>
                  </w14:solidFill>
                </w14:textFill>
              </w:rPr>
              <w:t>|</w:t>
            </w:r>
            <w:r w:rsidRPr="008D2482">
              <w:rPr>
                <w:rFonts w:cs="Arial"/>
                <w:color w:val="000000"/>
                <w:spacing w:val="1"/>
                <w:szCs w:val="20"/>
                <w:shd w:val="solid" w:color="000000" w:fill="000000"/>
                <w:fitText w:val="277" w:id="-1233498106"/>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546242" w:rsidRPr="00D139A1">
              <w:rPr>
                <w:rFonts w:cs="Arial"/>
                <w:szCs w:val="20"/>
                <w:vertAlign w:val="superscript"/>
              </w:rPr>
              <w:t>3</w:t>
            </w:r>
          </w:p>
        </w:tc>
        <w:tc>
          <w:tcPr>
            <w:tcW w:w="575" w:type="pct"/>
            <w:gridSpan w:val="2"/>
            <w:vAlign w:val="center"/>
          </w:tcPr>
          <w:p w14:paraId="2F4AC12D" w14:textId="4057461D"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5"/>
                <w14:textFill>
                  <w14:solidFill>
                    <w14:srgbClr w14:val="000000">
                      <w14:alpha w14:val="100000"/>
                    </w14:srgbClr>
                  </w14:solidFill>
                </w14:textFill>
              </w:rPr>
              <w:t>|</w:t>
            </w:r>
            <w:r w:rsidRPr="008D2482">
              <w:rPr>
                <w:rFonts w:cs="Arial"/>
                <w:color w:val="000000"/>
                <w:spacing w:val="1"/>
                <w:szCs w:val="20"/>
                <w:shd w:val="solid" w:color="000000" w:fill="000000"/>
                <w:fitText w:val="277" w:id="-1233498105"/>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D139A1">
              <w:rPr>
                <w:rFonts w:cs="Arial"/>
                <w:szCs w:val="20"/>
                <w:vertAlign w:val="superscript"/>
              </w:rPr>
              <w:t>6</w:t>
            </w:r>
          </w:p>
        </w:tc>
        <w:tc>
          <w:tcPr>
            <w:tcW w:w="577" w:type="pct"/>
            <w:gridSpan w:val="2"/>
            <w:vAlign w:val="center"/>
          </w:tcPr>
          <w:p w14:paraId="61E1986A" w14:textId="24D786EC" w:rsidR="00A01891" w:rsidRPr="00D139A1" w:rsidRDefault="008D2482" w:rsidP="00661ABB">
            <w:pPr>
              <w:pStyle w:val="Tabletext"/>
              <w:keepLines/>
              <w:jc w:val="center"/>
              <w:rPr>
                <w:szCs w:val="20"/>
                <w:highlight w:val="darkGray"/>
              </w:rPr>
            </w:pPr>
            <w:r w:rsidRPr="008D2482">
              <w:rPr>
                <w:rFonts w:cs="Arial"/>
                <w:color w:val="000000"/>
                <w:spacing w:val="202"/>
                <w:szCs w:val="20"/>
                <w:shd w:val="solid" w:color="000000" w:fill="000000"/>
                <w:fitText w:val="288" w:id="-1233498104"/>
                <w14:textFill>
                  <w14:solidFill>
                    <w14:srgbClr w14:val="000000">
                      <w14:alpha w14:val="100000"/>
                    </w14:srgbClr>
                  </w14:solidFill>
                </w14:textFill>
              </w:rPr>
              <w:t>|</w:t>
            </w:r>
            <w:r w:rsidRPr="008D2482">
              <w:rPr>
                <w:rFonts w:cs="Arial"/>
                <w:color w:val="000000"/>
                <w:spacing w:val="1"/>
                <w:szCs w:val="20"/>
                <w:shd w:val="solid" w:color="000000" w:fill="000000"/>
                <w:fitText w:val="288" w:id="-1233498104"/>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3A7836">
              <w:rPr>
                <w:rFonts w:cs="Arial"/>
                <w:szCs w:val="20"/>
                <w:vertAlign w:val="superscript"/>
              </w:rPr>
              <w:t>9</w:t>
            </w:r>
          </w:p>
        </w:tc>
        <w:tc>
          <w:tcPr>
            <w:tcW w:w="575" w:type="pct"/>
            <w:gridSpan w:val="2"/>
            <w:vAlign w:val="center"/>
          </w:tcPr>
          <w:p w14:paraId="26A0F5C6" w14:textId="14856770"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3"/>
                <w14:textFill>
                  <w14:solidFill>
                    <w14:srgbClr w14:val="000000">
                      <w14:alpha w14:val="100000"/>
                    </w14:srgbClr>
                  </w14:solidFill>
                </w14:textFill>
              </w:rPr>
              <w:t>|</w:t>
            </w:r>
            <w:r w:rsidRPr="008D2482">
              <w:rPr>
                <w:rFonts w:cs="Arial"/>
                <w:color w:val="000000"/>
                <w:spacing w:val="1"/>
                <w:szCs w:val="20"/>
                <w:shd w:val="solid" w:color="000000" w:fill="000000"/>
                <w:fitText w:val="277" w:id="-1233498103"/>
                <w14:textFill>
                  <w14:solidFill>
                    <w14:srgbClr w14:val="000000">
                      <w14:alpha w14:val="100000"/>
                    </w14:srgbClr>
                  </w14:solidFill>
                </w14:textFill>
              </w:rPr>
              <w:t>|</w:t>
            </w:r>
            <w:r w:rsidR="00AA73B7" w:rsidRPr="00AA73B7">
              <w:rPr>
                <w:rFonts w:cs="Arial"/>
                <w:szCs w:val="20"/>
              </w:rPr>
              <w:t xml:space="preserve"> </w:t>
            </w:r>
            <w:r w:rsidR="00D9013E" w:rsidRPr="00D139A1">
              <w:rPr>
                <w:rFonts w:cs="Arial"/>
                <w:szCs w:val="20"/>
                <w:vertAlign w:val="superscript"/>
              </w:rPr>
              <w:t>2</w:t>
            </w:r>
            <w:r w:rsidR="003A7836">
              <w:rPr>
                <w:rFonts w:cs="Arial"/>
                <w:szCs w:val="20"/>
                <w:vertAlign w:val="superscript"/>
              </w:rPr>
              <w:t>1</w:t>
            </w:r>
          </w:p>
        </w:tc>
        <w:tc>
          <w:tcPr>
            <w:tcW w:w="563" w:type="pct"/>
            <w:vAlign w:val="center"/>
          </w:tcPr>
          <w:p w14:paraId="0801698D" w14:textId="310A8EAC" w:rsidR="00A01891" w:rsidRPr="00D139A1" w:rsidRDefault="008D2482" w:rsidP="00661ABB">
            <w:pPr>
              <w:jc w:val="center"/>
              <w:rPr>
                <w:rFonts w:ascii="Arial Narrow" w:hAnsi="Arial Narrow"/>
                <w:b/>
                <w:bCs/>
                <w:color w:val="8064A2"/>
                <w:sz w:val="20"/>
                <w:szCs w:val="20"/>
                <w:highlight w:val="darkGray"/>
              </w:rPr>
            </w:pPr>
            <w:r w:rsidRPr="008D2482">
              <w:rPr>
                <w:rFonts w:ascii="Arial Narrow" w:hAnsi="Arial Narrow"/>
                <w:b/>
                <w:bCs/>
                <w:color w:val="000000"/>
                <w:spacing w:val="53"/>
                <w:sz w:val="20"/>
                <w:szCs w:val="20"/>
                <w:shd w:val="solid" w:color="000000" w:fill="000000"/>
                <w:fitText w:val="343" w:id="-1233498102"/>
                <w14:textFill>
                  <w14:solidFill>
                    <w14:srgbClr w14:val="000000">
                      <w14:alpha w14:val="100000"/>
                    </w14:srgbClr>
                  </w14:solidFill>
                </w14:textFill>
              </w:rPr>
              <w:t>|||</w:t>
            </w:r>
            <w:r w:rsidRPr="008D2482">
              <w:rPr>
                <w:rFonts w:ascii="Arial Narrow" w:hAnsi="Arial Narrow"/>
                <w:b/>
                <w:bCs/>
                <w:color w:val="000000"/>
                <w:spacing w:val="1"/>
                <w:sz w:val="20"/>
                <w:szCs w:val="20"/>
                <w:shd w:val="solid" w:color="000000" w:fill="000000"/>
                <w:fitText w:val="343" w:id="-1233498102"/>
                <w14:textFill>
                  <w14:solidFill>
                    <w14:srgbClr w14:val="000000">
                      <w14:alpha w14:val="100000"/>
                    </w14:srgbClr>
                  </w14:solidFill>
                </w14:textFill>
              </w:rPr>
              <w:t>|</w:t>
            </w:r>
            <w:r w:rsidR="00AA73B7" w:rsidRPr="00AA73B7">
              <w:rPr>
                <w:rFonts w:ascii="Arial Narrow" w:hAnsi="Arial Narrow"/>
                <w:b/>
                <w:bCs/>
                <w:sz w:val="20"/>
                <w:szCs w:val="20"/>
              </w:rPr>
              <w:t xml:space="preserve"> </w:t>
            </w:r>
            <w:r w:rsidR="00D9013E" w:rsidRPr="00D139A1">
              <w:rPr>
                <w:rFonts w:ascii="Arial Narrow" w:hAnsi="Arial Narrow"/>
                <w:sz w:val="20"/>
                <w:szCs w:val="20"/>
                <w:vertAlign w:val="superscript"/>
              </w:rPr>
              <w:t>2</w:t>
            </w:r>
            <w:r w:rsidR="003A7836">
              <w:rPr>
                <w:rFonts w:ascii="Arial Narrow" w:hAnsi="Arial Narrow"/>
                <w:sz w:val="20"/>
                <w:szCs w:val="20"/>
                <w:vertAlign w:val="superscript"/>
              </w:rPr>
              <w:t>3</w:t>
            </w:r>
          </w:p>
        </w:tc>
      </w:tr>
      <w:tr w:rsidR="00D9013E" w:rsidRPr="0075485D" w14:paraId="005AFAE5" w14:textId="77777777" w:rsidTr="00D9013E">
        <w:tc>
          <w:tcPr>
            <w:tcW w:w="978" w:type="pct"/>
          </w:tcPr>
          <w:p w14:paraId="263C7D31" w14:textId="52B0D7A9" w:rsidR="00A01891" w:rsidRPr="00D139A1" w:rsidRDefault="00A01891" w:rsidP="00661ABB">
            <w:pPr>
              <w:pStyle w:val="Tabletext"/>
              <w:keepLines/>
              <w:rPr>
                <w:szCs w:val="20"/>
              </w:rPr>
            </w:pPr>
            <w:r w:rsidRPr="00D139A1">
              <w:rPr>
                <w:szCs w:val="20"/>
              </w:rPr>
              <w:t>Net cost</w:t>
            </w:r>
            <w:r w:rsidRPr="00D139A1">
              <w:rPr>
                <w:szCs w:val="20"/>
                <w:vertAlign w:val="superscript"/>
              </w:rPr>
              <w:t>a</w:t>
            </w:r>
            <w:r w:rsidRPr="00D139A1">
              <w:rPr>
                <w:szCs w:val="20"/>
              </w:rPr>
              <w:t xml:space="preserve"> PBS/RPBS</w:t>
            </w:r>
            <w:r w:rsidR="009800DE" w:rsidRPr="00D139A1">
              <w:rPr>
                <w:szCs w:val="20"/>
              </w:rPr>
              <w:t xml:space="preserve"> ($)</w:t>
            </w:r>
          </w:p>
        </w:tc>
        <w:tc>
          <w:tcPr>
            <w:tcW w:w="582" w:type="pct"/>
            <w:gridSpan w:val="2"/>
            <w:vAlign w:val="center"/>
          </w:tcPr>
          <w:p w14:paraId="799B965E" w14:textId="156F7825"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01"/>
                <w14:textFill>
                  <w14:solidFill>
                    <w14:srgbClr w14:val="000000">
                      <w14:alpha w14:val="100000"/>
                    </w14:srgbClr>
                  </w14:solidFill>
                </w14:textFill>
              </w:rPr>
              <w:t>|</w:t>
            </w:r>
            <w:r w:rsidRPr="008D2482">
              <w:rPr>
                <w:rFonts w:cs="Arial"/>
                <w:color w:val="000000"/>
                <w:spacing w:val="1"/>
                <w:szCs w:val="20"/>
                <w:shd w:val="solid" w:color="000000" w:fill="000000"/>
                <w:fitText w:val="255" w:id="-1233498101"/>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4</w:t>
            </w:r>
          </w:p>
        </w:tc>
        <w:tc>
          <w:tcPr>
            <w:tcW w:w="575" w:type="pct"/>
            <w:gridSpan w:val="2"/>
            <w:vAlign w:val="center"/>
          </w:tcPr>
          <w:p w14:paraId="60E47E9F" w14:textId="629E28A0"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0"/>
                <w14:textFill>
                  <w14:solidFill>
                    <w14:srgbClr w14:val="000000">
                      <w14:alpha w14:val="100000"/>
                    </w14:srgbClr>
                  </w14:solidFill>
                </w14:textFill>
              </w:rPr>
              <w:t>|</w:t>
            </w:r>
            <w:r w:rsidRPr="008D2482">
              <w:rPr>
                <w:rFonts w:cs="Arial"/>
                <w:color w:val="000000"/>
                <w:spacing w:val="1"/>
                <w:szCs w:val="20"/>
                <w:shd w:val="solid" w:color="000000" w:fill="000000"/>
                <w:fitText w:val="243" w:id="-1233498100"/>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75" w:type="pct"/>
            <w:gridSpan w:val="2"/>
            <w:vAlign w:val="center"/>
          </w:tcPr>
          <w:p w14:paraId="38DA77F3" w14:textId="21A4E653"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099"/>
                <w14:textFill>
                  <w14:solidFill>
                    <w14:srgbClr w14:val="000000">
                      <w14:alpha w14:val="100000"/>
                    </w14:srgbClr>
                  </w14:solidFill>
                </w14:textFill>
              </w:rPr>
              <w:t>|</w:t>
            </w:r>
            <w:r w:rsidRPr="008D2482">
              <w:rPr>
                <w:rFonts w:cs="Arial"/>
                <w:color w:val="000000"/>
                <w:spacing w:val="1"/>
                <w:szCs w:val="20"/>
                <w:shd w:val="solid" w:color="000000" w:fill="000000"/>
                <w:fitText w:val="277" w:id="-1233498099"/>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546242" w:rsidRPr="00D139A1">
              <w:rPr>
                <w:rFonts w:cs="Arial"/>
                <w:szCs w:val="20"/>
                <w:vertAlign w:val="superscript"/>
              </w:rPr>
              <w:t>3</w:t>
            </w:r>
          </w:p>
        </w:tc>
        <w:tc>
          <w:tcPr>
            <w:tcW w:w="575" w:type="pct"/>
            <w:gridSpan w:val="2"/>
            <w:vAlign w:val="center"/>
          </w:tcPr>
          <w:p w14:paraId="3038651E" w14:textId="7984EF10"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098"/>
                <w14:textFill>
                  <w14:solidFill>
                    <w14:srgbClr w14:val="000000">
                      <w14:alpha w14:val="100000"/>
                    </w14:srgbClr>
                  </w14:solidFill>
                </w14:textFill>
              </w:rPr>
              <w:t>|</w:t>
            </w:r>
            <w:r w:rsidRPr="008D2482">
              <w:rPr>
                <w:rFonts w:cs="Arial"/>
                <w:color w:val="000000"/>
                <w:spacing w:val="1"/>
                <w:szCs w:val="20"/>
                <w:shd w:val="solid" w:color="000000" w:fill="000000"/>
                <w:fitText w:val="277" w:id="-1233498098"/>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D139A1">
              <w:rPr>
                <w:rFonts w:cs="Arial"/>
                <w:szCs w:val="20"/>
                <w:vertAlign w:val="superscript"/>
              </w:rPr>
              <w:t>6</w:t>
            </w:r>
          </w:p>
        </w:tc>
        <w:tc>
          <w:tcPr>
            <w:tcW w:w="577" w:type="pct"/>
            <w:gridSpan w:val="2"/>
            <w:vAlign w:val="center"/>
          </w:tcPr>
          <w:p w14:paraId="7E8C0071" w14:textId="166980E9" w:rsidR="00A01891" w:rsidRPr="00D139A1" w:rsidRDefault="008D2482" w:rsidP="00661ABB">
            <w:pPr>
              <w:pStyle w:val="Tabletext"/>
              <w:keepLines/>
              <w:jc w:val="center"/>
              <w:rPr>
                <w:szCs w:val="20"/>
                <w:highlight w:val="darkGray"/>
              </w:rPr>
            </w:pPr>
            <w:r w:rsidRPr="008D2482">
              <w:rPr>
                <w:rFonts w:cs="Arial"/>
                <w:color w:val="000000"/>
                <w:spacing w:val="202"/>
                <w:szCs w:val="20"/>
                <w:shd w:val="solid" w:color="000000" w:fill="000000"/>
                <w:fitText w:val="288" w:id="-1233498097"/>
                <w14:textFill>
                  <w14:solidFill>
                    <w14:srgbClr w14:val="000000">
                      <w14:alpha w14:val="100000"/>
                    </w14:srgbClr>
                  </w14:solidFill>
                </w14:textFill>
              </w:rPr>
              <w:t>|</w:t>
            </w:r>
            <w:r w:rsidRPr="008D2482">
              <w:rPr>
                <w:rFonts w:cs="Arial"/>
                <w:color w:val="000000"/>
                <w:spacing w:val="1"/>
                <w:szCs w:val="20"/>
                <w:shd w:val="solid" w:color="000000" w:fill="000000"/>
                <w:fitText w:val="288" w:id="-1233498097"/>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3A7836">
              <w:rPr>
                <w:rFonts w:cs="Arial"/>
                <w:szCs w:val="20"/>
                <w:vertAlign w:val="superscript"/>
              </w:rPr>
              <w:t>9</w:t>
            </w:r>
          </w:p>
        </w:tc>
        <w:tc>
          <w:tcPr>
            <w:tcW w:w="575" w:type="pct"/>
            <w:gridSpan w:val="2"/>
            <w:vAlign w:val="center"/>
          </w:tcPr>
          <w:p w14:paraId="5BF9F95E" w14:textId="5333E6B0"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096"/>
                <w14:textFill>
                  <w14:solidFill>
                    <w14:srgbClr w14:val="000000">
                      <w14:alpha w14:val="100000"/>
                    </w14:srgbClr>
                  </w14:solidFill>
                </w14:textFill>
              </w:rPr>
              <w:t>|</w:t>
            </w:r>
            <w:r w:rsidRPr="008D2482">
              <w:rPr>
                <w:rFonts w:cs="Arial"/>
                <w:color w:val="000000"/>
                <w:spacing w:val="1"/>
                <w:szCs w:val="20"/>
                <w:shd w:val="solid" w:color="000000" w:fill="000000"/>
                <w:fitText w:val="277" w:id="-1233498096"/>
                <w14:textFill>
                  <w14:solidFill>
                    <w14:srgbClr w14:val="000000">
                      <w14:alpha w14:val="100000"/>
                    </w14:srgbClr>
                  </w14:solidFill>
                </w14:textFill>
              </w:rPr>
              <w:t>|</w:t>
            </w:r>
            <w:r w:rsidR="00AA73B7" w:rsidRPr="00AA73B7">
              <w:rPr>
                <w:rFonts w:cs="Arial"/>
                <w:color w:val="000000"/>
                <w:szCs w:val="20"/>
              </w:rPr>
              <w:t xml:space="preserve"> </w:t>
            </w:r>
            <w:r w:rsidR="00D9013E" w:rsidRPr="00D139A1">
              <w:rPr>
                <w:rFonts w:cs="Arial"/>
                <w:szCs w:val="20"/>
                <w:vertAlign w:val="superscript"/>
              </w:rPr>
              <w:t>2</w:t>
            </w:r>
            <w:r w:rsidR="003A7836">
              <w:rPr>
                <w:rFonts w:cs="Arial"/>
                <w:szCs w:val="20"/>
                <w:vertAlign w:val="superscript"/>
              </w:rPr>
              <w:t>1</w:t>
            </w:r>
          </w:p>
        </w:tc>
        <w:tc>
          <w:tcPr>
            <w:tcW w:w="563" w:type="pct"/>
            <w:vAlign w:val="center"/>
          </w:tcPr>
          <w:p w14:paraId="1FE070FA" w14:textId="2C402EE1" w:rsidR="00A01891" w:rsidRPr="00D139A1" w:rsidRDefault="008D2482" w:rsidP="00661ABB">
            <w:pPr>
              <w:jc w:val="center"/>
              <w:rPr>
                <w:rFonts w:ascii="Arial Narrow" w:hAnsi="Arial Narrow"/>
                <w:b/>
                <w:bCs/>
                <w:color w:val="8064A2"/>
                <w:sz w:val="20"/>
                <w:szCs w:val="20"/>
                <w:highlight w:val="darkGray"/>
              </w:rPr>
            </w:pPr>
            <w:r w:rsidRPr="008D2482">
              <w:rPr>
                <w:rFonts w:ascii="Arial Narrow" w:hAnsi="Arial Narrow"/>
                <w:b/>
                <w:bCs/>
                <w:color w:val="000000"/>
                <w:spacing w:val="53"/>
                <w:sz w:val="20"/>
                <w:szCs w:val="20"/>
                <w:shd w:val="solid" w:color="000000" w:fill="000000"/>
                <w:fitText w:val="343" w:id="-1233498112"/>
                <w14:textFill>
                  <w14:solidFill>
                    <w14:srgbClr w14:val="000000">
                      <w14:alpha w14:val="100000"/>
                    </w14:srgbClr>
                  </w14:solidFill>
                </w14:textFill>
              </w:rPr>
              <w:t>|||</w:t>
            </w:r>
            <w:r w:rsidRPr="008D2482">
              <w:rPr>
                <w:rFonts w:ascii="Arial Narrow" w:hAnsi="Arial Narrow"/>
                <w:b/>
                <w:bCs/>
                <w:color w:val="000000"/>
                <w:spacing w:val="1"/>
                <w:sz w:val="20"/>
                <w:szCs w:val="20"/>
                <w:shd w:val="solid" w:color="000000" w:fill="000000"/>
                <w:fitText w:val="343" w:id="-1233498112"/>
                <w14:textFill>
                  <w14:solidFill>
                    <w14:srgbClr w14:val="000000">
                      <w14:alpha w14:val="100000"/>
                    </w14:srgbClr>
                  </w14:solidFill>
                </w14:textFill>
              </w:rPr>
              <w:t>|</w:t>
            </w:r>
            <w:r w:rsidR="00AA73B7" w:rsidRPr="00AA73B7">
              <w:rPr>
                <w:rFonts w:ascii="Arial Narrow" w:hAnsi="Arial Narrow"/>
                <w:b/>
                <w:bCs/>
                <w:sz w:val="20"/>
                <w:szCs w:val="20"/>
              </w:rPr>
              <w:t xml:space="preserve"> </w:t>
            </w:r>
            <w:r w:rsidR="00D9013E" w:rsidRPr="00D139A1">
              <w:rPr>
                <w:rFonts w:ascii="Arial Narrow" w:hAnsi="Arial Narrow"/>
                <w:sz w:val="20"/>
                <w:szCs w:val="20"/>
                <w:vertAlign w:val="superscript"/>
              </w:rPr>
              <w:t>2</w:t>
            </w:r>
            <w:r w:rsidR="003A7836">
              <w:rPr>
                <w:rFonts w:ascii="Arial Narrow" w:hAnsi="Arial Narrow"/>
                <w:sz w:val="20"/>
                <w:szCs w:val="20"/>
                <w:vertAlign w:val="superscript"/>
              </w:rPr>
              <w:t>3</w:t>
            </w:r>
          </w:p>
        </w:tc>
      </w:tr>
      <w:tr w:rsidR="00A01891" w:rsidRPr="0075485D" w14:paraId="6CADFCFC" w14:textId="77777777" w:rsidTr="00E44076">
        <w:tc>
          <w:tcPr>
            <w:tcW w:w="5000" w:type="pct"/>
            <w:gridSpan w:val="14"/>
            <w:vAlign w:val="center"/>
          </w:tcPr>
          <w:p w14:paraId="3D57CF06" w14:textId="77777777" w:rsidR="00A01891" w:rsidRPr="00D139A1" w:rsidRDefault="00A01891" w:rsidP="00661ABB">
            <w:pPr>
              <w:pStyle w:val="Tabletext"/>
              <w:keepLines/>
              <w:rPr>
                <w:b/>
                <w:bCs/>
                <w:szCs w:val="20"/>
              </w:rPr>
            </w:pPr>
            <w:r w:rsidRPr="00D139A1">
              <w:rPr>
                <w:b/>
                <w:bCs/>
                <w:szCs w:val="20"/>
              </w:rPr>
              <w:t>Estimated changes in use and financial impact of currently listed treatments</w:t>
            </w:r>
          </w:p>
        </w:tc>
      </w:tr>
      <w:tr w:rsidR="00D9013E" w:rsidRPr="0075485D" w14:paraId="0B3D3775" w14:textId="77777777" w:rsidTr="00D9013E">
        <w:tc>
          <w:tcPr>
            <w:tcW w:w="978" w:type="pct"/>
            <w:shd w:val="clear" w:color="auto" w:fill="FFFFFF" w:themeFill="background1"/>
            <w:vAlign w:val="center"/>
          </w:tcPr>
          <w:p w14:paraId="69CF35AC" w14:textId="77777777" w:rsidR="00A01891" w:rsidRPr="00D139A1" w:rsidRDefault="00A01891" w:rsidP="00661ABB">
            <w:pPr>
              <w:pStyle w:val="Tabletext"/>
              <w:keepLines/>
              <w:ind w:left="107"/>
              <w:rPr>
                <w:szCs w:val="20"/>
              </w:rPr>
            </w:pPr>
            <w:r w:rsidRPr="00D139A1">
              <w:rPr>
                <w:szCs w:val="20"/>
              </w:rPr>
              <w:t>Enzalutamide</w:t>
            </w:r>
          </w:p>
        </w:tc>
        <w:tc>
          <w:tcPr>
            <w:tcW w:w="582" w:type="pct"/>
            <w:gridSpan w:val="2"/>
            <w:shd w:val="clear" w:color="auto" w:fill="FFFFFF" w:themeFill="background1"/>
            <w:vAlign w:val="center"/>
          </w:tcPr>
          <w:p w14:paraId="4D4AF780" w14:textId="3C32CBD7"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180"/>
                <w:szCs w:val="20"/>
                <w:shd w:val="solid" w:color="000000" w:fill="000000"/>
                <w:fitText w:val="266" w:id="-1233498111"/>
                <w14:textFill>
                  <w14:solidFill>
                    <w14:srgbClr w14:val="000000">
                      <w14:alpha w14:val="100000"/>
                    </w14:srgbClr>
                  </w14:solidFill>
                </w14:textFill>
              </w:rPr>
              <w:t>|</w:t>
            </w:r>
            <w:r w:rsidR="008D2482" w:rsidRPr="008D2482">
              <w:rPr>
                <w:rFonts w:cs="Arial"/>
                <w:color w:val="000000"/>
                <w:spacing w:val="1"/>
                <w:szCs w:val="20"/>
                <w:shd w:val="solid" w:color="000000" w:fill="000000"/>
                <w:fitText w:val="266" w:id="-1233498111"/>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5005D88B" w14:textId="40B03487"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10"/>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1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0B512DAE" w14:textId="021C7E74"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46"/>
                <w:szCs w:val="20"/>
                <w:shd w:val="solid" w:color="000000" w:fill="000000"/>
                <w:fitText w:val="310" w:id="-1233498109"/>
                <w14:textFill>
                  <w14:solidFill>
                    <w14:srgbClr w14:val="000000">
                      <w14:alpha w14:val="100000"/>
                    </w14:srgbClr>
                  </w14:solidFill>
                </w14:textFill>
              </w:rPr>
              <w:t>|||</w:t>
            </w:r>
            <w:r w:rsidR="008D2482" w:rsidRPr="008D2482">
              <w:rPr>
                <w:rFonts w:cs="Arial"/>
                <w:color w:val="000000"/>
                <w:spacing w:val="2"/>
                <w:szCs w:val="20"/>
                <w:shd w:val="solid" w:color="000000" w:fill="000000"/>
                <w:fitText w:val="310" w:id="-1233498109"/>
                <w14:textFill>
                  <w14:solidFill>
                    <w14:srgbClr w14:val="000000">
                      <w14:alpha w14:val="100000"/>
                    </w14:srgbClr>
                  </w14:solidFill>
                </w14:textFill>
              </w:rPr>
              <w:t>|</w:t>
            </w:r>
            <w:r w:rsidR="00AA73B7" w:rsidRPr="00AA73B7">
              <w:rPr>
                <w:rFonts w:cs="Arial"/>
                <w:szCs w:val="20"/>
              </w:rPr>
              <w:t xml:space="preserve"> </w:t>
            </w:r>
            <w:r w:rsidR="00D139A1" w:rsidRPr="00D139A1">
              <w:rPr>
                <w:rFonts w:cs="Arial"/>
                <w:szCs w:val="20"/>
                <w:vertAlign w:val="superscript"/>
              </w:rPr>
              <w:t>14</w:t>
            </w:r>
            <w:r w:rsidRPr="00D139A1">
              <w:rPr>
                <w:rFonts w:cs="Arial"/>
                <w:szCs w:val="20"/>
              </w:rPr>
              <w:t xml:space="preserve"> </w:t>
            </w:r>
          </w:p>
        </w:tc>
        <w:tc>
          <w:tcPr>
            <w:tcW w:w="575" w:type="pct"/>
            <w:gridSpan w:val="2"/>
            <w:shd w:val="clear" w:color="auto" w:fill="FFFFFF" w:themeFill="background1"/>
            <w:vAlign w:val="center"/>
          </w:tcPr>
          <w:p w14:paraId="4452363D" w14:textId="1AB1E31D"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46"/>
                <w:szCs w:val="20"/>
                <w:shd w:val="solid" w:color="000000" w:fill="000000"/>
                <w:fitText w:val="311" w:id="-1233498108"/>
                <w14:textFill>
                  <w14:solidFill>
                    <w14:srgbClr w14:val="000000">
                      <w14:alpha w14:val="100000"/>
                    </w14:srgbClr>
                  </w14:solidFill>
                </w14:textFill>
              </w:rPr>
              <w:t>|||</w:t>
            </w:r>
            <w:r w:rsidR="008D2482" w:rsidRPr="008D2482">
              <w:rPr>
                <w:rFonts w:cs="Arial"/>
                <w:color w:val="000000"/>
                <w:spacing w:val="3"/>
                <w:szCs w:val="20"/>
                <w:shd w:val="solid" w:color="000000" w:fill="000000"/>
                <w:fitText w:val="311" w:id="-1233498108"/>
                <w14:textFill>
                  <w14:solidFill>
                    <w14:srgbClr w14:val="000000">
                      <w14:alpha w14:val="100000"/>
                    </w14:srgbClr>
                  </w14:solidFill>
                </w14:textFill>
              </w:rPr>
              <w:t>|</w:t>
            </w:r>
            <w:r w:rsidR="00AA73B7" w:rsidRPr="00AA73B7">
              <w:rPr>
                <w:rFonts w:cs="Arial"/>
                <w:szCs w:val="20"/>
              </w:rPr>
              <w:t xml:space="preserve"> </w:t>
            </w:r>
            <w:r w:rsidR="00D139A1" w:rsidRPr="00D139A1">
              <w:rPr>
                <w:rFonts w:cs="Arial"/>
                <w:szCs w:val="20"/>
                <w:vertAlign w:val="superscript"/>
              </w:rPr>
              <w:t>14</w:t>
            </w:r>
            <w:r w:rsidRPr="00D139A1">
              <w:rPr>
                <w:rFonts w:cs="Arial"/>
                <w:szCs w:val="20"/>
              </w:rPr>
              <w:t xml:space="preserve"> </w:t>
            </w:r>
          </w:p>
        </w:tc>
        <w:tc>
          <w:tcPr>
            <w:tcW w:w="577" w:type="pct"/>
            <w:gridSpan w:val="2"/>
            <w:shd w:val="clear" w:color="auto" w:fill="FFFFFF" w:themeFill="background1"/>
            <w:vAlign w:val="center"/>
          </w:tcPr>
          <w:p w14:paraId="20F7ADAF" w14:textId="0387DE08"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13"/>
                <w:szCs w:val="20"/>
                <w:shd w:val="solid" w:color="000000" w:fill="000000"/>
                <w:fitText w:val="299" w:id="-1233498107"/>
                <w14:textFill>
                  <w14:solidFill>
                    <w14:srgbClr w14:val="000000">
                      <w14:alpha w14:val="100000"/>
                    </w14:srgbClr>
                  </w14:solidFill>
                </w14:textFill>
              </w:rPr>
              <w:t>|</w:t>
            </w:r>
            <w:r w:rsidR="008D2482" w:rsidRPr="008D2482">
              <w:rPr>
                <w:rFonts w:cs="Arial"/>
                <w:color w:val="000000"/>
                <w:spacing w:val="1"/>
                <w:szCs w:val="20"/>
                <w:shd w:val="solid" w:color="000000" w:fill="000000"/>
                <w:fitText w:val="299" w:id="-1233498107"/>
                <w14:textFill>
                  <w14:solidFill>
                    <w14:srgbClr w14:val="000000">
                      <w14:alpha w14:val="100000"/>
                    </w14:srgbClr>
                  </w14:solidFill>
                </w14:textFill>
              </w:rPr>
              <w:t>|</w:t>
            </w:r>
            <w:r w:rsidR="00AA73B7" w:rsidRPr="00AA73B7">
              <w:rPr>
                <w:rFonts w:cs="Arial"/>
                <w:szCs w:val="20"/>
              </w:rPr>
              <w:t xml:space="preserve"> </w:t>
            </w:r>
            <w:r w:rsidR="00D139A1" w:rsidRPr="00D139A1">
              <w:rPr>
                <w:rFonts w:cs="Arial"/>
                <w:szCs w:val="20"/>
                <w:vertAlign w:val="superscript"/>
              </w:rPr>
              <w:t>14</w:t>
            </w:r>
            <w:r w:rsidRPr="00D139A1">
              <w:rPr>
                <w:rFonts w:cs="Arial"/>
                <w:szCs w:val="20"/>
              </w:rPr>
              <w:t xml:space="preserve"> </w:t>
            </w:r>
          </w:p>
        </w:tc>
        <w:tc>
          <w:tcPr>
            <w:tcW w:w="575" w:type="pct"/>
            <w:gridSpan w:val="2"/>
            <w:shd w:val="clear" w:color="auto" w:fill="FFFFFF" w:themeFill="background1"/>
            <w:vAlign w:val="center"/>
          </w:tcPr>
          <w:p w14:paraId="58CEDF26" w14:textId="7B913D6B"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6"/>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6"/>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3</w:t>
            </w:r>
            <w:r w:rsidR="00AA73B7" w:rsidRPr="00AA73B7">
              <w:rPr>
                <w:rFonts w:cs="Arial"/>
                <w:color w:val="000000"/>
                <w:szCs w:val="20"/>
              </w:rPr>
              <w:t xml:space="preserve"> </w:t>
            </w:r>
            <w:r w:rsidRPr="00D139A1">
              <w:rPr>
                <w:rFonts w:cs="Arial"/>
                <w:szCs w:val="20"/>
              </w:rPr>
              <w:t xml:space="preserve"> </w:t>
            </w:r>
          </w:p>
        </w:tc>
        <w:tc>
          <w:tcPr>
            <w:tcW w:w="563" w:type="pct"/>
            <w:shd w:val="clear" w:color="auto" w:fill="FFFFFF" w:themeFill="background1"/>
            <w:vAlign w:val="center"/>
          </w:tcPr>
          <w:p w14:paraId="1353A713" w14:textId="7D28F5F2" w:rsidR="00A01891" w:rsidRPr="00D139A1" w:rsidRDefault="00A01891" w:rsidP="00661ABB">
            <w:pPr>
              <w:jc w:val="center"/>
              <w:rPr>
                <w:rFonts w:ascii="Arial Narrow" w:hAnsi="Arial Narrow"/>
                <w:sz w:val="20"/>
                <w:szCs w:val="20"/>
              </w:rPr>
            </w:pPr>
            <w:r w:rsidRPr="00D139A1">
              <w:rPr>
                <w:rFonts w:ascii="Arial Narrow" w:hAnsi="Arial Narrow"/>
                <w:sz w:val="20"/>
                <w:szCs w:val="20"/>
              </w:rPr>
              <w:t>-</w:t>
            </w:r>
            <w:r w:rsidR="008D2482" w:rsidRPr="008D2482">
              <w:rPr>
                <w:rFonts w:ascii="Arial Narrow" w:hAnsi="Arial Narrow"/>
                <w:color w:val="000000"/>
                <w:spacing w:val="213"/>
                <w:sz w:val="20"/>
                <w:szCs w:val="20"/>
                <w:shd w:val="solid" w:color="000000" w:fill="000000"/>
                <w:fitText w:val="299" w:id="-1233498105"/>
                <w14:textFill>
                  <w14:solidFill>
                    <w14:srgbClr w14:val="000000">
                      <w14:alpha w14:val="100000"/>
                    </w14:srgbClr>
                  </w14:solidFill>
                </w14:textFill>
              </w:rPr>
              <w:t>|</w:t>
            </w:r>
            <w:r w:rsidR="008D2482" w:rsidRPr="008D2482">
              <w:rPr>
                <w:rFonts w:ascii="Arial Narrow" w:hAnsi="Arial Narrow"/>
                <w:color w:val="000000"/>
                <w:spacing w:val="1"/>
                <w:sz w:val="20"/>
                <w:szCs w:val="20"/>
                <w:shd w:val="solid" w:color="000000" w:fill="000000"/>
                <w:fitText w:val="299" w:id="-1233498105"/>
                <w14:textFill>
                  <w14:solidFill>
                    <w14:srgbClr w14:val="000000">
                      <w14:alpha w14:val="100000"/>
                    </w14:srgbClr>
                  </w14:solidFill>
                </w14:textFill>
              </w:rPr>
              <w:t>|</w:t>
            </w:r>
            <w:r w:rsidR="00AA73B7" w:rsidRPr="00AA73B7">
              <w:rPr>
                <w:rFonts w:ascii="Arial Narrow" w:hAnsi="Arial Narrow"/>
                <w:sz w:val="20"/>
                <w:szCs w:val="20"/>
              </w:rPr>
              <w:t xml:space="preserve"> </w:t>
            </w:r>
            <w:r w:rsidR="003A7836">
              <w:rPr>
                <w:rFonts w:ascii="Arial Narrow" w:hAnsi="Arial Narrow"/>
                <w:sz w:val="20"/>
                <w:szCs w:val="20"/>
                <w:vertAlign w:val="superscript"/>
              </w:rPr>
              <w:t>7</w:t>
            </w:r>
          </w:p>
        </w:tc>
      </w:tr>
      <w:tr w:rsidR="00D9013E" w:rsidRPr="0075485D" w14:paraId="7316C629" w14:textId="77777777" w:rsidTr="00D9013E">
        <w:tc>
          <w:tcPr>
            <w:tcW w:w="978" w:type="pct"/>
            <w:shd w:val="clear" w:color="auto" w:fill="FFFFFF" w:themeFill="background1"/>
            <w:vAlign w:val="center"/>
          </w:tcPr>
          <w:p w14:paraId="468535C8" w14:textId="77777777" w:rsidR="00A01891" w:rsidRPr="00D139A1" w:rsidRDefault="00A01891" w:rsidP="00661ABB">
            <w:pPr>
              <w:pStyle w:val="Tabletext"/>
              <w:keepLines/>
              <w:ind w:left="107"/>
              <w:rPr>
                <w:szCs w:val="20"/>
              </w:rPr>
            </w:pPr>
            <w:r w:rsidRPr="00D139A1">
              <w:rPr>
                <w:szCs w:val="20"/>
              </w:rPr>
              <w:t>Abiraterone</w:t>
            </w:r>
          </w:p>
        </w:tc>
        <w:tc>
          <w:tcPr>
            <w:tcW w:w="582" w:type="pct"/>
            <w:gridSpan w:val="2"/>
            <w:shd w:val="clear" w:color="auto" w:fill="FFFFFF" w:themeFill="background1"/>
            <w:vAlign w:val="center"/>
          </w:tcPr>
          <w:p w14:paraId="7F6D0EEC" w14:textId="506EAC10"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180"/>
                <w:szCs w:val="20"/>
                <w:shd w:val="solid" w:color="000000" w:fill="000000"/>
                <w:fitText w:val="266" w:id="-1233498104"/>
                <w14:textFill>
                  <w14:solidFill>
                    <w14:srgbClr w14:val="000000">
                      <w14:alpha w14:val="100000"/>
                    </w14:srgbClr>
                  </w14:solidFill>
                </w14:textFill>
              </w:rPr>
              <w:t>|</w:t>
            </w:r>
            <w:r w:rsidR="008D2482" w:rsidRPr="008D2482">
              <w:rPr>
                <w:rFonts w:cs="Arial"/>
                <w:color w:val="000000"/>
                <w:spacing w:val="1"/>
                <w:szCs w:val="20"/>
                <w:shd w:val="solid" w:color="000000" w:fill="000000"/>
                <w:fitText w:val="266" w:id="-1233498104"/>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15E268B3" w14:textId="68310F3C"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3"/>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3"/>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29D76356" w14:textId="7660EACE"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2"/>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2"/>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470A9895" w14:textId="2A0822D8"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1"/>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1"/>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7" w:type="pct"/>
            <w:gridSpan w:val="2"/>
            <w:shd w:val="clear" w:color="auto" w:fill="FFFFFF" w:themeFill="background1"/>
            <w:vAlign w:val="center"/>
          </w:tcPr>
          <w:p w14:paraId="7C8C6AC3" w14:textId="1CB1DA94"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0"/>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FFFFFF" w:themeFill="background1"/>
            <w:vAlign w:val="center"/>
          </w:tcPr>
          <w:p w14:paraId="31E8A47D" w14:textId="77EE1933"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46"/>
                <w:szCs w:val="20"/>
                <w:shd w:val="solid" w:color="000000" w:fill="000000"/>
                <w:fitText w:val="311" w:id="-1233498099"/>
                <w14:textFill>
                  <w14:solidFill>
                    <w14:srgbClr w14:val="000000">
                      <w14:alpha w14:val="100000"/>
                    </w14:srgbClr>
                  </w14:solidFill>
                </w14:textFill>
              </w:rPr>
              <w:t>|||</w:t>
            </w:r>
            <w:r w:rsidR="008D2482" w:rsidRPr="008D2482">
              <w:rPr>
                <w:rFonts w:cs="Arial"/>
                <w:color w:val="000000"/>
                <w:spacing w:val="3"/>
                <w:szCs w:val="20"/>
                <w:shd w:val="solid" w:color="000000" w:fill="000000"/>
                <w:fitText w:val="311" w:id="-1233498099"/>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3A7836">
              <w:rPr>
                <w:rFonts w:cs="Arial"/>
                <w:szCs w:val="20"/>
                <w:vertAlign w:val="superscript"/>
              </w:rPr>
              <w:t>4</w:t>
            </w:r>
            <w:r w:rsidRPr="00D139A1">
              <w:rPr>
                <w:rFonts w:cs="Arial"/>
                <w:szCs w:val="20"/>
              </w:rPr>
              <w:t xml:space="preserve"> </w:t>
            </w:r>
          </w:p>
        </w:tc>
        <w:tc>
          <w:tcPr>
            <w:tcW w:w="563" w:type="pct"/>
            <w:shd w:val="clear" w:color="auto" w:fill="FFFFFF" w:themeFill="background1"/>
            <w:vAlign w:val="center"/>
          </w:tcPr>
          <w:p w14:paraId="44FB2DBF" w14:textId="58B1FB02" w:rsidR="00A01891" w:rsidRPr="00D139A1" w:rsidRDefault="00A01891" w:rsidP="00661ABB">
            <w:pPr>
              <w:jc w:val="center"/>
              <w:rPr>
                <w:rFonts w:ascii="Arial Narrow" w:hAnsi="Arial Narrow"/>
                <w:sz w:val="20"/>
                <w:szCs w:val="20"/>
              </w:rPr>
            </w:pPr>
            <w:r w:rsidRPr="00D139A1">
              <w:rPr>
                <w:rFonts w:ascii="Arial Narrow" w:hAnsi="Arial Narrow"/>
                <w:sz w:val="20"/>
                <w:szCs w:val="20"/>
              </w:rPr>
              <w:t>-</w:t>
            </w:r>
            <w:r w:rsidR="008D2482" w:rsidRPr="008D2482">
              <w:rPr>
                <w:rFonts w:ascii="Arial Narrow" w:hAnsi="Arial Narrow"/>
                <w:color w:val="000000"/>
                <w:spacing w:val="213"/>
                <w:sz w:val="20"/>
                <w:szCs w:val="20"/>
                <w:shd w:val="solid" w:color="000000" w:fill="000000"/>
                <w:fitText w:val="299" w:id="-1233498098"/>
                <w14:textFill>
                  <w14:solidFill>
                    <w14:srgbClr w14:val="000000">
                      <w14:alpha w14:val="100000"/>
                    </w14:srgbClr>
                  </w14:solidFill>
                </w14:textFill>
              </w:rPr>
              <w:t>|</w:t>
            </w:r>
            <w:r w:rsidR="008D2482" w:rsidRPr="008D2482">
              <w:rPr>
                <w:rFonts w:ascii="Arial Narrow" w:hAnsi="Arial Narrow"/>
                <w:color w:val="000000"/>
                <w:spacing w:val="1"/>
                <w:sz w:val="20"/>
                <w:szCs w:val="20"/>
                <w:shd w:val="solid" w:color="000000" w:fill="000000"/>
                <w:fitText w:val="299" w:id="-1233498098"/>
                <w14:textFill>
                  <w14:solidFill>
                    <w14:srgbClr w14:val="000000">
                      <w14:alpha w14:val="100000"/>
                    </w14:srgbClr>
                  </w14:solidFill>
                </w14:textFill>
              </w:rPr>
              <w:t>|</w:t>
            </w:r>
            <w:r w:rsidR="00AA73B7" w:rsidRPr="00AA73B7">
              <w:rPr>
                <w:rFonts w:ascii="Arial Narrow" w:hAnsi="Arial Narrow"/>
                <w:sz w:val="20"/>
                <w:szCs w:val="20"/>
              </w:rPr>
              <w:t xml:space="preserve"> </w:t>
            </w:r>
            <w:r w:rsidR="00893089" w:rsidRPr="00D139A1">
              <w:rPr>
                <w:rFonts w:ascii="Arial Narrow" w:hAnsi="Arial Narrow"/>
                <w:sz w:val="20"/>
                <w:szCs w:val="20"/>
                <w:vertAlign w:val="superscript"/>
              </w:rPr>
              <w:t>3</w:t>
            </w:r>
            <w:r w:rsidR="00AA73B7" w:rsidRPr="00AA73B7">
              <w:rPr>
                <w:rFonts w:ascii="Arial Narrow" w:hAnsi="Arial Narrow"/>
                <w:color w:val="000000"/>
                <w:sz w:val="20"/>
                <w:szCs w:val="20"/>
              </w:rPr>
              <w:t xml:space="preserve"> </w:t>
            </w:r>
            <w:r w:rsidRPr="00D139A1">
              <w:rPr>
                <w:rFonts w:ascii="Arial Narrow" w:hAnsi="Arial Narrow"/>
                <w:sz w:val="20"/>
                <w:szCs w:val="20"/>
              </w:rPr>
              <w:t xml:space="preserve"> </w:t>
            </w:r>
          </w:p>
        </w:tc>
      </w:tr>
      <w:tr w:rsidR="00D9013E" w:rsidRPr="0075485D" w14:paraId="48E79662" w14:textId="77777777" w:rsidTr="00D9013E">
        <w:tc>
          <w:tcPr>
            <w:tcW w:w="978" w:type="pct"/>
            <w:shd w:val="clear" w:color="auto" w:fill="FFFFFF" w:themeFill="background1"/>
            <w:vAlign w:val="center"/>
          </w:tcPr>
          <w:p w14:paraId="4BBD0190" w14:textId="77777777" w:rsidR="00A01891" w:rsidRPr="00D139A1" w:rsidRDefault="00A01891" w:rsidP="00661ABB">
            <w:pPr>
              <w:pStyle w:val="Tabletext"/>
              <w:keepLines/>
              <w:ind w:left="107"/>
              <w:rPr>
                <w:szCs w:val="20"/>
              </w:rPr>
            </w:pPr>
            <w:r w:rsidRPr="00D139A1">
              <w:rPr>
                <w:szCs w:val="20"/>
              </w:rPr>
              <w:t>Total</w:t>
            </w:r>
          </w:p>
        </w:tc>
        <w:tc>
          <w:tcPr>
            <w:tcW w:w="582" w:type="pct"/>
            <w:gridSpan w:val="2"/>
            <w:shd w:val="clear" w:color="auto" w:fill="auto"/>
            <w:vAlign w:val="center"/>
          </w:tcPr>
          <w:p w14:paraId="2CF1D618" w14:textId="162CE1AD"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180"/>
                <w:szCs w:val="20"/>
                <w:shd w:val="solid" w:color="000000" w:fill="000000"/>
                <w:fitText w:val="266" w:id="-1233498097"/>
                <w14:textFill>
                  <w14:solidFill>
                    <w14:srgbClr w14:val="000000">
                      <w14:alpha w14:val="100000"/>
                    </w14:srgbClr>
                  </w14:solidFill>
                </w14:textFill>
              </w:rPr>
              <w:t>|</w:t>
            </w:r>
            <w:r w:rsidR="008D2482" w:rsidRPr="008D2482">
              <w:rPr>
                <w:rFonts w:cs="Arial"/>
                <w:color w:val="000000"/>
                <w:spacing w:val="1"/>
                <w:szCs w:val="20"/>
                <w:shd w:val="solid" w:color="000000" w:fill="000000"/>
                <w:fitText w:val="266" w:id="-1233498097"/>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auto"/>
            <w:vAlign w:val="center"/>
          </w:tcPr>
          <w:p w14:paraId="54AF15F5" w14:textId="5AA6A039"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096"/>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096"/>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1</w:t>
            </w:r>
            <w:r w:rsidRPr="00D139A1">
              <w:rPr>
                <w:rFonts w:cs="Arial"/>
                <w:szCs w:val="20"/>
              </w:rPr>
              <w:t xml:space="preserve"> </w:t>
            </w:r>
          </w:p>
        </w:tc>
        <w:tc>
          <w:tcPr>
            <w:tcW w:w="575" w:type="pct"/>
            <w:gridSpan w:val="2"/>
            <w:shd w:val="clear" w:color="auto" w:fill="auto"/>
            <w:vAlign w:val="center"/>
          </w:tcPr>
          <w:p w14:paraId="5BEA3D88" w14:textId="36E0B40B"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46"/>
                <w:szCs w:val="20"/>
                <w:shd w:val="solid" w:color="000000" w:fill="000000"/>
                <w:fitText w:val="310" w:id="-1233498112"/>
                <w14:textFill>
                  <w14:solidFill>
                    <w14:srgbClr w14:val="000000">
                      <w14:alpha w14:val="100000"/>
                    </w14:srgbClr>
                  </w14:solidFill>
                </w14:textFill>
              </w:rPr>
              <w:t>|||</w:t>
            </w:r>
            <w:r w:rsidR="008D2482" w:rsidRPr="008D2482">
              <w:rPr>
                <w:rFonts w:cs="Arial"/>
                <w:color w:val="000000"/>
                <w:spacing w:val="2"/>
                <w:szCs w:val="20"/>
                <w:shd w:val="solid" w:color="000000" w:fill="000000"/>
                <w:fitText w:val="310" w:id="-1233498112"/>
                <w14:textFill>
                  <w14:solidFill>
                    <w14:srgbClr w14:val="000000">
                      <w14:alpha w14:val="100000"/>
                    </w14:srgbClr>
                  </w14:solidFill>
                </w14:textFill>
              </w:rPr>
              <w:t>|</w:t>
            </w:r>
            <w:r w:rsidR="00AA73B7" w:rsidRPr="00AA73B7">
              <w:rPr>
                <w:rFonts w:cs="Arial"/>
                <w:szCs w:val="20"/>
              </w:rPr>
              <w:t xml:space="preserve"> </w:t>
            </w:r>
            <w:r w:rsidR="00D139A1" w:rsidRPr="00D139A1">
              <w:rPr>
                <w:rFonts w:cs="Arial"/>
                <w:szCs w:val="20"/>
                <w:vertAlign w:val="superscript"/>
              </w:rPr>
              <w:t>14</w:t>
            </w:r>
          </w:p>
        </w:tc>
        <w:tc>
          <w:tcPr>
            <w:tcW w:w="575" w:type="pct"/>
            <w:gridSpan w:val="2"/>
            <w:shd w:val="clear" w:color="auto" w:fill="auto"/>
            <w:vAlign w:val="center"/>
          </w:tcPr>
          <w:p w14:paraId="444768F7" w14:textId="15B1D5B1"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11"/>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11"/>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3</w:t>
            </w:r>
            <w:r w:rsidR="00AA73B7" w:rsidRPr="00AA73B7">
              <w:rPr>
                <w:rFonts w:cs="Arial"/>
                <w:color w:val="000000"/>
                <w:szCs w:val="20"/>
              </w:rPr>
              <w:t xml:space="preserve"> </w:t>
            </w:r>
            <w:r w:rsidRPr="00D139A1">
              <w:rPr>
                <w:rFonts w:cs="Arial"/>
                <w:szCs w:val="20"/>
              </w:rPr>
              <w:t xml:space="preserve"> </w:t>
            </w:r>
          </w:p>
        </w:tc>
        <w:tc>
          <w:tcPr>
            <w:tcW w:w="577" w:type="pct"/>
            <w:gridSpan w:val="2"/>
            <w:shd w:val="clear" w:color="auto" w:fill="auto"/>
            <w:vAlign w:val="center"/>
          </w:tcPr>
          <w:p w14:paraId="0292AE6A" w14:textId="7C770587"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10"/>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1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3</w:t>
            </w:r>
            <w:r w:rsidR="00AA73B7" w:rsidRPr="00AA73B7">
              <w:rPr>
                <w:rFonts w:cs="Arial"/>
                <w:color w:val="000000"/>
                <w:szCs w:val="20"/>
              </w:rPr>
              <w:t xml:space="preserve"> </w:t>
            </w:r>
            <w:r w:rsidRPr="00D139A1">
              <w:rPr>
                <w:rFonts w:cs="Arial"/>
                <w:szCs w:val="20"/>
              </w:rPr>
              <w:t xml:space="preserve"> </w:t>
            </w:r>
          </w:p>
        </w:tc>
        <w:tc>
          <w:tcPr>
            <w:tcW w:w="575" w:type="pct"/>
            <w:gridSpan w:val="2"/>
            <w:shd w:val="clear" w:color="auto" w:fill="auto"/>
            <w:vAlign w:val="center"/>
          </w:tcPr>
          <w:p w14:paraId="5039D473" w14:textId="7133605D" w:rsidR="00A01891" w:rsidRPr="00D139A1" w:rsidRDefault="00A01891" w:rsidP="00661ABB">
            <w:pPr>
              <w:pStyle w:val="Tabletext"/>
              <w:keepLines/>
              <w:jc w:val="center"/>
              <w:rPr>
                <w:szCs w:val="20"/>
              </w:rPr>
            </w:pPr>
            <w:r w:rsidRPr="00D139A1">
              <w:rPr>
                <w:rFonts w:cs="Arial"/>
                <w:szCs w:val="20"/>
              </w:rPr>
              <w:t>-</w:t>
            </w:r>
            <w:r w:rsidR="008D2482" w:rsidRPr="008D2482">
              <w:rPr>
                <w:rFonts w:cs="Arial"/>
                <w:color w:val="000000"/>
                <w:spacing w:val="202"/>
                <w:szCs w:val="20"/>
                <w:shd w:val="solid" w:color="000000" w:fill="000000"/>
                <w:fitText w:val="288" w:id="-1233498109"/>
                <w14:textFill>
                  <w14:solidFill>
                    <w14:srgbClr w14:val="000000">
                      <w14:alpha w14:val="100000"/>
                    </w14:srgbClr>
                  </w14:solidFill>
                </w14:textFill>
              </w:rPr>
              <w:t>|</w:t>
            </w:r>
            <w:r w:rsidR="008D2482" w:rsidRPr="008D2482">
              <w:rPr>
                <w:rFonts w:cs="Arial"/>
                <w:color w:val="000000"/>
                <w:spacing w:val="1"/>
                <w:szCs w:val="20"/>
                <w:shd w:val="solid" w:color="000000" w:fill="000000"/>
                <w:fitText w:val="288" w:id="-1233498109"/>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3</w:t>
            </w:r>
          </w:p>
        </w:tc>
        <w:tc>
          <w:tcPr>
            <w:tcW w:w="563" w:type="pct"/>
            <w:vAlign w:val="center"/>
          </w:tcPr>
          <w:p w14:paraId="5598259B" w14:textId="29810084" w:rsidR="00A01891" w:rsidRPr="00D139A1" w:rsidRDefault="00A01891" w:rsidP="00661ABB">
            <w:pPr>
              <w:jc w:val="center"/>
              <w:rPr>
                <w:rFonts w:ascii="Arial Narrow" w:hAnsi="Arial Narrow"/>
                <w:b/>
                <w:bCs/>
                <w:color w:val="000000"/>
                <w:sz w:val="20"/>
                <w:szCs w:val="20"/>
              </w:rPr>
            </w:pPr>
            <w:r w:rsidRPr="00D139A1">
              <w:rPr>
                <w:rFonts w:ascii="Arial Narrow" w:hAnsi="Arial Narrow"/>
                <w:b/>
                <w:bCs/>
                <w:sz w:val="20"/>
                <w:szCs w:val="20"/>
              </w:rPr>
              <w:t>-</w:t>
            </w:r>
            <w:r w:rsidR="008D2482" w:rsidRPr="008D2482">
              <w:rPr>
                <w:rFonts w:ascii="Arial Narrow" w:hAnsi="Arial Narrow"/>
                <w:b/>
                <w:bCs/>
                <w:color w:val="000000"/>
                <w:spacing w:val="64"/>
                <w:sz w:val="20"/>
                <w:szCs w:val="20"/>
                <w:shd w:val="solid" w:color="000000" w:fill="000000"/>
                <w:fitText w:val="376" w:id="-1233498108"/>
                <w14:textFill>
                  <w14:solidFill>
                    <w14:srgbClr w14:val="000000">
                      <w14:alpha w14:val="100000"/>
                    </w14:srgbClr>
                  </w14:solidFill>
                </w14:textFill>
              </w:rPr>
              <w:t>|||</w:t>
            </w:r>
            <w:r w:rsidR="008D2482" w:rsidRPr="008D2482">
              <w:rPr>
                <w:rFonts w:ascii="Arial Narrow" w:hAnsi="Arial Narrow"/>
                <w:b/>
                <w:bCs/>
                <w:color w:val="000000"/>
                <w:spacing w:val="1"/>
                <w:sz w:val="20"/>
                <w:szCs w:val="20"/>
                <w:shd w:val="solid" w:color="000000" w:fill="000000"/>
                <w:fitText w:val="376" w:id="-1233498108"/>
                <w14:textFill>
                  <w14:solidFill>
                    <w14:srgbClr w14:val="000000">
                      <w14:alpha w14:val="100000"/>
                    </w14:srgbClr>
                  </w14:solidFill>
                </w14:textFill>
              </w:rPr>
              <w:t>|</w:t>
            </w:r>
            <w:r w:rsidR="00AA73B7" w:rsidRPr="00AA73B7">
              <w:rPr>
                <w:rFonts w:ascii="Arial Narrow" w:hAnsi="Arial Narrow"/>
                <w:b/>
                <w:bCs/>
                <w:sz w:val="20"/>
                <w:szCs w:val="20"/>
              </w:rPr>
              <w:t xml:space="preserve"> </w:t>
            </w:r>
            <w:r w:rsidR="00D139A1" w:rsidRPr="00D139A1">
              <w:rPr>
                <w:rFonts w:ascii="Arial Narrow" w:hAnsi="Arial Narrow"/>
                <w:sz w:val="20"/>
                <w:szCs w:val="20"/>
                <w:vertAlign w:val="superscript"/>
              </w:rPr>
              <w:t>15</w:t>
            </w:r>
            <w:r w:rsidRPr="00D139A1">
              <w:rPr>
                <w:rFonts w:ascii="Arial Narrow" w:hAnsi="Arial Narrow"/>
                <w:b/>
                <w:bCs/>
                <w:sz w:val="20"/>
                <w:szCs w:val="20"/>
              </w:rPr>
              <w:t xml:space="preserve"> </w:t>
            </w:r>
          </w:p>
        </w:tc>
      </w:tr>
      <w:tr w:rsidR="00D9013E" w:rsidRPr="0075485D" w14:paraId="7DA6E9AE" w14:textId="77777777" w:rsidTr="00D9013E">
        <w:tc>
          <w:tcPr>
            <w:tcW w:w="978" w:type="pct"/>
            <w:shd w:val="clear" w:color="auto" w:fill="auto"/>
            <w:vAlign w:val="center"/>
          </w:tcPr>
          <w:p w14:paraId="7780F6BA" w14:textId="654E4622" w:rsidR="00A01891" w:rsidRPr="00D139A1" w:rsidRDefault="00A01891" w:rsidP="00661ABB">
            <w:pPr>
              <w:pStyle w:val="Tabletext"/>
              <w:keepLines/>
              <w:rPr>
                <w:szCs w:val="20"/>
              </w:rPr>
            </w:pPr>
            <w:r w:rsidRPr="00D139A1">
              <w:rPr>
                <w:szCs w:val="20"/>
              </w:rPr>
              <w:t>Cost PBS/RPBS</w:t>
            </w:r>
            <w:r w:rsidR="009800DE" w:rsidRPr="00D139A1">
              <w:rPr>
                <w:szCs w:val="20"/>
              </w:rPr>
              <w:t xml:space="preserve"> ($)</w:t>
            </w:r>
          </w:p>
        </w:tc>
        <w:tc>
          <w:tcPr>
            <w:tcW w:w="582" w:type="pct"/>
            <w:gridSpan w:val="2"/>
            <w:shd w:val="clear" w:color="auto" w:fill="auto"/>
            <w:vAlign w:val="center"/>
          </w:tcPr>
          <w:p w14:paraId="29864890" w14:textId="0357BE79"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07"/>
                <w14:textFill>
                  <w14:solidFill>
                    <w14:srgbClr w14:val="000000">
                      <w14:alpha w14:val="100000"/>
                    </w14:srgbClr>
                  </w14:solidFill>
                </w14:textFill>
              </w:rPr>
              <w:t>|</w:t>
            </w:r>
            <w:r w:rsidRPr="008D2482">
              <w:rPr>
                <w:rFonts w:cs="Arial"/>
                <w:color w:val="000000"/>
                <w:spacing w:val="1"/>
                <w:szCs w:val="20"/>
                <w:shd w:val="solid" w:color="000000" w:fill="000000"/>
                <w:fitText w:val="255" w:id="-1233498107"/>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1F9A940E" w14:textId="2AE88DAE"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6"/>
                <w14:textFill>
                  <w14:solidFill>
                    <w14:srgbClr w14:val="000000">
                      <w14:alpha w14:val="100000"/>
                    </w14:srgbClr>
                  </w14:solidFill>
                </w14:textFill>
              </w:rPr>
              <w:t>|</w:t>
            </w:r>
            <w:r w:rsidRPr="008D2482">
              <w:rPr>
                <w:rFonts w:cs="Arial"/>
                <w:color w:val="000000"/>
                <w:spacing w:val="1"/>
                <w:szCs w:val="20"/>
                <w:shd w:val="solid" w:color="000000" w:fill="000000"/>
                <w:fitText w:val="243" w:id="-1233498106"/>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082EAB77" w14:textId="1524819D" w:rsidR="00A01891" w:rsidRPr="00D139A1" w:rsidRDefault="008D2482" w:rsidP="00661ABB">
            <w:pPr>
              <w:pStyle w:val="Tabletext"/>
              <w:keepLines/>
              <w:jc w:val="center"/>
              <w:rPr>
                <w:szCs w:val="20"/>
                <w:highlight w:val="darkGray"/>
              </w:rPr>
            </w:pPr>
            <w:r w:rsidRPr="008D2482">
              <w:rPr>
                <w:rFonts w:cs="Arial"/>
                <w:color w:val="000000"/>
                <w:spacing w:val="158"/>
                <w:szCs w:val="20"/>
                <w:shd w:val="solid" w:color="000000" w:fill="000000"/>
                <w:fitText w:val="244" w:id="-1233498105"/>
                <w14:textFill>
                  <w14:solidFill>
                    <w14:srgbClr w14:val="000000">
                      <w14:alpha w14:val="100000"/>
                    </w14:srgbClr>
                  </w14:solidFill>
                </w14:textFill>
              </w:rPr>
              <w:t>|</w:t>
            </w:r>
            <w:r w:rsidRPr="008D2482">
              <w:rPr>
                <w:rFonts w:cs="Arial"/>
                <w:color w:val="000000"/>
                <w:spacing w:val="1"/>
                <w:szCs w:val="20"/>
                <w:shd w:val="solid" w:color="000000" w:fill="000000"/>
                <w:fitText w:val="244" w:id="-1233498105"/>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0174A78F" w14:textId="2FFF4420"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4"/>
                <w14:textFill>
                  <w14:solidFill>
                    <w14:srgbClr w14:val="000000">
                      <w14:alpha w14:val="100000"/>
                    </w14:srgbClr>
                  </w14:solidFill>
                </w14:textFill>
              </w:rPr>
              <w:t>|</w:t>
            </w:r>
            <w:r w:rsidRPr="008D2482">
              <w:rPr>
                <w:rFonts w:cs="Arial"/>
                <w:color w:val="000000"/>
                <w:spacing w:val="1"/>
                <w:szCs w:val="20"/>
                <w:shd w:val="solid" w:color="000000" w:fill="000000"/>
                <w:fitText w:val="243" w:id="-1233498104"/>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7" w:type="pct"/>
            <w:gridSpan w:val="2"/>
            <w:shd w:val="clear" w:color="auto" w:fill="auto"/>
            <w:vAlign w:val="center"/>
          </w:tcPr>
          <w:p w14:paraId="734CDCAE" w14:textId="0353A1DA" w:rsidR="00A01891" w:rsidRPr="00D139A1" w:rsidRDefault="008D2482" w:rsidP="00661ABB">
            <w:pPr>
              <w:pStyle w:val="Tabletext"/>
              <w:keepLines/>
              <w:jc w:val="center"/>
              <w:rPr>
                <w:szCs w:val="20"/>
                <w:highlight w:val="darkGray"/>
              </w:rPr>
            </w:pPr>
            <w:r w:rsidRPr="008D2482">
              <w:rPr>
                <w:rFonts w:cs="Arial"/>
                <w:color w:val="000000"/>
                <w:spacing w:val="158"/>
                <w:szCs w:val="20"/>
                <w:shd w:val="solid" w:color="000000" w:fill="000000"/>
                <w:fitText w:val="244" w:id="-1233498103"/>
                <w14:textFill>
                  <w14:solidFill>
                    <w14:srgbClr w14:val="000000">
                      <w14:alpha w14:val="100000"/>
                    </w14:srgbClr>
                  </w14:solidFill>
                </w14:textFill>
              </w:rPr>
              <w:t>|</w:t>
            </w:r>
            <w:r w:rsidRPr="008D2482">
              <w:rPr>
                <w:rFonts w:cs="Arial"/>
                <w:color w:val="000000"/>
                <w:spacing w:val="1"/>
                <w:szCs w:val="20"/>
                <w:shd w:val="solid" w:color="000000" w:fill="000000"/>
                <w:fitText w:val="244" w:id="-1233498103"/>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66BB0734" w14:textId="5E9EBFB3"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2"/>
                <w14:textFill>
                  <w14:solidFill>
                    <w14:srgbClr w14:val="000000">
                      <w14:alpha w14:val="100000"/>
                    </w14:srgbClr>
                  </w14:solidFill>
                </w14:textFill>
              </w:rPr>
              <w:t>|</w:t>
            </w:r>
            <w:r w:rsidRPr="008D2482">
              <w:rPr>
                <w:rFonts w:cs="Arial"/>
                <w:color w:val="000000"/>
                <w:spacing w:val="1"/>
                <w:szCs w:val="20"/>
                <w:shd w:val="solid" w:color="000000" w:fill="000000"/>
                <w:fitText w:val="243" w:id="-1233498102"/>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63" w:type="pct"/>
            <w:vAlign w:val="center"/>
          </w:tcPr>
          <w:p w14:paraId="30105558" w14:textId="4C2D5323" w:rsidR="00A01891" w:rsidRPr="00D139A1" w:rsidRDefault="008D2482" w:rsidP="00661ABB">
            <w:pPr>
              <w:jc w:val="center"/>
              <w:rPr>
                <w:rFonts w:ascii="Arial Narrow" w:hAnsi="Arial Narrow"/>
                <w:b/>
                <w:bCs/>
                <w:sz w:val="20"/>
                <w:szCs w:val="20"/>
                <w:highlight w:val="darkGray"/>
              </w:rPr>
            </w:pPr>
            <w:r w:rsidRPr="008D2482">
              <w:rPr>
                <w:rFonts w:ascii="Arial Narrow" w:hAnsi="Arial Narrow"/>
                <w:b/>
                <w:bCs/>
                <w:color w:val="000000"/>
                <w:spacing w:val="45"/>
                <w:sz w:val="20"/>
                <w:szCs w:val="20"/>
                <w:shd w:val="solid" w:color="000000" w:fill="000000"/>
                <w:fitText w:val="321" w:id="-1233498101"/>
                <w14:textFill>
                  <w14:solidFill>
                    <w14:srgbClr w14:val="000000">
                      <w14:alpha w14:val="100000"/>
                    </w14:srgbClr>
                  </w14:solidFill>
                </w14:textFill>
              </w:rPr>
              <w:t>|||</w:t>
            </w:r>
            <w:r w:rsidRPr="008D2482">
              <w:rPr>
                <w:rFonts w:ascii="Arial Narrow" w:hAnsi="Arial Narrow"/>
                <w:b/>
                <w:bCs/>
                <w:color w:val="000000"/>
                <w:spacing w:val="3"/>
                <w:sz w:val="20"/>
                <w:szCs w:val="20"/>
                <w:shd w:val="solid" w:color="000000" w:fill="000000"/>
                <w:fitText w:val="321" w:id="-1233498101"/>
                <w14:textFill>
                  <w14:solidFill>
                    <w14:srgbClr w14:val="000000">
                      <w14:alpha w14:val="100000"/>
                    </w14:srgbClr>
                  </w14:solidFill>
                </w14:textFill>
              </w:rPr>
              <w:t>|</w:t>
            </w:r>
            <w:r w:rsidR="00AA73B7" w:rsidRPr="00AA73B7">
              <w:rPr>
                <w:rFonts w:ascii="Arial Narrow" w:hAnsi="Arial Narrow"/>
                <w:b/>
                <w:bCs/>
                <w:sz w:val="20"/>
                <w:szCs w:val="20"/>
              </w:rPr>
              <w:t xml:space="preserve"> </w:t>
            </w:r>
            <w:r w:rsidR="00893089" w:rsidRPr="00D139A1">
              <w:rPr>
                <w:rFonts w:ascii="Arial Narrow" w:hAnsi="Arial Narrow"/>
                <w:sz w:val="20"/>
                <w:szCs w:val="20"/>
                <w:vertAlign w:val="superscript"/>
              </w:rPr>
              <w:t>5</w:t>
            </w:r>
          </w:p>
        </w:tc>
      </w:tr>
      <w:tr w:rsidR="00D9013E" w:rsidRPr="0075485D" w14:paraId="2F2A1B5B" w14:textId="77777777" w:rsidTr="00D9013E">
        <w:tc>
          <w:tcPr>
            <w:tcW w:w="978" w:type="pct"/>
            <w:shd w:val="clear" w:color="auto" w:fill="auto"/>
            <w:vAlign w:val="center"/>
          </w:tcPr>
          <w:p w14:paraId="075FBAD1" w14:textId="2CAFFB0C" w:rsidR="00A01891" w:rsidRPr="00D139A1" w:rsidRDefault="00A01891" w:rsidP="00661ABB">
            <w:pPr>
              <w:pStyle w:val="Tabletext"/>
              <w:keepLines/>
              <w:rPr>
                <w:szCs w:val="20"/>
              </w:rPr>
            </w:pPr>
            <w:r w:rsidRPr="00D139A1">
              <w:rPr>
                <w:szCs w:val="20"/>
              </w:rPr>
              <w:t>Net cost</w:t>
            </w:r>
            <w:r w:rsidRPr="00D139A1">
              <w:rPr>
                <w:szCs w:val="20"/>
                <w:vertAlign w:val="superscript"/>
              </w:rPr>
              <w:t>b</w:t>
            </w:r>
            <w:r w:rsidRPr="00D139A1">
              <w:rPr>
                <w:szCs w:val="20"/>
              </w:rPr>
              <w:t xml:space="preserve"> PBS/RPBS </w:t>
            </w:r>
            <w:r w:rsidR="009800DE" w:rsidRPr="00D139A1">
              <w:rPr>
                <w:szCs w:val="20"/>
              </w:rPr>
              <w:t>($)</w:t>
            </w:r>
          </w:p>
        </w:tc>
        <w:tc>
          <w:tcPr>
            <w:tcW w:w="582" w:type="pct"/>
            <w:gridSpan w:val="2"/>
            <w:shd w:val="clear" w:color="auto" w:fill="auto"/>
            <w:vAlign w:val="center"/>
          </w:tcPr>
          <w:p w14:paraId="7E8E881D" w14:textId="075A8D03"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00"/>
                <w14:textFill>
                  <w14:solidFill>
                    <w14:srgbClr w14:val="000000">
                      <w14:alpha w14:val="100000"/>
                    </w14:srgbClr>
                  </w14:solidFill>
                </w14:textFill>
              </w:rPr>
              <w:t>|</w:t>
            </w:r>
            <w:r w:rsidRPr="008D2482">
              <w:rPr>
                <w:rFonts w:cs="Arial"/>
                <w:color w:val="000000"/>
                <w:spacing w:val="1"/>
                <w:szCs w:val="20"/>
                <w:shd w:val="solid" w:color="000000" w:fill="000000"/>
                <w:fitText w:val="255" w:id="-1233498100"/>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3D08B679" w14:textId="33B52F88"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099"/>
                <w14:textFill>
                  <w14:solidFill>
                    <w14:srgbClr w14:val="000000">
                      <w14:alpha w14:val="100000"/>
                    </w14:srgbClr>
                  </w14:solidFill>
                </w14:textFill>
              </w:rPr>
              <w:t>|</w:t>
            </w:r>
            <w:r w:rsidRPr="008D2482">
              <w:rPr>
                <w:rFonts w:cs="Arial"/>
                <w:color w:val="000000"/>
                <w:spacing w:val="1"/>
                <w:szCs w:val="20"/>
                <w:shd w:val="solid" w:color="000000" w:fill="000000"/>
                <w:fitText w:val="243" w:id="-1233498099"/>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124D1634" w14:textId="79F2DDC2" w:rsidR="00A01891" w:rsidRPr="00D139A1" w:rsidRDefault="008D2482" w:rsidP="00661ABB">
            <w:pPr>
              <w:pStyle w:val="Tabletext"/>
              <w:keepLines/>
              <w:jc w:val="center"/>
              <w:rPr>
                <w:szCs w:val="20"/>
                <w:highlight w:val="darkGray"/>
              </w:rPr>
            </w:pPr>
            <w:r w:rsidRPr="008D2482">
              <w:rPr>
                <w:rFonts w:cs="Arial"/>
                <w:color w:val="000000"/>
                <w:spacing w:val="158"/>
                <w:szCs w:val="20"/>
                <w:shd w:val="solid" w:color="000000" w:fill="000000"/>
                <w:fitText w:val="244" w:id="-1233498098"/>
                <w14:textFill>
                  <w14:solidFill>
                    <w14:srgbClr w14:val="000000">
                      <w14:alpha w14:val="100000"/>
                    </w14:srgbClr>
                  </w14:solidFill>
                </w14:textFill>
              </w:rPr>
              <w:t>|</w:t>
            </w:r>
            <w:r w:rsidRPr="008D2482">
              <w:rPr>
                <w:rFonts w:cs="Arial"/>
                <w:color w:val="000000"/>
                <w:spacing w:val="1"/>
                <w:szCs w:val="20"/>
                <w:shd w:val="solid" w:color="000000" w:fill="000000"/>
                <w:fitText w:val="244" w:id="-1233498098"/>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32597EFD" w14:textId="6EEC44C7"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097"/>
                <w14:textFill>
                  <w14:solidFill>
                    <w14:srgbClr w14:val="000000">
                      <w14:alpha w14:val="100000"/>
                    </w14:srgbClr>
                  </w14:solidFill>
                </w14:textFill>
              </w:rPr>
              <w:t>|</w:t>
            </w:r>
            <w:r w:rsidRPr="008D2482">
              <w:rPr>
                <w:rFonts w:cs="Arial"/>
                <w:color w:val="000000"/>
                <w:spacing w:val="1"/>
                <w:szCs w:val="20"/>
                <w:shd w:val="solid" w:color="000000" w:fill="000000"/>
                <w:fitText w:val="243" w:id="-1233498097"/>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7" w:type="pct"/>
            <w:gridSpan w:val="2"/>
            <w:shd w:val="clear" w:color="auto" w:fill="auto"/>
            <w:vAlign w:val="center"/>
          </w:tcPr>
          <w:p w14:paraId="2E698F4C" w14:textId="78B87097" w:rsidR="00A01891" w:rsidRPr="00D139A1" w:rsidRDefault="008D2482" w:rsidP="00661ABB">
            <w:pPr>
              <w:pStyle w:val="Tabletext"/>
              <w:keepLines/>
              <w:jc w:val="center"/>
              <w:rPr>
                <w:szCs w:val="20"/>
                <w:highlight w:val="darkGray"/>
              </w:rPr>
            </w:pPr>
            <w:r w:rsidRPr="008D2482">
              <w:rPr>
                <w:rFonts w:cs="Arial"/>
                <w:color w:val="000000"/>
                <w:spacing w:val="158"/>
                <w:szCs w:val="20"/>
                <w:shd w:val="solid" w:color="000000" w:fill="000000"/>
                <w:fitText w:val="244" w:id="-1233498096"/>
                <w14:textFill>
                  <w14:solidFill>
                    <w14:srgbClr w14:val="000000">
                      <w14:alpha w14:val="100000"/>
                    </w14:srgbClr>
                  </w14:solidFill>
                </w14:textFill>
              </w:rPr>
              <w:t>|</w:t>
            </w:r>
            <w:r w:rsidRPr="008D2482">
              <w:rPr>
                <w:rFonts w:cs="Arial"/>
                <w:color w:val="000000"/>
                <w:spacing w:val="1"/>
                <w:szCs w:val="20"/>
                <w:shd w:val="solid" w:color="000000" w:fill="000000"/>
                <w:fitText w:val="244" w:id="-1233498096"/>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75" w:type="pct"/>
            <w:gridSpan w:val="2"/>
            <w:shd w:val="clear" w:color="auto" w:fill="auto"/>
            <w:vAlign w:val="center"/>
          </w:tcPr>
          <w:p w14:paraId="22AB12DB" w14:textId="6F562D1B"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12"/>
                <w14:textFill>
                  <w14:solidFill>
                    <w14:srgbClr w14:val="000000">
                      <w14:alpha w14:val="100000"/>
                    </w14:srgbClr>
                  </w14:solidFill>
                </w14:textFill>
              </w:rPr>
              <w:t>|</w:t>
            </w:r>
            <w:r w:rsidRPr="008D2482">
              <w:rPr>
                <w:rFonts w:cs="Arial"/>
                <w:color w:val="000000"/>
                <w:spacing w:val="1"/>
                <w:szCs w:val="20"/>
                <w:shd w:val="solid" w:color="000000" w:fill="000000"/>
                <w:fitText w:val="243" w:id="-1233498112"/>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5</w:t>
            </w:r>
          </w:p>
        </w:tc>
        <w:tc>
          <w:tcPr>
            <w:tcW w:w="563" w:type="pct"/>
            <w:vAlign w:val="center"/>
          </w:tcPr>
          <w:p w14:paraId="17FF1089" w14:textId="3198BC4F" w:rsidR="00A01891" w:rsidRPr="00D139A1" w:rsidRDefault="008D2482" w:rsidP="00661ABB">
            <w:pPr>
              <w:jc w:val="center"/>
              <w:rPr>
                <w:rFonts w:ascii="Arial Narrow" w:hAnsi="Arial Narrow"/>
                <w:b/>
                <w:bCs/>
                <w:sz w:val="20"/>
                <w:szCs w:val="20"/>
                <w:highlight w:val="darkGray"/>
              </w:rPr>
            </w:pPr>
            <w:r w:rsidRPr="008D2482">
              <w:rPr>
                <w:rFonts w:ascii="Arial Narrow" w:hAnsi="Arial Narrow"/>
                <w:b/>
                <w:bCs/>
                <w:color w:val="000000"/>
                <w:spacing w:val="45"/>
                <w:sz w:val="20"/>
                <w:szCs w:val="20"/>
                <w:shd w:val="solid" w:color="000000" w:fill="000000"/>
                <w:fitText w:val="321" w:id="-1233498111"/>
                <w14:textFill>
                  <w14:solidFill>
                    <w14:srgbClr w14:val="000000">
                      <w14:alpha w14:val="100000"/>
                    </w14:srgbClr>
                  </w14:solidFill>
                </w14:textFill>
              </w:rPr>
              <w:t>|||</w:t>
            </w:r>
            <w:r w:rsidRPr="008D2482">
              <w:rPr>
                <w:rFonts w:ascii="Arial Narrow" w:hAnsi="Arial Narrow"/>
                <w:b/>
                <w:bCs/>
                <w:color w:val="000000"/>
                <w:spacing w:val="3"/>
                <w:sz w:val="20"/>
                <w:szCs w:val="20"/>
                <w:shd w:val="solid" w:color="000000" w:fill="000000"/>
                <w:fitText w:val="321" w:id="-1233498111"/>
                <w14:textFill>
                  <w14:solidFill>
                    <w14:srgbClr w14:val="000000">
                      <w14:alpha w14:val="100000"/>
                    </w14:srgbClr>
                  </w14:solidFill>
                </w14:textFill>
              </w:rPr>
              <w:t>|</w:t>
            </w:r>
            <w:r w:rsidR="00AA73B7" w:rsidRPr="00AA73B7">
              <w:rPr>
                <w:rFonts w:ascii="Arial Narrow" w:hAnsi="Arial Narrow"/>
                <w:b/>
                <w:bCs/>
                <w:sz w:val="20"/>
                <w:szCs w:val="20"/>
              </w:rPr>
              <w:t xml:space="preserve"> </w:t>
            </w:r>
            <w:r w:rsidR="00893089" w:rsidRPr="00D139A1">
              <w:rPr>
                <w:rFonts w:ascii="Arial Narrow" w:hAnsi="Arial Narrow"/>
                <w:sz w:val="20"/>
                <w:szCs w:val="20"/>
                <w:vertAlign w:val="superscript"/>
              </w:rPr>
              <w:t>5</w:t>
            </w:r>
          </w:p>
        </w:tc>
      </w:tr>
      <w:tr w:rsidR="00A01891" w:rsidRPr="0075485D" w14:paraId="2448D2D5" w14:textId="77777777" w:rsidTr="00E44076">
        <w:tc>
          <w:tcPr>
            <w:tcW w:w="5000" w:type="pct"/>
            <w:gridSpan w:val="14"/>
            <w:shd w:val="clear" w:color="auto" w:fill="auto"/>
            <w:vAlign w:val="center"/>
          </w:tcPr>
          <w:p w14:paraId="7D6845C0" w14:textId="77777777" w:rsidR="00A01891" w:rsidRPr="00D139A1" w:rsidRDefault="00A01891" w:rsidP="00661ABB">
            <w:pPr>
              <w:pStyle w:val="Tabletext"/>
              <w:keepLines/>
              <w:rPr>
                <w:b/>
                <w:bCs/>
                <w:szCs w:val="20"/>
              </w:rPr>
            </w:pPr>
            <w:r w:rsidRPr="00D139A1">
              <w:rPr>
                <w:b/>
                <w:bCs/>
                <w:szCs w:val="20"/>
              </w:rPr>
              <w:t>Net financial implications to government</w:t>
            </w:r>
          </w:p>
        </w:tc>
      </w:tr>
      <w:tr w:rsidR="00D9013E" w:rsidRPr="0075485D" w14:paraId="15200F74" w14:textId="77777777" w:rsidTr="00D9013E">
        <w:tc>
          <w:tcPr>
            <w:tcW w:w="978" w:type="pct"/>
            <w:shd w:val="clear" w:color="auto" w:fill="auto"/>
            <w:vAlign w:val="center"/>
          </w:tcPr>
          <w:p w14:paraId="18CD076E" w14:textId="5E65B407" w:rsidR="00A01891" w:rsidRPr="00D139A1" w:rsidRDefault="00A01891" w:rsidP="00661ABB">
            <w:pPr>
              <w:pStyle w:val="Tabletext"/>
              <w:keepLines/>
              <w:rPr>
                <w:szCs w:val="20"/>
              </w:rPr>
            </w:pPr>
            <w:r w:rsidRPr="00D139A1">
              <w:rPr>
                <w:szCs w:val="20"/>
              </w:rPr>
              <w:t>Total cost PBS/RPBS</w:t>
            </w:r>
            <w:r w:rsidR="009800DE" w:rsidRPr="00D139A1">
              <w:rPr>
                <w:szCs w:val="20"/>
              </w:rPr>
              <w:t xml:space="preserve"> ($)</w:t>
            </w:r>
          </w:p>
        </w:tc>
        <w:tc>
          <w:tcPr>
            <w:tcW w:w="582" w:type="pct"/>
            <w:gridSpan w:val="2"/>
            <w:shd w:val="clear" w:color="auto" w:fill="auto"/>
            <w:vAlign w:val="center"/>
          </w:tcPr>
          <w:p w14:paraId="0CA2B678" w14:textId="610890B7" w:rsidR="00A01891" w:rsidRPr="00D139A1" w:rsidRDefault="008D2482" w:rsidP="00661ABB">
            <w:pPr>
              <w:pStyle w:val="Tabletext"/>
              <w:keepLines/>
              <w:jc w:val="center"/>
              <w:rPr>
                <w:szCs w:val="20"/>
                <w:highlight w:val="darkGray"/>
              </w:rPr>
            </w:pPr>
            <w:r w:rsidRPr="008D2482">
              <w:rPr>
                <w:rFonts w:cs="Arial"/>
                <w:color w:val="000000"/>
                <w:spacing w:val="169"/>
                <w:szCs w:val="20"/>
                <w:shd w:val="solid" w:color="000000" w:fill="000000"/>
                <w:fitText w:val="255" w:id="-1233498110"/>
                <w14:textFill>
                  <w14:solidFill>
                    <w14:srgbClr w14:val="000000">
                      <w14:alpha w14:val="100000"/>
                    </w14:srgbClr>
                  </w14:solidFill>
                </w14:textFill>
              </w:rPr>
              <w:t>|</w:t>
            </w:r>
            <w:r w:rsidRPr="008D2482">
              <w:rPr>
                <w:rFonts w:cs="Arial"/>
                <w:color w:val="000000"/>
                <w:spacing w:val="1"/>
                <w:szCs w:val="20"/>
                <w:shd w:val="solid" w:color="000000" w:fill="000000"/>
                <w:fitText w:val="255" w:id="-1233498110"/>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4</w:t>
            </w:r>
          </w:p>
        </w:tc>
        <w:tc>
          <w:tcPr>
            <w:tcW w:w="575" w:type="pct"/>
            <w:gridSpan w:val="2"/>
            <w:shd w:val="clear" w:color="auto" w:fill="auto"/>
            <w:vAlign w:val="center"/>
          </w:tcPr>
          <w:p w14:paraId="593ED336" w14:textId="7FA758D5" w:rsidR="00A01891" w:rsidRPr="00D139A1" w:rsidRDefault="008D2482" w:rsidP="00661ABB">
            <w:pPr>
              <w:pStyle w:val="Tabletext"/>
              <w:keepLines/>
              <w:jc w:val="center"/>
              <w:rPr>
                <w:szCs w:val="20"/>
                <w:highlight w:val="darkGray"/>
              </w:rPr>
            </w:pPr>
            <w:r w:rsidRPr="008D2482">
              <w:rPr>
                <w:rFonts w:cs="Arial"/>
                <w:color w:val="000000"/>
                <w:spacing w:val="157"/>
                <w:szCs w:val="20"/>
                <w:shd w:val="solid" w:color="000000" w:fill="000000"/>
                <w:fitText w:val="243" w:id="-1233498109"/>
                <w14:textFill>
                  <w14:solidFill>
                    <w14:srgbClr w14:val="000000">
                      <w14:alpha w14:val="100000"/>
                    </w14:srgbClr>
                  </w14:solidFill>
                </w14:textFill>
              </w:rPr>
              <w:t>|</w:t>
            </w:r>
            <w:r w:rsidRPr="008D2482">
              <w:rPr>
                <w:rFonts w:cs="Arial"/>
                <w:color w:val="000000"/>
                <w:spacing w:val="1"/>
                <w:szCs w:val="20"/>
                <w:shd w:val="solid" w:color="000000" w:fill="000000"/>
                <w:fitText w:val="243" w:id="-1233498109"/>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75" w:type="pct"/>
            <w:gridSpan w:val="2"/>
            <w:shd w:val="clear" w:color="auto" w:fill="auto"/>
            <w:vAlign w:val="center"/>
          </w:tcPr>
          <w:p w14:paraId="5A39B29B" w14:textId="5E9B612D"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8"/>
                <w14:textFill>
                  <w14:solidFill>
                    <w14:srgbClr w14:val="000000">
                      <w14:alpha w14:val="100000"/>
                    </w14:srgbClr>
                  </w14:solidFill>
                </w14:textFill>
              </w:rPr>
              <w:t>|</w:t>
            </w:r>
            <w:r w:rsidRPr="008D2482">
              <w:rPr>
                <w:rFonts w:cs="Arial"/>
                <w:color w:val="000000"/>
                <w:spacing w:val="1"/>
                <w:szCs w:val="20"/>
                <w:shd w:val="solid" w:color="000000" w:fill="000000"/>
                <w:fitText w:val="277" w:id="-1233498108"/>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546242" w:rsidRPr="00D139A1">
              <w:rPr>
                <w:rFonts w:cs="Arial"/>
                <w:szCs w:val="20"/>
                <w:vertAlign w:val="superscript"/>
              </w:rPr>
              <w:t>3</w:t>
            </w:r>
          </w:p>
        </w:tc>
        <w:tc>
          <w:tcPr>
            <w:tcW w:w="575" w:type="pct"/>
            <w:gridSpan w:val="2"/>
            <w:shd w:val="clear" w:color="auto" w:fill="auto"/>
            <w:vAlign w:val="center"/>
          </w:tcPr>
          <w:p w14:paraId="7285C50A" w14:textId="19B971B7"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7"/>
                <w14:textFill>
                  <w14:solidFill>
                    <w14:srgbClr w14:val="000000">
                      <w14:alpha w14:val="100000"/>
                    </w14:srgbClr>
                  </w14:solidFill>
                </w14:textFill>
              </w:rPr>
              <w:t>|</w:t>
            </w:r>
            <w:r w:rsidRPr="008D2482">
              <w:rPr>
                <w:rFonts w:cs="Arial"/>
                <w:color w:val="000000"/>
                <w:spacing w:val="1"/>
                <w:szCs w:val="20"/>
                <w:shd w:val="solid" w:color="000000" w:fill="000000"/>
                <w:fitText w:val="277" w:id="-1233498107"/>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D139A1">
              <w:rPr>
                <w:rFonts w:cs="Arial"/>
                <w:szCs w:val="20"/>
                <w:vertAlign w:val="superscript"/>
              </w:rPr>
              <w:t>6</w:t>
            </w:r>
          </w:p>
        </w:tc>
        <w:tc>
          <w:tcPr>
            <w:tcW w:w="577" w:type="pct"/>
            <w:gridSpan w:val="2"/>
            <w:shd w:val="clear" w:color="auto" w:fill="auto"/>
            <w:vAlign w:val="center"/>
          </w:tcPr>
          <w:p w14:paraId="10E4FD95" w14:textId="17D99072" w:rsidR="00A01891" w:rsidRPr="00D139A1" w:rsidRDefault="008D2482" w:rsidP="00661ABB">
            <w:pPr>
              <w:pStyle w:val="Tabletext"/>
              <w:keepLines/>
              <w:jc w:val="center"/>
              <w:rPr>
                <w:szCs w:val="20"/>
                <w:highlight w:val="darkGray"/>
              </w:rPr>
            </w:pPr>
            <w:r w:rsidRPr="008D2482">
              <w:rPr>
                <w:rFonts w:cs="Arial"/>
                <w:color w:val="000000"/>
                <w:spacing w:val="202"/>
                <w:szCs w:val="20"/>
                <w:shd w:val="solid" w:color="000000" w:fill="000000"/>
                <w:fitText w:val="288" w:id="-1233498106"/>
                <w14:textFill>
                  <w14:solidFill>
                    <w14:srgbClr w14:val="000000">
                      <w14:alpha w14:val="100000"/>
                    </w14:srgbClr>
                  </w14:solidFill>
                </w14:textFill>
              </w:rPr>
              <w:t>|</w:t>
            </w:r>
            <w:r w:rsidRPr="008D2482">
              <w:rPr>
                <w:rFonts w:cs="Arial"/>
                <w:color w:val="000000"/>
                <w:spacing w:val="1"/>
                <w:szCs w:val="20"/>
                <w:shd w:val="solid" w:color="000000" w:fill="000000"/>
                <w:fitText w:val="288" w:id="-1233498106"/>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3A7836">
              <w:rPr>
                <w:rFonts w:cs="Arial"/>
                <w:szCs w:val="20"/>
                <w:vertAlign w:val="superscript"/>
              </w:rPr>
              <w:t>9</w:t>
            </w:r>
          </w:p>
        </w:tc>
        <w:tc>
          <w:tcPr>
            <w:tcW w:w="575" w:type="pct"/>
            <w:gridSpan w:val="2"/>
            <w:shd w:val="clear" w:color="auto" w:fill="auto"/>
            <w:vAlign w:val="center"/>
          </w:tcPr>
          <w:p w14:paraId="3BE0F4CD" w14:textId="59226F62" w:rsidR="00A01891" w:rsidRPr="00D139A1" w:rsidRDefault="008D2482" w:rsidP="00661ABB">
            <w:pPr>
              <w:pStyle w:val="Tabletext"/>
              <w:keepLines/>
              <w:jc w:val="center"/>
              <w:rPr>
                <w:szCs w:val="20"/>
                <w:highlight w:val="darkGray"/>
              </w:rPr>
            </w:pPr>
            <w:r w:rsidRPr="008D2482">
              <w:rPr>
                <w:rFonts w:cs="Arial"/>
                <w:color w:val="000000"/>
                <w:spacing w:val="191"/>
                <w:szCs w:val="20"/>
                <w:shd w:val="solid" w:color="000000" w:fill="000000"/>
                <w:fitText w:val="277" w:id="-1233498105"/>
                <w14:textFill>
                  <w14:solidFill>
                    <w14:srgbClr w14:val="000000">
                      <w14:alpha w14:val="100000"/>
                    </w14:srgbClr>
                  </w14:solidFill>
                </w14:textFill>
              </w:rPr>
              <w:t>|</w:t>
            </w:r>
            <w:r w:rsidRPr="008D2482">
              <w:rPr>
                <w:rFonts w:cs="Arial"/>
                <w:color w:val="000000"/>
                <w:spacing w:val="1"/>
                <w:szCs w:val="20"/>
                <w:shd w:val="solid" w:color="000000" w:fill="000000"/>
                <w:fitText w:val="277" w:id="-1233498105"/>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2</w:t>
            </w:r>
            <w:r w:rsidR="003A7836">
              <w:rPr>
                <w:rFonts w:cs="Arial"/>
                <w:szCs w:val="20"/>
                <w:vertAlign w:val="superscript"/>
              </w:rPr>
              <w:t>1</w:t>
            </w:r>
          </w:p>
        </w:tc>
        <w:tc>
          <w:tcPr>
            <w:tcW w:w="563" w:type="pct"/>
            <w:vAlign w:val="center"/>
          </w:tcPr>
          <w:p w14:paraId="401C34BD" w14:textId="6351F423" w:rsidR="00A01891" w:rsidRPr="00D139A1" w:rsidRDefault="008D2482" w:rsidP="00661ABB">
            <w:pPr>
              <w:jc w:val="center"/>
              <w:rPr>
                <w:rFonts w:ascii="Arial Narrow" w:hAnsi="Arial Narrow"/>
                <w:b/>
                <w:bCs/>
                <w:color w:val="000000"/>
                <w:sz w:val="20"/>
                <w:szCs w:val="20"/>
                <w:highlight w:val="darkGray"/>
              </w:rPr>
            </w:pPr>
            <w:r w:rsidRPr="008D2482">
              <w:rPr>
                <w:rFonts w:ascii="Arial Narrow" w:hAnsi="Arial Narrow"/>
                <w:b/>
                <w:bCs/>
                <w:color w:val="000000"/>
                <w:spacing w:val="53"/>
                <w:sz w:val="20"/>
                <w:szCs w:val="20"/>
                <w:shd w:val="solid" w:color="000000" w:fill="000000"/>
                <w:fitText w:val="343" w:id="-1233498104"/>
                <w14:textFill>
                  <w14:solidFill>
                    <w14:srgbClr w14:val="000000">
                      <w14:alpha w14:val="100000"/>
                    </w14:srgbClr>
                  </w14:solidFill>
                </w14:textFill>
              </w:rPr>
              <w:t>|||</w:t>
            </w:r>
            <w:r w:rsidRPr="008D2482">
              <w:rPr>
                <w:rFonts w:ascii="Arial Narrow" w:hAnsi="Arial Narrow"/>
                <w:b/>
                <w:bCs/>
                <w:color w:val="000000"/>
                <w:spacing w:val="1"/>
                <w:sz w:val="20"/>
                <w:szCs w:val="20"/>
                <w:shd w:val="solid" w:color="000000" w:fill="000000"/>
                <w:fitText w:val="343" w:id="-1233498104"/>
                <w14:textFill>
                  <w14:solidFill>
                    <w14:srgbClr w14:val="000000">
                      <w14:alpha w14:val="100000"/>
                    </w14:srgbClr>
                  </w14:solidFill>
                </w14:textFill>
              </w:rPr>
              <w:t>|</w:t>
            </w:r>
            <w:r w:rsidR="00AA73B7" w:rsidRPr="00AA73B7">
              <w:rPr>
                <w:rFonts w:ascii="Arial Narrow" w:hAnsi="Arial Narrow"/>
                <w:b/>
                <w:bCs/>
                <w:color w:val="000000"/>
                <w:sz w:val="20"/>
                <w:szCs w:val="20"/>
              </w:rPr>
              <w:t xml:space="preserve"> </w:t>
            </w:r>
            <w:r w:rsidR="00D9013E" w:rsidRPr="00D139A1">
              <w:rPr>
                <w:rFonts w:ascii="Arial Narrow" w:hAnsi="Arial Narrow"/>
                <w:sz w:val="20"/>
                <w:szCs w:val="20"/>
                <w:vertAlign w:val="superscript"/>
              </w:rPr>
              <w:t>2</w:t>
            </w:r>
            <w:r w:rsidR="003A7836">
              <w:rPr>
                <w:rFonts w:ascii="Arial Narrow" w:hAnsi="Arial Narrow"/>
                <w:sz w:val="20"/>
                <w:szCs w:val="20"/>
                <w:vertAlign w:val="superscript"/>
              </w:rPr>
              <w:t>3</w:t>
            </w:r>
          </w:p>
        </w:tc>
      </w:tr>
      <w:tr w:rsidR="00D9013E" w:rsidRPr="0075485D" w14:paraId="280D3486" w14:textId="77777777" w:rsidTr="00D9013E">
        <w:tc>
          <w:tcPr>
            <w:tcW w:w="978" w:type="pct"/>
            <w:shd w:val="clear" w:color="auto" w:fill="auto"/>
            <w:vAlign w:val="center"/>
          </w:tcPr>
          <w:p w14:paraId="09FD91FC" w14:textId="5D57D6D9" w:rsidR="00A01891" w:rsidRPr="00D139A1" w:rsidRDefault="00A01891" w:rsidP="00661ABB">
            <w:pPr>
              <w:pStyle w:val="Tabletext"/>
              <w:keepLines/>
              <w:rPr>
                <w:b/>
                <w:bCs/>
                <w:szCs w:val="20"/>
              </w:rPr>
            </w:pPr>
            <w:r w:rsidRPr="00D139A1">
              <w:rPr>
                <w:b/>
                <w:bCs/>
                <w:szCs w:val="20"/>
              </w:rPr>
              <w:t>Total net cost PBS/RPBS</w:t>
            </w:r>
            <w:r w:rsidR="009800DE" w:rsidRPr="00D139A1">
              <w:rPr>
                <w:b/>
                <w:bCs/>
                <w:szCs w:val="20"/>
              </w:rPr>
              <w:t xml:space="preserve"> ($)</w:t>
            </w:r>
          </w:p>
        </w:tc>
        <w:tc>
          <w:tcPr>
            <w:tcW w:w="582" w:type="pct"/>
            <w:gridSpan w:val="2"/>
            <w:shd w:val="clear" w:color="auto" w:fill="auto"/>
            <w:vAlign w:val="center"/>
          </w:tcPr>
          <w:p w14:paraId="5FD636E7" w14:textId="780D54E4" w:rsidR="00A01891" w:rsidRPr="00D139A1" w:rsidRDefault="008D2482" w:rsidP="00661ABB">
            <w:pPr>
              <w:pStyle w:val="Tabletext"/>
              <w:keepLines/>
              <w:jc w:val="center"/>
              <w:rPr>
                <w:b/>
                <w:bCs/>
                <w:szCs w:val="20"/>
                <w:highlight w:val="darkGray"/>
              </w:rPr>
            </w:pPr>
            <w:r w:rsidRPr="008D2482">
              <w:rPr>
                <w:rFonts w:cs="Arial"/>
                <w:b/>
                <w:bCs/>
                <w:color w:val="000000"/>
                <w:spacing w:val="42"/>
                <w:szCs w:val="20"/>
                <w:shd w:val="solid" w:color="000000" w:fill="000000"/>
                <w:fitText w:val="310" w:id="-1233498103"/>
                <w14:textFill>
                  <w14:solidFill>
                    <w14:srgbClr w14:val="000000">
                      <w14:alpha w14:val="100000"/>
                    </w14:srgbClr>
                  </w14:solidFill>
                </w14:textFill>
              </w:rPr>
              <w:t>|||</w:t>
            </w:r>
            <w:r w:rsidRPr="008D2482">
              <w:rPr>
                <w:rFonts w:cs="Arial"/>
                <w:b/>
                <w:bCs/>
                <w:color w:val="000000"/>
                <w:spacing w:val="1"/>
                <w:szCs w:val="20"/>
                <w:shd w:val="solid" w:color="000000" w:fill="000000"/>
                <w:fitText w:val="310" w:id="-1233498103"/>
                <w14:textFill>
                  <w14:solidFill>
                    <w14:srgbClr w14:val="000000">
                      <w14:alpha w14:val="100000"/>
                    </w14:srgbClr>
                  </w14:solidFill>
                </w14:textFill>
              </w:rPr>
              <w:t>|</w:t>
            </w:r>
            <w:r w:rsidR="00AA73B7" w:rsidRPr="00AA73B7">
              <w:rPr>
                <w:rFonts w:cs="Arial"/>
                <w:b/>
                <w:bCs/>
                <w:color w:val="000000"/>
                <w:szCs w:val="20"/>
              </w:rPr>
              <w:t xml:space="preserve"> </w:t>
            </w:r>
            <w:r w:rsidR="00893089" w:rsidRPr="00D139A1">
              <w:rPr>
                <w:rFonts w:cs="Arial"/>
                <w:szCs w:val="20"/>
                <w:vertAlign w:val="superscript"/>
              </w:rPr>
              <w:t>4</w:t>
            </w:r>
          </w:p>
        </w:tc>
        <w:tc>
          <w:tcPr>
            <w:tcW w:w="575" w:type="pct"/>
            <w:gridSpan w:val="2"/>
            <w:shd w:val="clear" w:color="auto" w:fill="auto"/>
            <w:vAlign w:val="center"/>
          </w:tcPr>
          <w:p w14:paraId="38052B43" w14:textId="6CC19176" w:rsidR="00A01891" w:rsidRPr="00D139A1" w:rsidRDefault="008D2482" w:rsidP="00661ABB">
            <w:pPr>
              <w:pStyle w:val="Tabletext"/>
              <w:keepLines/>
              <w:jc w:val="center"/>
              <w:rPr>
                <w:b/>
                <w:bCs/>
                <w:szCs w:val="20"/>
                <w:highlight w:val="darkGray"/>
              </w:rPr>
            </w:pPr>
            <w:r w:rsidRPr="008D2482">
              <w:rPr>
                <w:rFonts w:cs="Arial"/>
                <w:b/>
                <w:bCs/>
                <w:color w:val="000000"/>
                <w:spacing w:val="42"/>
                <w:szCs w:val="20"/>
                <w:shd w:val="solid" w:color="000000" w:fill="000000"/>
                <w:fitText w:val="311" w:id="-1233498102"/>
                <w14:textFill>
                  <w14:solidFill>
                    <w14:srgbClr w14:val="000000">
                      <w14:alpha w14:val="100000"/>
                    </w14:srgbClr>
                  </w14:solidFill>
                </w14:textFill>
              </w:rPr>
              <w:t>|||</w:t>
            </w:r>
            <w:r w:rsidRPr="008D2482">
              <w:rPr>
                <w:rFonts w:cs="Arial"/>
                <w:b/>
                <w:bCs/>
                <w:color w:val="000000"/>
                <w:spacing w:val="2"/>
                <w:szCs w:val="20"/>
                <w:shd w:val="solid" w:color="000000" w:fill="000000"/>
                <w:fitText w:val="311" w:id="-1233498102"/>
                <w14:textFill>
                  <w14:solidFill>
                    <w14:srgbClr w14:val="000000">
                      <w14:alpha w14:val="100000"/>
                    </w14:srgbClr>
                  </w14:solidFill>
                </w14:textFill>
              </w:rPr>
              <w:t>|</w:t>
            </w:r>
            <w:r w:rsidR="00AA73B7" w:rsidRPr="00AA73B7">
              <w:rPr>
                <w:rFonts w:cs="Arial"/>
                <w:b/>
                <w:bCs/>
                <w:color w:val="000000"/>
                <w:szCs w:val="20"/>
              </w:rPr>
              <w:t xml:space="preserve"> </w:t>
            </w:r>
            <w:r w:rsidR="009D2A74" w:rsidRPr="00D139A1">
              <w:rPr>
                <w:rFonts w:cs="Arial"/>
                <w:szCs w:val="20"/>
                <w:vertAlign w:val="superscript"/>
              </w:rPr>
              <w:t>9</w:t>
            </w:r>
          </w:p>
        </w:tc>
        <w:tc>
          <w:tcPr>
            <w:tcW w:w="575" w:type="pct"/>
            <w:gridSpan w:val="2"/>
            <w:shd w:val="clear" w:color="auto" w:fill="auto"/>
            <w:vAlign w:val="center"/>
          </w:tcPr>
          <w:p w14:paraId="39598008" w14:textId="6333725E" w:rsidR="00A01891" w:rsidRPr="00D139A1" w:rsidRDefault="008D2482" w:rsidP="00661ABB">
            <w:pPr>
              <w:pStyle w:val="Tabletext"/>
              <w:keepLines/>
              <w:jc w:val="center"/>
              <w:rPr>
                <w:b/>
                <w:bCs/>
                <w:szCs w:val="20"/>
                <w:highlight w:val="darkGray"/>
              </w:rPr>
            </w:pPr>
            <w:r w:rsidRPr="008D2482">
              <w:rPr>
                <w:rFonts w:cs="Arial"/>
                <w:b/>
                <w:bCs/>
                <w:color w:val="000000"/>
                <w:spacing w:val="42"/>
                <w:szCs w:val="20"/>
                <w:shd w:val="solid" w:color="000000" w:fill="000000"/>
                <w:fitText w:val="310" w:id="-1233498101"/>
                <w14:textFill>
                  <w14:solidFill>
                    <w14:srgbClr w14:val="000000">
                      <w14:alpha w14:val="100000"/>
                    </w14:srgbClr>
                  </w14:solidFill>
                </w14:textFill>
              </w:rPr>
              <w:t>|||</w:t>
            </w:r>
            <w:r w:rsidRPr="008D2482">
              <w:rPr>
                <w:rFonts w:cs="Arial"/>
                <w:b/>
                <w:bCs/>
                <w:color w:val="000000"/>
                <w:spacing w:val="1"/>
                <w:szCs w:val="20"/>
                <w:shd w:val="solid" w:color="000000" w:fill="000000"/>
                <w:fitText w:val="310" w:id="-1233498101"/>
                <w14:textFill>
                  <w14:solidFill>
                    <w14:srgbClr w14:val="000000">
                      <w14:alpha w14:val="100000"/>
                    </w14:srgbClr>
                  </w14:solidFill>
                </w14:textFill>
              </w:rPr>
              <w:t>|</w:t>
            </w:r>
            <w:r w:rsidR="00AA73B7" w:rsidRPr="00AA73B7">
              <w:rPr>
                <w:rFonts w:cs="Arial"/>
                <w:b/>
                <w:bCs/>
                <w:color w:val="000000"/>
                <w:szCs w:val="20"/>
              </w:rPr>
              <w:t xml:space="preserve"> </w:t>
            </w:r>
            <w:r w:rsidR="00D139A1">
              <w:rPr>
                <w:rFonts w:cs="Arial"/>
                <w:szCs w:val="20"/>
                <w:vertAlign w:val="superscript"/>
              </w:rPr>
              <w:t>8</w:t>
            </w:r>
          </w:p>
        </w:tc>
        <w:tc>
          <w:tcPr>
            <w:tcW w:w="575" w:type="pct"/>
            <w:gridSpan w:val="2"/>
            <w:shd w:val="clear" w:color="auto" w:fill="auto"/>
            <w:vAlign w:val="center"/>
          </w:tcPr>
          <w:p w14:paraId="399192D1" w14:textId="1CC08A68" w:rsidR="00A01891" w:rsidRPr="00D139A1" w:rsidRDefault="008D2482" w:rsidP="00661ABB">
            <w:pPr>
              <w:pStyle w:val="Tabletext"/>
              <w:keepLines/>
              <w:jc w:val="center"/>
              <w:rPr>
                <w:b/>
                <w:bCs/>
                <w:szCs w:val="20"/>
                <w:highlight w:val="darkGray"/>
              </w:rPr>
            </w:pPr>
            <w:r w:rsidRPr="008D2482">
              <w:rPr>
                <w:rFonts w:cs="Arial"/>
                <w:b/>
                <w:bCs/>
                <w:color w:val="000000"/>
                <w:spacing w:val="49"/>
                <w:szCs w:val="20"/>
                <w:shd w:val="solid" w:color="000000" w:fill="000000"/>
                <w:fitText w:val="333" w:id="-1233498100"/>
                <w14:textFill>
                  <w14:solidFill>
                    <w14:srgbClr w14:val="000000">
                      <w14:alpha w14:val="100000"/>
                    </w14:srgbClr>
                  </w14:solidFill>
                </w14:textFill>
              </w:rPr>
              <w:t>|||</w:t>
            </w:r>
            <w:r w:rsidRPr="008D2482">
              <w:rPr>
                <w:rFonts w:cs="Arial"/>
                <w:b/>
                <w:bCs/>
                <w:color w:val="000000"/>
                <w:spacing w:val="3"/>
                <w:szCs w:val="20"/>
                <w:shd w:val="solid" w:color="000000" w:fill="000000"/>
                <w:fitText w:val="333" w:id="-1233498100"/>
                <w14:textFill>
                  <w14:solidFill>
                    <w14:srgbClr w14:val="000000">
                      <w14:alpha w14:val="100000"/>
                    </w14:srgbClr>
                  </w14:solidFill>
                </w14:textFill>
              </w:rPr>
              <w:t>|</w:t>
            </w:r>
            <w:r w:rsidR="00AA73B7" w:rsidRPr="00AA73B7">
              <w:rPr>
                <w:rFonts w:cs="Arial"/>
                <w:b/>
                <w:bCs/>
                <w:color w:val="000000"/>
                <w:szCs w:val="20"/>
              </w:rPr>
              <w:t xml:space="preserve"> </w:t>
            </w:r>
            <w:r w:rsidR="001D6E3D" w:rsidRPr="00D139A1">
              <w:rPr>
                <w:rFonts w:cs="Arial"/>
                <w:szCs w:val="20"/>
                <w:vertAlign w:val="superscript"/>
              </w:rPr>
              <w:t>1</w:t>
            </w:r>
            <w:r w:rsidR="00D139A1">
              <w:rPr>
                <w:rFonts w:cs="Arial"/>
                <w:szCs w:val="20"/>
                <w:vertAlign w:val="superscript"/>
              </w:rPr>
              <w:t>3</w:t>
            </w:r>
          </w:p>
        </w:tc>
        <w:tc>
          <w:tcPr>
            <w:tcW w:w="577" w:type="pct"/>
            <w:gridSpan w:val="2"/>
            <w:shd w:val="clear" w:color="auto" w:fill="auto"/>
            <w:vAlign w:val="center"/>
          </w:tcPr>
          <w:p w14:paraId="20BA2296" w14:textId="3B51BC1B" w:rsidR="00A01891" w:rsidRPr="00D139A1" w:rsidRDefault="008D2482" w:rsidP="00661ABB">
            <w:pPr>
              <w:pStyle w:val="Tabletext"/>
              <w:keepLines/>
              <w:jc w:val="center"/>
              <w:rPr>
                <w:b/>
                <w:bCs/>
                <w:szCs w:val="20"/>
                <w:highlight w:val="darkGray"/>
              </w:rPr>
            </w:pPr>
            <w:r w:rsidRPr="008D2482">
              <w:rPr>
                <w:rFonts w:cs="Arial"/>
                <w:b/>
                <w:bCs/>
                <w:color w:val="000000"/>
                <w:spacing w:val="53"/>
                <w:szCs w:val="20"/>
                <w:shd w:val="solid" w:color="000000" w:fill="000000"/>
                <w:fitText w:val="343" w:id="-1233498099"/>
                <w14:textFill>
                  <w14:solidFill>
                    <w14:srgbClr w14:val="000000">
                      <w14:alpha w14:val="100000"/>
                    </w14:srgbClr>
                  </w14:solidFill>
                </w14:textFill>
              </w:rPr>
              <w:t>|||</w:t>
            </w:r>
            <w:r w:rsidRPr="008D2482">
              <w:rPr>
                <w:rFonts w:cs="Arial"/>
                <w:b/>
                <w:bCs/>
                <w:color w:val="000000"/>
                <w:spacing w:val="1"/>
                <w:szCs w:val="20"/>
                <w:shd w:val="solid" w:color="000000" w:fill="000000"/>
                <w:fitText w:val="343" w:id="-1233498099"/>
                <w14:textFill>
                  <w14:solidFill>
                    <w14:srgbClr w14:val="000000">
                      <w14:alpha w14:val="100000"/>
                    </w14:srgbClr>
                  </w14:solidFill>
                </w14:textFill>
              </w:rPr>
              <w:t>|</w:t>
            </w:r>
            <w:r w:rsidR="00AA73B7" w:rsidRPr="00AA73B7">
              <w:rPr>
                <w:rFonts w:cs="Arial"/>
                <w:b/>
                <w:bCs/>
                <w:color w:val="000000"/>
                <w:szCs w:val="20"/>
              </w:rPr>
              <w:t xml:space="preserve"> </w:t>
            </w:r>
            <w:r w:rsidR="003A7836">
              <w:rPr>
                <w:rFonts w:cs="Arial"/>
                <w:szCs w:val="20"/>
                <w:vertAlign w:val="superscript"/>
              </w:rPr>
              <w:t>20</w:t>
            </w:r>
          </w:p>
        </w:tc>
        <w:tc>
          <w:tcPr>
            <w:tcW w:w="575" w:type="pct"/>
            <w:gridSpan w:val="2"/>
            <w:shd w:val="clear" w:color="auto" w:fill="auto"/>
            <w:vAlign w:val="center"/>
          </w:tcPr>
          <w:p w14:paraId="1FCD92FC" w14:textId="25B3A87F" w:rsidR="00A01891" w:rsidRPr="00D139A1" w:rsidRDefault="008D2482" w:rsidP="00661ABB">
            <w:pPr>
              <w:pStyle w:val="Tabletext"/>
              <w:keepLines/>
              <w:jc w:val="center"/>
              <w:rPr>
                <w:b/>
                <w:bCs/>
                <w:szCs w:val="20"/>
                <w:highlight w:val="darkGray"/>
              </w:rPr>
            </w:pPr>
            <w:r w:rsidRPr="008D2482">
              <w:rPr>
                <w:rFonts w:cs="Arial"/>
                <w:b/>
                <w:bCs/>
                <w:color w:val="000000"/>
                <w:spacing w:val="49"/>
                <w:szCs w:val="20"/>
                <w:shd w:val="solid" w:color="000000" w:fill="000000"/>
                <w:fitText w:val="333" w:id="-1233498098"/>
                <w14:textFill>
                  <w14:solidFill>
                    <w14:srgbClr w14:val="000000">
                      <w14:alpha w14:val="100000"/>
                    </w14:srgbClr>
                  </w14:solidFill>
                </w14:textFill>
              </w:rPr>
              <w:t>|||</w:t>
            </w:r>
            <w:r w:rsidRPr="008D2482">
              <w:rPr>
                <w:rFonts w:cs="Arial"/>
                <w:b/>
                <w:bCs/>
                <w:color w:val="000000"/>
                <w:spacing w:val="3"/>
                <w:szCs w:val="20"/>
                <w:shd w:val="solid" w:color="000000" w:fill="000000"/>
                <w:fitText w:val="333" w:id="-1233498098"/>
                <w14:textFill>
                  <w14:solidFill>
                    <w14:srgbClr w14:val="000000">
                      <w14:alpha w14:val="100000"/>
                    </w14:srgbClr>
                  </w14:solidFill>
                </w14:textFill>
              </w:rPr>
              <w:t>|</w:t>
            </w:r>
            <w:r w:rsidR="00AA73B7" w:rsidRPr="00AA73B7">
              <w:rPr>
                <w:rFonts w:cs="Arial"/>
                <w:b/>
                <w:bCs/>
                <w:color w:val="000000"/>
                <w:szCs w:val="20"/>
              </w:rPr>
              <w:t xml:space="preserve"> </w:t>
            </w:r>
            <w:r w:rsidR="001D6E3D" w:rsidRPr="00D139A1">
              <w:rPr>
                <w:rFonts w:cs="Arial"/>
                <w:szCs w:val="20"/>
                <w:vertAlign w:val="superscript"/>
              </w:rPr>
              <w:t>14</w:t>
            </w:r>
          </w:p>
        </w:tc>
        <w:tc>
          <w:tcPr>
            <w:tcW w:w="563" w:type="pct"/>
            <w:vAlign w:val="center"/>
          </w:tcPr>
          <w:p w14:paraId="2C8C93C2" w14:textId="473646A1" w:rsidR="00A01891" w:rsidRPr="00D139A1" w:rsidRDefault="008D2482" w:rsidP="00661ABB">
            <w:pPr>
              <w:pStyle w:val="Tabletext"/>
              <w:keepLines/>
              <w:jc w:val="center"/>
              <w:rPr>
                <w:b/>
                <w:bCs/>
                <w:szCs w:val="20"/>
                <w:highlight w:val="darkGray"/>
              </w:rPr>
            </w:pPr>
            <w:r w:rsidRPr="008D2482">
              <w:rPr>
                <w:b/>
                <w:bCs/>
                <w:color w:val="000000"/>
                <w:spacing w:val="53"/>
                <w:szCs w:val="20"/>
                <w:shd w:val="solid" w:color="000000" w:fill="000000"/>
                <w:fitText w:val="343" w:id="-1233498097"/>
                <w14:textFill>
                  <w14:solidFill>
                    <w14:srgbClr w14:val="000000">
                      <w14:alpha w14:val="100000"/>
                    </w14:srgbClr>
                  </w14:solidFill>
                </w14:textFill>
              </w:rPr>
              <w:t>|||</w:t>
            </w:r>
            <w:r w:rsidRPr="008D2482">
              <w:rPr>
                <w:b/>
                <w:bCs/>
                <w:color w:val="000000"/>
                <w:spacing w:val="1"/>
                <w:szCs w:val="20"/>
                <w:shd w:val="solid" w:color="000000" w:fill="000000"/>
                <w:fitText w:val="343" w:id="-1233498097"/>
                <w14:textFill>
                  <w14:solidFill>
                    <w14:srgbClr w14:val="000000">
                      <w14:alpha w14:val="100000"/>
                    </w14:srgbClr>
                  </w14:solidFill>
                </w14:textFill>
              </w:rPr>
              <w:t>|</w:t>
            </w:r>
            <w:r w:rsidR="00AA73B7" w:rsidRPr="00AA73B7">
              <w:rPr>
                <w:b/>
                <w:bCs/>
                <w:szCs w:val="20"/>
              </w:rPr>
              <w:t xml:space="preserve"> </w:t>
            </w:r>
            <w:r w:rsidR="00D9013E" w:rsidRPr="00D139A1">
              <w:rPr>
                <w:rFonts w:cs="Arial"/>
                <w:szCs w:val="20"/>
                <w:vertAlign w:val="superscript"/>
              </w:rPr>
              <w:t>2</w:t>
            </w:r>
            <w:r w:rsidR="003A7836">
              <w:rPr>
                <w:rFonts w:cs="Arial"/>
                <w:szCs w:val="20"/>
                <w:vertAlign w:val="superscript"/>
              </w:rPr>
              <w:t>4</w:t>
            </w:r>
          </w:p>
        </w:tc>
      </w:tr>
      <w:tr w:rsidR="00144C6B" w:rsidRPr="0075485D" w14:paraId="55DB4544" w14:textId="77777777" w:rsidTr="00144C6B">
        <w:tc>
          <w:tcPr>
            <w:tcW w:w="5000" w:type="pct"/>
            <w:gridSpan w:val="14"/>
            <w:shd w:val="clear" w:color="auto" w:fill="auto"/>
            <w:vAlign w:val="center"/>
          </w:tcPr>
          <w:p w14:paraId="2F867FA2" w14:textId="55C045B2" w:rsidR="00144C6B" w:rsidRPr="00D139A1" w:rsidRDefault="00144C6B" w:rsidP="00661ABB">
            <w:pPr>
              <w:pStyle w:val="Tabletext"/>
              <w:keepLines/>
              <w:rPr>
                <w:b/>
                <w:bCs/>
                <w:szCs w:val="20"/>
              </w:rPr>
            </w:pPr>
            <w:r w:rsidRPr="00D139A1">
              <w:rPr>
                <w:b/>
                <w:bCs/>
                <w:szCs w:val="20"/>
              </w:rPr>
              <w:t>Revised estimates presented in the PSCR</w:t>
            </w:r>
            <w:r w:rsidR="00ED7384" w:rsidRPr="00D139A1">
              <w:rPr>
                <w:b/>
                <w:bCs/>
                <w:szCs w:val="20"/>
              </w:rPr>
              <w:t xml:space="preserve"> (DPMQ $</w:t>
            </w:r>
            <w:r w:rsidR="008D2482" w:rsidRPr="008D2482">
              <w:rPr>
                <w:b/>
                <w:bCs/>
                <w:color w:val="000000"/>
                <w:spacing w:val="40"/>
                <w:szCs w:val="20"/>
                <w:shd w:val="solid" w:color="000000" w:fill="000000"/>
                <w:fitText w:val="476" w:id="-1233498096"/>
                <w14:textFill>
                  <w14:solidFill>
                    <w14:srgbClr w14:val="000000">
                      <w14:alpha w14:val="100000"/>
                    </w14:srgbClr>
                  </w14:solidFill>
                </w14:textFill>
              </w:rPr>
              <w:t>|||||</w:t>
            </w:r>
            <w:r w:rsidR="008D2482" w:rsidRPr="008D2482">
              <w:rPr>
                <w:b/>
                <w:bCs/>
                <w:color w:val="000000"/>
                <w:spacing w:val="1"/>
                <w:szCs w:val="20"/>
                <w:shd w:val="solid" w:color="000000" w:fill="000000"/>
                <w:fitText w:val="476" w:id="-1233498096"/>
                <w14:textFill>
                  <w14:solidFill>
                    <w14:srgbClr w14:val="000000">
                      <w14:alpha w14:val="100000"/>
                    </w14:srgbClr>
                  </w14:solidFill>
                </w14:textFill>
              </w:rPr>
              <w:t>|</w:t>
            </w:r>
            <w:r w:rsidR="00AA73B7" w:rsidRPr="00AA73B7">
              <w:rPr>
                <w:b/>
                <w:bCs/>
                <w:szCs w:val="20"/>
              </w:rPr>
              <w:t xml:space="preserve"> </w:t>
            </w:r>
            <w:r w:rsidR="00ED7384" w:rsidRPr="00D139A1">
              <w:rPr>
                <w:szCs w:val="20"/>
              </w:rPr>
              <w:t>)</w:t>
            </w:r>
          </w:p>
        </w:tc>
      </w:tr>
      <w:tr w:rsidR="00D9013E" w:rsidRPr="0075485D" w14:paraId="7E90AEA1" w14:textId="77777777" w:rsidTr="00D9013E">
        <w:tc>
          <w:tcPr>
            <w:tcW w:w="978" w:type="pct"/>
            <w:shd w:val="clear" w:color="auto" w:fill="auto"/>
            <w:vAlign w:val="center"/>
          </w:tcPr>
          <w:p w14:paraId="30113A92" w14:textId="2AFC8F2D" w:rsidR="00A91076" w:rsidRPr="00D139A1" w:rsidRDefault="00A91076" w:rsidP="00661ABB">
            <w:pPr>
              <w:pStyle w:val="Tabletext"/>
              <w:keepLines/>
              <w:rPr>
                <w:szCs w:val="20"/>
              </w:rPr>
            </w:pPr>
            <w:r w:rsidRPr="00D139A1">
              <w:rPr>
                <w:szCs w:val="20"/>
              </w:rPr>
              <w:t>Total patients</w:t>
            </w:r>
          </w:p>
        </w:tc>
        <w:tc>
          <w:tcPr>
            <w:tcW w:w="582" w:type="pct"/>
            <w:gridSpan w:val="2"/>
            <w:shd w:val="clear" w:color="auto" w:fill="auto"/>
            <w:vAlign w:val="center"/>
          </w:tcPr>
          <w:p w14:paraId="2000CF21" w14:textId="2C5F0498"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69"/>
                <w:szCs w:val="20"/>
                <w:shd w:val="solid" w:color="000000" w:fill="000000"/>
                <w:fitText w:val="255" w:id="-1233498112"/>
                <w14:textFill>
                  <w14:solidFill>
                    <w14:srgbClr w14:val="000000">
                      <w14:alpha w14:val="100000"/>
                    </w14:srgbClr>
                  </w14:solidFill>
                </w14:textFill>
              </w:rPr>
              <w:t>|</w:t>
            </w:r>
            <w:r w:rsidRPr="008D2482">
              <w:rPr>
                <w:rFonts w:cs="Arial"/>
                <w:color w:val="000000"/>
                <w:spacing w:val="1"/>
                <w:szCs w:val="20"/>
                <w:shd w:val="solid" w:color="000000" w:fill="000000"/>
                <w:fitText w:val="255" w:id="-1233498112"/>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shd w:val="clear" w:color="auto" w:fill="auto"/>
            <w:vAlign w:val="center"/>
          </w:tcPr>
          <w:p w14:paraId="5A16E187" w14:textId="088451F0"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8111"/>
                <w14:textFill>
                  <w14:solidFill>
                    <w14:srgbClr w14:val="000000">
                      <w14:alpha w14:val="100000"/>
                    </w14:srgbClr>
                  </w14:solidFill>
                </w14:textFill>
              </w:rPr>
              <w:t>|</w:t>
            </w:r>
            <w:r w:rsidRPr="008D2482">
              <w:rPr>
                <w:rFonts w:cs="Arial"/>
                <w:color w:val="000000"/>
                <w:spacing w:val="1"/>
                <w:szCs w:val="20"/>
                <w:shd w:val="solid" w:color="000000" w:fill="000000"/>
                <w:fitText w:val="243" w:id="-1233498111"/>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shd w:val="clear" w:color="auto" w:fill="auto"/>
            <w:vAlign w:val="center"/>
          </w:tcPr>
          <w:p w14:paraId="3AD6EF41" w14:textId="48BC99A1"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8110"/>
                <w14:textFill>
                  <w14:solidFill>
                    <w14:srgbClr w14:val="000000">
                      <w14:alpha w14:val="100000"/>
                    </w14:srgbClr>
                  </w14:solidFill>
                </w14:textFill>
              </w:rPr>
              <w:t>|</w:t>
            </w:r>
            <w:r w:rsidRPr="008D2482">
              <w:rPr>
                <w:rFonts w:cs="Arial"/>
                <w:color w:val="000000"/>
                <w:spacing w:val="1"/>
                <w:szCs w:val="20"/>
                <w:shd w:val="solid" w:color="000000" w:fill="000000"/>
                <w:fitText w:val="244" w:id="-1233498110"/>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shd w:val="clear" w:color="auto" w:fill="auto"/>
            <w:vAlign w:val="center"/>
          </w:tcPr>
          <w:p w14:paraId="62A56A13" w14:textId="26309C16"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8109"/>
                <w14:textFill>
                  <w14:solidFill>
                    <w14:srgbClr w14:val="000000">
                      <w14:alpha w14:val="100000"/>
                    </w14:srgbClr>
                  </w14:solidFill>
                </w14:textFill>
              </w:rPr>
              <w:t>|</w:t>
            </w:r>
            <w:r w:rsidRPr="008D2482">
              <w:rPr>
                <w:rFonts w:cs="Arial"/>
                <w:color w:val="000000"/>
                <w:spacing w:val="1"/>
                <w:szCs w:val="20"/>
                <w:shd w:val="solid" w:color="000000" w:fill="000000"/>
                <w:fitText w:val="243" w:id="-1233498109"/>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7" w:type="pct"/>
            <w:gridSpan w:val="2"/>
            <w:shd w:val="clear" w:color="auto" w:fill="auto"/>
            <w:vAlign w:val="center"/>
          </w:tcPr>
          <w:p w14:paraId="7EE35675" w14:textId="29B6581D"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8108"/>
                <w14:textFill>
                  <w14:solidFill>
                    <w14:srgbClr w14:val="000000">
                      <w14:alpha w14:val="100000"/>
                    </w14:srgbClr>
                  </w14:solidFill>
                </w14:textFill>
              </w:rPr>
              <w:t>|</w:t>
            </w:r>
            <w:r w:rsidRPr="008D2482">
              <w:rPr>
                <w:rFonts w:cs="Arial"/>
                <w:color w:val="000000"/>
                <w:spacing w:val="1"/>
                <w:szCs w:val="20"/>
                <w:shd w:val="solid" w:color="000000" w:fill="000000"/>
                <w:fitText w:val="244" w:id="-1233498108"/>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75" w:type="pct"/>
            <w:gridSpan w:val="2"/>
            <w:shd w:val="clear" w:color="auto" w:fill="auto"/>
            <w:vAlign w:val="center"/>
          </w:tcPr>
          <w:p w14:paraId="7278B47F" w14:textId="2F9BE8D2"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8107"/>
                <w14:textFill>
                  <w14:solidFill>
                    <w14:srgbClr w14:val="000000">
                      <w14:alpha w14:val="100000"/>
                    </w14:srgbClr>
                  </w14:solidFill>
                </w14:textFill>
              </w:rPr>
              <w:t>|</w:t>
            </w:r>
            <w:r w:rsidRPr="008D2482">
              <w:rPr>
                <w:rFonts w:cs="Arial"/>
                <w:color w:val="000000"/>
                <w:spacing w:val="1"/>
                <w:szCs w:val="20"/>
                <w:shd w:val="solid" w:color="000000" w:fill="000000"/>
                <w:fitText w:val="243" w:id="-1233498107"/>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1</w:t>
            </w:r>
          </w:p>
        </w:tc>
        <w:tc>
          <w:tcPr>
            <w:tcW w:w="563" w:type="pct"/>
            <w:vAlign w:val="center"/>
          </w:tcPr>
          <w:p w14:paraId="1BB15EDB" w14:textId="1AD6F3B6" w:rsidR="00A91076" w:rsidRPr="00D139A1" w:rsidRDefault="008D2482" w:rsidP="00661ABB">
            <w:pPr>
              <w:pStyle w:val="Tabletext"/>
              <w:keepLines/>
              <w:jc w:val="center"/>
              <w:rPr>
                <w:szCs w:val="20"/>
                <w:highlight w:val="darkGray"/>
              </w:rPr>
            </w:pPr>
            <w:r w:rsidRPr="008D2482">
              <w:rPr>
                <w:color w:val="000000"/>
                <w:spacing w:val="202"/>
                <w:szCs w:val="20"/>
                <w:shd w:val="solid" w:color="000000" w:fill="000000"/>
                <w:fitText w:val="288" w:id="-1233498106"/>
                <w14:textFill>
                  <w14:solidFill>
                    <w14:srgbClr w14:val="000000">
                      <w14:alpha w14:val="100000"/>
                    </w14:srgbClr>
                  </w14:solidFill>
                </w14:textFill>
              </w:rPr>
              <w:t>|</w:t>
            </w:r>
            <w:r w:rsidRPr="008D2482">
              <w:rPr>
                <w:color w:val="000000"/>
                <w:spacing w:val="1"/>
                <w:szCs w:val="20"/>
                <w:shd w:val="solid" w:color="000000" w:fill="000000"/>
                <w:fitText w:val="288" w:id="-1233498106"/>
                <w14:textFill>
                  <w14:solidFill>
                    <w14:srgbClr w14:val="000000">
                      <w14:alpha w14:val="100000"/>
                    </w14:srgbClr>
                  </w14:solidFill>
                </w14:textFill>
              </w:rPr>
              <w:t>|</w:t>
            </w:r>
            <w:r w:rsidR="00AA73B7" w:rsidRPr="00AA73B7">
              <w:rPr>
                <w:szCs w:val="20"/>
              </w:rPr>
              <w:t xml:space="preserve"> </w:t>
            </w:r>
            <w:r w:rsidR="001D6E3D" w:rsidRPr="00D139A1">
              <w:rPr>
                <w:rFonts w:cs="Arial"/>
                <w:szCs w:val="20"/>
                <w:vertAlign w:val="superscript"/>
              </w:rPr>
              <w:t>1</w:t>
            </w:r>
            <w:r w:rsidR="003A7836">
              <w:rPr>
                <w:rFonts w:cs="Arial"/>
                <w:szCs w:val="20"/>
                <w:vertAlign w:val="superscript"/>
              </w:rPr>
              <w:t>4</w:t>
            </w:r>
          </w:p>
        </w:tc>
      </w:tr>
      <w:tr w:rsidR="00D9013E" w:rsidRPr="0075485D" w14:paraId="24F702E8" w14:textId="77777777" w:rsidTr="00D9013E">
        <w:tc>
          <w:tcPr>
            <w:tcW w:w="978" w:type="pct"/>
            <w:shd w:val="clear" w:color="auto" w:fill="auto"/>
            <w:vAlign w:val="center"/>
          </w:tcPr>
          <w:p w14:paraId="45CA0963" w14:textId="40707CEE" w:rsidR="00A91076" w:rsidRPr="00D139A1" w:rsidRDefault="00A91076" w:rsidP="00661ABB">
            <w:pPr>
              <w:pStyle w:val="Tabletext"/>
              <w:keepLines/>
              <w:rPr>
                <w:szCs w:val="20"/>
              </w:rPr>
            </w:pPr>
            <w:r w:rsidRPr="00D139A1">
              <w:rPr>
                <w:szCs w:val="20"/>
              </w:rPr>
              <w:t>Number of enzalutamide scripts</w:t>
            </w:r>
          </w:p>
        </w:tc>
        <w:tc>
          <w:tcPr>
            <w:tcW w:w="582" w:type="pct"/>
            <w:gridSpan w:val="2"/>
            <w:shd w:val="clear" w:color="auto" w:fill="auto"/>
            <w:vAlign w:val="center"/>
          </w:tcPr>
          <w:p w14:paraId="72D6F420" w14:textId="5DDEC793"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69"/>
                <w:szCs w:val="20"/>
                <w:shd w:val="solid" w:color="000000" w:fill="000000"/>
                <w:fitText w:val="255" w:id="-1233498105"/>
                <w14:textFill>
                  <w14:solidFill>
                    <w14:srgbClr w14:val="000000">
                      <w14:alpha w14:val="100000"/>
                    </w14:srgbClr>
                  </w14:solidFill>
                </w14:textFill>
              </w:rPr>
              <w:t>|</w:t>
            </w:r>
            <w:r w:rsidRPr="008D2482">
              <w:rPr>
                <w:rFonts w:cs="Arial"/>
                <w:color w:val="000000"/>
                <w:spacing w:val="1"/>
                <w:szCs w:val="20"/>
                <w:shd w:val="solid" w:color="000000" w:fill="000000"/>
                <w:fitText w:val="255" w:id="-1233498105"/>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3</w:t>
            </w:r>
          </w:p>
        </w:tc>
        <w:tc>
          <w:tcPr>
            <w:tcW w:w="575" w:type="pct"/>
            <w:gridSpan w:val="2"/>
            <w:shd w:val="clear" w:color="auto" w:fill="auto"/>
            <w:vAlign w:val="center"/>
          </w:tcPr>
          <w:p w14:paraId="3B6075AC" w14:textId="408C7276"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8104"/>
                <w14:textFill>
                  <w14:solidFill>
                    <w14:srgbClr w14:val="000000">
                      <w14:alpha w14:val="100000"/>
                    </w14:srgbClr>
                  </w14:solidFill>
                </w14:textFill>
              </w:rPr>
              <w:t>|</w:t>
            </w:r>
            <w:r w:rsidRPr="008D2482">
              <w:rPr>
                <w:rFonts w:cs="Arial"/>
                <w:color w:val="000000"/>
                <w:spacing w:val="1"/>
                <w:szCs w:val="20"/>
                <w:shd w:val="solid" w:color="000000" w:fill="000000"/>
                <w:fitText w:val="277" w:id="-1233498104"/>
                <w14:textFill>
                  <w14:solidFill>
                    <w14:srgbClr w14:val="000000">
                      <w14:alpha w14:val="100000"/>
                    </w14:srgbClr>
                  </w14:solidFill>
                </w14:textFill>
              </w:rPr>
              <w:t>|</w:t>
            </w:r>
            <w:r w:rsidR="00AA73B7" w:rsidRPr="00AA73B7">
              <w:rPr>
                <w:rFonts w:cs="Arial"/>
                <w:color w:val="000000"/>
                <w:szCs w:val="20"/>
              </w:rPr>
              <w:t xml:space="preserve"> </w:t>
            </w:r>
            <w:r w:rsidR="00546242" w:rsidRPr="00D139A1">
              <w:rPr>
                <w:rFonts w:cs="Arial"/>
                <w:szCs w:val="20"/>
                <w:vertAlign w:val="superscript"/>
              </w:rPr>
              <w:t>10</w:t>
            </w:r>
          </w:p>
        </w:tc>
        <w:tc>
          <w:tcPr>
            <w:tcW w:w="575" w:type="pct"/>
            <w:gridSpan w:val="2"/>
            <w:shd w:val="clear" w:color="auto" w:fill="auto"/>
            <w:vAlign w:val="center"/>
          </w:tcPr>
          <w:p w14:paraId="7E8F1FAC" w14:textId="65301BEC"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8103"/>
                <w14:textFill>
                  <w14:solidFill>
                    <w14:srgbClr w14:val="000000">
                      <w14:alpha w14:val="100000"/>
                    </w14:srgbClr>
                  </w14:solidFill>
                </w14:textFill>
              </w:rPr>
              <w:t>|</w:t>
            </w:r>
            <w:r w:rsidRPr="008D2482">
              <w:rPr>
                <w:rFonts w:cs="Arial"/>
                <w:color w:val="000000"/>
                <w:spacing w:val="1"/>
                <w:szCs w:val="20"/>
                <w:shd w:val="solid" w:color="000000" w:fill="000000"/>
                <w:fitText w:val="244" w:id="-1233498103"/>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7</w:t>
            </w:r>
          </w:p>
        </w:tc>
        <w:tc>
          <w:tcPr>
            <w:tcW w:w="575" w:type="pct"/>
            <w:gridSpan w:val="2"/>
            <w:shd w:val="clear" w:color="auto" w:fill="auto"/>
            <w:vAlign w:val="center"/>
          </w:tcPr>
          <w:p w14:paraId="53BF01AB" w14:textId="73A4E064"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8102"/>
                <w14:textFill>
                  <w14:solidFill>
                    <w14:srgbClr w14:val="000000">
                      <w14:alpha w14:val="100000"/>
                    </w14:srgbClr>
                  </w14:solidFill>
                </w14:textFill>
              </w:rPr>
              <w:t>|</w:t>
            </w:r>
            <w:r w:rsidRPr="008D2482">
              <w:rPr>
                <w:rFonts w:cs="Arial"/>
                <w:color w:val="000000"/>
                <w:spacing w:val="1"/>
                <w:szCs w:val="20"/>
                <w:shd w:val="solid" w:color="000000" w:fill="000000"/>
                <w:fitText w:val="277" w:id="-1233498102"/>
                <w14:textFill>
                  <w14:solidFill>
                    <w14:srgbClr w14:val="000000">
                      <w14:alpha w14:val="100000"/>
                    </w14:srgbClr>
                  </w14:solidFill>
                </w14:textFill>
              </w:rPr>
              <w:t>|</w:t>
            </w:r>
            <w:r w:rsidR="00AA73B7" w:rsidRPr="00AA73B7">
              <w:rPr>
                <w:rFonts w:cs="Arial"/>
                <w:color w:val="000000"/>
                <w:szCs w:val="20"/>
              </w:rPr>
              <w:t xml:space="preserve"> </w:t>
            </w:r>
            <w:r w:rsidR="00D139A1" w:rsidRPr="00D139A1">
              <w:rPr>
                <w:rFonts w:cs="Arial"/>
                <w:szCs w:val="20"/>
                <w:vertAlign w:val="superscript"/>
              </w:rPr>
              <w:t>12</w:t>
            </w:r>
          </w:p>
        </w:tc>
        <w:tc>
          <w:tcPr>
            <w:tcW w:w="577" w:type="pct"/>
            <w:gridSpan w:val="2"/>
            <w:shd w:val="clear" w:color="auto" w:fill="auto"/>
            <w:vAlign w:val="center"/>
          </w:tcPr>
          <w:p w14:paraId="61AFE472" w14:textId="6307902C"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202"/>
                <w:szCs w:val="20"/>
                <w:shd w:val="solid" w:color="000000" w:fill="000000"/>
                <w:fitText w:val="288" w:id="-1233498101"/>
                <w14:textFill>
                  <w14:solidFill>
                    <w14:srgbClr w14:val="000000">
                      <w14:alpha w14:val="100000"/>
                    </w14:srgbClr>
                  </w14:solidFill>
                </w14:textFill>
              </w:rPr>
              <w:t>|</w:t>
            </w:r>
            <w:r w:rsidRPr="008D2482">
              <w:rPr>
                <w:rFonts w:cs="Arial"/>
                <w:color w:val="000000"/>
                <w:spacing w:val="1"/>
                <w:szCs w:val="20"/>
                <w:shd w:val="solid" w:color="000000" w:fill="000000"/>
                <w:fitText w:val="288" w:id="-1233498101"/>
                <w14:textFill>
                  <w14:solidFill>
                    <w14:srgbClr w14:val="000000">
                      <w14:alpha w14:val="100000"/>
                    </w14:srgbClr>
                  </w14:solidFill>
                </w14:textFill>
              </w:rPr>
              <w:t>|</w:t>
            </w:r>
            <w:r w:rsidR="00AA73B7" w:rsidRPr="00AA73B7">
              <w:rPr>
                <w:rFonts w:cs="Arial"/>
                <w:color w:val="000000"/>
                <w:szCs w:val="20"/>
              </w:rPr>
              <w:t xml:space="preserve"> </w:t>
            </w:r>
            <w:r w:rsidR="00D139A1" w:rsidRPr="00D139A1">
              <w:rPr>
                <w:rFonts w:cs="Arial"/>
                <w:szCs w:val="20"/>
                <w:vertAlign w:val="superscript"/>
              </w:rPr>
              <w:t>12</w:t>
            </w:r>
          </w:p>
        </w:tc>
        <w:tc>
          <w:tcPr>
            <w:tcW w:w="575" w:type="pct"/>
            <w:gridSpan w:val="2"/>
            <w:shd w:val="clear" w:color="auto" w:fill="auto"/>
            <w:vAlign w:val="center"/>
          </w:tcPr>
          <w:p w14:paraId="33DBD5C3" w14:textId="7B3F7246" w:rsidR="00A91076"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8100"/>
                <w14:textFill>
                  <w14:solidFill>
                    <w14:srgbClr w14:val="000000">
                      <w14:alpha w14:val="100000"/>
                    </w14:srgbClr>
                  </w14:solidFill>
                </w14:textFill>
              </w:rPr>
              <w:t>|</w:t>
            </w:r>
            <w:r w:rsidRPr="008D2482">
              <w:rPr>
                <w:rFonts w:cs="Arial"/>
                <w:color w:val="000000"/>
                <w:spacing w:val="1"/>
                <w:szCs w:val="20"/>
                <w:shd w:val="solid" w:color="000000" w:fill="000000"/>
                <w:fitText w:val="277" w:id="-1233498100"/>
                <w14:textFill>
                  <w14:solidFill>
                    <w14:srgbClr w14:val="000000">
                      <w14:alpha w14:val="100000"/>
                    </w14:srgbClr>
                  </w14:solidFill>
                </w14:textFill>
              </w:rPr>
              <w:t>|</w:t>
            </w:r>
            <w:r w:rsidR="00AA73B7" w:rsidRPr="00AA73B7">
              <w:rPr>
                <w:rFonts w:cs="Arial"/>
                <w:color w:val="000000"/>
                <w:szCs w:val="20"/>
              </w:rPr>
              <w:t xml:space="preserve"> </w:t>
            </w:r>
            <w:r w:rsidR="00D139A1" w:rsidRPr="00D139A1">
              <w:rPr>
                <w:rFonts w:cs="Arial"/>
                <w:szCs w:val="20"/>
                <w:vertAlign w:val="superscript"/>
              </w:rPr>
              <w:t>12</w:t>
            </w:r>
          </w:p>
        </w:tc>
        <w:tc>
          <w:tcPr>
            <w:tcW w:w="563" w:type="pct"/>
            <w:vAlign w:val="center"/>
          </w:tcPr>
          <w:p w14:paraId="13A46658" w14:textId="5572AC47" w:rsidR="00A91076" w:rsidRPr="00D139A1" w:rsidRDefault="008D2482" w:rsidP="00661ABB">
            <w:pPr>
              <w:pStyle w:val="Tabletext"/>
              <w:keepLines/>
              <w:jc w:val="center"/>
              <w:rPr>
                <w:szCs w:val="20"/>
                <w:highlight w:val="darkGray"/>
              </w:rPr>
            </w:pPr>
            <w:r w:rsidRPr="008D2482">
              <w:rPr>
                <w:color w:val="000000"/>
                <w:spacing w:val="202"/>
                <w:szCs w:val="20"/>
                <w:shd w:val="solid" w:color="000000" w:fill="000000"/>
                <w:fitText w:val="288" w:id="-1233498099"/>
                <w14:textFill>
                  <w14:solidFill>
                    <w14:srgbClr w14:val="000000">
                      <w14:alpha w14:val="100000"/>
                    </w14:srgbClr>
                  </w14:solidFill>
                </w14:textFill>
              </w:rPr>
              <w:t>|</w:t>
            </w:r>
            <w:r w:rsidRPr="008D2482">
              <w:rPr>
                <w:color w:val="000000"/>
                <w:spacing w:val="1"/>
                <w:szCs w:val="20"/>
                <w:shd w:val="solid" w:color="000000" w:fill="000000"/>
                <w:fitText w:val="288" w:id="-1233498099"/>
                <w14:textFill>
                  <w14:solidFill>
                    <w14:srgbClr w14:val="000000">
                      <w14:alpha w14:val="100000"/>
                    </w14:srgbClr>
                  </w14:solidFill>
                </w14:textFill>
              </w:rPr>
              <w:t>|</w:t>
            </w:r>
            <w:r w:rsidR="00AA73B7" w:rsidRPr="00AA73B7">
              <w:rPr>
                <w:szCs w:val="20"/>
              </w:rPr>
              <w:t xml:space="preserve"> </w:t>
            </w:r>
            <w:r w:rsidR="00D9013E" w:rsidRPr="00D139A1">
              <w:rPr>
                <w:rFonts w:cs="Arial"/>
                <w:szCs w:val="20"/>
                <w:vertAlign w:val="superscript"/>
              </w:rPr>
              <w:t>2</w:t>
            </w:r>
            <w:r w:rsidR="003A7836">
              <w:rPr>
                <w:rFonts w:cs="Arial"/>
                <w:szCs w:val="20"/>
                <w:vertAlign w:val="superscript"/>
              </w:rPr>
              <w:t>2</w:t>
            </w:r>
          </w:p>
        </w:tc>
      </w:tr>
      <w:tr w:rsidR="00D9013E" w:rsidRPr="0075485D" w14:paraId="0841D63F" w14:textId="77777777" w:rsidTr="00D9013E">
        <w:tc>
          <w:tcPr>
            <w:tcW w:w="978" w:type="pct"/>
            <w:shd w:val="clear" w:color="auto" w:fill="auto"/>
            <w:vAlign w:val="center"/>
          </w:tcPr>
          <w:p w14:paraId="4B39AAB2" w14:textId="55D5BCCD" w:rsidR="00294CC3" w:rsidRPr="00D139A1" w:rsidRDefault="00294CC3" w:rsidP="00661ABB">
            <w:pPr>
              <w:pStyle w:val="Tabletext"/>
              <w:keepLines/>
              <w:rPr>
                <w:szCs w:val="20"/>
              </w:rPr>
            </w:pPr>
            <w:r w:rsidRPr="00D139A1">
              <w:rPr>
                <w:szCs w:val="20"/>
              </w:rPr>
              <w:t>Net cost of enzalutamide</w:t>
            </w:r>
            <w:r w:rsidR="009800DE" w:rsidRPr="00D139A1">
              <w:rPr>
                <w:szCs w:val="20"/>
              </w:rPr>
              <w:t xml:space="preserve"> ($)</w:t>
            </w:r>
          </w:p>
        </w:tc>
        <w:tc>
          <w:tcPr>
            <w:tcW w:w="582" w:type="pct"/>
            <w:gridSpan w:val="2"/>
            <w:shd w:val="clear" w:color="auto" w:fill="auto"/>
            <w:vAlign w:val="center"/>
          </w:tcPr>
          <w:p w14:paraId="7E563970" w14:textId="4D06412D"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169"/>
                <w:szCs w:val="20"/>
                <w:shd w:val="solid" w:color="000000" w:fill="000000"/>
                <w:fitText w:val="255" w:id="-1233498098"/>
                <w14:textFill>
                  <w14:solidFill>
                    <w14:srgbClr w14:val="000000">
                      <w14:alpha w14:val="100000"/>
                    </w14:srgbClr>
                  </w14:solidFill>
                </w14:textFill>
              </w:rPr>
              <w:t>|</w:t>
            </w:r>
            <w:r w:rsidRPr="008D2482">
              <w:rPr>
                <w:rFonts w:cs="Arial"/>
                <w:color w:val="000000"/>
                <w:spacing w:val="1"/>
                <w:szCs w:val="20"/>
                <w:shd w:val="solid" w:color="000000" w:fill="000000"/>
                <w:fitText w:val="255" w:id="-1233498098"/>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4</w:t>
            </w:r>
          </w:p>
        </w:tc>
        <w:tc>
          <w:tcPr>
            <w:tcW w:w="575" w:type="pct"/>
            <w:gridSpan w:val="2"/>
            <w:shd w:val="clear" w:color="auto" w:fill="auto"/>
            <w:vAlign w:val="center"/>
          </w:tcPr>
          <w:p w14:paraId="4CE68887" w14:textId="17B061AF"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8097"/>
                <w14:textFill>
                  <w14:solidFill>
                    <w14:srgbClr w14:val="000000">
                      <w14:alpha w14:val="100000"/>
                    </w14:srgbClr>
                  </w14:solidFill>
                </w14:textFill>
              </w:rPr>
              <w:t>|</w:t>
            </w:r>
            <w:r w:rsidRPr="008D2482">
              <w:rPr>
                <w:rFonts w:cs="Arial"/>
                <w:color w:val="000000"/>
                <w:spacing w:val="1"/>
                <w:szCs w:val="20"/>
                <w:shd w:val="solid" w:color="000000" w:fill="000000"/>
                <w:fitText w:val="277" w:id="-1233498097"/>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546242" w:rsidRPr="00D139A1">
              <w:rPr>
                <w:rFonts w:cs="Arial"/>
                <w:szCs w:val="20"/>
                <w:vertAlign w:val="superscript"/>
              </w:rPr>
              <w:t>1</w:t>
            </w:r>
          </w:p>
        </w:tc>
        <w:tc>
          <w:tcPr>
            <w:tcW w:w="575" w:type="pct"/>
            <w:gridSpan w:val="2"/>
            <w:shd w:val="clear" w:color="auto" w:fill="auto"/>
            <w:vAlign w:val="center"/>
          </w:tcPr>
          <w:p w14:paraId="43109336" w14:textId="0D75B083"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8096"/>
                <w14:textFill>
                  <w14:solidFill>
                    <w14:srgbClr w14:val="000000">
                      <w14:alpha w14:val="100000"/>
                    </w14:srgbClr>
                  </w14:solidFill>
                </w14:textFill>
              </w:rPr>
              <w:t>|</w:t>
            </w:r>
            <w:r w:rsidRPr="008D2482">
              <w:rPr>
                <w:rFonts w:cs="Arial"/>
                <w:color w:val="000000"/>
                <w:spacing w:val="1"/>
                <w:szCs w:val="20"/>
                <w:shd w:val="solid" w:color="000000" w:fill="000000"/>
                <w:fitText w:val="244" w:id="-1233498096"/>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9</w:t>
            </w:r>
          </w:p>
        </w:tc>
        <w:tc>
          <w:tcPr>
            <w:tcW w:w="575" w:type="pct"/>
            <w:gridSpan w:val="2"/>
            <w:shd w:val="clear" w:color="auto" w:fill="auto"/>
            <w:vAlign w:val="center"/>
          </w:tcPr>
          <w:p w14:paraId="6DEC553B" w14:textId="5DC8D823"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8112"/>
                <w14:textFill>
                  <w14:solidFill>
                    <w14:srgbClr w14:val="000000">
                      <w14:alpha w14:val="100000"/>
                    </w14:srgbClr>
                  </w14:solidFill>
                </w14:textFill>
              </w:rPr>
              <w:t>|</w:t>
            </w:r>
            <w:r w:rsidRPr="008D2482">
              <w:rPr>
                <w:rFonts w:cs="Arial"/>
                <w:color w:val="000000"/>
                <w:spacing w:val="1"/>
                <w:szCs w:val="20"/>
                <w:shd w:val="solid" w:color="000000" w:fill="000000"/>
                <w:fitText w:val="243" w:id="-1233498112"/>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77" w:type="pct"/>
            <w:gridSpan w:val="2"/>
            <w:shd w:val="clear" w:color="auto" w:fill="auto"/>
            <w:vAlign w:val="center"/>
          </w:tcPr>
          <w:p w14:paraId="1E8EB7BD" w14:textId="0023844B"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202"/>
                <w:szCs w:val="20"/>
                <w:shd w:val="solid" w:color="000000" w:fill="000000"/>
                <w:fitText w:val="288" w:id="-1233498111"/>
                <w14:textFill>
                  <w14:solidFill>
                    <w14:srgbClr w14:val="000000">
                      <w14:alpha w14:val="100000"/>
                    </w14:srgbClr>
                  </w14:solidFill>
                </w14:textFill>
              </w:rPr>
              <w:t>|</w:t>
            </w:r>
            <w:r w:rsidRPr="008D2482">
              <w:rPr>
                <w:rFonts w:cs="Arial"/>
                <w:color w:val="000000"/>
                <w:spacing w:val="1"/>
                <w:szCs w:val="20"/>
                <w:shd w:val="solid" w:color="000000" w:fill="000000"/>
                <w:fitText w:val="288" w:id="-1233498111"/>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D139A1">
              <w:rPr>
                <w:rFonts w:cs="Arial"/>
                <w:szCs w:val="20"/>
                <w:vertAlign w:val="superscript"/>
              </w:rPr>
              <w:t>3</w:t>
            </w:r>
          </w:p>
        </w:tc>
        <w:tc>
          <w:tcPr>
            <w:tcW w:w="575" w:type="pct"/>
            <w:gridSpan w:val="2"/>
            <w:shd w:val="clear" w:color="auto" w:fill="auto"/>
            <w:vAlign w:val="center"/>
          </w:tcPr>
          <w:p w14:paraId="642B9883" w14:textId="7794CE05" w:rsidR="00294CC3"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8110"/>
                <w14:textFill>
                  <w14:solidFill>
                    <w14:srgbClr w14:val="000000">
                      <w14:alpha w14:val="100000"/>
                    </w14:srgbClr>
                  </w14:solidFill>
                </w14:textFill>
              </w:rPr>
              <w:t>|</w:t>
            </w:r>
            <w:r w:rsidRPr="008D2482">
              <w:rPr>
                <w:rFonts w:cs="Arial"/>
                <w:color w:val="000000"/>
                <w:spacing w:val="1"/>
                <w:szCs w:val="20"/>
                <w:shd w:val="solid" w:color="000000" w:fill="000000"/>
                <w:fitText w:val="277" w:id="-1233498110"/>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D139A1">
              <w:rPr>
                <w:rFonts w:cs="Arial"/>
                <w:szCs w:val="20"/>
                <w:vertAlign w:val="superscript"/>
              </w:rPr>
              <w:t>3</w:t>
            </w:r>
          </w:p>
        </w:tc>
        <w:tc>
          <w:tcPr>
            <w:tcW w:w="563" w:type="pct"/>
            <w:vAlign w:val="center"/>
          </w:tcPr>
          <w:p w14:paraId="7786C509" w14:textId="33427AEF" w:rsidR="00294CC3" w:rsidRPr="00D139A1" w:rsidRDefault="008D2482" w:rsidP="00661ABB">
            <w:pPr>
              <w:pStyle w:val="Tabletext"/>
              <w:keepLines/>
              <w:jc w:val="center"/>
              <w:rPr>
                <w:szCs w:val="20"/>
                <w:highlight w:val="darkGray"/>
              </w:rPr>
            </w:pPr>
            <w:r w:rsidRPr="008D2482">
              <w:rPr>
                <w:color w:val="000000"/>
                <w:spacing w:val="202"/>
                <w:szCs w:val="20"/>
                <w:shd w:val="solid" w:color="000000" w:fill="000000"/>
                <w:fitText w:val="288" w:id="-1233498109"/>
                <w14:textFill>
                  <w14:solidFill>
                    <w14:srgbClr w14:val="000000">
                      <w14:alpha w14:val="100000"/>
                    </w14:srgbClr>
                  </w14:solidFill>
                </w14:textFill>
              </w:rPr>
              <w:t>|</w:t>
            </w:r>
            <w:r w:rsidRPr="008D2482">
              <w:rPr>
                <w:color w:val="000000"/>
                <w:spacing w:val="1"/>
                <w:szCs w:val="20"/>
                <w:shd w:val="solid" w:color="000000" w:fill="000000"/>
                <w:fitText w:val="288" w:id="-1233498109"/>
                <w14:textFill>
                  <w14:solidFill>
                    <w14:srgbClr w14:val="000000">
                      <w14:alpha w14:val="100000"/>
                    </w14:srgbClr>
                  </w14:solidFill>
                </w14:textFill>
              </w:rPr>
              <w:t>|</w:t>
            </w:r>
            <w:r w:rsidR="00AA73B7" w:rsidRPr="00AA73B7">
              <w:rPr>
                <w:szCs w:val="20"/>
              </w:rPr>
              <w:t xml:space="preserve"> </w:t>
            </w:r>
            <w:r w:rsidR="00D9013E" w:rsidRPr="00D139A1">
              <w:rPr>
                <w:rFonts w:cs="Arial"/>
                <w:szCs w:val="20"/>
                <w:vertAlign w:val="superscript"/>
              </w:rPr>
              <w:t>2</w:t>
            </w:r>
            <w:r w:rsidR="003A7836">
              <w:rPr>
                <w:rFonts w:cs="Arial"/>
                <w:szCs w:val="20"/>
                <w:vertAlign w:val="superscript"/>
              </w:rPr>
              <w:t>5</w:t>
            </w:r>
          </w:p>
        </w:tc>
      </w:tr>
      <w:tr w:rsidR="00D9013E" w:rsidRPr="0075485D" w14:paraId="65049AEE" w14:textId="77777777" w:rsidTr="00D9013E">
        <w:tc>
          <w:tcPr>
            <w:tcW w:w="978" w:type="pct"/>
            <w:shd w:val="clear" w:color="auto" w:fill="auto"/>
            <w:vAlign w:val="center"/>
          </w:tcPr>
          <w:p w14:paraId="20C11E82" w14:textId="6965D001" w:rsidR="00294CC3" w:rsidRPr="00D139A1" w:rsidRDefault="00294CC3" w:rsidP="00661ABB">
            <w:pPr>
              <w:pStyle w:val="Tabletext"/>
              <w:keepLines/>
              <w:rPr>
                <w:szCs w:val="20"/>
              </w:rPr>
            </w:pPr>
            <w:r w:rsidRPr="00D139A1">
              <w:rPr>
                <w:szCs w:val="20"/>
              </w:rPr>
              <w:t>Net cost offsets</w:t>
            </w:r>
            <w:r w:rsidR="009800DE" w:rsidRPr="00D139A1">
              <w:rPr>
                <w:szCs w:val="20"/>
              </w:rPr>
              <w:t xml:space="preserve"> ($)</w:t>
            </w:r>
          </w:p>
        </w:tc>
        <w:tc>
          <w:tcPr>
            <w:tcW w:w="582" w:type="pct"/>
            <w:gridSpan w:val="2"/>
            <w:shd w:val="clear" w:color="auto" w:fill="auto"/>
            <w:vAlign w:val="center"/>
          </w:tcPr>
          <w:p w14:paraId="2BBC22F1" w14:textId="42C4C83A" w:rsidR="00294CC3" w:rsidRPr="00D139A1" w:rsidRDefault="008D2482" w:rsidP="00661ABB">
            <w:pPr>
              <w:pStyle w:val="Tabletext"/>
              <w:keepLines/>
              <w:jc w:val="center"/>
              <w:rPr>
                <w:rFonts w:cs="Arial"/>
                <w:szCs w:val="20"/>
                <w:highlight w:val="darkGray"/>
              </w:rPr>
            </w:pPr>
            <w:r w:rsidRPr="008D2482">
              <w:rPr>
                <w:rFonts w:cs="Arial"/>
                <w:color w:val="000000"/>
                <w:spacing w:val="169"/>
                <w:szCs w:val="20"/>
                <w:shd w:val="solid" w:color="000000" w:fill="000000"/>
                <w:fitText w:val="255" w:id="-1233497856"/>
                <w14:textFill>
                  <w14:solidFill>
                    <w14:srgbClr w14:val="000000">
                      <w14:alpha w14:val="100000"/>
                    </w14:srgbClr>
                  </w14:solidFill>
                </w14:textFill>
              </w:rPr>
              <w:t>|</w:t>
            </w:r>
            <w:r w:rsidRPr="008D2482">
              <w:rPr>
                <w:rFonts w:cs="Arial"/>
                <w:color w:val="000000"/>
                <w:spacing w:val="1"/>
                <w:szCs w:val="20"/>
                <w:shd w:val="solid" w:color="000000" w:fill="000000"/>
                <w:fitText w:val="255" w:id="-1233497856"/>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6</w:t>
            </w:r>
          </w:p>
        </w:tc>
        <w:tc>
          <w:tcPr>
            <w:tcW w:w="575" w:type="pct"/>
            <w:gridSpan w:val="2"/>
            <w:shd w:val="clear" w:color="auto" w:fill="auto"/>
            <w:vAlign w:val="center"/>
          </w:tcPr>
          <w:p w14:paraId="6B95367D" w14:textId="6F7098BA" w:rsidR="00294CC3" w:rsidRPr="00D139A1" w:rsidRDefault="008D2482" w:rsidP="00661ABB">
            <w:pPr>
              <w:pStyle w:val="Tabletext"/>
              <w:keepLines/>
              <w:jc w:val="center"/>
              <w:rPr>
                <w:rFonts w:cs="Arial"/>
                <w:szCs w:val="20"/>
                <w:highlight w:val="darkGray"/>
              </w:rPr>
            </w:pPr>
            <w:r w:rsidRPr="008D2482">
              <w:rPr>
                <w:rFonts w:cs="Arial"/>
                <w:color w:val="000000"/>
                <w:spacing w:val="157"/>
                <w:szCs w:val="20"/>
                <w:shd w:val="solid" w:color="000000" w:fill="000000"/>
                <w:fitText w:val="243" w:id="-1233497855"/>
                <w14:textFill>
                  <w14:solidFill>
                    <w14:srgbClr w14:val="000000">
                      <w14:alpha w14:val="100000"/>
                    </w14:srgbClr>
                  </w14:solidFill>
                </w14:textFill>
              </w:rPr>
              <w:t>|</w:t>
            </w:r>
            <w:r w:rsidRPr="008D2482">
              <w:rPr>
                <w:rFonts w:cs="Arial"/>
                <w:color w:val="000000"/>
                <w:spacing w:val="1"/>
                <w:szCs w:val="20"/>
                <w:shd w:val="solid" w:color="000000" w:fill="000000"/>
                <w:fitText w:val="243" w:id="-1233497855"/>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6</w:t>
            </w:r>
          </w:p>
        </w:tc>
        <w:tc>
          <w:tcPr>
            <w:tcW w:w="575" w:type="pct"/>
            <w:gridSpan w:val="2"/>
            <w:shd w:val="clear" w:color="auto" w:fill="auto"/>
            <w:vAlign w:val="center"/>
          </w:tcPr>
          <w:p w14:paraId="5658496D" w14:textId="7DFF05F8" w:rsidR="00294CC3" w:rsidRPr="00D139A1" w:rsidRDefault="008D2482" w:rsidP="00661ABB">
            <w:pPr>
              <w:pStyle w:val="Tabletext"/>
              <w:keepLines/>
              <w:jc w:val="center"/>
              <w:rPr>
                <w:rFonts w:cs="Arial"/>
                <w:szCs w:val="20"/>
                <w:highlight w:val="darkGray"/>
              </w:rPr>
            </w:pPr>
            <w:r w:rsidRPr="008D2482">
              <w:rPr>
                <w:rFonts w:cs="Arial"/>
                <w:color w:val="000000"/>
                <w:spacing w:val="158"/>
                <w:szCs w:val="20"/>
                <w:shd w:val="solid" w:color="000000" w:fill="000000"/>
                <w:fitText w:val="244" w:id="-1233497854"/>
                <w14:textFill>
                  <w14:solidFill>
                    <w14:srgbClr w14:val="000000">
                      <w14:alpha w14:val="100000"/>
                    </w14:srgbClr>
                  </w14:solidFill>
                </w14:textFill>
              </w:rPr>
              <w:t>|</w:t>
            </w:r>
            <w:r w:rsidRPr="008D2482">
              <w:rPr>
                <w:rFonts w:cs="Arial"/>
                <w:color w:val="000000"/>
                <w:spacing w:val="1"/>
                <w:szCs w:val="20"/>
                <w:shd w:val="solid" w:color="000000" w:fill="000000"/>
                <w:fitText w:val="244" w:id="-1233497854"/>
                <w14:textFill>
                  <w14:solidFill>
                    <w14:srgbClr w14:val="000000">
                      <w14:alpha w14:val="100000"/>
                    </w14:srgbClr>
                  </w14:solidFill>
                </w14:textFill>
              </w:rPr>
              <w:t>|</w:t>
            </w:r>
            <w:r w:rsidR="00AA73B7" w:rsidRPr="00AA73B7">
              <w:rPr>
                <w:rFonts w:cs="Arial"/>
                <w:szCs w:val="20"/>
              </w:rPr>
              <w:t xml:space="preserve"> </w:t>
            </w:r>
            <w:r w:rsidR="00893089" w:rsidRPr="00D139A1">
              <w:rPr>
                <w:rFonts w:cs="Arial"/>
                <w:szCs w:val="20"/>
                <w:vertAlign w:val="superscript"/>
              </w:rPr>
              <w:t>6</w:t>
            </w:r>
          </w:p>
        </w:tc>
        <w:tc>
          <w:tcPr>
            <w:tcW w:w="575" w:type="pct"/>
            <w:gridSpan w:val="2"/>
            <w:shd w:val="clear" w:color="auto" w:fill="auto"/>
            <w:vAlign w:val="center"/>
          </w:tcPr>
          <w:p w14:paraId="1405C9B8" w14:textId="78CC1160" w:rsidR="00294CC3" w:rsidRPr="00D139A1" w:rsidRDefault="008D2482" w:rsidP="00661ABB">
            <w:pPr>
              <w:pStyle w:val="Tabletext"/>
              <w:keepLines/>
              <w:jc w:val="center"/>
              <w:rPr>
                <w:rFonts w:cs="Arial"/>
                <w:szCs w:val="20"/>
                <w:highlight w:val="darkGray"/>
              </w:rPr>
            </w:pPr>
            <w:r w:rsidRPr="008D2482">
              <w:rPr>
                <w:rFonts w:cs="Arial"/>
                <w:color w:val="000000"/>
                <w:spacing w:val="191"/>
                <w:szCs w:val="20"/>
                <w:shd w:val="solid" w:color="000000" w:fill="000000"/>
                <w:fitText w:val="277" w:id="-1233497853"/>
                <w14:textFill>
                  <w14:solidFill>
                    <w14:srgbClr w14:val="000000">
                      <w14:alpha w14:val="100000"/>
                    </w14:srgbClr>
                  </w14:solidFill>
                </w14:textFill>
              </w:rPr>
              <w:t>|</w:t>
            </w:r>
            <w:r w:rsidRPr="008D2482">
              <w:rPr>
                <w:rFonts w:cs="Arial"/>
                <w:color w:val="000000"/>
                <w:spacing w:val="1"/>
                <w:szCs w:val="20"/>
                <w:shd w:val="solid" w:color="000000" w:fill="000000"/>
                <w:fitText w:val="277" w:id="-1233497853"/>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D139A1">
              <w:rPr>
                <w:rFonts w:cs="Arial"/>
                <w:szCs w:val="20"/>
                <w:vertAlign w:val="superscript"/>
              </w:rPr>
              <w:t>7</w:t>
            </w:r>
          </w:p>
        </w:tc>
        <w:tc>
          <w:tcPr>
            <w:tcW w:w="577" w:type="pct"/>
            <w:gridSpan w:val="2"/>
            <w:shd w:val="clear" w:color="auto" w:fill="auto"/>
            <w:vAlign w:val="center"/>
          </w:tcPr>
          <w:p w14:paraId="3D1859A2" w14:textId="269152EA" w:rsidR="00294CC3" w:rsidRPr="00D139A1" w:rsidRDefault="008D2482" w:rsidP="00661ABB">
            <w:pPr>
              <w:pStyle w:val="Tabletext"/>
              <w:keepLines/>
              <w:jc w:val="center"/>
              <w:rPr>
                <w:rFonts w:cs="Arial"/>
                <w:szCs w:val="20"/>
                <w:highlight w:val="darkGray"/>
              </w:rPr>
            </w:pPr>
            <w:r w:rsidRPr="008D2482">
              <w:rPr>
                <w:rFonts w:cs="Arial"/>
                <w:color w:val="000000"/>
                <w:spacing w:val="202"/>
                <w:szCs w:val="20"/>
                <w:shd w:val="solid" w:color="000000" w:fill="000000"/>
                <w:fitText w:val="288" w:id="-1233497852"/>
                <w14:textFill>
                  <w14:solidFill>
                    <w14:srgbClr w14:val="000000">
                      <w14:alpha w14:val="100000"/>
                    </w14:srgbClr>
                  </w14:solidFill>
                </w14:textFill>
              </w:rPr>
              <w:t>|</w:t>
            </w:r>
            <w:r w:rsidRPr="008D2482">
              <w:rPr>
                <w:rFonts w:cs="Arial"/>
                <w:color w:val="000000"/>
                <w:spacing w:val="1"/>
                <w:szCs w:val="20"/>
                <w:shd w:val="solid" w:color="000000" w:fill="000000"/>
                <w:fitText w:val="288" w:id="-1233497852"/>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D139A1">
              <w:rPr>
                <w:rFonts w:cs="Arial"/>
                <w:szCs w:val="20"/>
                <w:vertAlign w:val="superscript"/>
              </w:rPr>
              <w:t>7</w:t>
            </w:r>
          </w:p>
        </w:tc>
        <w:tc>
          <w:tcPr>
            <w:tcW w:w="575" w:type="pct"/>
            <w:gridSpan w:val="2"/>
            <w:shd w:val="clear" w:color="auto" w:fill="auto"/>
            <w:vAlign w:val="center"/>
          </w:tcPr>
          <w:p w14:paraId="6A3361C2" w14:textId="6552E3DB" w:rsidR="00294CC3" w:rsidRPr="00D139A1" w:rsidRDefault="008D2482" w:rsidP="00661ABB">
            <w:pPr>
              <w:pStyle w:val="Tabletext"/>
              <w:keepLines/>
              <w:jc w:val="center"/>
              <w:rPr>
                <w:rFonts w:cs="Arial"/>
                <w:szCs w:val="20"/>
                <w:highlight w:val="darkGray"/>
              </w:rPr>
            </w:pPr>
            <w:r w:rsidRPr="008D2482">
              <w:rPr>
                <w:rFonts w:cs="Arial"/>
                <w:color w:val="000000"/>
                <w:spacing w:val="191"/>
                <w:szCs w:val="20"/>
                <w:shd w:val="solid" w:color="000000" w:fill="000000"/>
                <w:fitText w:val="277" w:id="-1233497851"/>
                <w14:textFill>
                  <w14:solidFill>
                    <w14:srgbClr w14:val="000000">
                      <w14:alpha w14:val="100000"/>
                    </w14:srgbClr>
                  </w14:solidFill>
                </w14:textFill>
              </w:rPr>
              <w:t>|</w:t>
            </w:r>
            <w:r w:rsidRPr="008D2482">
              <w:rPr>
                <w:rFonts w:cs="Arial"/>
                <w:color w:val="000000"/>
                <w:spacing w:val="1"/>
                <w:szCs w:val="20"/>
                <w:shd w:val="solid" w:color="000000" w:fill="000000"/>
                <w:fitText w:val="277" w:id="-1233497851"/>
                <w14:textFill>
                  <w14:solidFill>
                    <w14:srgbClr w14:val="000000">
                      <w14:alpha w14:val="100000"/>
                    </w14:srgbClr>
                  </w14:solidFill>
                </w14:textFill>
              </w:rPr>
              <w:t>|</w:t>
            </w:r>
            <w:r w:rsidR="00AA73B7" w:rsidRPr="00AA73B7">
              <w:rPr>
                <w:rFonts w:cs="Arial"/>
                <w:szCs w:val="20"/>
              </w:rPr>
              <w:t xml:space="preserve"> </w:t>
            </w:r>
            <w:r w:rsidR="001D6E3D" w:rsidRPr="00D139A1">
              <w:rPr>
                <w:rFonts w:cs="Arial"/>
                <w:szCs w:val="20"/>
                <w:vertAlign w:val="superscript"/>
              </w:rPr>
              <w:t>1</w:t>
            </w:r>
            <w:r w:rsidR="00D139A1">
              <w:rPr>
                <w:rFonts w:cs="Arial"/>
                <w:szCs w:val="20"/>
                <w:vertAlign w:val="superscript"/>
              </w:rPr>
              <w:t>7</w:t>
            </w:r>
          </w:p>
        </w:tc>
        <w:tc>
          <w:tcPr>
            <w:tcW w:w="563" w:type="pct"/>
            <w:vAlign w:val="center"/>
          </w:tcPr>
          <w:p w14:paraId="503A3B5F" w14:textId="5716B22E" w:rsidR="00294CC3" w:rsidRPr="00D139A1"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7850"/>
                <w14:textFill>
                  <w14:solidFill>
                    <w14:srgbClr w14:val="000000">
                      <w14:alpha w14:val="100000"/>
                    </w14:srgbClr>
                  </w14:solidFill>
                </w14:textFill>
              </w:rPr>
              <w:t>|</w:t>
            </w:r>
            <w:r w:rsidRPr="008D2482">
              <w:rPr>
                <w:color w:val="000000"/>
                <w:spacing w:val="1"/>
                <w:szCs w:val="20"/>
                <w:shd w:val="solid" w:color="000000" w:fill="000000"/>
                <w:fitText w:val="255" w:id="-1233497850"/>
                <w14:textFill>
                  <w14:solidFill>
                    <w14:srgbClr w14:val="000000">
                      <w14:alpha w14:val="100000"/>
                    </w14:srgbClr>
                  </w14:solidFill>
                </w14:textFill>
              </w:rPr>
              <w:t>|</w:t>
            </w:r>
            <w:r w:rsidR="00AA73B7" w:rsidRPr="00AA73B7">
              <w:rPr>
                <w:szCs w:val="20"/>
              </w:rPr>
              <w:t xml:space="preserve"> </w:t>
            </w:r>
            <w:r w:rsidR="009D2A74" w:rsidRPr="00D139A1">
              <w:rPr>
                <w:rFonts w:cs="Arial"/>
                <w:szCs w:val="20"/>
                <w:vertAlign w:val="superscript"/>
              </w:rPr>
              <w:t>8</w:t>
            </w:r>
          </w:p>
        </w:tc>
      </w:tr>
      <w:tr w:rsidR="00D9013E" w:rsidRPr="0075485D" w14:paraId="60B940D1" w14:textId="77777777" w:rsidTr="00D9013E">
        <w:tc>
          <w:tcPr>
            <w:tcW w:w="978" w:type="pct"/>
            <w:shd w:val="clear" w:color="auto" w:fill="auto"/>
            <w:vAlign w:val="center"/>
          </w:tcPr>
          <w:p w14:paraId="176E9945" w14:textId="0AE12D4D" w:rsidR="00144C6B" w:rsidRPr="00D139A1" w:rsidRDefault="00144C6B" w:rsidP="00661ABB">
            <w:pPr>
              <w:pStyle w:val="Tabletext"/>
              <w:keepLines/>
              <w:rPr>
                <w:b/>
                <w:bCs/>
                <w:szCs w:val="20"/>
              </w:rPr>
            </w:pPr>
            <w:r w:rsidRPr="00D139A1">
              <w:rPr>
                <w:b/>
                <w:bCs/>
                <w:szCs w:val="20"/>
              </w:rPr>
              <w:t>Total net cost PBS/RPBS</w:t>
            </w:r>
            <w:r w:rsidR="009800DE" w:rsidRPr="00D139A1">
              <w:rPr>
                <w:szCs w:val="20"/>
              </w:rPr>
              <w:t xml:space="preserve"> </w:t>
            </w:r>
            <w:r w:rsidR="009800DE" w:rsidRPr="00D139A1">
              <w:rPr>
                <w:b/>
                <w:bCs/>
                <w:szCs w:val="20"/>
              </w:rPr>
              <w:t>($)</w:t>
            </w:r>
          </w:p>
        </w:tc>
        <w:tc>
          <w:tcPr>
            <w:tcW w:w="582" w:type="pct"/>
            <w:gridSpan w:val="2"/>
            <w:shd w:val="clear" w:color="auto" w:fill="auto"/>
            <w:vAlign w:val="center"/>
          </w:tcPr>
          <w:p w14:paraId="08FAB9D8" w14:textId="40CCDCBF"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0" w:id="-1233497849"/>
                <w14:textFill>
                  <w14:solidFill>
                    <w14:srgbClr w14:val="000000">
                      <w14:alpha w14:val="100000"/>
                    </w14:srgbClr>
                  </w14:solidFill>
                </w14:textFill>
              </w:rPr>
              <w:t>|||</w:t>
            </w:r>
            <w:r w:rsidRPr="008D2482">
              <w:rPr>
                <w:rFonts w:cs="Arial"/>
                <w:b/>
                <w:bCs/>
                <w:color w:val="000000"/>
                <w:spacing w:val="1"/>
                <w:szCs w:val="20"/>
                <w:shd w:val="solid" w:color="000000" w:fill="000000"/>
                <w:fitText w:val="310" w:id="-1233497849"/>
                <w14:textFill>
                  <w14:solidFill>
                    <w14:srgbClr w14:val="000000">
                      <w14:alpha w14:val="100000"/>
                    </w14:srgbClr>
                  </w14:solidFill>
                </w14:textFill>
              </w:rPr>
              <w:t>|</w:t>
            </w:r>
            <w:r w:rsidR="00AA73B7" w:rsidRPr="00AA73B7">
              <w:rPr>
                <w:rFonts w:cs="Arial"/>
                <w:b/>
                <w:bCs/>
                <w:color w:val="000000"/>
                <w:szCs w:val="20"/>
              </w:rPr>
              <w:t xml:space="preserve"> </w:t>
            </w:r>
            <w:r w:rsidR="00893089" w:rsidRPr="00D139A1">
              <w:rPr>
                <w:rFonts w:cs="Arial"/>
                <w:szCs w:val="20"/>
                <w:vertAlign w:val="superscript"/>
              </w:rPr>
              <w:t>4</w:t>
            </w:r>
          </w:p>
        </w:tc>
        <w:tc>
          <w:tcPr>
            <w:tcW w:w="575" w:type="pct"/>
            <w:gridSpan w:val="2"/>
            <w:shd w:val="clear" w:color="auto" w:fill="auto"/>
            <w:vAlign w:val="center"/>
          </w:tcPr>
          <w:p w14:paraId="15B85BC7" w14:textId="5B9EF28D"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49"/>
                <w:szCs w:val="20"/>
                <w:shd w:val="solid" w:color="000000" w:fill="000000"/>
                <w:fitText w:val="333" w:id="-1233497848"/>
                <w14:textFill>
                  <w14:solidFill>
                    <w14:srgbClr w14:val="000000">
                      <w14:alpha w14:val="100000"/>
                    </w14:srgbClr>
                  </w14:solidFill>
                </w14:textFill>
              </w:rPr>
              <w:t>|||</w:t>
            </w:r>
            <w:r w:rsidRPr="008D2482">
              <w:rPr>
                <w:rFonts w:cs="Arial"/>
                <w:b/>
                <w:bCs/>
                <w:color w:val="000000"/>
                <w:spacing w:val="3"/>
                <w:szCs w:val="20"/>
                <w:shd w:val="solid" w:color="000000" w:fill="000000"/>
                <w:fitText w:val="333" w:id="-1233497848"/>
                <w14:textFill>
                  <w14:solidFill>
                    <w14:srgbClr w14:val="000000">
                      <w14:alpha w14:val="100000"/>
                    </w14:srgbClr>
                  </w14:solidFill>
                </w14:textFill>
              </w:rPr>
              <w:t>|</w:t>
            </w:r>
            <w:r w:rsidR="00AA73B7" w:rsidRPr="00AA73B7">
              <w:rPr>
                <w:rFonts w:cs="Arial"/>
                <w:b/>
                <w:bCs/>
                <w:color w:val="000000"/>
                <w:szCs w:val="20"/>
              </w:rPr>
              <w:t xml:space="preserve"> </w:t>
            </w:r>
            <w:r w:rsidR="001D6E3D" w:rsidRPr="00D139A1">
              <w:rPr>
                <w:rFonts w:cs="Arial"/>
                <w:szCs w:val="20"/>
                <w:vertAlign w:val="superscript"/>
              </w:rPr>
              <w:t>1</w:t>
            </w:r>
            <w:r w:rsidR="00546242" w:rsidRPr="00D139A1">
              <w:rPr>
                <w:rFonts w:cs="Arial"/>
                <w:szCs w:val="20"/>
                <w:vertAlign w:val="superscript"/>
              </w:rPr>
              <w:t>1</w:t>
            </w:r>
          </w:p>
        </w:tc>
        <w:tc>
          <w:tcPr>
            <w:tcW w:w="575" w:type="pct"/>
            <w:gridSpan w:val="2"/>
            <w:shd w:val="clear" w:color="auto" w:fill="auto"/>
            <w:vAlign w:val="center"/>
          </w:tcPr>
          <w:p w14:paraId="5CA59FA2" w14:textId="307849EF"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49"/>
                <w:szCs w:val="20"/>
                <w:shd w:val="solid" w:color="000000" w:fill="000000"/>
                <w:fitText w:val="332" w:id="-1233497847"/>
                <w14:textFill>
                  <w14:solidFill>
                    <w14:srgbClr w14:val="000000">
                      <w14:alpha w14:val="100000"/>
                    </w14:srgbClr>
                  </w14:solidFill>
                </w14:textFill>
              </w:rPr>
              <w:t>|||</w:t>
            </w:r>
            <w:r w:rsidRPr="008D2482">
              <w:rPr>
                <w:rFonts w:cs="Arial"/>
                <w:b/>
                <w:bCs/>
                <w:color w:val="000000"/>
                <w:spacing w:val="2"/>
                <w:szCs w:val="20"/>
                <w:shd w:val="solid" w:color="000000" w:fill="000000"/>
                <w:fitText w:val="332" w:id="-1233497847"/>
                <w14:textFill>
                  <w14:solidFill>
                    <w14:srgbClr w14:val="000000">
                      <w14:alpha w14:val="100000"/>
                    </w14:srgbClr>
                  </w14:solidFill>
                </w14:textFill>
              </w:rPr>
              <w:t>|</w:t>
            </w:r>
            <w:r w:rsidR="00AA73B7" w:rsidRPr="00AA73B7">
              <w:rPr>
                <w:rFonts w:cs="Arial"/>
                <w:b/>
                <w:bCs/>
                <w:color w:val="000000"/>
                <w:szCs w:val="20"/>
              </w:rPr>
              <w:t xml:space="preserve"> </w:t>
            </w:r>
            <w:r w:rsidR="001D6E3D" w:rsidRPr="00D139A1">
              <w:rPr>
                <w:rFonts w:cs="Arial"/>
                <w:szCs w:val="20"/>
                <w:vertAlign w:val="superscript"/>
              </w:rPr>
              <w:t>1</w:t>
            </w:r>
            <w:r w:rsidR="00546242" w:rsidRPr="00D139A1">
              <w:rPr>
                <w:rFonts w:cs="Arial"/>
                <w:szCs w:val="20"/>
                <w:vertAlign w:val="superscript"/>
              </w:rPr>
              <w:t>1</w:t>
            </w:r>
          </w:p>
        </w:tc>
        <w:tc>
          <w:tcPr>
            <w:tcW w:w="575" w:type="pct"/>
            <w:gridSpan w:val="2"/>
            <w:shd w:val="clear" w:color="auto" w:fill="auto"/>
            <w:vAlign w:val="center"/>
          </w:tcPr>
          <w:p w14:paraId="58E9E87C" w14:textId="6AFB1D0E"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1" w:id="-1233497846"/>
                <w14:textFill>
                  <w14:solidFill>
                    <w14:srgbClr w14:val="000000">
                      <w14:alpha w14:val="100000"/>
                    </w14:srgbClr>
                  </w14:solidFill>
                </w14:textFill>
              </w:rPr>
              <w:t>|||</w:t>
            </w:r>
            <w:r w:rsidRPr="008D2482">
              <w:rPr>
                <w:rFonts w:cs="Arial"/>
                <w:b/>
                <w:bCs/>
                <w:color w:val="000000"/>
                <w:spacing w:val="2"/>
                <w:szCs w:val="20"/>
                <w:shd w:val="solid" w:color="000000" w:fill="000000"/>
                <w:fitText w:val="311" w:id="-1233497846"/>
                <w14:textFill>
                  <w14:solidFill>
                    <w14:srgbClr w14:val="000000">
                      <w14:alpha w14:val="100000"/>
                    </w14:srgbClr>
                  </w14:solidFill>
                </w14:textFill>
              </w:rPr>
              <w:t>|</w:t>
            </w:r>
            <w:r w:rsidR="00AA73B7" w:rsidRPr="00AA73B7">
              <w:rPr>
                <w:rFonts w:cs="Arial"/>
                <w:b/>
                <w:bCs/>
                <w:color w:val="000000"/>
                <w:szCs w:val="20"/>
              </w:rPr>
              <w:t xml:space="preserve"> </w:t>
            </w:r>
            <w:r w:rsidR="009D2A74" w:rsidRPr="00D139A1">
              <w:rPr>
                <w:rFonts w:cs="Arial"/>
                <w:szCs w:val="20"/>
                <w:vertAlign w:val="superscript"/>
              </w:rPr>
              <w:t>9</w:t>
            </w:r>
          </w:p>
        </w:tc>
        <w:tc>
          <w:tcPr>
            <w:tcW w:w="577" w:type="pct"/>
            <w:gridSpan w:val="2"/>
            <w:shd w:val="clear" w:color="auto" w:fill="auto"/>
            <w:vAlign w:val="center"/>
          </w:tcPr>
          <w:p w14:paraId="2088C6B3" w14:textId="52A9DDEB"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207"/>
                <w:szCs w:val="20"/>
                <w:shd w:val="solid" w:color="000000" w:fill="000000"/>
                <w:fitText w:val="299" w:id="-1233497845"/>
                <w14:textFill>
                  <w14:solidFill>
                    <w14:srgbClr w14:val="000000">
                      <w14:alpha w14:val="100000"/>
                    </w14:srgbClr>
                  </w14:solidFill>
                </w14:textFill>
              </w:rPr>
              <w:t>|</w:t>
            </w:r>
            <w:r w:rsidRPr="008D2482">
              <w:rPr>
                <w:rFonts w:cs="Arial"/>
                <w:b/>
                <w:bCs/>
                <w:color w:val="000000"/>
                <w:spacing w:val="1"/>
                <w:szCs w:val="20"/>
                <w:shd w:val="solid" w:color="000000" w:fill="000000"/>
                <w:fitText w:val="299" w:id="-1233497845"/>
                <w14:textFill>
                  <w14:solidFill>
                    <w14:srgbClr w14:val="000000">
                      <w14:alpha w14:val="100000"/>
                    </w14:srgbClr>
                  </w14:solidFill>
                </w14:textFill>
              </w:rPr>
              <w:t>|</w:t>
            </w:r>
            <w:r w:rsidR="00AA73B7" w:rsidRPr="00AA73B7">
              <w:rPr>
                <w:rFonts w:cs="Arial"/>
                <w:b/>
                <w:bCs/>
                <w:color w:val="000000"/>
                <w:szCs w:val="20"/>
              </w:rPr>
              <w:t xml:space="preserve"> </w:t>
            </w:r>
            <w:r w:rsidR="009D2A74" w:rsidRPr="00D139A1">
              <w:rPr>
                <w:rFonts w:cs="Arial"/>
                <w:szCs w:val="20"/>
                <w:vertAlign w:val="superscript"/>
              </w:rPr>
              <w:t>9</w:t>
            </w:r>
          </w:p>
        </w:tc>
        <w:tc>
          <w:tcPr>
            <w:tcW w:w="575" w:type="pct"/>
            <w:gridSpan w:val="2"/>
            <w:shd w:val="clear" w:color="auto" w:fill="auto"/>
            <w:vAlign w:val="center"/>
          </w:tcPr>
          <w:p w14:paraId="3A3B78D9" w14:textId="41BF00F8" w:rsidR="00144C6B" w:rsidRPr="00D139A1"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1" w:id="-1233497844"/>
                <w14:textFill>
                  <w14:solidFill>
                    <w14:srgbClr w14:val="000000">
                      <w14:alpha w14:val="100000"/>
                    </w14:srgbClr>
                  </w14:solidFill>
                </w14:textFill>
              </w:rPr>
              <w:t>|||</w:t>
            </w:r>
            <w:r w:rsidRPr="008D2482">
              <w:rPr>
                <w:rFonts w:cs="Arial"/>
                <w:b/>
                <w:bCs/>
                <w:color w:val="000000"/>
                <w:spacing w:val="2"/>
                <w:szCs w:val="20"/>
                <w:shd w:val="solid" w:color="000000" w:fill="000000"/>
                <w:fitText w:val="311" w:id="-1233497844"/>
                <w14:textFill>
                  <w14:solidFill>
                    <w14:srgbClr w14:val="000000">
                      <w14:alpha w14:val="100000"/>
                    </w14:srgbClr>
                  </w14:solidFill>
                </w14:textFill>
              </w:rPr>
              <w:t>|</w:t>
            </w:r>
            <w:r w:rsidR="00AA73B7" w:rsidRPr="00AA73B7">
              <w:rPr>
                <w:rFonts w:cs="Arial"/>
                <w:b/>
                <w:bCs/>
                <w:color w:val="000000"/>
                <w:szCs w:val="20"/>
              </w:rPr>
              <w:t xml:space="preserve"> </w:t>
            </w:r>
            <w:r w:rsidR="009D2A74" w:rsidRPr="00D139A1">
              <w:rPr>
                <w:rFonts w:cs="Arial"/>
                <w:szCs w:val="20"/>
                <w:vertAlign w:val="superscript"/>
              </w:rPr>
              <w:t>9</w:t>
            </w:r>
          </w:p>
        </w:tc>
        <w:tc>
          <w:tcPr>
            <w:tcW w:w="563" w:type="pct"/>
            <w:vAlign w:val="center"/>
          </w:tcPr>
          <w:p w14:paraId="16980309" w14:textId="4B86BDA5" w:rsidR="00144C6B" w:rsidRPr="00D139A1" w:rsidRDefault="008D2482" w:rsidP="00661ABB">
            <w:pPr>
              <w:pStyle w:val="Tabletext"/>
              <w:keepLines/>
              <w:jc w:val="center"/>
              <w:rPr>
                <w:b/>
                <w:bCs/>
                <w:szCs w:val="20"/>
                <w:highlight w:val="darkGray"/>
              </w:rPr>
            </w:pPr>
            <w:r w:rsidRPr="008D2482">
              <w:rPr>
                <w:b/>
                <w:bCs/>
                <w:color w:val="000000"/>
                <w:spacing w:val="53"/>
                <w:szCs w:val="20"/>
                <w:shd w:val="solid" w:color="000000" w:fill="000000"/>
                <w:fitText w:val="343" w:id="-1233497843"/>
                <w14:textFill>
                  <w14:solidFill>
                    <w14:srgbClr w14:val="000000">
                      <w14:alpha w14:val="100000"/>
                    </w14:srgbClr>
                  </w14:solidFill>
                </w14:textFill>
              </w:rPr>
              <w:t>|||</w:t>
            </w:r>
            <w:r w:rsidRPr="008D2482">
              <w:rPr>
                <w:b/>
                <w:bCs/>
                <w:color w:val="000000"/>
                <w:spacing w:val="1"/>
                <w:szCs w:val="20"/>
                <w:shd w:val="solid" w:color="000000" w:fill="000000"/>
                <w:fitText w:val="343" w:id="-1233497843"/>
                <w14:textFill>
                  <w14:solidFill>
                    <w14:srgbClr w14:val="000000">
                      <w14:alpha w14:val="100000"/>
                    </w14:srgbClr>
                  </w14:solidFill>
                </w14:textFill>
              </w:rPr>
              <w:t>|</w:t>
            </w:r>
            <w:r w:rsidR="00AA73B7" w:rsidRPr="00AA73B7">
              <w:rPr>
                <w:b/>
                <w:bCs/>
                <w:szCs w:val="20"/>
              </w:rPr>
              <w:t xml:space="preserve"> </w:t>
            </w:r>
            <w:r w:rsidR="00D9013E" w:rsidRPr="00D139A1">
              <w:rPr>
                <w:rFonts w:cs="Arial"/>
                <w:szCs w:val="20"/>
                <w:vertAlign w:val="superscript"/>
              </w:rPr>
              <w:t>2</w:t>
            </w:r>
            <w:r w:rsidR="003A7836">
              <w:rPr>
                <w:rFonts w:cs="Arial"/>
                <w:szCs w:val="20"/>
                <w:vertAlign w:val="superscript"/>
              </w:rPr>
              <w:t>5</w:t>
            </w:r>
          </w:p>
        </w:tc>
      </w:tr>
      <w:tr w:rsidR="00C50652" w:rsidRPr="0075485D" w14:paraId="0EFA3AAA" w14:textId="77777777" w:rsidTr="00C50652">
        <w:tc>
          <w:tcPr>
            <w:tcW w:w="5000" w:type="pct"/>
            <w:gridSpan w:val="14"/>
            <w:shd w:val="clear" w:color="auto" w:fill="auto"/>
            <w:vAlign w:val="center"/>
          </w:tcPr>
          <w:p w14:paraId="37172BDB" w14:textId="7D7CE564" w:rsidR="00C50652" w:rsidRPr="00D139A1" w:rsidRDefault="00C50652" w:rsidP="00661ABB">
            <w:pPr>
              <w:pStyle w:val="Tabletext"/>
              <w:keepLines/>
              <w:rPr>
                <w:b/>
                <w:bCs/>
                <w:szCs w:val="20"/>
              </w:rPr>
            </w:pPr>
            <w:r w:rsidRPr="00D139A1">
              <w:rPr>
                <w:b/>
                <w:bCs/>
                <w:szCs w:val="20"/>
              </w:rPr>
              <w:t>Revised estimates presented in the pre-PBAC response</w:t>
            </w:r>
            <w:r w:rsidR="00ED7384" w:rsidRPr="00D139A1">
              <w:rPr>
                <w:b/>
                <w:bCs/>
                <w:szCs w:val="20"/>
              </w:rPr>
              <w:t xml:space="preserve"> (DPMQ $</w:t>
            </w:r>
            <w:r w:rsidR="008D2482" w:rsidRPr="008D2482">
              <w:rPr>
                <w:b/>
                <w:bCs/>
                <w:color w:val="000000"/>
                <w:spacing w:val="40"/>
                <w:szCs w:val="20"/>
                <w:shd w:val="solid" w:color="000000" w:fill="000000"/>
                <w:fitText w:val="477" w:id="-1233497842"/>
                <w14:textFill>
                  <w14:solidFill>
                    <w14:srgbClr w14:val="000000">
                      <w14:alpha w14:val="100000"/>
                    </w14:srgbClr>
                  </w14:solidFill>
                </w14:textFill>
              </w:rPr>
              <w:t>|||||</w:t>
            </w:r>
            <w:r w:rsidR="008D2482" w:rsidRPr="008D2482">
              <w:rPr>
                <w:b/>
                <w:bCs/>
                <w:color w:val="000000"/>
                <w:spacing w:val="2"/>
                <w:szCs w:val="20"/>
                <w:shd w:val="solid" w:color="000000" w:fill="000000"/>
                <w:fitText w:val="477" w:id="-1233497842"/>
                <w14:textFill>
                  <w14:solidFill>
                    <w14:srgbClr w14:val="000000">
                      <w14:alpha w14:val="100000"/>
                    </w14:srgbClr>
                  </w14:solidFill>
                </w14:textFill>
              </w:rPr>
              <w:t>|</w:t>
            </w:r>
            <w:r w:rsidR="00AA73B7" w:rsidRPr="00AA73B7">
              <w:rPr>
                <w:b/>
                <w:bCs/>
                <w:szCs w:val="20"/>
              </w:rPr>
              <w:t xml:space="preserve"> </w:t>
            </w:r>
            <w:r w:rsidR="00ED7384" w:rsidRPr="00D139A1">
              <w:rPr>
                <w:b/>
                <w:bCs/>
                <w:szCs w:val="20"/>
              </w:rPr>
              <w:t>)</w:t>
            </w:r>
          </w:p>
        </w:tc>
      </w:tr>
      <w:tr w:rsidR="00D9013E" w:rsidRPr="0075485D" w14:paraId="492FD44D" w14:textId="77777777" w:rsidTr="00D9013E">
        <w:tc>
          <w:tcPr>
            <w:tcW w:w="978" w:type="pct"/>
            <w:shd w:val="clear" w:color="auto" w:fill="auto"/>
            <w:vAlign w:val="center"/>
          </w:tcPr>
          <w:p w14:paraId="75E20274" w14:textId="471D8A70" w:rsidR="000E11BB" w:rsidRPr="00D139A1" w:rsidRDefault="000E11BB" w:rsidP="00661ABB">
            <w:pPr>
              <w:pStyle w:val="Tabletext"/>
              <w:keepLines/>
              <w:rPr>
                <w:szCs w:val="20"/>
              </w:rPr>
            </w:pPr>
            <w:r w:rsidRPr="00D139A1">
              <w:rPr>
                <w:szCs w:val="20"/>
              </w:rPr>
              <w:t>Net cost of enzalutamide scripts</w:t>
            </w:r>
            <w:r w:rsidR="00893089" w:rsidRPr="00D139A1">
              <w:rPr>
                <w:szCs w:val="20"/>
              </w:rPr>
              <w:t xml:space="preserve"> ($)</w:t>
            </w:r>
          </w:p>
        </w:tc>
        <w:tc>
          <w:tcPr>
            <w:tcW w:w="582" w:type="pct"/>
            <w:gridSpan w:val="2"/>
            <w:shd w:val="clear" w:color="auto" w:fill="auto"/>
            <w:vAlign w:val="center"/>
          </w:tcPr>
          <w:p w14:paraId="7A851DB0" w14:textId="309DF03B"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69"/>
                <w:szCs w:val="20"/>
                <w:shd w:val="solid" w:color="000000" w:fill="000000"/>
                <w:fitText w:val="255" w:id="-1233497841"/>
                <w14:textFill>
                  <w14:solidFill>
                    <w14:srgbClr w14:val="000000">
                      <w14:alpha w14:val="100000"/>
                    </w14:srgbClr>
                  </w14:solidFill>
                </w14:textFill>
              </w:rPr>
              <w:t>|</w:t>
            </w:r>
            <w:r w:rsidRPr="008D2482">
              <w:rPr>
                <w:rFonts w:cs="Arial"/>
                <w:color w:val="000000"/>
                <w:spacing w:val="1"/>
                <w:szCs w:val="20"/>
                <w:shd w:val="solid" w:color="000000" w:fill="000000"/>
                <w:fitText w:val="255" w:id="-1233497841"/>
                <w14:textFill>
                  <w14:solidFill>
                    <w14:srgbClr w14:val="000000">
                      <w14:alpha w14:val="100000"/>
                    </w14:srgbClr>
                  </w14:solidFill>
                </w14:textFill>
              </w:rPr>
              <w:t>|</w:t>
            </w:r>
            <w:r w:rsidR="00AA73B7" w:rsidRPr="00AA73B7">
              <w:rPr>
                <w:rFonts w:cs="Arial"/>
                <w:color w:val="000000"/>
                <w:szCs w:val="20"/>
              </w:rPr>
              <w:t xml:space="preserve"> </w:t>
            </w:r>
            <w:r w:rsidR="00893089" w:rsidRPr="00D139A1">
              <w:rPr>
                <w:rFonts w:cs="Arial"/>
                <w:szCs w:val="20"/>
                <w:vertAlign w:val="superscript"/>
              </w:rPr>
              <w:t>4</w:t>
            </w:r>
          </w:p>
        </w:tc>
        <w:tc>
          <w:tcPr>
            <w:tcW w:w="575" w:type="pct"/>
            <w:gridSpan w:val="2"/>
            <w:shd w:val="clear" w:color="auto" w:fill="auto"/>
            <w:vAlign w:val="center"/>
          </w:tcPr>
          <w:p w14:paraId="5FD0EB63" w14:textId="7693D3ED"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91"/>
                <w:szCs w:val="20"/>
                <w:shd w:val="solid" w:color="000000" w:fill="000000"/>
                <w:fitText w:val="277" w:id="-1233497840"/>
                <w14:textFill>
                  <w14:solidFill>
                    <w14:srgbClr w14:val="000000">
                      <w14:alpha w14:val="100000"/>
                    </w14:srgbClr>
                  </w14:solidFill>
                </w14:textFill>
              </w:rPr>
              <w:t>|</w:t>
            </w:r>
            <w:r w:rsidRPr="008D2482">
              <w:rPr>
                <w:rFonts w:cs="Arial"/>
                <w:color w:val="000000"/>
                <w:spacing w:val="1"/>
                <w:szCs w:val="20"/>
                <w:shd w:val="solid" w:color="000000" w:fill="000000"/>
                <w:fitText w:val="277" w:id="-1233497840"/>
                <w14:textFill>
                  <w14:solidFill>
                    <w14:srgbClr w14:val="000000">
                      <w14:alpha w14:val="100000"/>
                    </w14:srgbClr>
                  </w14:solidFill>
                </w14:textFill>
              </w:rPr>
              <w:t>|</w:t>
            </w:r>
            <w:r w:rsidR="00AA73B7" w:rsidRPr="00AA73B7">
              <w:rPr>
                <w:rFonts w:cs="Arial"/>
                <w:color w:val="000000"/>
                <w:szCs w:val="20"/>
              </w:rPr>
              <w:t xml:space="preserve"> </w:t>
            </w:r>
            <w:r w:rsidR="001D6E3D" w:rsidRPr="00D139A1">
              <w:rPr>
                <w:rFonts w:cs="Arial"/>
                <w:szCs w:val="20"/>
                <w:vertAlign w:val="superscript"/>
              </w:rPr>
              <w:t>1</w:t>
            </w:r>
            <w:r w:rsidR="00546242" w:rsidRPr="00D139A1">
              <w:rPr>
                <w:rFonts w:cs="Arial"/>
                <w:szCs w:val="20"/>
                <w:vertAlign w:val="superscript"/>
              </w:rPr>
              <w:t>1</w:t>
            </w:r>
          </w:p>
        </w:tc>
        <w:tc>
          <w:tcPr>
            <w:tcW w:w="575" w:type="pct"/>
            <w:gridSpan w:val="2"/>
            <w:shd w:val="clear" w:color="auto" w:fill="auto"/>
            <w:vAlign w:val="center"/>
          </w:tcPr>
          <w:p w14:paraId="6CE317F1" w14:textId="7711C6E6"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7856"/>
                <w14:textFill>
                  <w14:solidFill>
                    <w14:srgbClr w14:val="000000">
                      <w14:alpha w14:val="100000"/>
                    </w14:srgbClr>
                  </w14:solidFill>
                </w14:textFill>
              </w:rPr>
              <w:t>|</w:t>
            </w:r>
            <w:r w:rsidRPr="008D2482">
              <w:rPr>
                <w:rFonts w:cs="Arial"/>
                <w:color w:val="000000"/>
                <w:spacing w:val="1"/>
                <w:szCs w:val="20"/>
                <w:shd w:val="solid" w:color="000000" w:fill="000000"/>
                <w:fitText w:val="244" w:id="-1233497856"/>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9</w:t>
            </w:r>
          </w:p>
        </w:tc>
        <w:tc>
          <w:tcPr>
            <w:tcW w:w="575" w:type="pct"/>
            <w:gridSpan w:val="2"/>
            <w:shd w:val="clear" w:color="auto" w:fill="auto"/>
            <w:vAlign w:val="center"/>
          </w:tcPr>
          <w:p w14:paraId="5F1A76BA" w14:textId="5BD7DB77"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7855"/>
                <w14:textFill>
                  <w14:solidFill>
                    <w14:srgbClr w14:val="000000">
                      <w14:alpha w14:val="100000"/>
                    </w14:srgbClr>
                  </w14:solidFill>
                </w14:textFill>
              </w:rPr>
              <w:t>|</w:t>
            </w:r>
            <w:r w:rsidRPr="008D2482">
              <w:rPr>
                <w:rFonts w:cs="Arial"/>
                <w:color w:val="000000"/>
                <w:spacing w:val="1"/>
                <w:szCs w:val="20"/>
                <w:shd w:val="solid" w:color="000000" w:fill="000000"/>
                <w:fitText w:val="243" w:id="-1233497855"/>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77" w:type="pct"/>
            <w:gridSpan w:val="2"/>
            <w:shd w:val="clear" w:color="auto" w:fill="auto"/>
            <w:vAlign w:val="center"/>
          </w:tcPr>
          <w:p w14:paraId="1549B948" w14:textId="7FBAE29D"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58"/>
                <w:szCs w:val="20"/>
                <w:shd w:val="solid" w:color="000000" w:fill="000000"/>
                <w:fitText w:val="244" w:id="-1233497854"/>
                <w14:textFill>
                  <w14:solidFill>
                    <w14:srgbClr w14:val="000000">
                      <w14:alpha w14:val="100000"/>
                    </w14:srgbClr>
                  </w14:solidFill>
                </w14:textFill>
              </w:rPr>
              <w:t>|</w:t>
            </w:r>
            <w:r w:rsidRPr="008D2482">
              <w:rPr>
                <w:rFonts w:cs="Arial"/>
                <w:color w:val="000000"/>
                <w:spacing w:val="1"/>
                <w:szCs w:val="20"/>
                <w:shd w:val="solid" w:color="000000" w:fill="000000"/>
                <w:fitText w:val="244" w:id="-1233497854"/>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75" w:type="pct"/>
            <w:gridSpan w:val="2"/>
            <w:shd w:val="clear" w:color="auto" w:fill="auto"/>
            <w:vAlign w:val="center"/>
          </w:tcPr>
          <w:p w14:paraId="4855AE5C" w14:textId="5B487DEF" w:rsidR="000E11BB" w:rsidRPr="00D139A1" w:rsidRDefault="008D2482" w:rsidP="00661ABB">
            <w:pPr>
              <w:pStyle w:val="Tabletext"/>
              <w:keepLines/>
              <w:jc w:val="center"/>
              <w:rPr>
                <w:rFonts w:cs="Arial"/>
                <w:color w:val="000000"/>
                <w:szCs w:val="20"/>
                <w:highlight w:val="darkGray"/>
              </w:rPr>
            </w:pPr>
            <w:r w:rsidRPr="008D2482">
              <w:rPr>
                <w:rFonts w:cs="Arial"/>
                <w:color w:val="000000"/>
                <w:spacing w:val="157"/>
                <w:szCs w:val="20"/>
                <w:shd w:val="solid" w:color="000000" w:fill="000000"/>
                <w:fitText w:val="243" w:id="-1233497853"/>
                <w14:textFill>
                  <w14:solidFill>
                    <w14:srgbClr w14:val="000000">
                      <w14:alpha w14:val="100000"/>
                    </w14:srgbClr>
                  </w14:solidFill>
                </w14:textFill>
              </w:rPr>
              <w:t>|</w:t>
            </w:r>
            <w:r w:rsidRPr="008D2482">
              <w:rPr>
                <w:rFonts w:cs="Arial"/>
                <w:color w:val="000000"/>
                <w:spacing w:val="1"/>
                <w:szCs w:val="20"/>
                <w:shd w:val="solid" w:color="000000" w:fill="000000"/>
                <w:fitText w:val="243" w:id="-1233497853"/>
                <w14:textFill>
                  <w14:solidFill>
                    <w14:srgbClr w14:val="000000">
                      <w14:alpha w14:val="100000"/>
                    </w14:srgbClr>
                  </w14:solidFill>
                </w14:textFill>
              </w:rPr>
              <w:t>|</w:t>
            </w:r>
            <w:r w:rsidR="00AA73B7" w:rsidRPr="00AA73B7">
              <w:rPr>
                <w:rFonts w:cs="Arial"/>
                <w:color w:val="000000"/>
                <w:szCs w:val="20"/>
              </w:rPr>
              <w:t xml:space="preserve"> </w:t>
            </w:r>
            <w:r w:rsidR="009D2A74" w:rsidRPr="00D139A1">
              <w:rPr>
                <w:rFonts w:cs="Arial"/>
                <w:szCs w:val="20"/>
                <w:vertAlign w:val="superscript"/>
              </w:rPr>
              <w:t>8</w:t>
            </w:r>
          </w:p>
        </w:tc>
        <w:tc>
          <w:tcPr>
            <w:tcW w:w="563" w:type="pct"/>
            <w:vAlign w:val="center"/>
          </w:tcPr>
          <w:p w14:paraId="1A0EE9E6" w14:textId="05A9810B" w:rsidR="000E11BB" w:rsidRPr="00D139A1" w:rsidRDefault="008D2482" w:rsidP="00661ABB">
            <w:pPr>
              <w:pStyle w:val="Tabletext"/>
              <w:keepLines/>
              <w:jc w:val="center"/>
              <w:rPr>
                <w:szCs w:val="20"/>
                <w:highlight w:val="darkGray"/>
              </w:rPr>
            </w:pPr>
            <w:r w:rsidRPr="008D2482">
              <w:rPr>
                <w:rFonts w:cs="Arial"/>
                <w:color w:val="000000"/>
                <w:spacing w:val="202"/>
                <w:szCs w:val="20"/>
                <w:shd w:val="solid" w:color="000000" w:fill="000000"/>
                <w:fitText w:val="288" w:id="-1233497852"/>
                <w14:textFill>
                  <w14:solidFill>
                    <w14:srgbClr w14:val="000000">
                      <w14:alpha w14:val="100000"/>
                    </w14:srgbClr>
                  </w14:solidFill>
                </w14:textFill>
              </w:rPr>
              <w:t>|</w:t>
            </w:r>
            <w:r w:rsidRPr="008D2482">
              <w:rPr>
                <w:rFonts w:cs="Arial"/>
                <w:color w:val="000000"/>
                <w:spacing w:val="1"/>
                <w:szCs w:val="20"/>
                <w:shd w:val="solid" w:color="000000" w:fill="000000"/>
                <w:fitText w:val="288" w:id="-1233497852"/>
                <w14:textFill>
                  <w14:solidFill>
                    <w14:srgbClr w14:val="000000">
                      <w14:alpha w14:val="100000"/>
                    </w14:srgbClr>
                  </w14:solidFill>
                </w14:textFill>
              </w:rPr>
              <w:t>|</w:t>
            </w:r>
            <w:r w:rsidR="00AA73B7" w:rsidRPr="00AA73B7">
              <w:rPr>
                <w:rFonts w:cs="Arial"/>
                <w:color w:val="000000"/>
                <w:szCs w:val="20"/>
              </w:rPr>
              <w:t xml:space="preserve"> </w:t>
            </w:r>
            <w:r w:rsidR="00D9013E" w:rsidRPr="00D139A1">
              <w:rPr>
                <w:rFonts w:cs="Arial"/>
                <w:szCs w:val="20"/>
                <w:vertAlign w:val="superscript"/>
              </w:rPr>
              <w:t>2</w:t>
            </w:r>
            <w:r w:rsidR="003A7836">
              <w:rPr>
                <w:rFonts w:cs="Arial"/>
                <w:szCs w:val="20"/>
                <w:vertAlign w:val="superscript"/>
              </w:rPr>
              <w:t>5</w:t>
            </w:r>
          </w:p>
        </w:tc>
      </w:tr>
      <w:tr w:rsidR="00D9013E" w:rsidRPr="0075485D" w14:paraId="270FBB79" w14:textId="77777777" w:rsidTr="00D9013E">
        <w:tc>
          <w:tcPr>
            <w:tcW w:w="978" w:type="pct"/>
            <w:shd w:val="clear" w:color="auto" w:fill="auto"/>
            <w:vAlign w:val="center"/>
          </w:tcPr>
          <w:p w14:paraId="53F19528" w14:textId="178B7F0A" w:rsidR="000E11BB" w:rsidRPr="000E11BB" w:rsidRDefault="000E11BB" w:rsidP="00661ABB">
            <w:pPr>
              <w:pStyle w:val="Tabletext"/>
              <w:keepLines/>
              <w:rPr>
                <w:szCs w:val="20"/>
              </w:rPr>
            </w:pPr>
            <w:r w:rsidRPr="000E11BB">
              <w:rPr>
                <w:szCs w:val="20"/>
              </w:rPr>
              <w:t>Net cost offsets</w:t>
            </w:r>
            <w:r w:rsidR="00893089">
              <w:rPr>
                <w:szCs w:val="20"/>
              </w:rPr>
              <w:t xml:space="preserve"> ($)</w:t>
            </w:r>
          </w:p>
        </w:tc>
        <w:tc>
          <w:tcPr>
            <w:tcW w:w="582" w:type="pct"/>
            <w:gridSpan w:val="2"/>
            <w:shd w:val="clear" w:color="auto" w:fill="auto"/>
            <w:vAlign w:val="center"/>
          </w:tcPr>
          <w:p w14:paraId="75F3F313" w14:textId="0C0F96E1" w:rsidR="000E11BB" w:rsidRPr="009800DE" w:rsidRDefault="008D2482" w:rsidP="00661ABB">
            <w:pPr>
              <w:pStyle w:val="Tabletext"/>
              <w:keepLines/>
              <w:jc w:val="center"/>
              <w:rPr>
                <w:rFonts w:cs="Arial"/>
                <w:szCs w:val="20"/>
                <w:highlight w:val="darkGray"/>
              </w:rPr>
            </w:pPr>
            <w:r w:rsidRPr="008D2482">
              <w:rPr>
                <w:rFonts w:cs="Arial"/>
                <w:color w:val="000000"/>
                <w:spacing w:val="169"/>
                <w:szCs w:val="20"/>
                <w:shd w:val="solid" w:color="000000" w:fill="000000"/>
                <w:fitText w:val="255" w:id="-1233497851"/>
                <w14:textFill>
                  <w14:solidFill>
                    <w14:srgbClr w14:val="000000">
                      <w14:alpha w14:val="100000"/>
                    </w14:srgbClr>
                  </w14:solidFill>
                </w14:textFill>
              </w:rPr>
              <w:t>|</w:t>
            </w:r>
            <w:r w:rsidRPr="008D2482">
              <w:rPr>
                <w:rFonts w:cs="Arial"/>
                <w:color w:val="000000"/>
                <w:spacing w:val="1"/>
                <w:szCs w:val="20"/>
                <w:shd w:val="solid" w:color="000000" w:fill="000000"/>
                <w:fitText w:val="255" w:id="-1233497851"/>
                <w14:textFill>
                  <w14:solidFill>
                    <w14:srgbClr w14:val="000000">
                      <w14:alpha w14:val="100000"/>
                    </w14:srgbClr>
                  </w14:solidFill>
                </w14:textFill>
              </w:rPr>
              <w:t>|</w:t>
            </w:r>
            <w:r w:rsidR="00AA73B7" w:rsidRPr="00AA73B7">
              <w:rPr>
                <w:rFonts w:cs="Arial"/>
                <w:szCs w:val="20"/>
              </w:rPr>
              <w:t xml:space="preserve"> </w:t>
            </w:r>
            <w:r w:rsidR="00893089">
              <w:rPr>
                <w:rFonts w:cs="Arial"/>
                <w:szCs w:val="20"/>
                <w:vertAlign w:val="superscript"/>
              </w:rPr>
              <w:t>6</w:t>
            </w:r>
          </w:p>
        </w:tc>
        <w:tc>
          <w:tcPr>
            <w:tcW w:w="575" w:type="pct"/>
            <w:gridSpan w:val="2"/>
            <w:shd w:val="clear" w:color="auto" w:fill="auto"/>
            <w:vAlign w:val="center"/>
          </w:tcPr>
          <w:p w14:paraId="2AC10E0C" w14:textId="73D5E395" w:rsidR="000E11BB" w:rsidRPr="009800DE" w:rsidRDefault="008D2482" w:rsidP="00661ABB">
            <w:pPr>
              <w:pStyle w:val="Tabletext"/>
              <w:keepLines/>
              <w:jc w:val="center"/>
              <w:rPr>
                <w:rFonts w:cs="Arial"/>
                <w:szCs w:val="20"/>
                <w:highlight w:val="darkGray"/>
              </w:rPr>
            </w:pPr>
            <w:r w:rsidRPr="008D2482">
              <w:rPr>
                <w:rFonts w:cs="Arial"/>
                <w:color w:val="000000"/>
                <w:spacing w:val="157"/>
                <w:szCs w:val="20"/>
                <w:shd w:val="solid" w:color="000000" w:fill="000000"/>
                <w:fitText w:val="243" w:id="-1233497850"/>
                <w14:textFill>
                  <w14:solidFill>
                    <w14:srgbClr w14:val="000000">
                      <w14:alpha w14:val="100000"/>
                    </w14:srgbClr>
                  </w14:solidFill>
                </w14:textFill>
              </w:rPr>
              <w:t>|</w:t>
            </w:r>
            <w:r w:rsidRPr="008D2482">
              <w:rPr>
                <w:rFonts w:cs="Arial"/>
                <w:color w:val="000000"/>
                <w:spacing w:val="1"/>
                <w:szCs w:val="20"/>
                <w:shd w:val="solid" w:color="000000" w:fill="000000"/>
                <w:fitText w:val="243" w:id="-1233497850"/>
                <w14:textFill>
                  <w14:solidFill>
                    <w14:srgbClr w14:val="000000">
                      <w14:alpha w14:val="100000"/>
                    </w14:srgbClr>
                  </w14:solidFill>
                </w14:textFill>
              </w:rPr>
              <w:t>|</w:t>
            </w:r>
            <w:r w:rsidR="00AA73B7" w:rsidRPr="00AA73B7">
              <w:rPr>
                <w:rFonts w:cs="Arial"/>
                <w:szCs w:val="20"/>
              </w:rPr>
              <w:t xml:space="preserve"> </w:t>
            </w:r>
            <w:r w:rsidR="00893089">
              <w:rPr>
                <w:rFonts w:cs="Arial"/>
                <w:szCs w:val="20"/>
                <w:vertAlign w:val="superscript"/>
              </w:rPr>
              <w:t>6</w:t>
            </w:r>
          </w:p>
        </w:tc>
        <w:tc>
          <w:tcPr>
            <w:tcW w:w="575" w:type="pct"/>
            <w:gridSpan w:val="2"/>
            <w:shd w:val="clear" w:color="auto" w:fill="auto"/>
            <w:vAlign w:val="center"/>
          </w:tcPr>
          <w:p w14:paraId="4B44BCCC" w14:textId="326C8D13" w:rsidR="000E11BB" w:rsidRPr="009800DE" w:rsidRDefault="008D2482" w:rsidP="00661ABB">
            <w:pPr>
              <w:pStyle w:val="Tabletext"/>
              <w:keepLines/>
              <w:jc w:val="center"/>
              <w:rPr>
                <w:rFonts w:cs="Arial"/>
                <w:szCs w:val="20"/>
                <w:highlight w:val="darkGray"/>
              </w:rPr>
            </w:pPr>
            <w:r w:rsidRPr="008D2482">
              <w:rPr>
                <w:rFonts w:cs="Arial"/>
                <w:color w:val="000000"/>
                <w:spacing w:val="158"/>
                <w:szCs w:val="20"/>
                <w:shd w:val="solid" w:color="000000" w:fill="000000"/>
                <w:fitText w:val="244" w:id="-1233497849"/>
                <w14:textFill>
                  <w14:solidFill>
                    <w14:srgbClr w14:val="000000">
                      <w14:alpha w14:val="100000"/>
                    </w14:srgbClr>
                  </w14:solidFill>
                </w14:textFill>
              </w:rPr>
              <w:t>|</w:t>
            </w:r>
            <w:r w:rsidRPr="008D2482">
              <w:rPr>
                <w:rFonts w:cs="Arial"/>
                <w:color w:val="000000"/>
                <w:spacing w:val="1"/>
                <w:szCs w:val="20"/>
                <w:shd w:val="solid" w:color="000000" w:fill="000000"/>
                <w:fitText w:val="244" w:id="-1233497849"/>
                <w14:textFill>
                  <w14:solidFill>
                    <w14:srgbClr w14:val="000000">
                      <w14:alpha w14:val="100000"/>
                    </w14:srgbClr>
                  </w14:solidFill>
                </w14:textFill>
              </w:rPr>
              <w:t>|</w:t>
            </w:r>
            <w:r w:rsidR="00AA73B7" w:rsidRPr="00AA73B7">
              <w:rPr>
                <w:rFonts w:cs="Arial"/>
                <w:szCs w:val="20"/>
              </w:rPr>
              <w:t xml:space="preserve"> </w:t>
            </w:r>
            <w:r w:rsidR="00893089">
              <w:rPr>
                <w:rFonts w:cs="Arial"/>
                <w:szCs w:val="20"/>
                <w:vertAlign w:val="superscript"/>
              </w:rPr>
              <w:t>6</w:t>
            </w:r>
          </w:p>
        </w:tc>
        <w:tc>
          <w:tcPr>
            <w:tcW w:w="575" w:type="pct"/>
            <w:gridSpan w:val="2"/>
            <w:shd w:val="clear" w:color="auto" w:fill="auto"/>
            <w:vAlign w:val="center"/>
          </w:tcPr>
          <w:p w14:paraId="270BC12B" w14:textId="50D43118" w:rsidR="000E11BB" w:rsidRPr="009800DE" w:rsidRDefault="008D2482" w:rsidP="00661ABB">
            <w:pPr>
              <w:pStyle w:val="Tabletext"/>
              <w:keepLines/>
              <w:jc w:val="center"/>
              <w:rPr>
                <w:rFonts w:cs="Arial"/>
                <w:szCs w:val="20"/>
                <w:highlight w:val="darkGray"/>
              </w:rPr>
            </w:pPr>
            <w:r w:rsidRPr="008D2482">
              <w:rPr>
                <w:rFonts w:cs="Arial"/>
                <w:color w:val="000000"/>
                <w:spacing w:val="191"/>
                <w:szCs w:val="20"/>
                <w:shd w:val="solid" w:color="000000" w:fill="000000"/>
                <w:fitText w:val="277" w:id="-1233497848"/>
                <w14:textFill>
                  <w14:solidFill>
                    <w14:srgbClr w14:val="000000">
                      <w14:alpha w14:val="100000"/>
                    </w14:srgbClr>
                  </w14:solidFill>
                </w14:textFill>
              </w:rPr>
              <w:t>|</w:t>
            </w:r>
            <w:r w:rsidRPr="008D2482">
              <w:rPr>
                <w:rFonts w:cs="Arial"/>
                <w:color w:val="000000"/>
                <w:spacing w:val="1"/>
                <w:szCs w:val="20"/>
                <w:shd w:val="solid" w:color="000000" w:fill="000000"/>
                <w:fitText w:val="277" w:id="-1233497848"/>
                <w14:textFill>
                  <w14:solidFill>
                    <w14:srgbClr w14:val="000000">
                      <w14:alpha w14:val="100000"/>
                    </w14:srgbClr>
                  </w14:solidFill>
                </w14:textFill>
              </w:rPr>
              <w:t>|</w:t>
            </w:r>
            <w:r w:rsidR="00AA73B7" w:rsidRPr="00AA73B7">
              <w:rPr>
                <w:rFonts w:cs="Arial"/>
                <w:szCs w:val="20"/>
              </w:rPr>
              <w:t xml:space="preserve"> </w:t>
            </w:r>
            <w:r w:rsidR="001D6E3D">
              <w:rPr>
                <w:rFonts w:cs="Arial"/>
                <w:szCs w:val="20"/>
                <w:vertAlign w:val="superscript"/>
              </w:rPr>
              <w:t>1</w:t>
            </w:r>
            <w:r w:rsidR="003A7836">
              <w:rPr>
                <w:rFonts w:cs="Arial"/>
                <w:szCs w:val="20"/>
                <w:vertAlign w:val="superscript"/>
              </w:rPr>
              <w:t>7</w:t>
            </w:r>
          </w:p>
        </w:tc>
        <w:tc>
          <w:tcPr>
            <w:tcW w:w="577" w:type="pct"/>
            <w:gridSpan w:val="2"/>
            <w:shd w:val="clear" w:color="auto" w:fill="auto"/>
            <w:vAlign w:val="center"/>
          </w:tcPr>
          <w:p w14:paraId="08FE470C" w14:textId="130F04E7" w:rsidR="000E11BB" w:rsidRPr="009800DE" w:rsidRDefault="008D2482" w:rsidP="00661ABB">
            <w:pPr>
              <w:pStyle w:val="Tabletext"/>
              <w:keepLines/>
              <w:jc w:val="center"/>
              <w:rPr>
                <w:rFonts w:cs="Arial"/>
                <w:szCs w:val="20"/>
                <w:highlight w:val="darkGray"/>
              </w:rPr>
            </w:pPr>
            <w:r w:rsidRPr="008D2482">
              <w:rPr>
                <w:rFonts w:cs="Arial"/>
                <w:color w:val="000000"/>
                <w:spacing w:val="202"/>
                <w:szCs w:val="20"/>
                <w:shd w:val="solid" w:color="000000" w:fill="000000"/>
                <w:fitText w:val="288" w:id="-1233497847"/>
                <w14:textFill>
                  <w14:solidFill>
                    <w14:srgbClr w14:val="000000">
                      <w14:alpha w14:val="100000"/>
                    </w14:srgbClr>
                  </w14:solidFill>
                </w14:textFill>
              </w:rPr>
              <w:t>|</w:t>
            </w:r>
            <w:r w:rsidRPr="008D2482">
              <w:rPr>
                <w:rFonts w:cs="Arial"/>
                <w:color w:val="000000"/>
                <w:spacing w:val="1"/>
                <w:szCs w:val="20"/>
                <w:shd w:val="solid" w:color="000000" w:fill="000000"/>
                <w:fitText w:val="288" w:id="-1233497847"/>
                <w14:textFill>
                  <w14:solidFill>
                    <w14:srgbClr w14:val="000000">
                      <w14:alpha w14:val="100000"/>
                    </w14:srgbClr>
                  </w14:solidFill>
                </w14:textFill>
              </w:rPr>
              <w:t>|</w:t>
            </w:r>
            <w:r w:rsidR="00AA73B7" w:rsidRPr="00AA73B7">
              <w:rPr>
                <w:rFonts w:cs="Arial"/>
                <w:szCs w:val="20"/>
              </w:rPr>
              <w:t xml:space="preserve"> </w:t>
            </w:r>
            <w:r w:rsidR="001D6E3D">
              <w:rPr>
                <w:rFonts w:cs="Arial"/>
                <w:szCs w:val="20"/>
                <w:vertAlign w:val="superscript"/>
              </w:rPr>
              <w:t>1</w:t>
            </w:r>
            <w:r w:rsidR="003A7836">
              <w:rPr>
                <w:rFonts w:cs="Arial"/>
                <w:szCs w:val="20"/>
                <w:vertAlign w:val="superscript"/>
              </w:rPr>
              <w:t>7</w:t>
            </w:r>
          </w:p>
        </w:tc>
        <w:tc>
          <w:tcPr>
            <w:tcW w:w="575" w:type="pct"/>
            <w:gridSpan w:val="2"/>
            <w:shd w:val="clear" w:color="auto" w:fill="auto"/>
            <w:vAlign w:val="center"/>
          </w:tcPr>
          <w:p w14:paraId="1DF84239" w14:textId="3EE0ADED" w:rsidR="000E11BB" w:rsidRPr="009800DE" w:rsidRDefault="008D2482" w:rsidP="00661ABB">
            <w:pPr>
              <w:pStyle w:val="Tabletext"/>
              <w:keepLines/>
              <w:jc w:val="center"/>
              <w:rPr>
                <w:rFonts w:cs="Arial"/>
                <w:szCs w:val="20"/>
                <w:highlight w:val="darkGray"/>
              </w:rPr>
            </w:pPr>
            <w:r w:rsidRPr="008D2482">
              <w:rPr>
                <w:rFonts w:cs="Arial"/>
                <w:color w:val="000000"/>
                <w:spacing w:val="191"/>
                <w:szCs w:val="20"/>
                <w:shd w:val="solid" w:color="000000" w:fill="000000"/>
                <w:fitText w:val="277" w:id="-1233497846"/>
                <w14:textFill>
                  <w14:solidFill>
                    <w14:srgbClr w14:val="000000">
                      <w14:alpha w14:val="100000"/>
                    </w14:srgbClr>
                  </w14:solidFill>
                </w14:textFill>
              </w:rPr>
              <w:t>|</w:t>
            </w:r>
            <w:r w:rsidRPr="008D2482">
              <w:rPr>
                <w:rFonts w:cs="Arial"/>
                <w:color w:val="000000"/>
                <w:spacing w:val="1"/>
                <w:szCs w:val="20"/>
                <w:shd w:val="solid" w:color="000000" w:fill="000000"/>
                <w:fitText w:val="277" w:id="-1233497846"/>
                <w14:textFill>
                  <w14:solidFill>
                    <w14:srgbClr w14:val="000000">
                      <w14:alpha w14:val="100000"/>
                    </w14:srgbClr>
                  </w14:solidFill>
                </w14:textFill>
              </w:rPr>
              <w:t>|</w:t>
            </w:r>
            <w:r w:rsidR="00AA73B7" w:rsidRPr="00AA73B7">
              <w:rPr>
                <w:rFonts w:cs="Arial"/>
                <w:szCs w:val="20"/>
              </w:rPr>
              <w:t xml:space="preserve"> </w:t>
            </w:r>
            <w:r w:rsidR="001D6E3D">
              <w:rPr>
                <w:rFonts w:cs="Arial"/>
                <w:szCs w:val="20"/>
                <w:vertAlign w:val="superscript"/>
              </w:rPr>
              <w:t>1</w:t>
            </w:r>
            <w:r w:rsidR="003A7836">
              <w:rPr>
                <w:rFonts w:cs="Arial"/>
                <w:szCs w:val="20"/>
                <w:vertAlign w:val="superscript"/>
              </w:rPr>
              <w:t>7</w:t>
            </w:r>
          </w:p>
        </w:tc>
        <w:tc>
          <w:tcPr>
            <w:tcW w:w="563" w:type="pct"/>
            <w:vAlign w:val="center"/>
          </w:tcPr>
          <w:p w14:paraId="58113449" w14:textId="0A115A80" w:rsidR="000E11BB" w:rsidRPr="009800DE" w:rsidRDefault="008D2482" w:rsidP="00661ABB">
            <w:pPr>
              <w:pStyle w:val="Tabletext"/>
              <w:keepLines/>
              <w:jc w:val="center"/>
              <w:rPr>
                <w:szCs w:val="20"/>
                <w:highlight w:val="darkGray"/>
              </w:rPr>
            </w:pPr>
            <w:r w:rsidRPr="008D2482">
              <w:rPr>
                <w:color w:val="000000"/>
                <w:spacing w:val="169"/>
                <w:szCs w:val="20"/>
                <w:shd w:val="solid" w:color="000000" w:fill="000000"/>
                <w:fitText w:val="255" w:id="-1233497845"/>
                <w14:textFill>
                  <w14:solidFill>
                    <w14:srgbClr w14:val="000000">
                      <w14:alpha w14:val="100000"/>
                    </w14:srgbClr>
                  </w14:solidFill>
                </w14:textFill>
              </w:rPr>
              <w:t>|</w:t>
            </w:r>
            <w:r w:rsidRPr="008D2482">
              <w:rPr>
                <w:color w:val="000000"/>
                <w:spacing w:val="1"/>
                <w:szCs w:val="20"/>
                <w:shd w:val="solid" w:color="000000" w:fill="000000"/>
                <w:fitText w:val="255" w:id="-1233497845"/>
                <w14:textFill>
                  <w14:solidFill>
                    <w14:srgbClr w14:val="000000">
                      <w14:alpha w14:val="100000"/>
                    </w14:srgbClr>
                  </w14:solidFill>
                </w14:textFill>
              </w:rPr>
              <w:t>|</w:t>
            </w:r>
            <w:r w:rsidR="00AA73B7" w:rsidRPr="00AA73B7">
              <w:rPr>
                <w:szCs w:val="20"/>
              </w:rPr>
              <w:t xml:space="preserve"> </w:t>
            </w:r>
            <w:r w:rsidR="003A7836">
              <w:rPr>
                <w:rFonts w:cs="Arial"/>
                <w:szCs w:val="20"/>
                <w:vertAlign w:val="superscript"/>
              </w:rPr>
              <w:t>8</w:t>
            </w:r>
          </w:p>
        </w:tc>
      </w:tr>
      <w:tr w:rsidR="00D9013E" w:rsidRPr="0075485D" w14:paraId="37975591" w14:textId="77777777" w:rsidTr="00D9013E">
        <w:tc>
          <w:tcPr>
            <w:tcW w:w="978" w:type="pct"/>
            <w:shd w:val="clear" w:color="auto" w:fill="auto"/>
            <w:vAlign w:val="center"/>
          </w:tcPr>
          <w:p w14:paraId="131E90DE" w14:textId="1D41AF00" w:rsidR="000E11BB" w:rsidRDefault="000E11BB" w:rsidP="00661ABB">
            <w:pPr>
              <w:pStyle w:val="Tabletext"/>
              <w:keepLines/>
              <w:rPr>
                <w:b/>
                <w:bCs/>
                <w:szCs w:val="20"/>
              </w:rPr>
            </w:pPr>
            <w:r>
              <w:rPr>
                <w:b/>
                <w:bCs/>
                <w:szCs w:val="20"/>
              </w:rPr>
              <w:t>Total net cost PBS/PBS</w:t>
            </w:r>
            <w:r w:rsidR="009800DE">
              <w:rPr>
                <w:b/>
                <w:bCs/>
                <w:szCs w:val="20"/>
              </w:rPr>
              <w:t xml:space="preserve"> </w:t>
            </w:r>
            <w:r w:rsidR="009800DE" w:rsidRPr="009800DE">
              <w:rPr>
                <w:b/>
                <w:bCs/>
                <w:szCs w:val="20"/>
              </w:rPr>
              <w:t>($)</w:t>
            </w:r>
          </w:p>
        </w:tc>
        <w:tc>
          <w:tcPr>
            <w:tcW w:w="582" w:type="pct"/>
            <w:gridSpan w:val="2"/>
            <w:shd w:val="clear" w:color="auto" w:fill="auto"/>
            <w:vAlign w:val="center"/>
          </w:tcPr>
          <w:p w14:paraId="16A842BB" w14:textId="20486631"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0" w:id="-1233497844"/>
                <w14:textFill>
                  <w14:solidFill>
                    <w14:srgbClr w14:val="000000">
                      <w14:alpha w14:val="100000"/>
                    </w14:srgbClr>
                  </w14:solidFill>
                </w14:textFill>
              </w:rPr>
              <w:t>|||</w:t>
            </w:r>
            <w:r w:rsidRPr="008D2482">
              <w:rPr>
                <w:rFonts w:cs="Arial"/>
                <w:b/>
                <w:bCs/>
                <w:color w:val="000000"/>
                <w:spacing w:val="1"/>
                <w:szCs w:val="20"/>
                <w:shd w:val="solid" w:color="000000" w:fill="000000"/>
                <w:fitText w:val="310" w:id="-1233497844"/>
                <w14:textFill>
                  <w14:solidFill>
                    <w14:srgbClr w14:val="000000">
                      <w14:alpha w14:val="100000"/>
                    </w14:srgbClr>
                  </w14:solidFill>
                </w14:textFill>
              </w:rPr>
              <w:t>|</w:t>
            </w:r>
            <w:r w:rsidR="00AA73B7" w:rsidRPr="00AA73B7">
              <w:rPr>
                <w:rFonts w:cs="Arial"/>
                <w:b/>
                <w:bCs/>
                <w:color w:val="000000"/>
                <w:szCs w:val="20"/>
              </w:rPr>
              <w:t xml:space="preserve"> </w:t>
            </w:r>
            <w:r w:rsidR="00893089">
              <w:rPr>
                <w:rFonts w:cs="Arial"/>
                <w:szCs w:val="20"/>
                <w:vertAlign w:val="superscript"/>
              </w:rPr>
              <w:t>4</w:t>
            </w:r>
          </w:p>
        </w:tc>
        <w:tc>
          <w:tcPr>
            <w:tcW w:w="575" w:type="pct"/>
            <w:gridSpan w:val="2"/>
            <w:shd w:val="clear" w:color="auto" w:fill="auto"/>
            <w:vAlign w:val="center"/>
          </w:tcPr>
          <w:p w14:paraId="5014CE9C" w14:textId="5C8E5E8A"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1" w:id="-1233497843"/>
                <w14:textFill>
                  <w14:solidFill>
                    <w14:srgbClr w14:val="000000">
                      <w14:alpha w14:val="100000"/>
                    </w14:srgbClr>
                  </w14:solidFill>
                </w14:textFill>
              </w:rPr>
              <w:t>|||</w:t>
            </w:r>
            <w:r w:rsidRPr="008D2482">
              <w:rPr>
                <w:rFonts w:cs="Arial"/>
                <w:b/>
                <w:bCs/>
                <w:color w:val="000000"/>
                <w:spacing w:val="2"/>
                <w:szCs w:val="20"/>
                <w:shd w:val="solid" w:color="000000" w:fill="000000"/>
                <w:fitText w:val="311" w:id="-1233497843"/>
                <w14:textFill>
                  <w14:solidFill>
                    <w14:srgbClr w14:val="000000">
                      <w14:alpha w14:val="100000"/>
                    </w14:srgbClr>
                  </w14:solidFill>
                </w14:textFill>
              </w:rPr>
              <w:t>|</w:t>
            </w:r>
            <w:r w:rsidR="00AA73B7" w:rsidRPr="00AA73B7">
              <w:rPr>
                <w:rFonts w:cs="Arial"/>
                <w:b/>
                <w:bCs/>
                <w:color w:val="000000"/>
                <w:szCs w:val="20"/>
              </w:rPr>
              <w:t xml:space="preserve"> </w:t>
            </w:r>
            <w:r w:rsidR="00893089">
              <w:rPr>
                <w:rFonts w:cs="Arial"/>
                <w:szCs w:val="20"/>
                <w:vertAlign w:val="superscript"/>
              </w:rPr>
              <w:t>4</w:t>
            </w:r>
          </w:p>
        </w:tc>
        <w:tc>
          <w:tcPr>
            <w:tcW w:w="575" w:type="pct"/>
            <w:gridSpan w:val="2"/>
            <w:shd w:val="clear" w:color="auto" w:fill="auto"/>
            <w:vAlign w:val="center"/>
          </w:tcPr>
          <w:p w14:paraId="494705DF" w14:textId="7DBB3191"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49"/>
                <w:szCs w:val="20"/>
                <w:shd w:val="solid" w:color="000000" w:fill="000000"/>
                <w:fitText w:val="332" w:id="-1233497842"/>
                <w14:textFill>
                  <w14:solidFill>
                    <w14:srgbClr w14:val="000000">
                      <w14:alpha w14:val="100000"/>
                    </w14:srgbClr>
                  </w14:solidFill>
                </w14:textFill>
              </w:rPr>
              <w:t>|||</w:t>
            </w:r>
            <w:r w:rsidRPr="008D2482">
              <w:rPr>
                <w:rFonts w:cs="Arial"/>
                <w:b/>
                <w:bCs/>
                <w:color w:val="000000"/>
                <w:spacing w:val="2"/>
                <w:szCs w:val="20"/>
                <w:shd w:val="solid" w:color="000000" w:fill="000000"/>
                <w:fitText w:val="332" w:id="-1233497842"/>
                <w14:textFill>
                  <w14:solidFill>
                    <w14:srgbClr w14:val="000000">
                      <w14:alpha w14:val="100000"/>
                    </w14:srgbClr>
                  </w14:solidFill>
                </w14:textFill>
              </w:rPr>
              <w:t>|</w:t>
            </w:r>
            <w:r w:rsidR="00AA73B7" w:rsidRPr="00AA73B7">
              <w:rPr>
                <w:rFonts w:cs="Arial"/>
                <w:b/>
                <w:bCs/>
                <w:color w:val="000000"/>
                <w:szCs w:val="20"/>
              </w:rPr>
              <w:t xml:space="preserve"> </w:t>
            </w:r>
            <w:r w:rsidR="001D6E3D">
              <w:rPr>
                <w:rFonts w:cs="Arial"/>
                <w:szCs w:val="20"/>
                <w:vertAlign w:val="superscript"/>
              </w:rPr>
              <w:t>1</w:t>
            </w:r>
            <w:r w:rsidR="00D139A1">
              <w:rPr>
                <w:rFonts w:cs="Arial"/>
                <w:szCs w:val="20"/>
                <w:vertAlign w:val="superscript"/>
              </w:rPr>
              <w:t>1</w:t>
            </w:r>
          </w:p>
        </w:tc>
        <w:tc>
          <w:tcPr>
            <w:tcW w:w="575" w:type="pct"/>
            <w:gridSpan w:val="2"/>
            <w:shd w:val="clear" w:color="auto" w:fill="auto"/>
            <w:vAlign w:val="center"/>
          </w:tcPr>
          <w:p w14:paraId="44B915A0" w14:textId="67F4E1E3"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49"/>
                <w:szCs w:val="20"/>
                <w:shd w:val="solid" w:color="000000" w:fill="000000"/>
                <w:fitText w:val="333" w:id="-1233497841"/>
                <w14:textFill>
                  <w14:solidFill>
                    <w14:srgbClr w14:val="000000">
                      <w14:alpha w14:val="100000"/>
                    </w14:srgbClr>
                  </w14:solidFill>
                </w14:textFill>
              </w:rPr>
              <w:t>|||</w:t>
            </w:r>
            <w:r w:rsidRPr="008D2482">
              <w:rPr>
                <w:rFonts w:cs="Arial"/>
                <w:b/>
                <w:bCs/>
                <w:color w:val="000000"/>
                <w:spacing w:val="3"/>
                <w:szCs w:val="20"/>
                <w:shd w:val="solid" w:color="000000" w:fill="000000"/>
                <w:fitText w:val="333" w:id="-1233497841"/>
                <w14:textFill>
                  <w14:solidFill>
                    <w14:srgbClr w14:val="000000">
                      <w14:alpha w14:val="100000"/>
                    </w14:srgbClr>
                  </w14:solidFill>
                </w14:textFill>
              </w:rPr>
              <w:t>|</w:t>
            </w:r>
            <w:r w:rsidR="00AA73B7" w:rsidRPr="00AA73B7">
              <w:rPr>
                <w:rFonts w:cs="Arial"/>
                <w:b/>
                <w:bCs/>
                <w:color w:val="000000"/>
                <w:szCs w:val="20"/>
              </w:rPr>
              <w:t xml:space="preserve"> </w:t>
            </w:r>
            <w:r w:rsidR="001D6E3D">
              <w:rPr>
                <w:rFonts w:cs="Arial"/>
                <w:szCs w:val="20"/>
                <w:vertAlign w:val="superscript"/>
              </w:rPr>
              <w:t>1</w:t>
            </w:r>
            <w:r w:rsidR="00D139A1">
              <w:rPr>
                <w:rFonts w:cs="Arial"/>
                <w:szCs w:val="20"/>
                <w:vertAlign w:val="superscript"/>
              </w:rPr>
              <w:t>1</w:t>
            </w:r>
          </w:p>
        </w:tc>
        <w:tc>
          <w:tcPr>
            <w:tcW w:w="577" w:type="pct"/>
            <w:gridSpan w:val="2"/>
            <w:shd w:val="clear" w:color="auto" w:fill="auto"/>
            <w:vAlign w:val="center"/>
          </w:tcPr>
          <w:p w14:paraId="0B7F7E42" w14:textId="081FE8F4"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207"/>
                <w:szCs w:val="20"/>
                <w:shd w:val="solid" w:color="000000" w:fill="000000"/>
                <w:fitText w:val="299" w:id="-1233497840"/>
                <w14:textFill>
                  <w14:solidFill>
                    <w14:srgbClr w14:val="000000">
                      <w14:alpha w14:val="100000"/>
                    </w14:srgbClr>
                  </w14:solidFill>
                </w14:textFill>
              </w:rPr>
              <w:t>|</w:t>
            </w:r>
            <w:r w:rsidRPr="008D2482">
              <w:rPr>
                <w:rFonts w:cs="Arial"/>
                <w:b/>
                <w:bCs/>
                <w:color w:val="000000"/>
                <w:spacing w:val="1"/>
                <w:szCs w:val="20"/>
                <w:shd w:val="solid" w:color="000000" w:fill="000000"/>
                <w:fitText w:val="299" w:id="-1233497840"/>
                <w14:textFill>
                  <w14:solidFill>
                    <w14:srgbClr w14:val="000000">
                      <w14:alpha w14:val="100000"/>
                    </w14:srgbClr>
                  </w14:solidFill>
                </w14:textFill>
              </w:rPr>
              <w:t>|</w:t>
            </w:r>
            <w:r w:rsidR="00AA73B7" w:rsidRPr="00AA73B7">
              <w:rPr>
                <w:rFonts w:cs="Arial"/>
                <w:b/>
                <w:bCs/>
                <w:color w:val="000000"/>
                <w:szCs w:val="20"/>
              </w:rPr>
              <w:t xml:space="preserve"> </w:t>
            </w:r>
            <w:r w:rsidR="003A7836">
              <w:rPr>
                <w:rFonts w:cs="Arial"/>
                <w:szCs w:val="20"/>
                <w:vertAlign w:val="superscript"/>
              </w:rPr>
              <w:t>9</w:t>
            </w:r>
          </w:p>
        </w:tc>
        <w:tc>
          <w:tcPr>
            <w:tcW w:w="575" w:type="pct"/>
            <w:gridSpan w:val="2"/>
            <w:shd w:val="clear" w:color="auto" w:fill="auto"/>
            <w:vAlign w:val="center"/>
          </w:tcPr>
          <w:p w14:paraId="351B695E" w14:textId="398E5A63" w:rsidR="000E11BB" w:rsidRPr="009800DE" w:rsidRDefault="008D2482" w:rsidP="00661ABB">
            <w:pPr>
              <w:pStyle w:val="Tabletext"/>
              <w:keepLines/>
              <w:jc w:val="center"/>
              <w:rPr>
                <w:rFonts w:cs="Arial"/>
                <w:b/>
                <w:bCs/>
                <w:color w:val="000000"/>
                <w:szCs w:val="20"/>
                <w:highlight w:val="darkGray"/>
              </w:rPr>
            </w:pPr>
            <w:r w:rsidRPr="008D2482">
              <w:rPr>
                <w:rFonts w:cs="Arial"/>
                <w:b/>
                <w:bCs/>
                <w:color w:val="000000"/>
                <w:spacing w:val="42"/>
                <w:szCs w:val="20"/>
                <w:shd w:val="solid" w:color="000000" w:fill="000000"/>
                <w:fitText w:val="311" w:id="-1233497856"/>
                <w14:textFill>
                  <w14:solidFill>
                    <w14:srgbClr w14:val="000000">
                      <w14:alpha w14:val="100000"/>
                    </w14:srgbClr>
                  </w14:solidFill>
                </w14:textFill>
              </w:rPr>
              <w:t>|||</w:t>
            </w:r>
            <w:r w:rsidRPr="008D2482">
              <w:rPr>
                <w:rFonts w:cs="Arial"/>
                <w:b/>
                <w:bCs/>
                <w:color w:val="000000"/>
                <w:spacing w:val="2"/>
                <w:szCs w:val="20"/>
                <w:shd w:val="solid" w:color="000000" w:fill="000000"/>
                <w:fitText w:val="311" w:id="-1233497856"/>
                <w14:textFill>
                  <w14:solidFill>
                    <w14:srgbClr w14:val="000000">
                      <w14:alpha w14:val="100000"/>
                    </w14:srgbClr>
                  </w14:solidFill>
                </w14:textFill>
              </w:rPr>
              <w:t>|</w:t>
            </w:r>
            <w:r w:rsidR="00AA73B7" w:rsidRPr="00AA73B7">
              <w:rPr>
                <w:rFonts w:cs="Arial"/>
                <w:b/>
                <w:bCs/>
                <w:color w:val="000000"/>
                <w:szCs w:val="20"/>
              </w:rPr>
              <w:t xml:space="preserve"> </w:t>
            </w:r>
            <w:r w:rsidR="003A7836">
              <w:rPr>
                <w:rFonts w:cs="Arial"/>
                <w:szCs w:val="20"/>
                <w:vertAlign w:val="superscript"/>
              </w:rPr>
              <w:t>9</w:t>
            </w:r>
          </w:p>
        </w:tc>
        <w:tc>
          <w:tcPr>
            <w:tcW w:w="563" w:type="pct"/>
            <w:vAlign w:val="center"/>
          </w:tcPr>
          <w:p w14:paraId="77A6083F" w14:textId="6E141988" w:rsidR="000E11BB" w:rsidRPr="009800DE" w:rsidRDefault="008D2482" w:rsidP="00661ABB">
            <w:pPr>
              <w:pStyle w:val="Tabletext"/>
              <w:keepLines/>
              <w:jc w:val="center"/>
              <w:rPr>
                <w:b/>
                <w:bCs/>
                <w:szCs w:val="20"/>
                <w:highlight w:val="darkGray"/>
              </w:rPr>
            </w:pPr>
            <w:r w:rsidRPr="008D2482">
              <w:rPr>
                <w:rFonts w:cs="Arial"/>
                <w:b/>
                <w:bCs/>
                <w:color w:val="000000"/>
                <w:spacing w:val="53"/>
                <w:szCs w:val="20"/>
                <w:shd w:val="solid" w:color="000000" w:fill="000000"/>
                <w:fitText w:val="343" w:id="-1233497855"/>
                <w14:textFill>
                  <w14:solidFill>
                    <w14:srgbClr w14:val="000000">
                      <w14:alpha w14:val="100000"/>
                    </w14:srgbClr>
                  </w14:solidFill>
                </w14:textFill>
              </w:rPr>
              <w:t>|||</w:t>
            </w:r>
            <w:r w:rsidRPr="008D2482">
              <w:rPr>
                <w:rFonts w:cs="Arial"/>
                <w:b/>
                <w:bCs/>
                <w:color w:val="000000"/>
                <w:spacing w:val="1"/>
                <w:szCs w:val="20"/>
                <w:shd w:val="solid" w:color="000000" w:fill="000000"/>
                <w:fitText w:val="343" w:id="-1233497855"/>
                <w14:textFill>
                  <w14:solidFill>
                    <w14:srgbClr w14:val="000000">
                      <w14:alpha w14:val="100000"/>
                    </w14:srgbClr>
                  </w14:solidFill>
                </w14:textFill>
              </w:rPr>
              <w:t>|</w:t>
            </w:r>
            <w:r w:rsidR="00AA73B7" w:rsidRPr="00AA73B7">
              <w:rPr>
                <w:rFonts w:cs="Arial"/>
                <w:b/>
                <w:bCs/>
                <w:color w:val="000000"/>
                <w:szCs w:val="20"/>
              </w:rPr>
              <w:t xml:space="preserve"> </w:t>
            </w:r>
            <w:r w:rsidR="00546242">
              <w:rPr>
                <w:rFonts w:cs="Arial"/>
                <w:szCs w:val="20"/>
                <w:vertAlign w:val="superscript"/>
              </w:rPr>
              <w:t>25</w:t>
            </w:r>
          </w:p>
        </w:tc>
      </w:tr>
    </w:tbl>
    <w:p w14:paraId="1DA4B141" w14:textId="77777777" w:rsidR="00A01891" w:rsidRDefault="00A01891" w:rsidP="00661ABB">
      <w:pPr>
        <w:pStyle w:val="FooterTableFigure"/>
        <w:keepLines/>
      </w:pPr>
      <w:r w:rsidRPr="005E1708">
        <w:t xml:space="preserve">Source: </w:t>
      </w:r>
      <w:r>
        <w:t xml:space="preserve">Table 4.2-3, p231; Table 4.2-8, p233; Table 4.2-10, p235; Table 4.3-4, p239; Table 4.4-1, p241 of the submission; </w:t>
      </w:r>
      <w:r w:rsidRPr="005E1708">
        <w:rPr>
          <w:rStyle w:val="TableFigureFooterChar"/>
        </w:rPr>
        <w:t xml:space="preserve">Excel workbook </w:t>
      </w:r>
      <w:r>
        <w:t>Attachment 20 – Xtandi mHSPC Section 4 Financial Model_vfinal’.</w:t>
      </w:r>
    </w:p>
    <w:p w14:paraId="5230C368" w14:textId="77777777" w:rsidR="00A01891" w:rsidRPr="005E1708" w:rsidRDefault="00A01891" w:rsidP="00661ABB">
      <w:pPr>
        <w:pStyle w:val="FooterTableFigure"/>
        <w:keepLines/>
      </w:pPr>
      <w:r>
        <w:t>mHSPC=metastatic hormone sensitive prostate cancer.</w:t>
      </w:r>
    </w:p>
    <w:p w14:paraId="33C560D9" w14:textId="77777777" w:rsidR="00A01891" w:rsidRDefault="00A01891" w:rsidP="00661ABB">
      <w:pPr>
        <w:pStyle w:val="FooterTableFigure"/>
        <w:keepLines/>
        <w:tabs>
          <w:tab w:val="left" w:pos="142"/>
        </w:tabs>
        <w:ind w:left="142" w:hanging="142"/>
        <w:rPr>
          <w:vertAlign w:val="superscript"/>
        </w:rPr>
      </w:pPr>
      <w:r w:rsidRPr="00304D6E">
        <w:rPr>
          <w:vertAlign w:val="superscript"/>
        </w:rPr>
        <w:t>a</w:t>
      </w:r>
      <w:r>
        <w:t xml:space="preserve"> Based on the number of patients initiating treatment each year × the proportion on treatment each year, which was sourced from the ‘TTD’ worksheet of the economic model.</w:t>
      </w:r>
    </w:p>
    <w:p w14:paraId="3621262C" w14:textId="5354B311" w:rsidR="00A01891" w:rsidRDefault="00A01891" w:rsidP="00661ABB">
      <w:pPr>
        <w:pStyle w:val="FooterTableFigure"/>
        <w:spacing w:after="0"/>
      </w:pPr>
      <w:r>
        <w:rPr>
          <w:vertAlign w:val="superscript"/>
        </w:rPr>
        <w:t>b</w:t>
      </w:r>
      <w:r>
        <w:t xml:space="preserve"> N</w:t>
      </w:r>
      <w:r w:rsidRPr="005E1708">
        <w:t>et of patient copayments.</w:t>
      </w:r>
    </w:p>
    <w:p w14:paraId="1389DB0C" w14:textId="77777777" w:rsidR="00893089" w:rsidRPr="009A6D58" w:rsidRDefault="00893089" w:rsidP="00661AB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0FEE288" w14:textId="77777777" w:rsidR="00D9013E" w:rsidRDefault="00D9013E" w:rsidP="00661ABB">
      <w:pPr>
        <w:rPr>
          <w:rFonts w:ascii="Arial Narrow" w:hAnsi="Arial Narrow"/>
          <w:i/>
          <w:sz w:val="18"/>
          <w:szCs w:val="18"/>
          <w:vertAlign w:val="superscript"/>
        </w:rPr>
        <w:sectPr w:rsidR="00D9013E" w:rsidSect="00961290">
          <w:headerReference w:type="even" r:id="rId21"/>
          <w:headerReference w:type="default" r:id="rId22"/>
          <w:footerReference w:type="even" r:id="rId23"/>
          <w:footerReference w:type="default" r:id="rId24"/>
          <w:headerReference w:type="first" r:id="rId25"/>
          <w:footerReference w:type="first" r:id="rId26"/>
          <w:pgSz w:w="11907" w:h="16840" w:code="9"/>
          <w:pgMar w:top="1440" w:right="1440" w:bottom="1440" w:left="1440" w:header="1440" w:footer="1440" w:gutter="0"/>
          <w:cols w:space="708"/>
          <w:docGrid w:linePitch="360"/>
        </w:sectPr>
      </w:pPr>
    </w:p>
    <w:p w14:paraId="2AA51C2D" w14:textId="535AA9F3" w:rsidR="00893089" w:rsidRPr="009A6D58" w:rsidRDefault="00893089" w:rsidP="00661AB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D9013E" w:rsidRPr="00D9013E">
        <w:rPr>
          <w:rFonts w:ascii="Arial Narrow" w:hAnsi="Arial Narrow"/>
          <w:i/>
          <w:sz w:val="18"/>
          <w:szCs w:val="18"/>
        </w:rPr>
        <w:t>500 to &lt; 5,000</w:t>
      </w:r>
    </w:p>
    <w:p w14:paraId="1B36A266" w14:textId="15DB5C2D" w:rsidR="00893089" w:rsidRPr="009A6D58" w:rsidRDefault="00893089" w:rsidP="00661AB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9013E" w:rsidRPr="00D9013E">
        <w:rPr>
          <w:rFonts w:ascii="Arial Narrow" w:hAnsi="Arial Narrow"/>
          <w:i/>
          <w:sz w:val="18"/>
          <w:szCs w:val="18"/>
        </w:rPr>
        <w:t>&lt; 500</w:t>
      </w:r>
    </w:p>
    <w:p w14:paraId="1A00D170" w14:textId="32062C87" w:rsidR="00893089" w:rsidRDefault="00893089" w:rsidP="00661AB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9013E" w:rsidRPr="00D9013E">
        <w:rPr>
          <w:rFonts w:ascii="Arial Narrow" w:hAnsi="Arial Narrow"/>
          <w:i/>
          <w:sz w:val="18"/>
          <w:szCs w:val="18"/>
        </w:rPr>
        <w:t>10,000 to &lt; 20,000</w:t>
      </w:r>
    </w:p>
    <w:p w14:paraId="2C6F79E0" w14:textId="3855C3B8" w:rsidR="00893089" w:rsidRDefault="00893089" w:rsidP="00661AB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D9013E" w:rsidRPr="00D9013E">
        <w:rPr>
          <w:rFonts w:ascii="Arial Narrow" w:hAnsi="Arial Narrow"/>
          <w:i/>
          <w:sz w:val="18"/>
          <w:szCs w:val="18"/>
        </w:rPr>
        <w:t>$20 million to &lt; $30 million</w:t>
      </w:r>
    </w:p>
    <w:p w14:paraId="4BA34517" w14:textId="56980F38" w:rsidR="00893089" w:rsidRDefault="00893089" w:rsidP="00661AB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D9013E" w:rsidRPr="00D9013E">
        <w:rPr>
          <w:rFonts w:ascii="Arial Narrow" w:hAnsi="Arial Narrow"/>
          <w:i/>
          <w:sz w:val="18"/>
          <w:szCs w:val="18"/>
        </w:rPr>
        <w:t>net cost saving</w:t>
      </w:r>
    </w:p>
    <w:p w14:paraId="519E5E78" w14:textId="3F8391C3" w:rsidR="00893089" w:rsidRDefault="00893089" w:rsidP="00661AB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D9013E" w:rsidRPr="00D9013E">
        <w:rPr>
          <w:rFonts w:ascii="Arial Narrow" w:hAnsi="Arial Narrow"/>
          <w:i/>
          <w:sz w:val="18"/>
          <w:szCs w:val="18"/>
        </w:rPr>
        <w:t>$0 to &lt; $10 million</w:t>
      </w:r>
    </w:p>
    <w:p w14:paraId="439AF6A3" w14:textId="19157820" w:rsidR="00893089" w:rsidRPr="009A6D58" w:rsidRDefault="00893089" w:rsidP="00661ABB">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9D2A74" w:rsidRPr="009D2A74">
        <w:rPr>
          <w:rFonts w:ascii="Arial Narrow" w:hAnsi="Arial Narrow"/>
          <w:i/>
          <w:sz w:val="18"/>
          <w:szCs w:val="18"/>
        </w:rPr>
        <w:t>30,000 to &lt; 40,000</w:t>
      </w:r>
    </w:p>
    <w:p w14:paraId="2AF4AB46" w14:textId="4AD7270B" w:rsidR="00893089" w:rsidRPr="009A6D58" w:rsidRDefault="00893089" w:rsidP="00661ABB">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9D2A74" w:rsidRPr="009D2A74">
        <w:rPr>
          <w:rFonts w:ascii="Arial Narrow" w:hAnsi="Arial Narrow"/>
          <w:i/>
          <w:sz w:val="18"/>
          <w:szCs w:val="18"/>
        </w:rPr>
        <w:t>$50 million to &lt; $60 million</w:t>
      </w:r>
    </w:p>
    <w:p w14:paraId="075B7107" w14:textId="6CC98BA3" w:rsidR="00893089" w:rsidRDefault="00893089" w:rsidP="00661ABB">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009D2A74" w:rsidRPr="009D2A74">
        <w:rPr>
          <w:rFonts w:ascii="Arial Narrow" w:hAnsi="Arial Narrow"/>
          <w:i/>
          <w:sz w:val="18"/>
          <w:szCs w:val="18"/>
        </w:rPr>
        <w:t>$40 million to &lt; $50 million</w:t>
      </w:r>
    </w:p>
    <w:p w14:paraId="5A0BCFCA" w14:textId="6B07B87D" w:rsidR="00893089" w:rsidRDefault="00893089" w:rsidP="00661ABB">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D139A1" w:rsidRPr="00D139A1">
        <w:rPr>
          <w:rFonts w:ascii="Arial Narrow" w:hAnsi="Arial Narrow"/>
          <w:i/>
          <w:sz w:val="18"/>
          <w:szCs w:val="18"/>
        </w:rPr>
        <w:t>20,000 to &lt; 30,000</w:t>
      </w:r>
    </w:p>
    <w:p w14:paraId="73667ED8" w14:textId="58B8DD4A" w:rsidR="00893089" w:rsidRDefault="00893089" w:rsidP="00661ABB">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D139A1" w:rsidRPr="00D139A1">
        <w:rPr>
          <w:rFonts w:ascii="Arial Narrow" w:hAnsi="Arial Narrow"/>
          <w:i/>
          <w:sz w:val="18"/>
          <w:szCs w:val="18"/>
        </w:rPr>
        <w:t>$30 million to &lt; $40 million</w:t>
      </w:r>
    </w:p>
    <w:p w14:paraId="078335B9" w14:textId="1A187AE2" w:rsidR="003C08F7" w:rsidRDefault="001D6E3D" w:rsidP="00661ABB">
      <w:pPr>
        <w:rPr>
          <w:rFonts w:ascii="Arial Narrow" w:hAnsi="Arial Narrow"/>
          <w:i/>
          <w:sz w:val="18"/>
          <w:szCs w:val="18"/>
          <w:vertAlign w:val="superscript"/>
        </w:rPr>
      </w:pPr>
      <w:r>
        <w:rPr>
          <w:rFonts w:ascii="Arial Narrow" w:hAnsi="Arial Narrow"/>
          <w:i/>
          <w:sz w:val="18"/>
          <w:szCs w:val="18"/>
          <w:vertAlign w:val="superscript"/>
        </w:rPr>
        <w:t>12</w:t>
      </w:r>
      <w:r w:rsidR="00D139A1" w:rsidRPr="00D139A1">
        <w:rPr>
          <w:rFonts w:ascii="Arial Narrow" w:hAnsi="Arial Narrow"/>
          <w:i/>
          <w:sz w:val="18"/>
          <w:szCs w:val="18"/>
        </w:rPr>
        <w:t>40,000 to &lt; 50,000</w:t>
      </w:r>
    </w:p>
    <w:p w14:paraId="1F0AA9A4" w14:textId="71C91F19" w:rsidR="00514CC6" w:rsidRPr="00D9013E" w:rsidRDefault="00514CC6" w:rsidP="00661ABB">
      <w:pPr>
        <w:spacing w:after="120"/>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00D139A1" w:rsidRPr="00D139A1">
        <w:rPr>
          <w:rFonts w:ascii="Arial Narrow" w:hAnsi="Arial Narrow"/>
          <w:i/>
          <w:sz w:val="18"/>
          <w:szCs w:val="18"/>
        </w:rPr>
        <w:t>$60 million to &lt; $70 million</w:t>
      </w:r>
    </w:p>
    <w:p w14:paraId="771AC7A0" w14:textId="17553DE4" w:rsidR="00514CC6" w:rsidRDefault="00514CC6" w:rsidP="00514CC6">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D139A1" w:rsidRPr="00D139A1">
        <w:rPr>
          <w:rFonts w:ascii="Arial Narrow" w:hAnsi="Arial Narrow"/>
          <w:i/>
          <w:sz w:val="18"/>
          <w:szCs w:val="18"/>
        </w:rPr>
        <w:t>5,000 to &lt; 10,000</w:t>
      </w:r>
    </w:p>
    <w:p w14:paraId="5969372A" w14:textId="49B1A7B9" w:rsidR="00514CC6" w:rsidRDefault="00514CC6" w:rsidP="00514CC6">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D139A1" w:rsidRPr="00D139A1">
        <w:rPr>
          <w:rFonts w:ascii="Arial Narrow" w:hAnsi="Arial Narrow"/>
          <w:i/>
          <w:sz w:val="18"/>
          <w:szCs w:val="18"/>
        </w:rPr>
        <w:t>50,000 to &lt; 60,000</w:t>
      </w:r>
    </w:p>
    <w:p w14:paraId="347631C8" w14:textId="36F52D01" w:rsidR="00514CC6" w:rsidRDefault="00514CC6" w:rsidP="00514CC6">
      <w:pPr>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00D139A1" w:rsidRPr="00D139A1">
        <w:rPr>
          <w:rFonts w:ascii="Arial Narrow" w:hAnsi="Arial Narrow"/>
          <w:i/>
          <w:sz w:val="18"/>
          <w:szCs w:val="18"/>
        </w:rPr>
        <w:t>$80 million to &lt; $90 million</w:t>
      </w:r>
    </w:p>
    <w:p w14:paraId="3560923C" w14:textId="1F4831BB" w:rsidR="00514CC6" w:rsidRDefault="00514CC6" w:rsidP="00514CC6">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00D139A1" w:rsidRPr="00D139A1">
        <w:rPr>
          <w:rFonts w:ascii="Arial Narrow" w:hAnsi="Arial Narrow"/>
          <w:i/>
          <w:sz w:val="18"/>
          <w:szCs w:val="18"/>
        </w:rPr>
        <w:t>$10 million to &lt; $20 million</w:t>
      </w:r>
    </w:p>
    <w:p w14:paraId="54D6D3B3" w14:textId="5393C5B1" w:rsidR="00514CC6" w:rsidRDefault="00514CC6" w:rsidP="00514CC6">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003A7836" w:rsidRPr="003A7836">
        <w:rPr>
          <w:rFonts w:ascii="Arial Narrow" w:hAnsi="Arial Narrow"/>
          <w:i/>
          <w:sz w:val="18"/>
          <w:szCs w:val="18"/>
        </w:rPr>
        <w:t>60,000 to &lt; 70,000</w:t>
      </w:r>
    </w:p>
    <w:p w14:paraId="508453F1" w14:textId="6EB73CE3" w:rsidR="00514CC6" w:rsidRDefault="00514CC6" w:rsidP="00514CC6">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003A7836" w:rsidRPr="003A7836">
        <w:rPr>
          <w:rFonts w:ascii="Arial Narrow" w:hAnsi="Arial Narrow"/>
          <w:i/>
          <w:sz w:val="18"/>
          <w:szCs w:val="18"/>
        </w:rPr>
        <w:t>$90 million to &lt; $100 million</w:t>
      </w:r>
    </w:p>
    <w:p w14:paraId="7F951D30" w14:textId="5492825C" w:rsidR="00514CC6" w:rsidRDefault="00514CC6" w:rsidP="00514CC6">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003A7836" w:rsidRPr="003A7836">
        <w:rPr>
          <w:rFonts w:ascii="Arial Narrow" w:hAnsi="Arial Narrow"/>
          <w:i/>
          <w:sz w:val="18"/>
          <w:szCs w:val="18"/>
        </w:rPr>
        <w:t>$70 million to &lt; $80 million</w:t>
      </w:r>
    </w:p>
    <w:p w14:paraId="168DB612" w14:textId="5A161D84" w:rsidR="00514CC6" w:rsidRDefault="00514CC6" w:rsidP="00514CC6">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003A7836" w:rsidRPr="003A7836">
        <w:rPr>
          <w:rFonts w:ascii="Arial Narrow" w:hAnsi="Arial Narrow"/>
          <w:i/>
          <w:sz w:val="18"/>
          <w:szCs w:val="18"/>
        </w:rPr>
        <w:t>$100 million to &lt; $200 million</w:t>
      </w:r>
    </w:p>
    <w:p w14:paraId="558E9F4A" w14:textId="19217D1B" w:rsidR="00514CC6" w:rsidRDefault="00514CC6" w:rsidP="00514CC6">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003A7836" w:rsidRPr="003A7836">
        <w:rPr>
          <w:rFonts w:ascii="Arial Narrow" w:hAnsi="Arial Narrow"/>
          <w:i/>
          <w:sz w:val="18"/>
          <w:szCs w:val="18"/>
        </w:rPr>
        <w:t>200,000 to &lt; 300,000</w:t>
      </w:r>
    </w:p>
    <w:p w14:paraId="5B81B00D" w14:textId="2A805808" w:rsidR="00514CC6" w:rsidRDefault="00514CC6" w:rsidP="00514CC6">
      <w:pPr>
        <w:rPr>
          <w:rFonts w:ascii="Arial Narrow" w:hAnsi="Arial Narrow"/>
          <w:i/>
          <w:sz w:val="18"/>
          <w:szCs w:val="18"/>
        </w:rPr>
      </w:pPr>
      <w:r>
        <w:rPr>
          <w:rFonts w:ascii="Arial Narrow" w:hAnsi="Arial Narrow"/>
          <w:i/>
          <w:sz w:val="18"/>
          <w:szCs w:val="18"/>
          <w:vertAlign w:val="superscript"/>
        </w:rPr>
        <w:t>23</w:t>
      </w:r>
      <w:r>
        <w:rPr>
          <w:rFonts w:ascii="Arial Narrow" w:hAnsi="Arial Narrow"/>
          <w:i/>
          <w:sz w:val="18"/>
          <w:szCs w:val="18"/>
        </w:rPr>
        <w:t xml:space="preserve"> </w:t>
      </w:r>
      <w:r w:rsidR="003A7836" w:rsidRPr="003A7836">
        <w:rPr>
          <w:rFonts w:ascii="Arial Narrow" w:hAnsi="Arial Narrow"/>
          <w:i/>
          <w:sz w:val="18"/>
          <w:szCs w:val="18"/>
        </w:rPr>
        <w:t>$400 million to &lt; $500 million</w:t>
      </w:r>
    </w:p>
    <w:p w14:paraId="194BB838" w14:textId="38BBB10F" w:rsidR="00514CC6" w:rsidRDefault="00514CC6" w:rsidP="00514CC6">
      <w:pPr>
        <w:rPr>
          <w:rFonts w:ascii="Arial Narrow" w:hAnsi="Arial Narrow"/>
          <w:i/>
          <w:sz w:val="18"/>
          <w:szCs w:val="18"/>
        </w:rPr>
      </w:pPr>
      <w:r>
        <w:rPr>
          <w:rFonts w:ascii="Arial Narrow" w:hAnsi="Arial Narrow"/>
          <w:i/>
          <w:sz w:val="18"/>
          <w:szCs w:val="18"/>
          <w:vertAlign w:val="superscript"/>
        </w:rPr>
        <w:t>24</w:t>
      </w:r>
      <w:r>
        <w:rPr>
          <w:rFonts w:ascii="Arial Narrow" w:hAnsi="Arial Narrow"/>
          <w:i/>
          <w:sz w:val="18"/>
          <w:szCs w:val="18"/>
        </w:rPr>
        <w:t xml:space="preserve"> </w:t>
      </w:r>
      <w:r w:rsidR="003A7836" w:rsidRPr="003A7836">
        <w:rPr>
          <w:rFonts w:ascii="Arial Narrow" w:hAnsi="Arial Narrow"/>
          <w:i/>
          <w:sz w:val="18"/>
          <w:szCs w:val="18"/>
        </w:rPr>
        <w:t>$300 million to &lt; $400 million</w:t>
      </w:r>
    </w:p>
    <w:p w14:paraId="6D453FF7" w14:textId="131C17A5" w:rsidR="00D9013E" w:rsidRDefault="00514CC6" w:rsidP="00514CC6">
      <w:pPr>
        <w:sectPr w:rsidR="00D9013E" w:rsidSect="00D9013E">
          <w:type w:val="continuous"/>
          <w:pgSz w:w="11907" w:h="16840" w:code="9"/>
          <w:pgMar w:top="1440" w:right="1440" w:bottom="1440" w:left="1440" w:header="1440" w:footer="1440" w:gutter="0"/>
          <w:pgNumType w:start="1"/>
          <w:cols w:num="2" w:space="635" w:equalWidth="0">
            <w:col w:w="1985" w:space="635"/>
            <w:col w:w="6407"/>
          </w:cols>
          <w:docGrid w:linePitch="360"/>
        </w:sectPr>
      </w:pPr>
      <w:r>
        <w:rPr>
          <w:rFonts w:ascii="Arial Narrow" w:hAnsi="Arial Narrow"/>
          <w:i/>
          <w:sz w:val="18"/>
          <w:szCs w:val="18"/>
          <w:vertAlign w:val="superscript"/>
        </w:rPr>
        <w:t>25</w:t>
      </w:r>
      <w:r>
        <w:rPr>
          <w:rFonts w:ascii="Arial Narrow" w:hAnsi="Arial Narrow"/>
          <w:i/>
          <w:sz w:val="18"/>
          <w:szCs w:val="18"/>
        </w:rPr>
        <w:t xml:space="preserve"> </w:t>
      </w:r>
      <w:r w:rsidR="003A7836" w:rsidRPr="003A7836">
        <w:rPr>
          <w:rFonts w:ascii="Arial Narrow" w:hAnsi="Arial Narrow"/>
          <w:i/>
          <w:sz w:val="18"/>
          <w:szCs w:val="18"/>
        </w:rPr>
        <w:t>$200 million to &lt; $300 million</w:t>
      </w:r>
    </w:p>
    <w:p w14:paraId="2F6C1F2F" w14:textId="6D89B279" w:rsidR="00273330" w:rsidRPr="0075485D" w:rsidRDefault="00A01891" w:rsidP="009A7988">
      <w:pPr>
        <w:pStyle w:val="3-BodyText"/>
      </w:pPr>
      <w:r w:rsidRPr="0075485D">
        <w:t xml:space="preserve">The net cost to the PBS/RPBS for the proposed listing of enzalutamide in mHSPC was estimated to be </w:t>
      </w:r>
      <w:r w:rsidR="009A7988" w:rsidRPr="009A7988">
        <w:t>$300 million to &lt; $400 million</w:t>
      </w:r>
      <w:r w:rsidR="009A7988">
        <w:t xml:space="preserve"> </w:t>
      </w:r>
      <w:r w:rsidRPr="0075485D">
        <w:t xml:space="preserve">over the first six years of listing. This differed considerably from the estimated net cost to the PBS/RPBS for apalutamide for mHSPC in July 2022, which was reported as $200 million to &lt; $300 million over the first six years of listing in the PSD. </w:t>
      </w:r>
      <w:r w:rsidR="00273330" w:rsidRPr="0075485D">
        <w:t xml:space="preserve">The revised estimates presented in the PSCR resulted in a net cost to the PBS/RPBS of </w:t>
      </w:r>
      <w:bookmarkStart w:id="74" w:name="_Hlk113629610"/>
      <w:r w:rsidR="009A7988" w:rsidRPr="009A7988">
        <w:t>$200 million to &lt; $300 million</w:t>
      </w:r>
      <w:bookmarkEnd w:id="74"/>
      <w:r w:rsidR="009A7988">
        <w:t xml:space="preserve"> </w:t>
      </w:r>
      <w:r w:rsidR="00273330" w:rsidRPr="0075485D">
        <w:t>over the first 6 years of listing.</w:t>
      </w:r>
      <w:r w:rsidR="000E11BB">
        <w:t xml:space="preserve"> This was further reduced in the pre-PBAC response to </w:t>
      </w:r>
      <w:r w:rsidR="009A7988" w:rsidRPr="009A7988">
        <w:t>$200 million to &lt; $300 million</w:t>
      </w:r>
      <w:r w:rsidR="009A7988">
        <w:t xml:space="preserve"> </w:t>
      </w:r>
      <w:r w:rsidR="000E11BB">
        <w:t>over the first 6 years of listing.</w:t>
      </w:r>
      <w:r w:rsidR="009E1CDB" w:rsidRPr="0075485D">
        <w:t xml:space="preserve"> </w:t>
      </w:r>
    </w:p>
    <w:p w14:paraId="30C22872" w14:textId="172E91A0" w:rsidR="00A01891" w:rsidRPr="0075485D" w:rsidRDefault="00A01891" w:rsidP="00A01891">
      <w:pPr>
        <w:pStyle w:val="3-BodyText"/>
      </w:pPr>
      <w:bookmarkStart w:id="75" w:name="_Ref129700878"/>
      <w:r w:rsidRPr="0075485D">
        <w:t>Since the enzalutamide submission applied essentially the same data sources and approaches used in the July 2022 apalutamide resubmission, the main reasons for the difference in estimated net cost were:</w:t>
      </w:r>
      <w:bookmarkEnd w:id="75"/>
    </w:p>
    <w:p w14:paraId="23967BAD" w14:textId="1D89938D" w:rsidR="00A01891" w:rsidRPr="0075485D" w:rsidRDefault="00A01891" w:rsidP="00FA2825">
      <w:pPr>
        <w:pStyle w:val="3-BodyText"/>
        <w:numPr>
          <w:ilvl w:val="0"/>
          <w:numId w:val="14"/>
        </w:numPr>
        <w:ind w:left="993" w:hanging="284"/>
      </w:pPr>
      <w:r w:rsidRPr="0075485D">
        <w:t>Modelled mean treatment duration was significantly higher for enzalutamide versus apalutamide (62.2 months for enzalutamide, compared to 30.2 months (HV subgroup) and 39.8 months (LV subgroup) for apalutamide (Table 14, p29, apalutamide PSD, July 2022). This was reflected in the financial estimates as higher proportions on treatment each year for enzalutamide (91.59% in Yr 1 to 35.13% in Yr 6) versus apalutamide (LV: 92.4% in Yr 1 to 6.3% in Yr 6 and for HV: 88.1% in Yr 1 to 12% in Yr 6) (see Table 15, p31, apalutamide PSD, July 2022). This contributed to the higher patient and script number in this submission versus the July 2022 apalutamide submission.</w:t>
      </w:r>
      <w:r w:rsidR="00D45249" w:rsidRPr="0075485D">
        <w:t xml:space="preserve"> The duration of treatment was amended in the revised base case calculations</w:t>
      </w:r>
      <w:r w:rsidR="00E80E04">
        <w:t xml:space="preserve"> in the PSCR and pre</w:t>
      </w:r>
      <w:r w:rsidR="007D0F10">
        <w:t>-</w:t>
      </w:r>
      <w:r w:rsidR="00E80E04">
        <w:t>PBAC response</w:t>
      </w:r>
      <w:r w:rsidR="00D45249" w:rsidRPr="0075485D">
        <w:t>.</w:t>
      </w:r>
    </w:p>
    <w:p w14:paraId="05BC9376" w14:textId="1FAB17A3" w:rsidR="00A01891" w:rsidRPr="0075485D" w:rsidRDefault="00A01891" w:rsidP="007D0F10">
      <w:pPr>
        <w:pStyle w:val="3-BodyText"/>
        <w:numPr>
          <w:ilvl w:val="0"/>
          <w:numId w:val="14"/>
        </w:numPr>
        <w:spacing w:after="0"/>
        <w:ind w:left="993" w:hanging="284"/>
      </w:pPr>
      <w:r w:rsidRPr="0075485D">
        <w:t>Table 16 in the July 2022 apalutamide PSD showed there were no estimated prevalent mHSPC patients from Years 2 to 6. While all estimated patient numbers were redacted from the July 2022 PSD, it would be reasonable to assume there are a greater number of prevalent mHSPC patients estimated in the enzalutamide submission, resulting in a greater total number of mHSPC patients.</w:t>
      </w:r>
      <w:r w:rsidR="00D45249" w:rsidRPr="0075485D">
        <w:t xml:space="preserve"> The revised base case estimations</w:t>
      </w:r>
      <w:r w:rsidR="00E80E04">
        <w:t xml:space="preserve"> in the PSCR and pre</w:t>
      </w:r>
      <w:r w:rsidR="007D0F10">
        <w:t>-</w:t>
      </w:r>
      <w:r w:rsidR="00E80E04">
        <w:t>PBAC response</w:t>
      </w:r>
      <w:r w:rsidR="00D45249" w:rsidRPr="0075485D">
        <w:t xml:space="preserve"> removed prevalent patients from Year 2.</w:t>
      </w:r>
    </w:p>
    <w:p w14:paraId="0193E371" w14:textId="40EDC059" w:rsidR="00A01891" w:rsidRPr="00C9624D" w:rsidRDefault="00A01891" w:rsidP="00A01891">
      <w:pPr>
        <w:pStyle w:val="4-SubsectionHeading"/>
      </w:pPr>
      <w:bookmarkStart w:id="76" w:name="_Toc22897648"/>
      <w:bookmarkStart w:id="77" w:name="_Toc124322780"/>
      <w:bookmarkStart w:id="78" w:name="_Toc124324283"/>
      <w:bookmarkStart w:id="79" w:name="_Toc124862877"/>
      <w:r w:rsidRPr="00C9624D">
        <w:t>Quality Use of Medicines</w:t>
      </w:r>
      <w:bookmarkEnd w:id="76"/>
      <w:bookmarkEnd w:id="77"/>
      <w:bookmarkEnd w:id="78"/>
      <w:bookmarkEnd w:id="79"/>
    </w:p>
    <w:p w14:paraId="218919C1" w14:textId="77777777" w:rsidR="00A01891" w:rsidRPr="00D90606" w:rsidRDefault="00A01891" w:rsidP="00A01891">
      <w:pPr>
        <w:pStyle w:val="3-BodyText"/>
      </w:pPr>
      <w:r>
        <w:t>The submission indicated that the sponsor’s presentation of educational material and activities always complies with the Medicines Australia code of conduct, and the patient brochure for patients who commence enzalutamide has a QR code to navigate patients to the consumer medicines information.</w:t>
      </w:r>
    </w:p>
    <w:p w14:paraId="23ADC154" w14:textId="77777777" w:rsidR="00A01891" w:rsidRPr="00C9624D" w:rsidRDefault="00A01891" w:rsidP="00A01891">
      <w:pPr>
        <w:pStyle w:val="4-SubsectionHeading"/>
      </w:pPr>
      <w:bookmarkStart w:id="80" w:name="_Toc22897649"/>
      <w:bookmarkStart w:id="81" w:name="_Toc124322781"/>
      <w:bookmarkStart w:id="82" w:name="_Toc124324284"/>
      <w:bookmarkStart w:id="83" w:name="_Toc124862878"/>
      <w:r w:rsidRPr="00C9624D">
        <w:t>Financial Management – Risk Sharing Arrangements</w:t>
      </w:r>
      <w:bookmarkEnd w:id="80"/>
      <w:bookmarkEnd w:id="81"/>
      <w:bookmarkEnd w:id="82"/>
      <w:bookmarkEnd w:id="83"/>
    </w:p>
    <w:p w14:paraId="2CBA8ECC" w14:textId="1BEB3949" w:rsidR="008F02D9" w:rsidRDefault="00A01891" w:rsidP="008F02D9">
      <w:pPr>
        <w:pStyle w:val="3-BodyText"/>
      </w:pPr>
      <w:r>
        <w:t>The submission stated that given the uncertainty on the timing of apalutamide being listed on the PBS for mHSPC, the sponsor was not outlining a RSA for enzalutamide. The submission added that if apalutamide is listed by the time of the March 2023 PBAC meeting, there may be implications of the RSA negotiated for that which would impact the enzalutamide listing.</w:t>
      </w:r>
    </w:p>
    <w:p w14:paraId="2F77ADF8" w14:textId="2A36177E" w:rsidR="0075485D" w:rsidRDefault="00A01891" w:rsidP="008F02D9">
      <w:pPr>
        <w:pStyle w:val="3-BodyText"/>
      </w:pPr>
      <w:r>
        <w:t>The submission also stated that the sponsor understands an RSA will be a condition of listing of apalutamide for mHSPC and thus expects that should enzalutamide be recommended for treatment of mHSPC, the sponsor would need to agree to an RSA in its own right,</w:t>
      </w:r>
      <w:r w:rsidR="00716F8A">
        <w:t xml:space="preserve"> </w:t>
      </w:r>
      <w:r>
        <w:t xml:space="preserve">or would be required to participate in the existing RSA for apalutamide. The sponsor </w:t>
      </w:r>
      <w:r w:rsidR="00B746C7">
        <w:t>acknowledged</w:t>
      </w:r>
      <w:r>
        <w:t xml:space="preserve"> that the RSA would encompass an annual subsidisation cap based on estimated PBS/RPBS expenditure for enzalutamide, and that a percentage rebate for the Commonwealth payment above the annual subsidisation cap would be required.</w:t>
      </w:r>
      <w:r w:rsidR="0075485D">
        <w:t xml:space="preserve"> </w:t>
      </w:r>
      <w:r w:rsidR="000A0FA7">
        <w:t>The Secretariat advised that if there was to be an RSA in place specifically for the proposed indication, separate PBS item codes would be required to allow the Department to</w:t>
      </w:r>
      <w:r w:rsidR="00E77F64">
        <w:t xml:space="preserve"> more easily track expenditure in a transparent manner.</w:t>
      </w:r>
    </w:p>
    <w:p w14:paraId="03AF5FFF" w14:textId="47D4B4E5" w:rsidR="00A01891" w:rsidRDefault="0075485D" w:rsidP="0075485D">
      <w:pPr>
        <w:pStyle w:val="3-BodyText"/>
        <w:numPr>
          <w:ilvl w:val="0"/>
          <w:numId w:val="0"/>
        </w:numPr>
        <w:ind w:left="720"/>
        <w:rPr>
          <w:i/>
          <w:iCs/>
        </w:rPr>
      </w:pPr>
      <w:r w:rsidRPr="0075485D">
        <w:rPr>
          <w:i/>
          <w:iCs/>
        </w:rPr>
        <w:t>For more detail on PBAC’s view, see section 7 PBAC outcome.</w:t>
      </w:r>
    </w:p>
    <w:p w14:paraId="5E034296" w14:textId="77777777" w:rsidR="0075485D" w:rsidRPr="0090150D" w:rsidRDefault="0075485D" w:rsidP="0075485D">
      <w:pPr>
        <w:pStyle w:val="2-SectionHeading"/>
      </w:pPr>
      <w:bookmarkStart w:id="84" w:name="_Hlk76381249"/>
      <w:bookmarkStart w:id="85" w:name="_Hlk76377955"/>
      <w:bookmarkStart w:id="86" w:name="_Hlk128476797"/>
      <w:r w:rsidRPr="0090150D">
        <w:t>PBAC Outcome</w:t>
      </w:r>
    </w:p>
    <w:p w14:paraId="77E3145E" w14:textId="01B69CAA" w:rsidR="0075485D" w:rsidRPr="003623C8" w:rsidRDefault="0075485D" w:rsidP="0075485D">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recommended listing </w:t>
      </w:r>
      <w:r w:rsidR="008F02D9">
        <w:rPr>
          <w:rFonts w:asciiTheme="minorHAnsi" w:hAnsiTheme="minorHAnsi"/>
          <w:snapToGrid w:val="0"/>
          <w:lang w:val="en-GB"/>
        </w:rPr>
        <w:t xml:space="preserve">enzalutamide for the treatment of patients with metastatic hormone-sensitive prostate cancer (mHSPC) </w:t>
      </w:r>
      <w:r w:rsidR="00E77F64">
        <w:rPr>
          <w:rFonts w:asciiTheme="minorHAnsi" w:hAnsiTheme="minorHAnsi"/>
          <w:snapToGrid w:val="0"/>
          <w:lang w:val="en-GB"/>
        </w:rPr>
        <w:t xml:space="preserve">irrespective </w:t>
      </w:r>
      <w:r w:rsidR="008F02D9">
        <w:rPr>
          <w:rFonts w:asciiTheme="minorHAnsi" w:hAnsiTheme="minorHAnsi"/>
          <w:snapToGrid w:val="0"/>
          <w:lang w:val="en-GB"/>
        </w:rPr>
        <w:t xml:space="preserve">of disease volume </w:t>
      </w:r>
      <w:r w:rsidR="0077076F">
        <w:rPr>
          <w:rFonts w:asciiTheme="minorHAnsi" w:hAnsiTheme="minorHAnsi"/>
          <w:snapToGrid w:val="0"/>
          <w:lang w:val="en-GB"/>
        </w:rPr>
        <w:t>or</w:t>
      </w:r>
      <w:r w:rsidR="008F02D9">
        <w:rPr>
          <w:rFonts w:asciiTheme="minorHAnsi" w:hAnsiTheme="minorHAnsi"/>
          <w:snapToGrid w:val="0"/>
          <w:lang w:val="en-GB"/>
        </w:rPr>
        <w:t xml:space="preserve"> suitability for docetaxel</w:t>
      </w:r>
      <w:r w:rsidRPr="00CE42B4">
        <w:rPr>
          <w:rFonts w:asciiTheme="minorHAnsi" w:hAnsiTheme="minorHAnsi"/>
          <w:snapToGrid w:val="0"/>
          <w:lang w:val="en-GB"/>
        </w:rPr>
        <w:t xml:space="preserve">. The PBAC </w:t>
      </w:r>
      <w:r w:rsidR="008F02D9">
        <w:rPr>
          <w:rFonts w:asciiTheme="minorHAnsi" w:hAnsiTheme="minorHAnsi"/>
          <w:snapToGrid w:val="0"/>
          <w:lang w:val="en-GB"/>
        </w:rPr>
        <w:t>considered that enzalutamide, in combination with androgen deprivation therapy (ADT), provides a moderate clinical benefit compared to ADT alone. The PBAC advised that changes should be made to the economic model and that for enzalutamide to be considered cost effective, the price should be reduced such that the incremental cost-effectiveness ratio (ICER) was no more than $45,000 per quality adjusted life year (QALY) gained</w:t>
      </w:r>
      <w:r w:rsidRPr="00CE42B4">
        <w:rPr>
          <w:rFonts w:asciiTheme="minorHAnsi" w:hAnsiTheme="minorHAnsi"/>
          <w:snapToGrid w:val="0"/>
          <w:lang w:val="en-GB"/>
        </w:rPr>
        <w:t>.</w:t>
      </w:r>
      <w:r w:rsidR="008F02D9">
        <w:rPr>
          <w:rFonts w:asciiTheme="minorHAnsi" w:hAnsiTheme="minorHAnsi"/>
          <w:snapToGrid w:val="0"/>
          <w:lang w:val="en-GB"/>
        </w:rPr>
        <w:t xml:space="preserve"> The PBAC considered that the utilisation estimates were reasonable</w:t>
      </w:r>
      <w:r w:rsidR="00E77F64">
        <w:rPr>
          <w:rFonts w:asciiTheme="minorHAnsi" w:hAnsiTheme="minorHAnsi"/>
          <w:snapToGrid w:val="0"/>
          <w:lang w:val="en-GB"/>
        </w:rPr>
        <w:t>,</w:t>
      </w:r>
      <w:r w:rsidR="008F02D9">
        <w:rPr>
          <w:rFonts w:asciiTheme="minorHAnsi" w:hAnsiTheme="minorHAnsi"/>
          <w:snapToGrid w:val="0"/>
          <w:lang w:val="en-GB"/>
        </w:rPr>
        <w:t xml:space="preserve"> </w:t>
      </w:r>
      <w:r w:rsidR="00BB6C1C">
        <w:rPr>
          <w:rFonts w:asciiTheme="minorHAnsi" w:hAnsiTheme="minorHAnsi"/>
          <w:snapToGrid w:val="0"/>
          <w:lang w:val="en-GB"/>
        </w:rPr>
        <w:t xml:space="preserve">but </w:t>
      </w:r>
      <w:r w:rsidR="008F02D9">
        <w:rPr>
          <w:rFonts w:asciiTheme="minorHAnsi" w:hAnsiTheme="minorHAnsi"/>
          <w:snapToGrid w:val="0"/>
          <w:lang w:val="en-GB"/>
        </w:rPr>
        <w:t xml:space="preserve">that </w:t>
      </w:r>
      <w:r w:rsidR="00C50652">
        <w:rPr>
          <w:rFonts w:asciiTheme="minorHAnsi" w:hAnsiTheme="minorHAnsi"/>
          <w:snapToGrid w:val="0"/>
          <w:lang w:val="en-GB"/>
        </w:rPr>
        <w:t>a</w:t>
      </w:r>
      <w:r w:rsidR="008F02D9">
        <w:rPr>
          <w:rFonts w:asciiTheme="minorHAnsi" w:hAnsiTheme="minorHAnsi"/>
          <w:snapToGrid w:val="0"/>
          <w:lang w:val="en-GB"/>
        </w:rPr>
        <w:t xml:space="preserve"> risk sharing arrangement (RSA) would mitigate </w:t>
      </w:r>
      <w:r w:rsidR="00C50652">
        <w:rPr>
          <w:rFonts w:asciiTheme="minorHAnsi" w:hAnsiTheme="minorHAnsi"/>
          <w:snapToGrid w:val="0"/>
          <w:lang w:val="en-GB"/>
        </w:rPr>
        <w:t>the risk</w:t>
      </w:r>
      <w:r w:rsidR="006F7A84">
        <w:rPr>
          <w:rFonts w:asciiTheme="minorHAnsi" w:hAnsiTheme="minorHAnsi"/>
          <w:snapToGrid w:val="0"/>
          <w:lang w:val="en-GB"/>
        </w:rPr>
        <w:t>s</w:t>
      </w:r>
      <w:r w:rsidR="00C50652">
        <w:rPr>
          <w:rFonts w:asciiTheme="minorHAnsi" w:hAnsiTheme="minorHAnsi"/>
          <w:snapToGrid w:val="0"/>
          <w:lang w:val="en-GB"/>
        </w:rPr>
        <w:t xml:space="preserve"> that </w:t>
      </w:r>
      <w:r w:rsidR="006F7A84">
        <w:rPr>
          <w:rFonts w:asciiTheme="minorHAnsi" w:hAnsiTheme="minorHAnsi"/>
          <w:snapToGrid w:val="0"/>
          <w:lang w:val="en-GB"/>
        </w:rPr>
        <w:t xml:space="preserve">(i) </w:t>
      </w:r>
      <w:r w:rsidR="00C50652">
        <w:rPr>
          <w:rFonts w:asciiTheme="minorHAnsi" w:hAnsiTheme="minorHAnsi"/>
          <w:snapToGrid w:val="0"/>
          <w:lang w:val="en-GB"/>
        </w:rPr>
        <w:t xml:space="preserve">patients would remain on enzalutamide for longer than </w:t>
      </w:r>
      <w:r w:rsidR="00C50652" w:rsidRPr="003623C8">
        <w:rPr>
          <w:rFonts w:asciiTheme="minorHAnsi" w:hAnsiTheme="minorHAnsi"/>
          <w:snapToGrid w:val="0"/>
          <w:lang w:val="en-GB"/>
        </w:rPr>
        <w:t>estimated</w:t>
      </w:r>
      <w:r w:rsidR="006F7A84" w:rsidRPr="003623C8">
        <w:rPr>
          <w:rFonts w:asciiTheme="minorHAnsi" w:hAnsiTheme="minorHAnsi"/>
          <w:snapToGrid w:val="0"/>
          <w:lang w:val="en-GB"/>
        </w:rPr>
        <w:t>,</w:t>
      </w:r>
      <w:r w:rsidR="00E57202" w:rsidRPr="003623C8">
        <w:rPr>
          <w:rFonts w:asciiTheme="minorHAnsi" w:hAnsiTheme="minorHAnsi"/>
          <w:snapToGrid w:val="0"/>
          <w:lang w:val="en-GB"/>
        </w:rPr>
        <w:t xml:space="preserve"> and </w:t>
      </w:r>
      <w:r w:rsidR="006F7A84" w:rsidRPr="003623C8">
        <w:rPr>
          <w:rFonts w:asciiTheme="minorHAnsi" w:hAnsiTheme="minorHAnsi"/>
          <w:snapToGrid w:val="0"/>
          <w:lang w:val="en-GB"/>
        </w:rPr>
        <w:t xml:space="preserve">(ii) enzalutamide </w:t>
      </w:r>
      <w:r w:rsidR="00E57202" w:rsidRPr="003623C8">
        <w:rPr>
          <w:rFonts w:asciiTheme="minorHAnsi" w:hAnsiTheme="minorHAnsi"/>
          <w:snapToGrid w:val="0"/>
          <w:lang w:val="en-GB"/>
        </w:rPr>
        <w:t>use in patients with high volume disease</w:t>
      </w:r>
      <w:r w:rsidR="006F7A84" w:rsidRPr="003623C8">
        <w:rPr>
          <w:rFonts w:asciiTheme="minorHAnsi" w:hAnsiTheme="minorHAnsi"/>
          <w:snapToGrid w:val="0"/>
          <w:lang w:val="en-GB"/>
        </w:rPr>
        <w:t xml:space="preserve"> who were</w:t>
      </w:r>
      <w:r w:rsidR="00E57202" w:rsidRPr="003623C8">
        <w:rPr>
          <w:rFonts w:asciiTheme="minorHAnsi" w:hAnsiTheme="minorHAnsi"/>
          <w:snapToGrid w:val="0"/>
          <w:lang w:val="en-GB"/>
        </w:rPr>
        <w:t xml:space="preserve"> suitable for docetaxel </w:t>
      </w:r>
      <w:r w:rsidR="006F7A84" w:rsidRPr="003623C8">
        <w:rPr>
          <w:rFonts w:asciiTheme="minorHAnsi" w:hAnsiTheme="minorHAnsi"/>
          <w:snapToGrid w:val="0"/>
          <w:lang w:val="en-GB"/>
        </w:rPr>
        <w:t xml:space="preserve">may </w:t>
      </w:r>
      <w:r w:rsidR="00E57202" w:rsidRPr="003623C8">
        <w:rPr>
          <w:rFonts w:asciiTheme="minorHAnsi" w:hAnsiTheme="minorHAnsi"/>
          <w:snapToGrid w:val="0"/>
          <w:lang w:val="en-GB"/>
        </w:rPr>
        <w:t>not be cost-effective</w:t>
      </w:r>
      <w:r w:rsidR="008F02D9" w:rsidRPr="003623C8">
        <w:rPr>
          <w:rFonts w:asciiTheme="minorHAnsi" w:hAnsiTheme="minorHAnsi"/>
          <w:snapToGrid w:val="0"/>
          <w:lang w:val="en-GB"/>
        </w:rPr>
        <w:t>.</w:t>
      </w:r>
    </w:p>
    <w:p w14:paraId="1601D546" w14:textId="620F1B08" w:rsidR="008F02D9" w:rsidRDefault="0075485D" w:rsidP="0075485D">
      <w:pPr>
        <w:widowControl w:val="0"/>
        <w:numPr>
          <w:ilvl w:val="1"/>
          <w:numId w:val="1"/>
        </w:numPr>
        <w:spacing w:after="120"/>
        <w:rPr>
          <w:rFonts w:asciiTheme="minorHAnsi" w:hAnsiTheme="minorHAnsi"/>
          <w:snapToGrid w:val="0"/>
          <w:lang w:val="en-GB"/>
        </w:rPr>
      </w:pPr>
      <w:r w:rsidRPr="00CE42B4">
        <w:rPr>
          <w:rFonts w:asciiTheme="minorHAnsi" w:hAnsiTheme="minorHAnsi"/>
          <w:snapToGrid w:val="0"/>
          <w:lang w:val="en-GB"/>
        </w:rPr>
        <w:t xml:space="preserve">The PBAC </w:t>
      </w:r>
      <w:r w:rsidR="008F02D9">
        <w:rPr>
          <w:rFonts w:asciiTheme="minorHAnsi" w:hAnsiTheme="minorHAnsi"/>
          <w:snapToGrid w:val="0"/>
          <w:lang w:val="en-GB"/>
        </w:rPr>
        <w:t>noted the input from the Medical Oncology Group of Australia (MOGA) which strongly supported the listing of enzalutamide on the PBS for the treatment of mHSPC.</w:t>
      </w:r>
      <w:r w:rsidR="00003737">
        <w:rPr>
          <w:rFonts w:asciiTheme="minorHAnsi" w:hAnsiTheme="minorHAnsi"/>
          <w:snapToGrid w:val="0"/>
          <w:lang w:val="en-GB"/>
        </w:rPr>
        <w:t xml:space="preserve"> </w:t>
      </w:r>
    </w:p>
    <w:p w14:paraId="7D9E5FED" w14:textId="2E8257BE" w:rsidR="00955D3E" w:rsidRDefault="00955D3E"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proposed </w:t>
      </w:r>
      <w:r w:rsidR="00BB6C1C">
        <w:rPr>
          <w:rFonts w:asciiTheme="minorHAnsi" w:hAnsiTheme="minorHAnsi"/>
          <w:snapToGrid w:val="0"/>
          <w:lang w:val="en-GB"/>
        </w:rPr>
        <w:t xml:space="preserve">place in therapy and associated requested </w:t>
      </w:r>
      <w:r>
        <w:rPr>
          <w:rFonts w:asciiTheme="minorHAnsi" w:hAnsiTheme="minorHAnsi"/>
          <w:snapToGrid w:val="0"/>
          <w:lang w:val="en-GB"/>
        </w:rPr>
        <w:t>listing</w:t>
      </w:r>
      <w:r w:rsidR="00BB6C1C">
        <w:rPr>
          <w:rFonts w:asciiTheme="minorHAnsi" w:hAnsiTheme="minorHAnsi"/>
          <w:snapToGrid w:val="0"/>
          <w:lang w:val="en-GB"/>
        </w:rPr>
        <w:t>, which was</w:t>
      </w:r>
      <w:r>
        <w:rPr>
          <w:rFonts w:asciiTheme="minorHAnsi" w:hAnsiTheme="minorHAnsi"/>
          <w:snapToGrid w:val="0"/>
          <w:lang w:val="en-GB"/>
        </w:rPr>
        <w:t xml:space="preserve"> for all patients with mHSPC </w:t>
      </w:r>
      <w:r w:rsidR="00BB6C1C">
        <w:rPr>
          <w:rFonts w:asciiTheme="minorHAnsi" w:hAnsiTheme="minorHAnsi"/>
          <w:snapToGrid w:val="0"/>
          <w:lang w:val="en-GB"/>
        </w:rPr>
        <w:t>and</w:t>
      </w:r>
      <w:r>
        <w:rPr>
          <w:rFonts w:asciiTheme="minorHAnsi" w:hAnsiTheme="minorHAnsi"/>
          <w:snapToGrid w:val="0"/>
          <w:lang w:val="en-GB"/>
        </w:rPr>
        <w:t xml:space="preserve"> mirrored that proposed for apalutamide</w:t>
      </w:r>
      <w:r w:rsidR="00BB6C1C">
        <w:rPr>
          <w:rFonts w:asciiTheme="minorHAnsi" w:hAnsiTheme="minorHAnsi"/>
          <w:snapToGrid w:val="0"/>
          <w:lang w:val="en-GB"/>
        </w:rPr>
        <w:t>,</w:t>
      </w:r>
      <w:r>
        <w:rPr>
          <w:rFonts w:asciiTheme="minorHAnsi" w:hAnsiTheme="minorHAnsi"/>
          <w:snapToGrid w:val="0"/>
          <w:lang w:val="en-GB"/>
        </w:rPr>
        <w:t xml:space="preserve"> w</w:t>
      </w:r>
      <w:r w:rsidR="00BB6C1C">
        <w:rPr>
          <w:rFonts w:asciiTheme="minorHAnsi" w:hAnsiTheme="minorHAnsi"/>
          <w:snapToGrid w:val="0"/>
          <w:lang w:val="en-GB"/>
        </w:rPr>
        <w:t>ere</w:t>
      </w:r>
      <w:r>
        <w:rPr>
          <w:rFonts w:asciiTheme="minorHAnsi" w:hAnsiTheme="minorHAnsi"/>
          <w:snapToGrid w:val="0"/>
          <w:lang w:val="en-GB"/>
        </w:rPr>
        <w:t xml:space="preserve"> appropriate. The PBAC reiterated that treatment with a novel hormonal agent (NHA) should be restricted to once per lifetime and hence, patients who receive enzalutamide through the PBS </w:t>
      </w:r>
      <w:r w:rsidR="00CE243F">
        <w:rPr>
          <w:rFonts w:asciiTheme="minorHAnsi" w:hAnsiTheme="minorHAnsi"/>
          <w:snapToGrid w:val="0"/>
          <w:lang w:val="en-GB"/>
        </w:rPr>
        <w:t>for</w:t>
      </w:r>
      <w:r>
        <w:rPr>
          <w:rFonts w:asciiTheme="minorHAnsi" w:hAnsiTheme="minorHAnsi"/>
          <w:snapToGrid w:val="0"/>
          <w:lang w:val="en-GB"/>
        </w:rPr>
        <w:t xml:space="preserve"> mHSPC </w:t>
      </w:r>
      <w:r w:rsidR="00CE243F">
        <w:rPr>
          <w:rFonts w:asciiTheme="minorHAnsi" w:hAnsiTheme="minorHAnsi"/>
          <w:snapToGrid w:val="0"/>
          <w:lang w:val="en-GB"/>
        </w:rPr>
        <w:t>sh</w:t>
      </w:r>
      <w:r>
        <w:rPr>
          <w:rFonts w:asciiTheme="minorHAnsi" w:hAnsiTheme="minorHAnsi"/>
          <w:snapToGrid w:val="0"/>
          <w:lang w:val="en-GB"/>
        </w:rPr>
        <w:t xml:space="preserve">ould </w:t>
      </w:r>
      <w:r w:rsidR="00CE243F">
        <w:rPr>
          <w:rFonts w:asciiTheme="minorHAnsi" w:hAnsiTheme="minorHAnsi"/>
          <w:snapToGrid w:val="0"/>
          <w:lang w:val="en-GB"/>
        </w:rPr>
        <w:t xml:space="preserve">not </w:t>
      </w:r>
      <w:r>
        <w:rPr>
          <w:rFonts w:asciiTheme="minorHAnsi" w:hAnsiTheme="minorHAnsi"/>
          <w:snapToGrid w:val="0"/>
          <w:lang w:val="en-GB"/>
        </w:rPr>
        <w:t xml:space="preserve">receive </w:t>
      </w:r>
      <w:r w:rsidR="00CE243F">
        <w:rPr>
          <w:rFonts w:asciiTheme="minorHAnsi" w:hAnsiTheme="minorHAnsi"/>
          <w:snapToGrid w:val="0"/>
          <w:lang w:val="en-GB"/>
        </w:rPr>
        <w:t xml:space="preserve">subsidy for </w:t>
      </w:r>
      <w:r>
        <w:rPr>
          <w:rFonts w:asciiTheme="minorHAnsi" w:hAnsiTheme="minorHAnsi"/>
          <w:snapToGrid w:val="0"/>
          <w:lang w:val="en-GB"/>
        </w:rPr>
        <w:t xml:space="preserve">a NHA through </w:t>
      </w:r>
      <w:r w:rsidR="00CE243F">
        <w:rPr>
          <w:rFonts w:asciiTheme="minorHAnsi" w:hAnsiTheme="minorHAnsi"/>
          <w:snapToGrid w:val="0"/>
          <w:lang w:val="en-GB"/>
        </w:rPr>
        <w:t>a non-metastatic disease indication</w:t>
      </w:r>
      <w:r w:rsidR="00BE495E">
        <w:rPr>
          <w:rFonts w:asciiTheme="minorHAnsi" w:hAnsiTheme="minorHAnsi"/>
          <w:snapToGrid w:val="0"/>
          <w:lang w:val="en-GB"/>
        </w:rPr>
        <w:t xml:space="preserve">. The PBAC also considered that </w:t>
      </w:r>
      <w:r>
        <w:rPr>
          <w:rFonts w:asciiTheme="minorHAnsi" w:hAnsiTheme="minorHAnsi"/>
          <w:snapToGrid w:val="0"/>
          <w:lang w:val="en-GB"/>
        </w:rPr>
        <w:t xml:space="preserve">the restriction should allow </w:t>
      </w:r>
      <w:r w:rsidR="00BE495E">
        <w:rPr>
          <w:rFonts w:asciiTheme="minorHAnsi" w:hAnsiTheme="minorHAnsi"/>
          <w:snapToGrid w:val="0"/>
          <w:lang w:val="en-GB"/>
        </w:rPr>
        <w:t xml:space="preserve">the </w:t>
      </w:r>
      <w:r>
        <w:rPr>
          <w:rFonts w:asciiTheme="minorHAnsi" w:hAnsiTheme="minorHAnsi"/>
          <w:snapToGrid w:val="0"/>
          <w:lang w:val="en-GB"/>
        </w:rPr>
        <w:t>use of enzalutamide as dual therapy (with ADT) or as triple therapy (with ADT and docetaxel) to increase clinical choice.</w:t>
      </w:r>
      <w:r w:rsidR="00FB22BD">
        <w:rPr>
          <w:rFonts w:asciiTheme="minorHAnsi" w:hAnsiTheme="minorHAnsi"/>
          <w:snapToGrid w:val="0"/>
          <w:lang w:val="en-GB"/>
        </w:rPr>
        <w:t xml:space="preserve"> </w:t>
      </w:r>
    </w:p>
    <w:p w14:paraId="4CA7BBA0" w14:textId="38B3FB73" w:rsidR="00955D3E" w:rsidRDefault="00955D3E"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nominated comparator, placebo in combination with ADT, was appropriate.</w:t>
      </w:r>
      <w:r w:rsidR="00BE495E">
        <w:rPr>
          <w:rFonts w:asciiTheme="minorHAnsi" w:hAnsiTheme="minorHAnsi"/>
          <w:snapToGrid w:val="0"/>
          <w:lang w:val="en-GB"/>
        </w:rPr>
        <w:t xml:space="preserve"> The PBAC considered that the nomination of apalutamide as a near market comparator was reasonable. </w:t>
      </w:r>
      <w:r w:rsidR="00003737">
        <w:rPr>
          <w:rFonts w:asciiTheme="minorHAnsi" w:hAnsiTheme="minorHAnsi"/>
          <w:snapToGrid w:val="0"/>
          <w:lang w:val="en-GB"/>
        </w:rPr>
        <w:t>The PBAC considered that darolutamide could also be considered a near market comparator but noted that there were significant differences between the primary trial</w:t>
      </w:r>
      <w:r w:rsidR="00BB6C1C">
        <w:rPr>
          <w:rFonts w:asciiTheme="minorHAnsi" w:hAnsiTheme="minorHAnsi"/>
          <w:snapToGrid w:val="0"/>
          <w:lang w:val="en-GB"/>
        </w:rPr>
        <w:t>s</w:t>
      </w:r>
      <w:r w:rsidR="00003737">
        <w:rPr>
          <w:rFonts w:asciiTheme="minorHAnsi" w:hAnsiTheme="minorHAnsi"/>
          <w:snapToGrid w:val="0"/>
          <w:lang w:val="en-GB"/>
        </w:rPr>
        <w:t xml:space="preserve"> presented for darolutamide (ARASENS) and enzalutamide (ARCHES) </w:t>
      </w:r>
      <w:r w:rsidR="00BB6C1C">
        <w:rPr>
          <w:rFonts w:asciiTheme="minorHAnsi" w:hAnsiTheme="minorHAnsi"/>
          <w:snapToGrid w:val="0"/>
          <w:lang w:val="en-GB"/>
        </w:rPr>
        <w:t>that</w:t>
      </w:r>
      <w:r w:rsidR="00003737">
        <w:rPr>
          <w:rFonts w:asciiTheme="minorHAnsi" w:hAnsiTheme="minorHAnsi"/>
          <w:snapToGrid w:val="0"/>
          <w:lang w:val="en-GB"/>
        </w:rPr>
        <w:t xml:space="preserve"> would make a comparison difficult.</w:t>
      </w:r>
    </w:p>
    <w:p w14:paraId="027D29E6" w14:textId="01865F77" w:rsidR="00BE495E" w:rsidRDefault="00BE495E"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w:t>
      </w:r>
      <w:r w:rsidR="000049DB">
        <w:rPr>
          <w:rFonts w:asciiTheme="minorHAnsi" w:hAnsiTheme="minorHAnsi"/>
          <w:snapToGrid w:val="0"/>
          <w:lang w:val="en-GB"/>
        </w:rPr>
        <w:t>submission</w:t>
      </w:r>
      <w:r>
        <w:rPr>
          <w:rFonts w:asciiTheme="minorHAnsi" w:hAnsiTheme="minorHAnsi"/>
          <w:snapToGrid w:val="0"/>
          <w:lang w:val="en-GB"/>
        </w:rPr>
        <w:t xml:space="preserve"> was </w:t>
      </w:r>
      <w:r w:rsidR="000049DB">
        <w:rPr>
          <w:rFonts w:asciiTheme="minorHAnsi" w:hAnsiTheme="minorHAnsi"/>
          <w:snapToGrid w:val="0"/>
          <w:lang w:val="en-GB"/>
        </w:rPr>
        <w:t xml:space="preserve">primarily </w:t>
      </w:r>
      <w:r>
        <w:rPr>
          <w:rFonts w:asciiTheme="minorHAnsi" w:hAnsiTheme="minorHAnsi"/>
          <w:snapToGrid w:val="0"/>
          <w:lang w:val="en-GB"/>
        </w:rPr>
        <w:t xml:space="preserve">based on </w:t>
      </w:r>
      <w:r w:rsidR="000049DB">
        <w:rPr>
          <w:rFonts w:asciiTheme="minorHAnsi" w:hAnsiTheme="minorHAnsi"/>
          <w:snapToGrid w:val="0"/>
          <w:lang w:val="en-GB"/>
        </w:rPr>
        <w:t xml:space="preserve">the </w:t>
      </w:r>
      <w:r>
        <w:rPr>
          <w:rFonts w:asciiTheme="minorHAnsi" w:hAnsiTheme="minorHAnsi"/>
          <w:snapToGrid w:val="0"/>
          <w:lang w:val="en-GB"/>
        </w:rPr>
        <w:t xml:space="preserve">ARCHES </w:t>
      </w:r>
      <w:r w:rsidR="000049DB">
        <w:rPr>
          <w:rFonts w:asciiTheme="minorHAnsi" w:hAnsiTheme="minorHAnsi"/>
          <w:snapToGrid w:val="0"/>
          <w:lang w:val="en-GB"/>
        </w:rPr>
        <w:t>random</w:t>
      </w:r>
      <w:r w:rsidR="00003737">
        <w:rPr>
          <w:rFonts w:asciiTheme="minorHAnsi" w:hAnsiTheme="minorHAnsi"/>
          <w:snapToGrid w:val="0"/>
          <w:lang w:val="en-GB"/>
        </w:rPr>
        <w:t>is</w:t>
      </w:r>
      <w:r w:rsidR="000049DB">
        <w:rPr>
          <w:rFonts w:asciiTheme="minorHAnsi" w:hAnsiTheme="minorHAnsi"/>
          <w:snapToGrid w:val="0"/>
          <w:lang w:val="en-GB"/>
        </w:rPr>
        <w:t xml:space="preserve">ed trial </w:t>
      </w:r>
      <w:r>
        <w:rPr>
          <w:rFonts w:asciiTheme="minorHAnsi" w:hAnsiTheme="minorHAnsi"/>
          <w:snapToGrid w:val="0"/>
          <w:lang w:val="en-GB"/>
        </w:rPr>
        <w:t>which compared enzalutamide + ADT to ADT alone</w:t>
      </w:r>
      <w:r w:rsidR="000049DB">
        <w:rPr>
          <w:rFonts w:asciiTheme="minorHAnsi" w:hAnsiTheme="minorHAnsi"/>
          <w:snapToGrid w:val="0"/>
          <w:lang w:val="en-GB"/>
        </w:rPr>
        <w:t xml:space="preserve">. The PBAC noted that </w:t>
      </w:r>
      <w:r>
        <w:rPr>
          <w:rFonts w:asciiTheme="minorHAnsi" w:hAnsiTheme="minorHAnsi"/>
          <w:snapToGrid w:val="0"/>
          <w:lang w:val="en-GB"/>
        </w:rPr>
        <w:t xml:space="preserve">supportive </w:t>
      </w:r>
      <w:r w:rsidR="000049DB">
        <w:rPr>
          <w:rFonts w:asciiTheme="minorHAnsi" w:hAnsiTheme="minorHAnsi"/>
          <w:snapToGrid w:val="0"/>
          <w:lang w:val="en-GB"/>
        </w:rPr>
        <w:t xml:space="preserve">evidence was presented from the </w:t>
      </w:r>
      <w:r>
        <w:rPr>
          <w:rFonts w:asciiTheme="minorHAnsi" w:hAnsiTheme="minorHAnsi"/>
          <w:snapToGrid w:val="0"/>
          <w:lang w:val="en-GB"/>
        </w:rPr>
        <w:t>ENZAMET</w:t>
      </w:r>
      <w:r w:rsidR="00BB6C1C">
        <w:rPr>
          <w:rFonts w:asciiTheme="minorHAnsi" w:hAnsiTheme="minorHAnsi"/>
          <w:snapToGrid w:val="0"/>
          <w:lang w:val="en-GB"/>
        </w:rPr>
        <w:t xml:space="preserve"> trial</w:t>
      </w:r>
      <w:r>
        <w:rPr>
          <w:rFonts w:asciiTheme="minorHAnsi" w:hAnsiTheme="minorHAnsi"/>
          <w:snapToGrid w:val="0"/>
          <w:lang w:val="en-GB"/>
        </w:rPr>
        <w:t xml:space="preserve"> </w:t>
      </w:r>
      <w:r w:rsidR="00BB6C1C">
        <w:rPr>
          <w:rFonts w:asciiTheme="minorHAnsi" w:hAnsiTheme="minorHAnsi"/>
          <w:snapToGrid w:val="0"/>
          <w:lang w:val="en-GB"/>
        </w:rPr>
        <w:t>that</w:t>
      </w:r>
      <w:r>
        <w:rPr>
          <w:rFonts w:asciiTheme="minorHAnsi" w:hAnsiTheme="minorHAnsi"/>
          <w:snapToGrid w:val="0"/>
          <w:lang w:val="en-GB"/>
        </w:rPr>
        <w:t xml:space="preserve"> compared enzalutamide + ADT with a non-steroidal anti androgen (either bicalutamide, nilutamide or flutamide) + ADT</w:t>
      </w:r>
      <w:r w:rsidR="004F5C0A">
        <w:rPr>
          <w:rFonts w:asciiTheme="minorHAnsi" w:hAnsiTheme="minorHAnsi"/>
          <w:snapToGrid w:val="0"/>
          <w:lang w:val="en-GB"/>
        </w:rPr>
        <w:t>, with or without early docetaxel</w:t>
      </w:r>
      <w:r>
        <w:rPr>
          <w:rFonts w:asciiTheme="minorHAnsi" w:hAnsiTheme="minorHAnsi"/>
          <w:snapToGrid w:val="0"/>
          <w:lang w:val="en-GB"/>
        </w:rPr>
        <w:t>.</w:t>
      </w:r>
      <w:r w:rsidR="00B00275">
        <w:rPr>
          <w:rFonts w:asciiTheme="minorHAnsi" w:hAnsiTheme="minorHAnsi"/>
          <w:snapToGrid w:val="0"/>
          <w:lang w:val="en-GB"/>
        </w:rPr>
        <w:t xml:space="preserve"> </w:t>
      </w:r>
    </w:p>
    <w:p w14:paraId="4B787858" w14:textId="68FF714C" w:rsidR="00B00275" w:rsidRDefault="00B00275"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ARCHES trial demonstrated significant improvements for enzalutamide compared with placebo in terms of radiographic progression free survival (</w:t>
      </w:r>
      <w:r w:rsidR="000049DB">
        <w:rPr>
          <w:rFonts w:asciiTheme="minorHAnsi" w:hAnsiTheme="minorHAnsi"/>
          <w:snapToGrid w:val="0"/>
          <w:lang w:val="en-GB"/>
        </w:rPr>
        <w:t xml:space="preserve">rPFS; </w:t>
      </w:r>
      <w:r>
        <w:rPr>
          <w:rFonts w:asciiTheme="minorHAnsi" w:hAnsiTheme="minorHAnsi"/>
          <w:snapToGrid w:val="0"/>
          <w:lang w:val="en-GB"/>
        </w:rPr>
        <w:t>HR = 0.39; 95% CI: 0.30, 0.50) and overall survival (</w:t>
      </w:r>
      <w:r w:rsidR="000049DB">
        <w:rPr>
          <w:rFonts w:asciiTheme="minorHAnsi" w:hAnsiTheme="minorHAnsi"/>
          <w:snapToGrid w:val="0"/>
          <w:lang w:val="en-GB"/>
        </w:rPr>
        <w:t xml:space="preserve">OS; </w:t>
      </w:r>
      <w:r>
        <w:rPr>
          <w:rFonts w:asciiTheme="minorHAnsi" w:hAnsiTheme="minorHAnsi"/>
          <w:snapToGrid w:val="0"/>
          <w:lang w:val="en-GB"/>
        </w:rPr>
        <w:t>HR = 0.66; 95% CI: 0.66, 0.81).</w:t>
      </w:r>
      <w:r w:rsidR="000049DB">
        <w:rPr>
          <w:rFonts w:asciiTheme="minorHAnsi" w:hAnsiTheme="minorHAnsi"/>
          <w:snapToGrid w:val="0"/>
          <w:lang w:val="en-GB"/>
        </w:rPr>
        <w:t xml:space="preserve"> The PBAC considered that the claim that enzalutamide was superior to placebo in terms of effectiveness was supported.</w:t>
      </w:r>
    </w:p>
    <w:p w14:paraId="2AAA64E6" w14:textId="63EDA0B2" w:rsidR="000049DB" w:rsidRDefault="008923E0"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Although there were no significant differences in any treatment emergent adverse events (AEs), serious AEs, or AEs leading to discontinuation of study drug in the ARCHES trial, the PBAC noted that enzalutamide was associated with significantly higher rates of Grade 3-4 AEs and AEs leading to death compared to placebo. The PBAC considered that the claim that enzalutamide was inferior</w:t>
      </w:r>
      <w:r w:rsidR="00E61772">
        <w:rPr>
          <w:rFonts w:asciiTheme="minorHAnsi" w:hAnsiTheme="minorHAnsi"/>
          <w:snapToGrid w:val="0"/>
          <w:lang w:val="en-GB"/>
        </w:rPr>
        <w:t xml:space="preserve"> in terms of safety</w:t>
      </w:r>
      <w:r>
        <w:rPr>
          <w:rFonts w:asciiTheme="minorHAnsi" w:hAnsiTheme="minorHAnsi"/>
          <w:snapToGrid w:val="0"/>
          <w:lang w:val="en-GB"/>
        </w:rPr>
        <w:t xml:space="preserve"> to placebo was supported.</w:t>
      </w:r>
    </w:p>
    <w:p w14:paraId="3A8D779E" w14:textId="4B7FD6FC" w:rsidR="008923E0" w:rsidRDefault="008923E0"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also presented a series of indirect treatment comparisons (ITCs) between enzalutamide (using data from the ARCHES and ENZAMET trials) and apalutamide (using data from the TITAN trial). The PBAC noted that no significant differences were demonstrated between enzalutamide and apalutamide in terms of PFS or OS. The PBAC considered that enzalutamide was </w:t>
      </w:r>
      <w:r w:rsidR="007868BD">
        <w:rPr>
          <w:rFonts w:asciiTheme="minorHAnsi" w:hAnsiTheme="minorHAnsi"/>
          <w:snapToGrid w:val="0"/>
          <w:lang w:val="en-GB"/>
        </w:rPr>
        <w:t xml:space="preserve">likely </w:t>
      </w:r>
      <w:r>
        <w:rPr>
          <w:rFonts w:asciiTheme="minorHAnsi" w:hAnsiTheme="minorHAnsi"/>
          <w:snapToGrid w:val="0"/>
          <w:lang w:val="en-GB"/>
        </w:rPr>
        <w:t>non-inferior in terms of efficacy compared to apalutamide.</w:t>
      </w:r>
    </w:p>
    <w:p w14:paraId="4C9B7A56" w14:textId="5EC64224" w:rsidR="008923E0" w:rsidRDefault="008923E0"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Although no ITCs were presented for safety outcomes, the PBAC </w:t>
      </w:r>
      <w:r w:rsidR="00003737">
        <w:rPr>
          <w:rFonts w:asciiTheme="minorHAnsi" w:hAnsiTheme="minorHAnsi"/>
          <w:snapToGrid w:val="0"/>
          <w:lang w:val="en-GB"/>
        </w:rPr>
        <w:t xml:space="preserve">considered that enzalutamide was likely to be non-inferior </w:t>
      </w:r>
      <w:r w:rsidR="004F5C0A">
        <w:rPr>
          <w:rFonts w:asciiTheme="minorHAnsi" w:hAnsiTheme="minorHAnsi"/>
          <w:snapToGrid w:val="0"/>
          <w:lang w:val="en-GB"/>
        </w:rPr>
        <w:t xml:space="preserve">in terms of safety compared </w:t>
      </w:r>
      <w:r w:rsidR="00003737">
        <w:rPr>
          <w:rFonts w:asciiTheme="minorHAnsi" w:hAnsiTheme="minorHAnsi"/>
          <w:snapToGrid w:val="0"/>
          <w:lang w:val="en-GB"/>
        </w:rPr>
        <w:t>to apalutamide in mHSPC.</w:t>
      </w:r>
    </w:p>
    <w:p w14:paraId="28D8C584" w14:textId="386B58F2" w:rsidR="00BD3594" w:rsidRDefault="004704EC" w:rsidP="005E10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w:t>
      </w:r>
      <w:r w:rsidR="00BD3594">
        <w:rPr>
          <w:rFonts w:asciiTheme="minorHAnsi" w:hAnsiTheme="minorHAnsi"/>
          <w:snapToGrid w:val="0"/>
          <w:lang w:val="en-GB"/>
        </w:rPr>
        <w:t xml:space="preserve">two economic approaches, </w:t>
      </w:r>
      <w:r>
        <w:rPr>
          <w:rFonts w:asciiTheme="minorHAnsi" w:hAnsiTheme="minorHAnsi"/>
          <w:snapToGrid w:val="0"/>
          <w:lang w:val="en-GB"/>
        </w:rPr>
        <w:t xml:space="preserve">(i) </w:t>
      </w:r>
      <w:r w:rsidR="00BD3594">
        <w:rPr>
          <w:rFonts w:asciiTheme="minorHAnsi" w:hAnsiTheme="minorHAnsi"/>
          <w:snapToGrid w:val="0"/>
          <w:lang w:val="en-GB"/>
        </w:rPr>
        <w:t xml:space="preserve">a cost-utility analysis versus placebo, and (ii) a cost-minimisation approach versus apalutamide. </w:t>
      </w:r>
    </w:p>
    <w:p w14:paraId="17A02565" w14:textId="7CFD1EAC" w:rsidR="0035182C" w:rsidRDefault="0035182C" w:rsidP="0075485D">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In terms of the cost-utility analysis, the PBAC noted that the submission presented a combination partitioned survival and Markov state model based on the intention-to-treat (ITT) population from the ARCHES trial. The PBAC noted that the </w:t>
      </w:r>
      <w:r w:rsidR="005B6AAB">
        <w:rPr>
          <w:rFonts w:asciiTheme="minorHAnsi" w:hAnsiTheme="minorHAnsi"/>
          <w:snapToGrid w:val="0"/>
          <w:lang w:val="en-GB"/>
        </w:rPr>
        <w:t>P</w:t>
      </w:r>
      <w:r>
        <w:rPr>
          <w:rFonts w:asciiTheme="minorHAnsi" w:hAnsiTheme="minorHAnsi"/>
          <w:snapToGrid w:val="0"/>
          <w:lang w:val="en-GB"/>
        </w:rPr>
        <w:t xml:space="preserve">re-Sub-Committee Response (PSCR) presented revisions to the model which better aligned the model outcomes </w:t>
      </w:r>
      <w:r w:rsidR="007868BD">
        <w:rPr>
          <w:rFonts w:asciiTheme="minorHAnsi" w:hAnsiTheme="minorHAnsi"/>
          <w:snapToGrid w:val="0"/>
          <w:lang w:val="en-GB"/>
        </w:rPr>
        <w:t>to</w:t>
      </w:r>
      <w:r>
        <w:rPr>
          <w:rFonts w:asciiTheme="minorHAnsi" w:hAnsiTheme="minorHAnsi"/>
          <w:snapToGrid w:val="0"/>
          <w:lang w:val="en-GB"/>
        </w:rPr>
        <w:t xml:space="preserve"> those from the apalutamide model which was accepted in July 2022 (see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_Ref129695739 \r \h </w:instrText>
      </w:r>
      <w:r>
        <w:rPr>
          <w:rFonts w:asciiTheme="minorHAnsi" w:hAnsiTheme="minorHAnsi"/>
          <w:snapToGrid w:val="0"/>
          <w:lang w:val="en-GB"/>
        </w:rPr>
      </w:r>
      <w:r>
        <w:rPr>
          <w:rFonts w:asciiTheme="minorHAnsi" w:hAnsiTheme="minorHAnsi"/>
          <w:snapToGrid w:val="0"/>
          <w:lang w:val="en-GB"/>
        </w:rPr>
        <w:fldChar w:fldCharType="separate"/>
      </w:r>
      <w:r w:rsidR="00307E3A">
        <w:rPr>
          <w:rFonts w:asciiTheme="minorHAnsi" w:hAnsiTheme="minorHAnsi"/>
          <w:snapToGrid w:val="0"/>
          <w:lang w:val="en-GB"/>
        </w:rPr>
        <w:t>6.57</w:t>
      </w:r>
      <w:r>
        <w:rPr>
          <w:rFonts w:asciiTheme="minorHAnsi" w:hAnsiTheme="minorHAnsi"/>
          <w:snapToGrid w:val="0"/>
          <w:lang w:val="en-GB"/>
        </w:rPr>
        <w:fldChar w:fldCharType="end"/>
      </w:r>
      <w:r>
        <w:rPr>
          <w:rFonts w:asciiTheme="minorHAnsi" w:hAnsiTheme="minorHAnsi"/>
          <w:snapToGrid w:val="0"/>
          <w:lang w:val="en-GB"/>
        </w:rPr>
        <w:t>). However, the PBAC noted the outstanding concerns raised by ESC</w:t>
      </w:r>
      <w:r w:rsidR="00D468B8">
        <w:rPr>
          <w:rFonts w:asciiTheme="minorHAnsi" w:hAnsiTheme="minorHAnsi"/>
          <w:snapToGrid w:val="0"/>
          <w:lang w:val="en-GB"/>
        </w:rPr>
        <w:t xml:space="preserve"> regarding the model, including that:</w:t>
      </w:r>
    </w:p>
    <w:p w14:paraId="66F508A2" w14:textId="61E46190" w:rsidR="00D468B8" w:rsidRDefault="007868BD" w:rsidP="00D325AC">
      <w:pPr>
        <w:widowControl w:val="0"/>
        <w:numPr>
          <w:ilvl w:val="1"/>
          <w:numId w:val="35"/>
        </w:numPr>
        <w:spacing w:after="120"/>
        <w:ind w:left="1080" w:hanging="360"/>
        <w:rPr>
          <w:rFonts w:asciiTheme="minorHAnsi" w:hAnsiTheme="minorHAnsi"/>
          <w:snapToGrid w:val="0"/>
          <w:lang w:val="en-GB"/>
        </w:rPr>
      </w:pPr>
      <w:r>
        <w:rPr>
          <w:rFonts w:asciiTheme="minorHAnsi" w:hAnsiTheme="minorHAnsi"/>
          <w:snapToGrid w:val="0"/>
          <w:lang w:val="en-GB"/>
        </w:rPr>
        <w:t>t</w:t>
      </w:r>
      <w:r w:rsidR="00D468B8">
        <w:rPr>
          <w:rFonts w:asciiTheme="minorHAnsi" w:hAnsiTheme="minorHAnsi"/>
          <w:snapToGrid w:val="0"/>
          <w:lang w:val="en-GB"/>
        </w:rPr>
        <w:t xml:space="preserve">he modelled QALY gain in the revised base case (0.83) remained higher than that previously accepted by the PBAC for apalutamide (0.56, weighted across the </w:t>
      </w:r>
      <w:r>
        <w:rPr>
          <w:rFonts w:asciiTheme="minorHAnsi" w:hAnsiTheme="minorHAnsi"/>
          <w:snapToGrid w:val="0"/>
          <w:lang w:val="en-GB"/>
        </w:rPr>
        <w:t>low and high volume</w:t>
      </w:r>
      <w:r w:rsidR="00D468B8">
        <w:rPr>
          <w:rFonts w:asciiTheme="minorHAnsi" w:hAnsiTheme="minorHAnsi"/>
          <w:snapToGrid w:val="0"/>
          <w:lang w:val="en-GB"/>
        </w:rPr>
        <w:t xml:space="preserve"> models);</w:t>
      </w:r>
    </w:p>
    <w:p w14:paraId="3A4A2846" w14:textId="61AC2ED5" w:rsidR="00D468B8" w:rsidRDefault="00D468B8" w:rsidP="00D325AC">
      <w:pPr>
        <w:widowControl w:val="0"/>
        <w:numPr>
          <w:ilvl w:val="1"/>
          <w:numId w:val="35"/>
        </w:numPr>
        <w:spacing w:after="120"/>
        <w:ind w:left="1080" w:hanging="360"/>
        <w:rPr>
          <w:rFonts w:asciiTheme="minorHAnsi" w:hAnsiTheme="minorHAnsi"/>
          <w:snapToGrid w:val="0"/>
          <w:lang w:val="en-GB"/>
        </w:rPr>
      </w:pPr>
      <w:r>
        <w:rPr>
          <w:rFonts w:asciiTheme="minorHAnsi" w:hAnsiTheme="minorHAnsi"/>
          <w:snapToGrid w:val="0"/>
          <w:lang w:val="en-GB"/>
        </w:rPr>
        <w:t xml:space="preserve">convergence was not applied to the </w:t>
      </w:r>
      <w:r w:rsidR="007868BD">
        <w:rPr>
          <w:rFonts w:asciiTheme="minorHAnsi" w:hAnsiTheme="minorHAnsi"/>
          <w:snapToGrid w:val="0"/>
          <w:lang w:val="en-GB"/>
        </w:rPr>
        <w:t>OS</w:t>
      </w:r>
      <w:r>
        <w:rPr>
          <w:rFonts w:asciiTheme="minorHAnsi" w:hAnsiTheme="minorHAnsi"/>
          <w:snapToGrid w:val="0"/>
          <w:lang w:val="en-GB"/>
        </w:rPr>
        <w:t xml:space="preserve"> arms from 5 to 10 years</w:t>
      </w:r>
      <w:r w:rsidR="005E104E">
        <w:rPr>
          <w:rFonts w:asciiTheme="minorHAnsi" w:hAnsiTheme="minorHAnsi"/>
          <w:snapToGrid w:val="0"/>
          <w:lang w:val="en-GB"/>
        </w:rPr>
        <w:t>. The PBAC noted that if convergence was applied as it was in the apalutamide model, then the modelled QALY gain for enzalutamide was reduced to 0.50; and</w:t>
      </w:r>
    </w:p>
    <w:p w14:paraId="51224382" w14:textId="420A2A81" w:rsidR="005E104E" w:rsidRDefault="007868BD" w:rsidP="00D325AC">
      <w:pPr>
        <w:widowControl w:val="0"/>
        <w:numPr>
          <w:ilvl w:val="1"/>
          <w:numId w:val="35"/>
        </w:numPr>
        <w:spacing w:after="120"/>
        <w:ind w:left="1080" w:hanging="360"/>
        <w:rPr>
          <w:rFonts w:asciiTheme="minorHAnsi" w:hAnsiTheme="minorHAnsi"/>
          <w:snapToGrid w:val="0"/>
          <w:lang w:val="en-GB"/>
        </w:rPr>
      </w:pPr>
      <w:r>
        <w:rPr>
          <w:rFonts w:asciiTheme="minorHAnsi" w:hAnsiTheme="minorHAnsi"/>
          <w:snapToGrid w:val="0"/>
          <w:lang w:val="en-GB"/>
        </w:rPr>
        <w:t>s</w:t>
      </w:r>
      <w:r w:rsidR="005E104E">
        <w:rPr>
          <w:rFonts w:asciiTheme="minorHAnsi" w:hAnsiTheme="minorHAnsi"/>
          <w:snapToGrid w:val="0"/>
          <w:lang w:val="en-GB"/>
        </w:rPr>
        <w:t>ubsequent NHA use was assumed to be 15 months. The PBAC noted that 12 months of subsequent NHA use was accepted in the apalutamide model.</w:t>
      </w:r>
    </w:p>
    <w:p w14:paraId="1E012BF8" w14:textId="4E79F741" w:rsidR="005E104E" w:rsidRPr="009A7988" w:rsidRDefault="005E104E" w:rsidP="009A7988">
      <w:pPr>
        <w:widowControl w:val="0"/>
        <w:numPr>
          <w:ilvl w:val="1"/>
          <w:numId w:val="1"/>
        </w:numPr>
        <w:spacing w:after="120"/>
        <w:rPr>
          <w:rFonts w:asciiTheme="minorHAnsi" w:hAnsiTheme="minorHAnsi"/>
          <w:snapToGrid w:val="0"/>
        </w:rPr>
      </w:pPr>
      <w:bookmarkStart w:id="87" w:name="_Ref129700483"/>
      <w:r>
        <w:rPr>
          <w:rFonts w:asciiTheme="minorHAnsi" w:hAnsiTheme="minorHAnsi"/>
          <w:snapToGrid w:val="0"/>
          <w:lang w:val="en-GB"/>
        </w:rPr>
        <w:t xml:space="preserve">Based on the above, the PBAC considered that the revised model presented in the PSCR </w:t>
      </w:r>
      <w:r w:rsidR="00CE243F">
        <w:rPr>
          <w:rFonts w:asciiTheme="minorHAnsi" w:hAnsiTheme="minorHAnsi"/>
          <w:snapToGrid w:val="0"/>
          <w:lang w:val="en-GB"/>
        </w:rPr>
        <w:t>was more reliable after:</w:t>
      </w:r>
      <w:r>
        <w:rPr>
          <w:rFonts w:asciiTheme="minorHAnsi" w:hAnsiTheme="minorHAnsi"/>
          <w:snapToGrid w:val="0"/>
          <w:lang w:val="en-GB"/>
        </w:rPr>
        <w:t xml:space="preserve"> (i) apply</w:t>
      </w:r>
      <w:r w:rsidR="00CE243F">
        <w:rPr>
          <w:rFonts w:asciiTheme="minorHAnsi" w:hAnsiTheme="minorHAnsi"/>
          <w:snapToGrid w:val="0"/>
          <w:lang w:val="en-GB"/>
        </w:rPr>
        <w:t>ing</w:t>
      </w:r>
      <w:r>
        <w:rPr>
          <w:rFonts w:asciiTheme="minorHAnsi" w:hAnsiTheme="minorHAnsi"/>
          <w:snapToGrid w:val="0"/>
          <w:lang w:val="en-GB"/>
        </w:rPr>
        <w:t xml:space="preserve"> convergence to OS from 5 to 10 years; and (ii) </w:t>
      </w:r>
      <w:r w:rsidR="007868BD">
        <w:rPr>
          <w:rFonts w:asciiTheme="minorHAnsi" w:hAnsiTheme="minorHAnsi"/>
          <w:snapToGrid w:val="0"/>
          <w:lang w:val="en-GB"/>
        </w:rPr>
        <w:t>reduc</w:t>
      </w:r>
      <w:r w:rsidR="00CE243F">
        <w:rPr>
          <w:rFonts w:asciiTheme="minorHAnsi" w:hAnsiTheme="minorHAnsi"/>
          <w:snapToGrid w:val="0"/>
          <w:lang w:val="en-GB"/>
        </w:rPr>
        <w:t>ing</w:t>
      </w:r>
      <w:r w:rsidR="007868BD">
        <w:rPr>
          <w:rFonts w:asciiTheme="minorHAnsi" w:hAnsiTheme="minorHAnsi"/>
          <w:snapToGrid w:val="0"/>
          <w:lang w:val="en-GB"/>
        </w:rPr>
        <w:t xml:space="preserve"> </w:t>
      </w:r>
      <w:r>
        <w:rPr>
          <w:rFonts w:asciiTheme="minorHAnsi" w:hAnsiTheme="minorHAnsi"/>
          <w:snapToGrid w:val="0"/>
          <w:lang w:val="en-GB"/>
        </w:rPr>
        <w:t>subsequent NHA use from 15 months to 12 months. The PBAC noted that the ICER for this scenario</w:t>
      </w:r>
      <w:r w:rsidR="00D325AC">
        <w:rPr>
          <w:rFonts w:asciiTheme="minorHAnsi" w:hAnsiTheme="minorHAnsi"/>
          <w:snapToGrid w:val="0"/>
          <w:lang w:val="en-GB"/>
        </w:rPr>
        <w:t xml:space="preserve"> (using the proposed ex-manufacturer price proposed in the pre-PBAC response</w:t>
      </w:r>
      <w:r>
        <w:rPr>
          <w:rFonts w:asciiTheme="minorHAnsi" w:hAnsiTheme="minorHAnsi"/>
          <w:snapToGrid w:val="0"/>
          <w:lang w:val="en-GB"/>
        </w:rPr>
        <w:t xml:space="preserve"> </w:t>
      </w:r>
      <w:r w:rsidR="00D325AC">
        <w:rPr>
          <w:rFonts w:asciiTheme="minorHAnsi" w:hAnsiTheme="minorHAnsi"/>
          <w:snapToGrid w:val="0"/>
          <w:lang w:val="en-GB"/>
        </w:rPr>
        <w:t>of $</w:t>
      </w:r>
      <w:r w:rsidR="008D2482" w:rsidRPr="00307E3A">
        <w:rPr>
          <w:rFonts w:asciiTheme="minorHAnsi" w:hAnsiTheme="minorHAnsi"/>
          <w:snapToGrid w:val="0"/>
          <w:color w:val="000000"/>
          <w:w w:val="15"/>
          <w:shd w:val="solid" w:color="000000" w:fill="000000"/>
          <w:fitText w:val="-20" w:id="-1233497854"/>
          <w:lang w:val="en-GB"/>
          <w14:textFill>
            <w14:solidFill>
              <w14:srgbClr w14:val="000000">
                <w14:alpha w14:val="100000"/>
              </w14:srgbClr>
            </w14:solidFill>
          </w14:textFill>
        </w:rPr>
        <w:t xml:space="preserve">|  </w:t>
      </w:r>
      <w:r w:rsidR="008D2482" w:rsidRPr="00307E3A">
        <w:rPr>
          <w:rFonts w:asciiTheme="minorHAnsi" w:hAnsiTheme="minorHAnsi"/>
          <w:snapToGrid w:val="0"/>
          <w:color w:val="000000"/>
          <w:spacing w:val="-69"/>
          <w:w w:val="15"/>
          <w:shd w:val="solid" w:color="000000" w:fill="000000"/>
          <w:fitText w:val="-20" w:id="-1233497854"/>
          <w:lang w:val="en-GB"/>
          <w14:textFill>
            <w14:solidFill>
              <w14:srgbClr w14:val="000000">
                <w14:alpha w14:val="100000"/>
              </w14:srgbClr>
            </w14:solidFill>
          </w14:textFill>
        </w:rPr>
        <w:t>|</w:t>
      </w:r>
      <w:r w:rsidR="00AA73B7" w:rsidRPr="00AA73B7">
        <w:rPr>
          <w:rFonts w:asciiTheme="minorHAnsi" w:hAnsiTheme="minorHAnsi"/>
          <w:snapToGrid w:val="0"/>
          <w:lang w:val="en-GB"/>
        </w:rPr>
        <w:t xml:space="preserve"> </w:t>
      </w:r>
      <w:r w:rsidR="00D325AC">
        <w:rPr>
          <w:rFonts w:asciiTheme="minorHAnsi" w:hAnsiTheme="minorHAnsi"/>
          <w:snapToGrid w:val="0"/>
          <w:lang w:val="en-GB"/>
        </w:rPr>
        <w:t xml:space="preserve">) </w:t>
      </w:r>
      <w:r>
        <w:rPr>
          <w:rFonts w:asciiTheme="minorHAnsi" w:hAnsiTheme="minorHAnsi"/>
          <w:snapToGrid w:val="0"/>
          <w:lang w:val="en-GB"/>
        </w:rPr>
        <w:t xml:space="preserve">was </w:t>
      </w:r>
      <w:r w:rsidR="009A7988" w:rsidRPr="009A7988">
        <w:rPr>
          <w:rFonts w:asciiTheme="minorHAnsi" w:hAnsiTheme="minorHAnsi"/>
          <w:snapToGrid w:val="0"/>
        </w:rPr>
        <w:t xml:space="preserve">$55,000 to &lt; $75,000 </w:t>
      </w:r>
      <w:r w:rsidRPr="009A7988">
        <w:rPr>
          <w:rFonts w:asciiTheme="minorHAnsi" w:hAnsiTheme="minorHAnsi"/>
          <w:snapToGrid w:val="0"/>
          <w:lang w:val="en-GB"/>
        </w:rPr>
        <w:t xml:space="preserve">per QALY gained. The PBAC considered that enzalutamide </w:t>
      </w:r>
      <w:r w:rsidR="00CE243F" w:rsidRPr="009A7988">
        <w:rPr>
          <w:rFonts w:asciiTheme="minorHAnsi" w:hAnsiTheme="minorHAnsi"/>
          <w:snapToGrid w:val="0"/>
          <w:lang w:val="en-GB"/>
        </w:rPr>
        <w:t xml:space="preserve">is </w:t>
      </w:r>
      <w:r w:rsidRPr="009A7988">
        <w:rPr>
          <w:rFonts w:asciiTheme="minorHAnsi" w:hAnsiTheme="minorHAnsi"/>
          <w:snapToGrid w:val="0"/>
          <w:lang w:val="en-GB"/>
        </w:rPr>
        <w:t xml:space="preserve">cost-effective if the ICER </w:t>
      </w:r>
      <w:r w:rsidR="00CE243F" w:rsidRPr="009A7988">
        <w:rPr>
          <w:rFonts w:asciiTheme="minorHAnsi" w:hAnsiTheme="minorHAnsi"/>
          <w:snapToGrid w:val="0"/>
          <w:lang w:val="en-GB"/>
        </w:rPr>
        <w:t>i</w:t>
      </w:r>
      <w:r w:rsidRPr="009A7988">
        <w:rPr>
          <w:rFonts w:asciiTheme="minorHAnsi" w:hAnsiTheme="minorHAnsi"/>
          <w:snapToGrid w:val="0"/>
          <w:lang w:val="en-GB"/>
        </w:rPr>
        <w:t>s no more than $45,000 per QALY gained and noted that a further price reduction would be required to achieve this.</w:t>
      </w:r>
      <w:bookmarkEnd w:id="87"/>
    </w:p>
    <w:p w14:paraId="725B16D1" w14:textId="675623BD" w:rsidR="005E104E" w:rsidRDefault="005E104E" w:rsidP="005E104E">
      <w:pPr>
        <w:widowControl w:val="0"/>
        <w:numPr>
          <w:ilvl w:val="1"/>
          <w:numId w:val="1"/>
        </w:numPr>
        <w:spacing w:after="120"/>
        <w:rPr>
          <w:rFonts w:asciiTheme="minorHAnsi" w:hAnsiTheme="minorHAnsi"/>
          <w:snapToGrid w:val="0"/>
          <w:lang w:val="en-GB"/>
        </w:rPr>
      </w:pPr>
      <w:bookmarkStart w:id="88" w:name="_Ref129699775"/>
      <w:r>
        <w:rPr>
          <w:rFonts w:asciiTheme="minorHAnsi" w:hAnsiTheme="minorHAnsi"/>
          <w:snapToGrid w:val="0"/>
          <w:lang w:val="en-GB"/>
        </w:rPr>
        <w:t xml:space="preserve">The PBAC considered for the purpose of Section 101(3B) of the </w:t>
      </w:r>
      <w:r w:rsidRPr="0077076F">
        <w:rPr>
          <w:rFonts w:asciiTheme="minorHAnsi" w:hAnsiTheme="minorHAnsi"/>
          <w:i/>
          <w:iCs/>
          <w:snapToGrid w:val="0"/>
          <w:lang w:val="en-GB"/>
        </w:rPr>
        <w:t>National Health Act 1953</w:t>
      </w:r>
      <w:r>
        <w:rPr>
          <w:rFonts w:asciiTheme="minorHAnsi" w:hAnsiTheme="minorHAnsi"/>
          <w:snapToGrid w:val="0"/>
          <w:lang w:val="en-GB"/>
        </w:rPr>
        <w:t xml:space="preserve">, that enzalutamide was an alternative therapy to apalutamide, and that enzalutamide does not provide a significant improvement in efficacy and/or reduction of toxicity over apalutamide. The PBAC advised that the price of enzalutamide should therefore </w:t>
      </w:r>
      <w:r w:rsidR="005D08F0">
        <w:rPr>
          <w:rFonts w:asciiTheme="minorHAnsi" w:hAnsiTheme="minorHAnsi"/>
          <w:snapToGrid w:val="0"/>
          <w:lang w:val="en-GB"/>
        </w:rPr>
        <w:t>be</w:t>
      </w:r>
      <w:r>
        <w:rPr>
          <w:rFonts w:asciiTheme="minorHAnsi" w:hAnsiTheme="minorHAnsi"/>
          <w:snapToGrid w:val="0"/>
          <w:lang w:val="en-GB"/>
        </w:rPr>
        <w:t xml:space="preserve"> not higher than the price of apalutamide, based on the daily cost at recommended doses (enzalutamide 160 mg daily is equi-effective to apalutamide 240</w:t>
      </w:r>
      <w:r w:rsidR="005D08F0">
        <w:rPr>
          <w:rFonts w:asciiTheme="minorHAnsi" w:hAnsiTheme="minorHAnsi"/>
          <w:snapToGrid w:val="0"/>
          <w:lang w:val="en-GB"/>
        </w:rPr>
        <w:t> </w:t>
      </w:r>
      <w:r>
        <w:rPr>
          <w:rFonts w:asciiTheme="minorHAnsi" w:hAnsiTheme="minorHAnsi"/>
          <w:snapToGrid w:val="0"/>
          <w:lang w:val="en-GB"/>
        </w:rPr>
        <w:t>mg daily</w:t>
      </w:r>
      <w:r w:rsidR="00D325AC">
        <w:rPr>
          <w:rFonts w:asciiTheme="minorHAnsi" w:hAnsiTheme="minorHAnsi"/>
          <w:snapToGrid w:val="0"/>
          <w:lang w:val="en-GB"/>
        </w:rPr>
        <w:t>), should apalutamide be PBS listed for mHSPC.</w:t>
      </w:r>
      <w:bookmarkEnd w:id="88"/>
    </w:p>
    <w:p w14:paraId="56116F75" w14:textId="38459219" w:rsidR="00D325AC" w:rsidRPr="003623C8" w:rsidRDefault="00D325AC" w:rsidP="005E104E">
      <w:pPr>
        <w:widowControl w:val="0"/>
        <w:numPr>
          <w:ilvl w:val="1"/>
          <w:numId w:val="1"/>
        </w:numPr>
        <w:spacing w:after="120"/>
        <w:rPr>
          <w:rFonts w:asciiTheme="minorHAnsi" w:hAnsiTheme="minorHAnsi"/>
          <w:snapToGrid w:val="0"/>
          <w:lang w:val="en-GB"/>
        </w:rPr>
      </w:pPr>
      <w:r w:rsidRPr="003623C8">
        <w:rPr>
          <w:rFonts w:asciiTheme="minorHAnsi" w:hAnsiTheme="minorHAnsi"/>
          <w:snapToGrid w:val="0"/>
          <w:lang w:val="en-GB"/>
        </w:rPr>
        <w:t xml:space="preserve">In terms of the </w:t>
      </w:r>
      <w:r w:rsidR="00E57202" w:rsidRPr="003623C8">
        <w:rPr>
          <w:rFonts w:asciiTheme="minorHAnsi" w:hAnsiTheme="minorHAnsi"/>
          <w:snapToGrid w:val="0"/>
          <w:lang w:val="en-GB"/>
        </w:rPr>
        <w:t xml:space="preserve">utilisation and </w:t>
      </w:r>
      <w:r w:rsidRPr="003623C8">
        <w:rPr>
          <w:rFonts w:asciiTheme="minorHAnsi" w:hAnsiTheme="minorHAnsi"/>
          <w:snapToGrid w:val="0"/>
          <w:lang w:val="en-GB"/>
        </w:rPr>
        <w:t xml:space="preserve">financial </w:t>
      </w:r>
      <w:r w:rsidR="00E57202" w:rsidRPr="003623C8">
        <w:rPr>
          <w:rFonts w:asciiTheme="minorHAnsi" w:hAnsiTheme="minorHAnsi"/>
          <w:snapToGrid w:val="0"/>
          <w:lang w:val="en-GB"/>
        </w:rPr>
        <w:t xml:space="preserve">impact </w:t>
      </w:r>
      <w:r w:rsidRPr="003623C8">
        <w:rPr>
          <w:rFonts w:asciiTheme="minorHAnsi" w:hAnsiTheme="minorHAnsi"/>
          <w:snapToGrid w:val="0"/>
          <w:lang w:val="en-GB"/>
        </w:rPr>
        <w:t xml:space="preserve">estimates, the PBAC </w:t>
      </w:r>
      <w:r w:rsidR="00E57202" w:rsidRPr="003623C8">
        <w:rPr>
          <w:rFonts w:asciiTheme="minorHAnsi" w:hAnsiTheme="minorHAnsi"/>
          <w:snapToGrid w:val="0"/>
          <w:lang w:val="en-GB"/>
        </w:rPr>
        <w:t xml:space="preserve">considered that it was appropriate that these were based on patients with either (i) low volume disease or (ii) high volume disease and were not suitable for docetaxel, as there was a risk that enzalutamide use in patients with high volume disease who were suitable for docetaxel may not be cost-effective and this use, like in the July 2022 submission for apalutamide, would be managed through the RSA. The PBAC </w:t>
      </w:r>
      <w:r w:rsidRPr="003623C8">
        <w:rPr>
          <w:rFonts w:asciiTheme="minorHAnsi" w:hAnsiTheme="minorHAnsi"/>
          <w:snapToGrid w:val="0"/>
          <w:lang w:val="en-GB"/>
        </w:rPr>
        <w:t xml:space="preserve">noted that the PSCR </w:t>
      </w:r>
      <w:r w:rsidR="00D60E3F" w:rsidRPr="003623C8">
        <w:rPr>
          <w:rFonts w:asciiTheme="minorHAnsi" w:hAnsiTheme="minorHAnsi"/>
          <w:snapToGrid w:val="0"/>
          <w:lang w:val="en-GB"/>
        </w:rPr>
        <w:t xml:space="preserve">and pre-PBAC response </w:t>
      </w:r>
      <w:r w:rsidRPr="003623C8">
        <w:rPr>
          <w:rFonts w:asciiTheme="minorHAnsi" w:hAnsiTheme="minorHAnsi"/>
          <w:snapToGrid w:val="0"/>
          <w:lang w:val="en-GB"/>
        </w:rPr>
        <w:t xml:space="preserve">presented revised utilisation estimates which excluded prevalent patients from Year 2, reduced the proportion of </w:t>
      </w:r>
      <w:r w:rsidR="00D60E3F" w:rsidRPr="003623C8">
        <w:rPr>
          <w:rFonts w:asciiTheme="minorHAnsi" w:hAnsiTheme="minorHAnsi"/>
          <w:snapToGrid w:val="0"/>
          <w:lang w:val="en-GB"/>
        </w:rPr>
        <w:t xml:space="preserve">mHSPC </w:t>
      </w:r>
      <w:r w:rsidRPr="003623C8">
        <w:rPr>
          <w:rFonts w:asciiTheme="minorHAnsi" w:hAnsiTheme="minorHAnsi"/>
          <w:snapToGrid w:val="0"/>
          <w:lang w:val="en-GB"/>
        </w:rPr>
        <w:t>patients remaining on enzalutamide</w:t>
      </w:r>
      <w:r w:rsidR="00D60E3F" w:rsidRPr="003623C8">
        <w:rPr>
          <w:rFonts w:asciiTheme="minorHAnsi" w:hAnsiTheme="minorHAnsi"/>
          <w:snapToGrid w:val="0"/>
          <w:lang w:val="en-GB"/>
        </w:rPr>
        <w:t xml:space="preserve"> and reduced the effective price of enzalutamide (see paragraph </w:t>
      </w:r>
      <w:r w:rsidR="00D60E3F" w:rsidRPr="003623C8">
        <w:rPr>
          <w:rFonts w:asciiTheme="minorHAnsi" w:hAnsiTheme="minorHAnsi"/>
          <w:snapToGrid w:val="0"/>
          <w:lang w:val="en-GB"/>
        </w:rPr>
        <w:fldChar w:fldCharType="begin"/>
      </w:r>
      <w:r w:rsidR="00D60E3F" w:rsidRPr="003623C8">
        <w:rPr>
          <w:rFonts w:asciiTheme="minorHAnsi" w:hAnsiTheme="minorHAnsi"/>
          <w:snapToGrid w:val="0"/>
          <w:lang w:val="en-GB"/>
        </w:rPr>
        <w:instrText xml:space="preserve"> REF _Ref129700359 \r \h </w:instrText>
      </w:r>
      <w:r w:rsidR="003623C8">
        <w:rPr>
          <w:rFonts w:asciiTheme="minorHAnsi" w:hAnsiTheme="minorHAnsi"/>
          <w:snapToGrid w:val="0"/>
          <w:lang w:val="en-GB"/>
        </w:rPr>
        <w:instrText xml:space="preserve"> \* MERGEFORMAT </w:instrText>
      </w:r>
      <w:r w:rsidR="00D60E3F" w:rsidRPr="003623C8">
        <w:rPr>
          <w:rFonts w:asciiTheme="minorHAnsi" w:hAnsiTheme="minorHAnsi"/>
          <w:snapToGrid w:val="0"/>
          <w:lang w:val="en-GB"/>
        </w:rPr>
      </w:r>
      <w:r w:rsidR="00D60E3F" w:rsidRPr="003623C8">
        <w:rPr>
          <w:rFonts w:asciiTheme="minorHAnsi" w:hAnsiTheme="minorHAnsi"/>
          <w:snapToGrid w:val="0"/>
          <w:lang w:val="en-GB"/>
        </w:rPr>
        <w:fldChar w:fldCharType="separate"/>
      </w:r>
      <w:r w:rsidR="00307E3A">
        <w:rPr>
          <w:rFonts w:asciiTheme="minorHAnsi" w:hAnsiTheme="minorHAnsi"/>
          <w:snapToGrid w:val="0"/>
          <w:lang w:val="en-GB"/>
        </w:rPr>
        <w:t>6.69</w:t>
      </w:r>
      <w:r w:rsidR="00D60E3F" w:rsidRPr="003623C8">
        <w:rPr>
          <w:rFonts w:asciiTheme="minorHAnsi" w:hAnsiTheme="minorHAnsi"/>
          <w:snapToGrid w:val="0"/>
          <w:lang w:val="en-GB"/>
        </w:rPr>
        <w:fldChar w:fldCharType="end"/>
      </w:r>
      <w:r w:rsidR="00D60E3F" w:rsidRPr="003623C8">
        <w:rPr>
          <w:rFonts w:asciiTheme="minorHAnsi" w:hAnsiTheme="minorHAnsi"/>
          <w:snapToGrid w:val="0"/>
          <w:lang w:val="en-GB"/>
        </w:rPr>
        <w:t xml:space="preserve">). The PBAC noted that some uncertainty remained regarding the mean treatment duration for enzalutamide; however, considered that the use estimated in the revised estimates together with the revised price (see paragraph </w:t>
      </w:r>
      <w:r w:rsidR="00D60E3F" w:rsidRPr="003623C8">
        <w:rPr>
          <w:rFonts w:asciiTheme="minorHAnsi" w:hAnsiTheme="minorHAnsi"/>
          <w:snapToGrid w:val="0"/>
          <w:lang w:val="en-GB"/>
        </w:rPr>
        <w:fldChar w:fldCharType="begin"/>
      </w:r>
      <w:r w:rsidR="00D60E3F" w:rsidRPr="003623C8">
        <w:rPr>
          <w:rFonts w:asciiTheme="minorHAnsi" w:hAnsiTheme="minorHAnsi"/>
          <w:snapToGrid w:val="0"/>
          <w:lang w:val="en-GB"/>
        </w:rPr>
        <w:instrText xml:space="preserve"> REF _Ref129700483 \r \h </w:instrText>
      </w:r>
      <w:r w:rsidR="003623C8">
        <w:rPr>
          <w:rFonts w:asciiTheme="minorHAnsi" w:hAnsiTheme="minorHAnsi"/>
          <w:snapToGrid w:val="0"/>
          <w:lang w:val="en-GB"/>
        </w:rPr>
        <w:instrText xml:space="preserve"> \* MERGEFORMAT </w:instrText>
      </w:r>
      <w:r w:rsidR="00D60E3F" w:rsidRPr="003623C8">
        <w:rPr>
          <w:rFonts w:asciiTheme="minorHAnsi" w:hAnsiTheme="minorHAnsi"/>
          <w:snapToGrid w:val="0"/>
          <w:lang w:val="en-GB"/>
        </w:rPr>
      </w:r>
      <w:r w:rsidR="00D60E3F" w:rsidRPr="003623C8">
        <w:rPr>
          <w:rFonts w:asciiTheme="minorHAnsi" w:hAnsiTheme="minorHAnsi"/>
          <w:snapToGrid w:val="0"/>
          <w:lang w:val="en-GB"/>
        </w:rPr>
        <w:fldChar w:fldCharType="separate"/>
      </w:r>
      <w:r w:rsidR="00307E3A">
        <w:rPr>
          <w:rFonts w:asciiTheme="minorHAnsi" w:hAnsiTheme="minorHAnsi"/>
          <w:snapToGrid w:val="0"/>
          <w:lang w:val="en-GB"/>
        </w:rPr>
        <w:t>7.12</w:t>
      </w:r>
      <w:r w:rsidR="00D60E3F" w:rsidRPr="003623C8">
        <w:rPr>
          <w:rFonts w:asciiTheme="minorHAnsi" w:hAnsiTheme="minorHAnsi"/>
          <w:snapToGrid w:val="0"/>
          <w:lang w:val="en-GB"/>
        </w:rPr>
        <w:fldChar w:fldCharType="end"/>
      </w:r>
      <w:r w:rsidR="00D60E3F" w:rsidRPr="003623C8">
        <w:rPr>
          <w:rFonts w:asciiTheme="minorHAnsi" w:hAnsiTheme="minorHAnsi"/>
          <w:snapToGrid w:val="0"/>
          <w:lang w:val="en-GB"/>
        </w:rPr>
        <w:t>) would provide a reasonable estimate of the likely PBS expenditure.</w:t>
      </w:r>
    </w:p>
    <w:p w14:paraId="19476836" w14:textId="32CEE612" w:rsidR="00D60E3F" w:rsidRDefault="00D60E3F" w:rsidP="005E104E">
      <w:pPr>
        <w:widowControl w:val="0"/>
        <w:numPr>
          <w:ilvl w:val="1"/>
          <w:numId w:val="1"/>
        </w:numPr>
        <w:spacing w:after="120"/>
        <w:rPr>
          <w:rFonts w:asciiTheme="minorHAnsi" w:hAnsiTheme="minorHAnsi"/>
          <w:snapToGrid w:val="0"/>
          <w:lang w:val="en-GB"/>
        </w:rPr>
      </w:pPr>
      <w:r w:rsidRPr="003623C8">
        <w:rPr>
          <w:rFonts w:asciiTheme="minorHAnsi" w:hAnsiTheme="minorHAnsi"/>
          <w:snapToGrid w:val="0"/>
          <w:lang w:val="en-GB"/>
        </w:rPr>
        <w:t>The PBAC considered that an RSA would be required to mitigate the risk</w:t>
      </w:r>
      <w:r w:rsidR="006F7A84" w:rsidRPr="003623C8">
        <w:rPr>
          <w:rFonts w:asciiTheme="minorHAnsi" w:hAnsiTheme="minorHAnsi"/>
          <w:snapToGrid w:val="0"/>
          <w:lang w:val="en-GB"/>
        </w:rPr>
        <w:t>s</w:t>
      </w:r>
      <w:r w:rsidRPr="003623C8">
        <w:rPr>
          <w:rFonts w:asciiTheme="minorHAnsi" w:hAnsiTheme="minorHAnsi"/>
          <w:snapToGrid w:val="0"/>
          <w:lang w:val="en-GB"/>
        </w:rPr>
        <w:t xml:space="preserve"> that</w:t>
      </w:r>
      <w:r w:rsidR="006F7A84" w:rsidRPr="003623C8">
        <w:rPr>
          <w:rFonts w:asciiTheme="minorHAnsi" w:hAnsiTheme="minorHAnsi"/>
          <w:snapToGrid w:val="0"/>
          <w:lang w:val="en-GB"/>
        </w:rPr>
        <w:t xml:space="preserve"> (i)</w:t>
      </w:r>
      <w:r w:rsidRPr="003623C8">
        <w:rPr>
          <w:rFonts w:asciiTheme="minorHAnsi" w:hAnsiTheme="minorHAnsi"/>
          <w:snapToGrid w:val="0"/>
          <w:lang w:val="en-GB"/>
        </w:rPr>
        <w:t xml:space="preserve"> patients would remain on enzalutamide for longer than estimated</w:t>
      </w:r>
      <w:r w:rsidR="006F7A84" w:rsidRPr="003623C8">
        <w:rPr>
          <w:rFonts w:asciiTheme="minorHAnsi" w:hAnsiTheme="minorHAnsi"/>
          <w:snapToGrid w:val="0"/>
          <w:lang w:val="en-GB"/>
        </w:rPr>
        <w:t>, and (ii) enzalutamide use in patients with high volume disease who were suitable for docetaxel treatment may not be cost-effective</w:t>
      </w:r>
      <w:r w:rsidRPr="003623C8">
        <w:rPr>
          <w:rFonts w:asciiTheme="minorHAnsi" w:hAnsiTheme="minorHAnsi"/>
          <w:snapToGrid w:val="0"/>
          <w:lang w:val="en-GB"/>
        </w:rPr>
        <w:t xml:space="preserve">. The PBAC </w:t>
      </w:r>
      <w:r w:rsidR="006F7A84" w:rsidRPr="003623C8">
        <w:rPr>
          <w:rFonts w:asciiTheme="minorHAnsi" w:hAnsiTheme="minorHAnsi"/>
          <w:snapToGrid w:val="0"/>
          <w:lang w:val="en-GB"/>
        </w:rPr>
        <w:t>recalled that for apalutamide in July 2022 it ‘</w:t>
      </w:r>
      <w:r w:rsidRPr="003623C8">
        <w:rPr>
          <w:rFonts w:asciiTheme="minorHAnsi" w:hAnsiTheme="minorHAnsi"/>
          <w:snapToGrid w:val="0"/>
          <w:lang w:val="en-GB"/>
        </w:rPr>
        <w:t>acknowledged that it may</w:t>
      </w:r>
      <w:r>
        <w:rPr>
          <w:rFonts w:asciiTheme="minorHAnsi" w:hAnsiTheme="minorHAnsi"/>
          <w:snapToGrid w:val="0"/>
          <w:lang w:val="en-GB"/>
        </w:rPr>
        <w:t xml:space="preserve"> be reasonable to achieve the required ICER through a combination of the RSA expenditure caps as well as a price reduction; however, the price for </w:t>
      </w:r>
      <w:r w:rsidR="00D610FA">
        <w:rPr>
          <w:rFonts w:asciiTheme="minorHAnsi" w:hAnsiTheme="minorHAnsi"/>
          <w:snapToGrid w:val="0"/>
          <w:lang w:val="en-GB"/>
        </w:rPr>
        <w:t>apalut</w:t>
      </w:r>
      <w:r>
        <w:rPr>
          <w:rFonts w:asciiTheme="minorHAnsi" w:hAnsiTheme="minorHAnsi"/>
          <w:snapToGrid w:val="0"/>
          <w:lang w:val="en-GB"/>
        </w:rPr>
        <w:t>amide should be no higher than that in the m</w:t>
      </w:r>
      <w:r w:rsidR="00D610FA">
        <w:rPr>
          <w:rFonts w:asciiTheme="minorHAnsi" w:hAnsiTheme="minorHAnsi"/>
          <w:snapToGrid w:val="0"/>
          <w:lang w:val="en-GB"/>
        </w:rPr>
        <w:t>0</w:t>
      </w:r>
      <w:r>
        <w:rPr>
          <w:rFonts w:asciiTheme="minorHAnsi" w:hAnsiTheme="minorHAnsi"/>
          <w:snapToGrid w:val="0"/>
          <w:lang w:val="en-GB"/>
        </w:rPr>
        <w:t>CRPC setting</w:t>
      </w:r>
      <w:r w:rsidR="006F7A84">
        <w:rPr>
          <w:rFonts w:asciiTheme="minorHAnsi" w:hAnsiTheme="minorHAnsi"/>
          <w:snapToGrid w:val="0"/>
          <w:lang w:val="en-GB"/>
        </w:rPr>
        <w:t>’ and considered that this would also be appropriate for enzalutamide</w:t>
      </w:r>
      <w:r>
        <w:rPr>
          <w:rFonts w:asciiTheme="minorHAnsi" w:hAnsiTheme="minorHAnsi"/>
          <w:snapToGrid w:val="0"/>
          <w:lang w:val="en-GB"/>
        </w:rPr>
        <w:t>.</w:t>
      </w:r>
      <w:r w:rsidR="009353B2">
        <w:rPr>
          <w:rFonts w:asciiTheme="minorHAnsi" w:hAnsiTheme="minorHAnsi"/>
          <w:snapToGrid w:val="0"/>
          <w:lang w:val="en-GB"/>
        </w:rPr>
        <w:t xml:space="preserve"> The PBAC advised that enzalutamide should join the apalutamide RSA should apalutamide have progressed to PBS listing for mHSPC.</w:t>
      </w:r>
    </w:p>
    <w:p w14:paraId="359ACC79" w14:textId="77777777" w:rsidR="00367836" w:rsidRPr="003A1B1E" w:rsidRDefault="00367836" w:rsidP="00367836">
      <w:pPr>
        <w:widowControl w:val="0"/>
        <w:numPr>
          <w:ilvl w:val="1"/>
          <w:numId w:val="1"/>
        </w:numPr>
        <w:spacing w:after="120"/>
        <w:rPr>
          <w:rFonts w:asciiTheme="minorHAnsi" w:hAnsiTheme="minorHAnsi"/>
          <w:snapToGrid w:val="0"/>
          <w:lang w:val="en-GB"/>
        </w:rPr>
      </w:pPr>
      <w:r w:rsidRPr="003A1B1E">
        <w:rPr>
          <w:rFonts w:asciiTheme="minorHAnsi" w:hAnsiTheme="minorHAnsi" w:cstheme="minorHAnsi"/>
          <w:lang w:val="en-GB"/>
        </w:rPr>
        <w:t xml:space="preserve">The PBAC found that the criteria prescribed by the </w:t>
      </w:r>
      <w:r w:rsidRPr="003A1B1E">
        <w:rPr>
          <w:rFonts w:asciiTheme="minorHAnsi" w:hAnsiTheme="minorHAnsi" w:cstheme="minorHAnsi"/>
          <w:i/>
          <w:lang w:val="en-GB"/>
        </w:rPr>
        <w:t>National Health (Pharmaceuticals and Vaccines – Cost Recovery) Regulations 2022</w:t>
      </w:r>
      <w:r w:rsidRPr="003A1B1E">
        <w:rPr>
          <w:rFonts w:asciiTheme="minorHAnsi" w:hAnsiTheme="minorHAnsi" w:cstheme="minorHAnsi"/>
          <w:lang w:val="en-GB"/>
        </w:rPr>
        <w:t xml:space="preserve"> for Pricing Pathway A were not met. Specifically</w:t>
      </w:r>
      <w:r>
        <w:rPr>
          <w:rFonts w:asciiTheme="minorHAnsi" w:hAnsiTheme="minorHAnsi" w:cstheme="minorHAnsi"/>
          <w:lang w:val="en-GB"/>
        </w:rPr>
        <w:t>,</w:t>
      </w:r>
      <w:r w:rsidRPr="003A1B1E">
        <w:rPr>
          <w:rFonts w:asciiTheme="minorHAnsi" w:hAnsiTheme="minorHAnsi" w:cstheme="minorHAnsi"/>
          <w:lang w:val="en-GB"/>
        </w:rPr>
        <w:t xml:space="preserve"> the PBAC found that in the circumstances of its recommendation for </w:t>
      </w:r>
      <w:r>
        <w:rPr>
          <w:rFonts w:asciiTheme="minorHAnsi" w:hAnsiTheme="minorHAnsi" w:cstheme="minorHAnsi"/>
          <w:lang w:val="en-GB"/>
        </w:rPr>
        <w:t>enzalutamide</w:t>
      </w:r>
      <w:r w:rsidRPr="003A1B1E">
        <w:rPr>
          <w:rFonts w:asciiTheme="minorHAnsi" w:hAnsiTheme="minorHAnsi" w:cstheme="minorHAnsi"/>
          <w:lang w:val="en-GB"/>
        </w:rPr>
        <w:t>:</w:t>
      </w:r>
    </w:p>
    <w:p w14:paraId="0EA30D3C" w14:textId="77777777" w:rsidR="00367836" w:rsidRPr="00763DFB" w:rsidRDefault="00367836" w:rsidP="00367836">
      <w:pPr>
        <w:pStyle w:val="3-BodyText"/>
        <w:numPr>
          <w:ilvl w:val="1"/>
          <w:numId w:val="36"/>
        </w:numPr>
        <w:ind w:left="1077" w:hanging="357"/>
        <w:rPr>
          <w:lang w:val="en-GB"/>
        </w:rPr>
      </w:pPr>
      <w:r w:rsidRPr="00763DFB">
        <w:rPr>
          <w:lang w:val="en-GB"/>
        </w:rPr>
        <w:t xml:space="preserve">The treatment is expected to provide a </w:t>
      </w:r>
      <w:r w:rsidRPr="00AD6690">
        <w:rPr>
          <w:lang w:val="en-GB"/>
        </w:rPr>
        <w:t>moderate clinical benefit for patients with mHSPC compared to ADT alone</w:t>
      </w:r>
      <w:r>
        <w:rPr>
          <w:lang w:val="en-GB"/>
        </w:rPr>
        <w:t>;</w:t>
      </w:r>
      <w:r w:rsidRPr="00763DFB">
        <w:rPr>
          <w:lang w:val="en-GB"/>
        </w:rPr>
        <w:t xml:space="preserve"> </w:t>
      </w:r>
    </w:p>
    <w:p w14:paraId="203F7105" w14:textId="77777777" w:rsidR="00367836" w:rsidRPr="00763DFB" w:rsidRDefault="00367836" w:rsidP="00367836">
      <w:pPr>
        <w:pStyle w:val="3-BodyText"/>
        <w:numPr>
          <w:ilvl w:val="1"/>
          <w:numId w:val="36"/>
        </w:numPr>
        <w:ind w:left="1077" w:hanging="357"/>
        <w:rPr>
          <w:lang w:val="en-GB"/>
        </w:rPr>
      </w:pPr>
      <w:r w:rsidRPr="00763DFB">
        <w:rPr>
          <w:lang w:val="en-GB"/>
        </w:rPr>
        <w:t xml:space="preserve">The treatment is not expected to address a high and urgent unmet clinical need </w:t>
      </w:r>
      <w:r>
        <w:rPr>
          <w:lang w:val="en-GB"/>
        </w:rPr>
        <w:t>as it, and other novel hormonal agents, are available on the PBS for patients with prostate cancer in a later line setting;</w:t>
      </w:r>
    </w:p>
    <w:p w14:paraId="3CDF8576" w14:textId="77777777" w:rsidR="00367836" w:rsidRPr="00763DFB" w:rsidRDefault="00367836" w:rsidP="00367836">
      <w:pPr>
        <w:pStyle w:val="3-BodyText"/>
        <w:numPr>
          <w:ilvl w:val="1"/>
          <w:numId w:val="36"/>
        </w:numPr>
        <w:ind w:left="1077" w:hanging="357"/>
        <w:rPr>
          <w:lang w:val="en-GB"/>
        </w:rPr>
      </w:pPr>
      <w:r w:rsidRPr="00763DFB">
        <w:rPr>
          <w:lang w:val="en-GB"/>
        </w:rPr>
        <w:t>It was not necessary to make a finding in relation to whether it would be in the public interest for the subsequent pricing application to be progressed under Pricing Pathway A because one or more of the preceding tests had failed</w:t>
      </w:r>
      <w:r>
        <w:rPr>
          <w:lang w:val="en-GB"/>
        </w:rPr>
        <w:t>.</w:t>
      </w:r>
    </w:p>
    <w:p w14:paraId="34E9BBBB" w14:textId="3A51819C" w:rsidR="00367836" w:rsidRDefault="00367836" w:rsidP="005E104E">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noted that this submission is not eligible for an Independent Review as it received a positive recommendation.</w:t>
      </w:r>
    </w:p>
    <w:p w14:paraId="1525405A" w14:textId="77777777" w:rsidR="0075485D" w:rsidRPr="00525B39" w:rsidRDefault="0075485D" w:rsidP="0075485D">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12279E9" w14:textId="333291FF" w:rsidR="0075485D" w:rsidRPr="00525B39" w:rsidRDefault="0075485D" w:rsidP="0075485D">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84"/>
    <w:p w14:paraId="53370A8C" w14:textId="542EB479" w:rsidR="0075485D" w:rsidRPr="00F237A4" w:rsidRDefault="0075485D" w:rsidP="0075485D">
      <w:pPr>
        <w:pStyle w:val="2-SectionHeading"/>
        <w:rPr>
          <w:b w:val="0"/>
          <w:iCs/>
          <w:lang w:val="en-GB"/>
        </w:rPr>
      </w:pPr>
      <w:r w:rsidRPr="0075485D">
        <w:t>Recommended</w:t>
      </w:r>
      <w:r w:rsidRPr="00525B39">
        <w:rPr>
          <w:lang w:val="en-GB"/>
        </w:rPr>
        <w:t xml:space="preserve"> listing</w:t>
      </w:r>
    </w:p>
    <w:p w14:paraId="2BC0E6D4" w14:textId="50FDAC05" w:rsidR="00B95305" w:rsidRDefault="00B95305" w:rsidP="00B95305">
      <w:pPr>
        <w:pStyle w:val="3-BodyText"/>
      </w:pPr>
      <w:r>
        <w:t>Add indication as follows:</w:t>
      </w:r>
    </w:p>
    <w:tbl>
      <w:tblPr>
        <w:tblStyle w:val="PlainTable21"/>
        <w:tblW w:w="5035" w:type="pct"/>
        <w:tblInd w:w="-5" w:type="dxa"/>
        <w:tblLayout w:type="fixed"/>
        <w:tblLook w:val="0020" w:firstRow="1" w:lastRow="0" w:firstColumn="0" w:lastColumn="0" w:noHBand="0" w:noVBand="0"/>
      </w:tblPr>
      <w:tblGrid>
        <w:gridCol w:w="988"/>
        <w:gridCol w:w="1706"/>
        <w:gridCol w:w="1558"/>
        <w:gridCol w:w="1135"/>
        <w:gridCol w:w="1139"/>
        <w:gridCol w:w="852"/>
        <w:gridCol w:w="1702"/>
      </w:tblGrid>
      <w:tr w:rsidR="00B95305" w:rsidRPr="00A447D9" w14:paraId="5D662A9B" w14:textId="77777777" w:rsidTr="005B6AAB">
        <w:trPr>
          <w:cnfStyle w:val="100000000000" w:firstRow="1" w:lastRow="0" w:firstColumn="0" w:lastColumn="0" w:oddVBand="0" w:evenVBand="0" w:oddHBand="0"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080" w:type="dxa"/>
            <w:gridSpan w:val="7"/>
            <w:tcBorders>
              <w:top w:val="single" w:sz="4" w:space="0" w:color="auto"/>
              <w:left w:val="single" w:sz="4" w:space="0" w:color="auto"/>
              <w:bottom w:val="single" w:sz="4" w:space="0" w:color="auto"/>
              <w:right w:val="single" w:sz="4" w:space="0" w:color="auto"/>
            </w:tcBorders>
          </w:tcPr>
          <w:p w14:paraId="226410E9" w14:textId="75676E5F" w:rsidR="00B95305" w:rsidRPr="008815B9" w:rsidRDefault="00B95305" w:rsidP="00B90B63">
            <w:pPr>
              <w:ind w:left="-57"/>
              <w:jc w:val="left"/>
              <w:rPr>
                <w:rFonts w:ascii="Arial Narrow" w:eastAsia="Calibri" w:hAnsi="Arial Narrow"/>
                <w:sz w:val="20"/>
                <w:szCs w:val="20"/>
              </w:rPr>
            </w:pPr>
            <w:r w:rsidRPr="008815B9">
              <w:rPr>
                <w:rFonts w:ascii="Arial Narrow" w:eastAsia="Calibri" w:hAnsi="Arial Narrow"/>
                <w:sz w:val="20"/>
                <w:szCs w:val="20"/>
              </w:rPr>
              <w:t xml:space="preserve">Category / Program: GENERAL – General Schedule (Code GE) </w:t>
            </w:r>
          </w:p>
          <w:p w14:paraId="73E96F77" w14:textId="77777777" w:rsidR="00B95305" w:rsidRPr="008815B9" w:rsidRDefault="00B95305" w:rsidP="00B90B63">
            <w:pPr>
              <w:ind w:left="-57"/>
              <w:jc w:val="left"/>
              <w:rPr>
                <w:rFonts w:ascii="Arial Narrow" w:hAnsi="Arial Narrow"/>
                <w:b w:val="0"/>
                <w:sz w:val="20"/>
                <w:szCs w:val="20"/>
              </w:rPr>
            </w:pPr>
          </w:p>
        </w:tc>
      </w:tr>
      <w:tr w:rsidR="00B95305" w:rsidRPr="00A447D9" w14:paraId="47ED24A9" w14:textId="77777777" w:rsidTr="005B6AA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694" w:type="dxa"/>
            <w:gridSpan w:val="2"/>
            <w:tcBorders>
              <w:top w:val="single" w:sz="4" w:space="0" w:color="auto"/>
              <w:left w:val="single" w:sz="4" w:space="0" w:color="auto"/>
              <w:bottom w:val="single" w:sz="4" w:space="0" w:color="auto"/>
              <w:right w:val="single" w:sz="4" w:space="0" w:color="auto"/>
            </w:tcBorders>
          </w:tcPr>
          <w:p w14:paraId="337D583F"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MEDICINAL PRODUCT</w:t>
            </w:r>
          </w:p>
          <w:p w14:paraId="6AAF3DDA" w14:textId="77777777" w:rsidR="00B95305" w:rsidRPr="008815B9" w:rsidRDefault="00B95305" w:rsidP="00B90B63">
            <w:pPr>
              <w:ind w:left="-57"/>
              <w:rPr>
                <w:rFonts w:ascii="Arial Narrow" w:hAnsi="Arial Narrow"/>
                <w:b/>
                <w:sz w:val="20"/>
                <w:szCs w:val="20"/>
              </w:rPr>
            </w:pPr>
            <w:r w:rsidRPr="008815B9">
              <w:rPr>
                <w:rFonts w:ascii="Arial Narrow" w:hAnsi="Arial Narrow"/>
                <w:b/>
                <w:bCs/>
                <w:sz w:val="20"/>
                <w:szCs w:val="20"/>
              </w:rPr>
              <w:t>medicinal product pack</w:t>
            </w:r>
          </w:p>
        </w:tc>
        <w:tc>
          <w:tcPr>
            <w:cnfStyle w:val="000001000000" w:firstRow="0" w:lastRow="0" w:firstColumn="0" w:lastColumn="0" w:oddVBand="0" w:evenVBand="1" w:oddHBand="0" w:evenHBand="0" w:firstRowFirstColumn="0" w:firstRowLastColumn="0" w:lastRowFirstColumn="0" w:lastRowLastColumn="0"/>
            <w:tcW w:w="1558" w:type="dxa"/>
            <w:tcBorders>
              <w:top w:val="single" w:sz="4" w:space="0" w:color="auto"/>
              <w:left w:val="single" w:sz="4" w:space="0" w:color="auto"/>
              <w:bottom w:val="single" w:sz="4" w:space="0" w:color="auto"/>
              <w:right w:val="single" w:sz="4" w:space="0" w:color="auto"/>
            </w:tcBorders>
          </w:tcPr>
          <w:p w14:paraId="5FE4D3A6" w14:textId="77777777" w:rsidR="00B95305" w:rsidRPr="008815B9" w:rsidRDefault="00B95305" w:rsidP="00B90B63">
            <w:pPr>
              <w:pStyle w:val="TableText0"/>
              <w:keepNext w:val="0"/>
              <w:ind w:left="-57"/>
              <w:jc w:val="center"/>
              <w:rPr>
                <w:b/>
                <w:bCs w:val="0"/>
                <w:sz w:val="20"/>
                <w:szCs w:val="20"/>
              </w:rPr>
            </w:pPr>
            <w:r w:rsidRPr="008815B9">
              <w:rPr>
                <w:rFonts w:eastAsia="Calibri"/>
                <w:b/>
                <w:sz w:val="20"/>
                <w:szCs w:val="20"/>
              </w:rPr>
              <w:t>PBS item code</w:t>
            </w:r>
          </w:p>
        </w:tc>
        <w:tc>
          <w:tcPr>
            <w:cnfStyle w:val="000010000000" w:firstRow="0" w:lastRow="0" w:firstColumn="0" w:lastColumn="0" w:oddVBand="1"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68986005" w14:textId="77777777" w:rsidR="00B95305" w:rsidRPr="008815B9" w:rsidRDefault="00B95305" w:rsidP="00B90B63">
            <w:pPr>
              <w:ind w:left="-57"/>
              <w:jc w:val="center"/>
              <w:rPr>
                <w:rFonts w:ascii="Arial Narrow" w:hAnsi="Arial Narrow"/>
                <w:b/>
                <w:sz w:val="20"/>
                <w:szCs w:val="20"/>
              </w:rPr>
            </w:pPr>
            <w:r w:rsidRPr="008815B9">
              <w:rPr>
                <w:rFonts w:ascii="Arial Narrow" w:hAnsi="Arial Narrow"/>
                <w:b/>
                <w:sz w:val="20"/>
                <w:szCs w:val="20"/>
              </w:rPr>
              <w:t>Max. qty packs</w:t>
            </w:r>
          </w:p>
        </w:tc>
        <w:tc>
          <w:tcPr>
            <w:cnfStyle w:val="000001000000" w:firstRow="0" w:lastRow="0" w:firstColumn="0" w:lastColumn="0" w:oddVBand="0" w:evenVBand="1"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tcPr>
          <w:p w14:paraId="38A87C0E" w14:textId="77777777" w:rsidR="00B95305" w:rsidRPr="008815B9" w:rsidRDefault="00B95305" w:rsidP="00B90B63">
            <w:pPr>
              <w:ind w:left="-57"/>
              <w:jc w:val="center"/>
              <w:rPr>
                <w:rFonts w:ascii="Arial Narrow" w:hAnsi="Arial Narrow"/>
                <w:b/>
                <w:sz w:val="20"/>
                <w:szCs w:val="20"/>
              </w:rPr>
            </w:pPr>
            <w:r w:rsidRPr="008815B9">
              <w:rPr>
                <w:rFonts w:ascii="Arial Narrow" w:hAnsi="Arial Narrow"/>
                <w:b/>
                <w:sz w:val="20"/>
                <w:szCs w:val="20"/>
              </w:rPr>
              <w:t>Max. qty units</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left w:val="single" w:sz="4" w:space="0" w:color="auto"/>
              <w:bottom w:val="single" w:sz="4" w:space="0" w:color="auto"/>
              <w:right w:val="single" w:sz="4" w:space="0" w:color="auto"/>
            </w:tcBorders>
          </w:tcPr>
          <w:p w14:paraId="32ABEF91" w14:textId="77777777" w:rsidR="00B95305" w:rsidRPr="008815B9" w:rsidRDefault="00B95305" w:rsidP="00B90B63">
            <w:pPr>
              <w:ind w:left="-57"/>
              <w:jc w:val="center"/>
              <w:rPr>
                <w:rFonts w:ascii="Arial Narrow" w:hAnsi="Arial Narrow"/>
                <w:b/>
                <w:sz w:val="20"/>
                <w:szCs w:val="20"/>
              </w:rPr>
            </w:pPr>
            <w:r w:rsidRPr="008815B9">
              <w:rPr>
                <w:rFonts w:ascii="Arial Narrow" w:hAnsi="Arial Narrow"/>
                <w:b/>
                <w:sz w:val="20"/>
                <w:szCs w:val="20"/>
              </w:rPr>
              <w:t>№. of</w:t>
            </w:r>
          </w:p>
          <w:p w14:paraId="09125649" w14:textId="77777777" w:rsidR="00B95305" w:rsidRPr="008815B9" w:rsidRDefault="00B95305" w:rsidP="00B90B63">
            <w:pPr>
              <w:ind w:left="-57"/>
              <w:jc w:val="center"/>
              <w:rPr>
                <w:rFonts w:ascii="Arial Narrow" w:hAnsi="Arial Narrow"/>
                <w:b/>
                <w:sz w:val="20"/>
                <w:szCs w:val="20"/>
              </w:rPr>
            </w:pPr>
            <w:r w:rsidRPr="008815B9">
              <w:rPr>
                <w:rFonts w:ascii="Arial Narrow" w:hAnsi="Arial Narrow"/>
                <w:b/>
                <w:sz w:val="20"/>
                <w:szCs w:val="20"/>
              </w:rPr>
              <w:t>Rpts</w:t>
            </w:r>
          </w:p>
        </w:tc>
        <w:tc>
          <w:tcPr>
            <w:cnfStyle w:val="000001000000" w:firstRow="0" w:lastRow="0" w:firstColumn="0" w:lastColumn="0" w:oddVBand="0" w:evenVBand="1"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1F84E25F" w14:textId="77777777" w:rsidR="00B95305" w:rsidRPr="008815B9" w:rsidRDefault="00B95305" w:rsidP="00B90B63">
            <w:pPr>
              <w:ind w:left="-57"/>
              <w:jc w:val="left"/>
              <w:rPr>
                <w:rFonts w:ascii="Arial Narrow" w:hAnsi="Arial Narrow"/>
                <w:b/>
                <w:sz w:val="20"/>
                <w:szCs w:val="20"/>
                <w:lang w:val="fr-FR"/>
              </w:rPr>
            </w:pPr>
            <w:r w:rsidRPr="008815B9">
              <w:rPr>
                <w:rFonts w:ascii="Arial Narrow" w:hAnsi="Arial Narrow"/>
                <w:b/>
                <w:sz w:val="20"/>
                <w:szCs w:val="20"/>
              </w:rPr>
              <w:t>Available brands</w:t>
            </w:r>
          </w:p>
        </w:tc>
      </w:tr>
      <w:tr w:rsidR="00B95305" w:rsidRPr="00A447D9" w14:paraId="0DFF6E99" w14:textId="77777777" w:rsidTr="005B6AAB">
        <w:trPr>
          <w:trHeight w:val="20"/>
        </w:trPr>
        <w:tc>
          <w:tcPr>
            <w:cnfStyle w:val="000010000000" w:firstRow="0" w:lastRow="0" w:firstColumn="0" w:lastColumn="0" w:oddVBand="1" w:evenVBand="0" w:oddHBand="0" w:evenHBand="0" w:firstRowFirstColumn="0" w:firstRowLastColumn="0" w:lastRowFirstColumn="0" w:lastRowLastColumn="0"/>
            <w:tcW w:w="9080" w:type="dxa"/>
            <w:gridSpan w:val="7"/>
            <w:tcBorders>
              <w:top w:val="single" w:sz="4" w:space="0" w:color="auto"/>
              <w:left w:val="single" w:sz="4" w:space="0" w:color="auto"/>
              <w:bottom w:val="single" w:sz="4" w:space="0" w:color="auto"/>
              <w:right w:val="single" w:sz="4" w:space="0" w:color="auto"/>
            </w:tcBorders>
          </w:tcPr>
          <w:p w14:paraId="6FA4528A" w14:textId="77777777" w:rsidR="00B95305" w:rsidRPr="008815B9" w:rsidRDefault="00B95305" w:rsidP="00B90B63">
            <w:pPr>
              <w:ind w:left="-57"/>
              <w:jc w:val="left"/>
              <w:rPr>
                <w:rFonts w:ascii="Arial Narrow" w:hAnsi="Arial Narrow"/>
                <w:bCs/>
                <w:sz w:val="20"/>
                <w:szCs w:val="20"/>
              </w:rPr>
            </w:pPr>
            <w:r w:rsidRPr="008815B9">
              <w:rPr>
                <w:rFonts w:ascii="Arial Narrow" w:hAnsi="Arial Narrow"/>
                <w:bCs/>
                <w:sz w:val="20"/>
                <w:szCs w:val="20"/>
              </w:rPr>
              <w:t>ENZALUTAMIDE</w:t>
            </w:r>
          </w:p>
        </w:tc>
      </w:tr>
      <w:tr w:rsidR="00B95305" w:rsidRPr="00A447D9" w14:paraId="28431689" w14:textId="77777777" w:rsidTr="005B6AA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2694" w:type="dxa"/>
            <w:gridSpan w:val="2"/>
            <w:tcBorders>
              <w:top w:val="single" w:sz="4" w:space="0" w:color="auto"/>
              <w:left w:val="single" w:sz="4" w:space="0" w:color="auto"/>
              <w:bottom w:val="single" w:sz="4" w:space="0" w:color="auto"/>
              <w:right w:val="single" w:sz="4" w:space="0" w:color="auto"/>
            </w:tcBorders>
          </w:tcPr>
          <w:p w14:paraId="1B429DCE" w14:textId="77777777" w:rsidR="00B95305" w:rsidRPr="008815B9" w:rsidRDefault="00B95305" w:rsidP="00B90B63">
            <w:pPr>
              <w:pStyle w:val="TableText0"/>
              <w:keepNext w:val="0"/>
              <w:ind w:left="-57"/>
              <w:rPr>
                <w:sz w:val="20"/>
                <w:szCs w:val="20"/>
              </w:rPr>
            </w:pPr>
            <w:r w:rsidRPr="008815B9">
              <w:rPr>
                <w:sz w:val="20"/>
                <w:szCs w:val="20"/>
              </w:rPr>
              <w:t>enzalutamide 40 mg capsule, 112</w:t>
            </w:r>
          </w:p>
        </w:tc>
        <w:tc>
          <w:tcPr>
            <w:cnfStyle w:val="000001000000" w:firstRow="0" w:lastRow="0" w:firstColumn="0" w:lastColumn="0" w:oddVBand="0" w:evenVBand="1" w:oddHBand="0" w:evenHBand="0" w:firstRowFirstColumn="0" w:firstRowLastColumn="0" w:lastRowFirstColumn="0" w:lastRowLastColumn="0"/>
            <w:tcW w:w="1558" w:type="dxa"/>
            <w:tcBorders>
              <w:top w:val="single" w:sz="4" w:space="0" w:color="auto"/>
              <w:left w:val="single" w:sz="4" w:space="0" w:color="auto"/>
              <w:bottom w:val="single" w:sz="4" w:space="0" w:color="auto"/>
              <w:right w:val="single" w:sz="4" w:space="0" w:color="auto"/>
            </w:tcBorders>
          </w:tcPr>
          <w:p w14:paraId="65ACA07B" w14:textId="77777777" w:rsidR="00B95305" w:rsidRPr="008815B9" w:rsidRDefault="00B95305" w:rsidP="00B90B63">
            <w:pPr>
              <w:pStyle w:val="TableText0"/>
              <w:keepNext w:val="0"/>
              <w:ind w:left="-57"/>
              <w:jc w:val="center"/>
              <w:rPr>
                <w:sz w:val="20"/>
                <w:szCs w:val="20"/>
              </w:rPr>
            </w:pPr>
            <w:r w:rsidRPr="008815B9">
              <w:rPr>
                <w:sz w:val="20"/>
                <w:szCs w:val="20"/>
              </w:rPr>
              <w:t xml:space="preserve">NEW </w:t>
            </w:r>
          </w:p>
          <w:p w14:paraId="42AF1924" w14:textId="70244E87" w:rsidR="00B95305" w:rsidRPr="008815B9" w:rsidRDefault="00B95305" w:rsidP="00B90B63">
            <w:pPr>
              <w:pStyle w:val="TableText0"/>
              <w:keepNext w:val="0"/>
              <w:ind w:left="-57"/>
              <w:jc w:val="center"/>
              <w:rPr>
                <w:sz w:val="20"/>
                <w:szCs w:val="20"/>
                <w:vertAlign w:val="subscript"/>
              </w:rPr>
            </w:pPr>
            <w:r w:rsidRPr="008815B9">
              <w:rPr>
                <w:sz w:val="20"/>
                <w:szCs w:val="20"/>
                <w:vertAlign w:val="subscript"/>
              </w:rPr>
              <w:t>MP</w:t>
            </w:r>
            <w:r w:rsidR="008815B9">
              <w:rPr>
                <w:sz w:val="20"/>
                <w:szCs w:val="20"/>
                <w:vertAlign w:val="subscript"/>
              </w:rPr>
              <w:t xml:space="preserve"> </w:t>
            </w:r>
            <w:r w:rsidRPr="008815B9">
              <w:rPr>
                <w:i/>
                <w:iCs/>
                <w:sz w:val="20"/>
                <w:szCs w:val="20"/>
                <w:vertAlign w:val="subscript"/>
              </w:rPr>
              <w:t>(do not add to 13118K)</w:t>
            </w:r>
          </w:p>
        </w:tc>
        <w:tc>
          <w:tcPr>
            <w:cnfStyle w:val="000010000000" w:firstRow="0" w:lastRow="0" w:firstColumn="0" w:lastColumn="0" w:oddVBand="1" w:evenVBand="0" w:oddHBand="0" w:evenHBand="0" w:firstRowFirstColumn="0" w:firstRowLastColumn="0" w:lastRowFirstColumn="0" w:lastRowLastColumn="0"/>
            <w:tcW w:w="1135" w:type="dxa"/>
            <w:tcBorders>
              <w:top w:val="single" w:sz="4" w:space="0" w:color="auto"/>
              <w:left w:val="single" w:sz="4" w:space="0" w:color="auto"/>
              <w:bottom w:val="single" w:sz="4" w:space="0" w:color="auto"/>
              <w:right w:val="single" w:sz="4" w:space="0" w:color="auto"/>
            </w:tcBorders>
          </w:tcPr>
          <w:p w14:paraId="52646227" w14:textId="77777777" w:rsidR="00B95305" w:rsidRPr="008815B9" w:rsidRDefault="00B95305" w:rsidP="00B90B63">
            <w:pPr>
              <w:pStyle w:val="TableText0"/>
              <w:keepNext w:val="0"/>
              <w:ind w:left="-57"/>
              <w:jc w:val="center"/>
              <w:rPr>
                <w:sz w:val="20"/>
                <w:szCs w:val="20"/>
              </w:rPr>
            </w:pPr>
            <w:r w:rsidRPr="008815B9">
              <w:rPr>
                <w:sz w:val="20"/>
                <w:szCs w:val="20"/>
              </w:rPr>
              <w:t>1</w:t>
            </w:r>
          </w:p>
        </w:tc>
        <w:tc>
          <w:tcPr>
            <w:cnfStyle w:val="000001000000" w:firstRow="0" w:lastRow="0" w:firstColumn="0" w:lastColumn="0" w:oddVBand="0" w:evenVBand="1"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tcPr>
          <w:p w14:paraId="70165778" w14:textId="77777777" w:rsidR="00B95305" w:rsidRPr="008815B9" w:rsidRDefault="00B95305" w:rsidP="00B90B63">
            <w:pPr>
              <w:pStyle w:val="TableText0"/>
              <w:keepNext w:val="0"/>
              <w:ind w:left="-57"/>
              <w:jc w:val="center"/>
              <w:rPr>
                <w:sz w:val="20"/>
                <w:szCs w:val="20"/>
              </w:rPr>
            </w:pPr>
            <w:r w:rsidRPr="008815B9">
              <w:rPr>
                <w:sz w:val="20"/>
                <w:szCs w:val="20"/>
              </w:rPr>
              <w:t>112</w:t>
            </w:r>
          </w:p>
        </w:tc>
        <w:tc>
          <w:tcPr>
            <w:cnfStyle w:val="000010000000" w:firstRow="0" w:lastRow="0" w:firstColumn="0" w:lastColumn="0" w:oddVBand="1" w:evenVBand="0" w:oddHBand="0" w:evenHBand="0" w:firstRowFirstColumn="0" w:firstRowLastColumn="0" w:lastRowFirstColumn="0" w:lastRowLastColumn="0"/>
            <w:tcW w:w="852" w:type="dxa"/>
            <w:tcBorders>
              <w:top w:val="single" w:sz="4" w:space="0" w:color="auto"/>
              <w:left w:val="single" w:sz="4" w:space="0" w:color="auto"/>
              <w:bottom w:val="single" w:sz="4" w:space="0" w:color="auto"/>
              <w:right w:val="single" w:sz="4" w:space="0" w:color="auto"/>
            </w:tcBorders>
          </w:tcPr>
          <w:p w14:paraId="2426869D" w14:textId="77777777" w:rsidR="00B95305" w:rsidRPr="008815B9" w:rsidRDefault="00B95305" w:rsidP="00B90B63">
            <w:pPr>
              <w:pStyle w:val="TableText0"/>
              <w:keepNext w:val="0"/>
              <w:ind w:left="-57"/>
              <w:jc w:val="center"/>
              <w:rPr>
                <w:sz w:val="20"/>
                <w:szCs w:val="20"/>
              </w:rPr>
            </w:pPr>
            <w:r w:rsidRPr="008815B9">
              <w:rPr>
                <w:sz w:val="20"/>
                <w:szCs w:val="20"/>
              </w:rPr>
              <w:t>5</w:t>
            </w:r>
          </w:p>
        </w:tc>
        <w:tc>
          <w:tcPr>
            <w:cnfStyle w:val="000001000000" w:firstRow="0" w:lastRow="0" w:firstColumn="0" w:lastColumn="0" w:oddVBand="0" w:evenVBand="1" w:oddHBand="0" w:evenHBand="0" w:firstRowFirstColumn="0" w:firstRowLastColumn="0" w:lastRowFirstColumn="0" w:lastRowLastColumn="0"/>
            <w:tcW w:w="1702" w:type="dxa"/>
            <w:tcBorders>
              <w:top w:val="single" w:sz="4" w:space="0" w:color="auto"/>
              <w:left w:val="single" w:sz="4" w:space="0" w:color="auto"/>
              <w:bottom w:val="single" w:sz="4" w:space="0" w:color="auto"/>
              <w:right w:val="single" w:sz="4" w:space="0" w:color="auto"/>
            </w:tcBorders>
          </w:tcPr>
          <w:p w14:paraId="7506FDCA" w14:textId="77777777" w:rsidR="00B95305" w:rsidRPr="008815B9" w:rsidRDefault="00B95305" w:rsidP="00B90B63">
            <w:pPr>
              <w:pStyle w:val="TableText0"/>
              <w:keepNext w:val="0"/>
              <w:ind w:left="-57"/>
              <w:rPr>
                <w:sz w:val="20"/>
                <w:szCs w:val="20"/>
              </w:rPr>
            </w:pPr>
            <w:r w:rsidRPr="008815B9">
              <w:rPr>
                <w:sz w:val="20"/>
                <w:szCs w:val="20"/>
              </w:rPr>
              <w:t>Xtandi</w:t>
            </w:r>
          </w:p>
        </w:tc>
      </w:tr>
      <w:tr w:rsidR="00B95305" w:rsidRPr="00A447D9" w14:paraId="759DD77C" w14:textId="77777777" w:rsidTr="005B6AAB">
        <w:trPr>
          <w:trHeight w:val="20"/>
        </w:trPr>
        <w:tc>
          <w:tcPr>
            <w:cnfStyle w:val="000010000000" w:firstRow="0" w:lastRow="0" w:firstColumn="0" w:lastColumn="0" w:oddVBand="1" w:evenVBand="0" w:oddHBand="0" w:evenHBand="0" w:firstRowFirstColumn="0" w:firstRowLastColumn="0" w:lastRowFirstColumn="0" w:lastRowLastColumn="0"/>
            <w:tcW w:w="9080" w:type="dxa"/>
            <w:gridSpan w:val="7"/>
            <w:tcBorders>
              <w:top w:val="single" w:sz="4" w:space="0" w:color="auto"/>
              <w:left w:val="single" w:sz="4" w:space="0" w:color="auto"/>
              <w:bottom w:val="single" w:sz="4" w:space="0" w:color="auto"/>
              <w:right w:val="single" w:sz="4" w:space="0" w:color="auto"/>
            </w:tcBorders>
          </w:tcPr>
          <w:p w14:paraId="30C44BD4" w14:textId="77777777" w:rsidR="00B95305" w:rsidRPr="008815B9" w:rsidRDefault="00B95305" w:rsidP="00B90B63">
            <w:pPr>
              <w:jc w:val="right"/>
              <w:rPr>
                <w:rFonts w:ascii="Arial Narrow" w:hAnsi="Arial Narrow"/>
                <w:sz w:val="20"/>
                <w:szCs w:val="20"/>
              </w:rPr>
            </w:pPr>
            <w:r w:rsidRPr="008815B9">
              <w:rPr>
                <w:rFonts w:ascii="Arial Narrow" w:hAnsi="Arial Narrow"/>
                <w:sz w:val="20"/>
                <w:szCs w:val="20"/>
              </w:rPr>
              <w:t>Safety Net Rule Penalty Applies: Yes</w:t>
            </w:r>
          </w:p>
        </w:tc>
      </w:tr>
      <w:tr w:rsidR="00B95305" w:rsidRPr="00A447D9" w14:paraId="0EA145FC"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80" w:type="dxa"/>
            <w:gridSpan w:val="7"/>
            <w:tcBorders>
              <w:top w:val="single" w:sz="4" w:space="0" w:color="auto"/>
              <w:left w:val="single" w:sz="4" w:space="0" w:color="auto"/>
              <w:bottom w:val="single" w:sz="4" w:space="0" w:color="auto"/>
              <w:right w:val="single" w:sz="4" w:space="0" w:color="auto"/>
            </w:tcBorders>
          </w:tcPr>
          <w:p w14:paraId="7EC2E782" w14:textId="77777777" w:rsidR="00B95305" w:rsidRPr="008815B9" w:rsidRDefault="00B95305" w:rsidP="00B90B63">
            <w:pPr>
              <w:rPr>
                <w:rFonts w:ascii="Arial Narrow" w:eastAsia="Calibri" w:hAnsi="Arial Narrow"/>
                <w:bCs/>
                <w:i/>
                <w:iCs/>
                <w:sz w:val="20"/>
                <w:szCs w:val="20"/>
              </w:rPr>
            </w:pPr>
            <w:r w:rsidRPr="008815B9">
              <w:rPr>
                <w:rFonts w:ascii="Arial Narrow" w:eastAsia="Calibri" w:hAnsi="Arial Narrow"/>
                <w:b/>
                <w:sz w:val="20"/>
                <w:szCs w:val="20"/>
              </w:rPr>
              <w:t xml:space="preserve">Restriction Summary [New 1] / Treatment of Concept: [New 1.1] : Authority Required </w:t>
            </w:r>
          </w:p>
          <w:p w14:paraId="16387305" w14:textId="77777777" w:rsidR="00B95305" w:rsidRPr="008815B9" w:rsidRDefault="00B95305" w:rsidP="00B90B63">
            <w:pPr>
              <w:rPr>
                <w:rFonts w:ascii="Arial Narrow" w:hAnsi="Arial Narrow"/>
                <w:b/>
                <w:bCs/>
                <w:sz w:val="20"/>
                <w:szCs w:val="20"/>
              </w:rPr>
            </w:pPr>
          </w:p>
        </w:tc>
      </w:tr>
      <w:tr w:rsidR="004F5C0A" w:rsidRPr="00A447D9" w14:paraId="2C9D2DDC" w14:textId="77777777" w:rsidTr="005B6AAB">
        <w:tc>
          <w:tcPr>
            <w:cnfStyle w:val="000010000000" w:firstRow="0" w:lastRow="0" w:firstColumn="0" w:lastColumn="0" w:oddVBand="1" w:evenVBand="0" w:oddHBand="0" w:evenHBand="0" w:firstRowFirstColumn="0" w:firstRowLastColumn="0" w:lastRowFirstColumn="0" w:lastRowLastColumn="0"/>
            <w:tcW w:w="988" w:type="dxa"/>
            <w:vMerge w:val="restart"/>
            <w:tcBorders>
              <w:top w:val="single" w:sz="4" w:space="0" w:color="auto"/>
              <w:left w:val="single" w:sz="4" w:space="0" w:color="auto"/>
              <w:bottom w:val="single" w:sz="4" w:space="0" w:color="auto"/>
              <w:right w:val="single" w:sz="4" w:space="0" w:color="auto"/>
            </w:tcBorders>
          </w:tcPr>
          <w:p w14:paraId="127EFAF8" w14:textId="049ABB0E" w:rsidR="004F5C0A" w:rsidRPr="008815B9" w:rsidRDefault="004F5C0A"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2C6EAADA" w14:textId="77777777" w:rsidR="004F5C0A" w:rsidRPr="008815B9" w:rsidRDefault="004F5C0A" w:rsidP="00B90B63">
            <w:pPr>
              <w:ind w:left="-57"/>
              <w:rPr>
                <w:rFonts w:ascii="Arial Narrow" w:hAnsi="Arial Narrow"/>
                <w:sz w:val="20"/>
                <w:szCs w:val="20"/>
              </w:rPr>
            </w:pPr>
            <w:r w:rsidRPr="008815B9">
              <w:rPr>
                <w:rFonts w:ascii="Arial Narrow" w:hAnsi="Arial Narrow"/>
                <w:b/>
                <w:bCs/>
                <w:sz w:val="20"/>
                <w:szCs w:val="20"/>
              </w:rPr>
              <w:t xml:space="preserve">Category / Program: </w:t>
            </w:r>
            <w:r w:rsidRPr="008815B9">
              <w:rPr>
                <w:rFonts w:ascii="Arial Narrow" w:hAnsi="Arial Narrow"/>
                <w:sz w:val="20"/>
                <w:szCs w:val="20"/>
              </w:rPr>
              <w:t>GENERAL – General Schedule (Code GE)</w:t>
            </w:r>
          </w:p>
        </w:tc>
      </w:tr>
      <w:tr w:rsidR="004F5C0A" w:rsidRPr="00A447D9" w14:paraId="1C890657"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auto"/>
              <w:left w:val="single" w:sz="4" w:space="0" w:color="auto"/>
              <w:bottom w:val="single" w:sz="4" w:space="0" w:color="auto"/>
              <w:right w:val="single" w:sz="4" w:space="0" w:color="auto"/>
            </w:tcBorders>
          </w:tcPr>
          <w:p w14:paraId="00176D05" w14:textId="77777777" w:rsidR="004F5C0A" w:rsidRPr="008815B9" w:rsidRDefault="004F5C0A"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1DBDFC69" w14:textId="68B0B647" w:rsidR="004F5C0A" w:rsidRPr="008815B9" w:rsidRDefault="004F5C0A" w:rsidP="00B90B63">
            <w:pPr>
              <w:ind w:left="-57"/>
              <w:rPr>
                <w:rFonts w:ascii="Arial Narrow" w:hAnsi="Arial Narrow"/>
                <w:b/>
                <w:bCs/>
                <w:sz w:val="20"/>
                <w:szCs w:val="20"/>
              </w:rPr>
            </w:pPr>
            <w:r w:rsidRPr="008815B9">
              <w:rPr>
                <w:rFonts w:ascii="Arial Narrow" w:hAnsi="Arial Narrow"/>
                <w:b/>
                <w:bCs/>
                <w:sz w:val="20"/>
                <w:szCs w:val="20"/>
              </w:rPr>
              <w:t xml:space="preserve">Prescriber Type: </w:t>
            </w:r>
            <w:r w:rsidRPr="008815B9">
              <w:rPr>
                <w:rFonts w:ascii="Arial Narrow" w:hAnsi="Arial Narrow"/>
                <w:sz w:val="20"/>
                <w:szCs w:val="20"/>
              </w:rPr>
              <w:fldChar w:fldCharType="begin">
                <w:ffData>
                  <w:name w:val=""/>
                  <w:enabled/>
                  <w:calcOnExit w:val="0"/>
                  <w:checkBox>
                    <w:sizeAuto/>
                    <w:default w:val="1"/>
                  </w:checkBox>
                </w:ffData>
              </w:fldChar>
            </w:r>
            <w:r w:rsidRPr="008815B9">
              <w:rPr>
                <w:rFonts w:ascii="Arial Narrow" w:hAnsi="Arial Narrow"/>
                <w:sz w:val="20"/>
                <w:szCs w:val="20"/>
              </w:rPr>
              <w:instrText xml:space="preserve"> FORMCHECKBOX </w:instrText>
            </w:r>
            <w:r w:rsidR="00307E3A">
              <w:rPr>
                <w:rFonts w:ascii="Arial Narrow" w:hAnsi="Arial Narrow"/>
                <w:sz w:val="20"/>
                <w:szCs w:val="20"/>
              </w:rPr>
            </w:r>
            <w:r w:rsidR="00307E3A">
              <w:rPr>
                <w:rFonts w:ascii="Arial Narrow" w:hAnsi="Arial Narrow"/>
                <w:sz w:val="20"/>
                <w:szCs w:val="20"/>
              </w:rPr>
              <w:fldChar w:fldCharType="separate"/>
            </w:r>
            <w:r w:rsidRPr="008815B9">
              <w:rPr>
                <w:rFonts w:ascii="Arial Narrow" w:hAnsi="Arial Narrow"/>
                <w:sz w:val="20"/>
                <w:szCs w:val="20"/>
              </w:rPr>
              <w:fldChar w:fldCharType="end"/>
            </w:r>
            <w:r w:rsidRPr="008815B9">
              <w:rPr>
                <w:rFonts w:ascii="Arial Narrow" w:hAnsi="Arial Narrow"/>
                <w:sz w:val="20"/>
                <w:szCs w:val="20"/>
              </w:rPr>
              <w:t xml:space="preserve"> Medical Practitioners</w:t>
            </w:r>
          </w:p>
        </w:tc>
      </w:tr>
      <w:tr w:rsidR="004F5C0A" w:rsidRPr="00A447D9" w14:paraId="360783C6" w14:textId="77777777" w:rsidTr="005B6AAB">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auto"/>
              <w:left w:val="single" w:sz="4" w:space="0" w:color="auto"/>
              <w:bottom w:val="single" w:sz="4" w:space="0" w:color="auto"/>
              <w:right w:val="single" w:sz="4" w:space="0" w:color="auto"/>
            </w:tcBorders>
          </w:tcPr>
          <w:p w14:paraId="390062A6" w14:textId="77777777" w:rsidR="004F5C0A" w:rsidRPr="008815B9" w:rsidRDefault="004F5C0A"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5ED54010" w14:textId="391CD140" w:rsidR="004F5C0A" w:rsidRPr="008815B9" w:rsidRDefault="004F5C0A" w:rsidP="00B90B63">
            <w:pPr>
              <w:ind w:left="-57"/>
              <w:rPr>
                <w:rFonts w:ascii="Arial Narrow" w:hAnsi="Arial Narrow"/>
                <w:b/>
                <w:bCs/>
                <w:sz w:val="20"/>
                <w:szCs w:val="20"/>
              </w:rPr>
            </w:pPr>
            <w:r w:rsidRPr="008815B9">
              <w:rPr>
                <w:rFonts w:ascii="Arial Narrow" w:hAnsi="Arial Narrow"/>
                <w:b/>
                <w:sz w:val="20"/>
                <w:szCs w:val="20"/>
              </w:rPr>
              <w:t xml:space="preserve">Restriction type: </w:t>
            </w:r>
            <w:r w:rsidRPr="008815B9">
              <w:rPr>
                <w:rFonts w:ascii="Arial Narrow" w:eastAsia="Calibri" w:hAnsi="Arial Narrow"/>
                <w:sz w:val="20"/>
                <w:szCs w:val="20"/>
              </w:rPr>
              <w:fldChar w:fldCharType="begin">
                <w:ffData>
                  <w:name w:val=""/>
                  <w:enabled/>
                  <w:calcOnExit w:val="0"/>
                  <w:checkBox>
                    <w:sizeAuto/>
                    <w:default w:val="1"/>
                  </w:checkBox>
                </w:ffData>
              </w:fldChar>
            </w:r>
            <w:r w:rsidRPr="008815B9">
              <w:rPr>
                <w:rFonts w:ascii="Arial Narrow" w:eastAsia="Calibri" w:hAnsi="Arial Narrow"/>
                <w:sz w:val="20"/>
                <w:szCs w:val="20"/>
              </w:rPr>
              <w:instrText xml:space="preserve"> FORMCHECKBOX </w:instrText>
            </w:r>
            <w:r w:rsidR="00307E3A">
              <w:rPr>
                <w:rFonts w:ascii="Arial Narrow" w:eastAsia="Calibri" w:hAnsi="Arial Narrow"/>
                <w:sz w:val="20"/>
                <w:szCs w:val="20"/>
              </w:rPr>
            </w:r>
            <w:r w:rsidR="00307E3A">
              <w:rPr>
                <w:rFonts w:ascii="Arial Narrow" w:eastAsia="Calibri" w:hAnsi="Arial Narrow"/>
                <w:sz w:val="20"/>
                <w:szCs w:val="20"/>
              </w:rPr>
              <w:fldChar w:fldCharType="separate"/>
            </w:r>
            <w:r w:rsidRPr="008815B9">
              <w:rPr>
                <w:rFonts w:ascii="Arial Narrow" w:eastAsia="Calibri" w:hAnsi="Arial Narrow"/>
                <w:sz w:val="20"/>
                <w:szCs w:val="20"/>
              </w:rPr>
              <w:fldChar w:fldCharType="end"/>
            </w:r>
            <w:r w:rsidRPr="008815B9">
              <w:rPr>
                <w:rFonts w:ascii="Arial Narrow" w:eastAsia="Calibri" w:hAnsi="Arial Narrow"/>
                <w:sz w:val="20"/>
                <w:szCs w:val="20"/>
              </w:rPr>
              <w:t xml:space="preserve"> Authority Required (telephone/online PBS Authorities system)</w:t>
            </w:r>
          </w:p>
        </w:tc>
      </w:tr>
      <w:tr w:rsidR="00B95305" w:rsidRPr="00A447D9" w14:paraId="272FD6B3"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vMerge w:val="restart"/>
            <w:tcBorders>
              <w:top w:val="single" w:sz="4" w:space="0" w:color="auto"/>
              <w:left w:val="single" w:sz="4" w:space="0" w:color="auto"/>
              <w:bottom w:val="single" w:sz="4" w:space="0" w:color="auto"/>
              <w:right w:val="single" w:sz="4" w:space="0" w:color="auto"/>
            </w:tcBorders>
          </w:tcPr>
          <w:p w14:paraId="5C068CBE"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25237B5"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Episodicity: </w:t>
            </w:r>
            <w:r w:rsidRPr="008815B9">
              <w:rPr>
                <w:rFonts w:ascii="Arial Narrow" w:hAnsi="Arial Narrow"/>
                <w:sz w:val="20"/>
                <w:szCs w:val="20"/>
              </w:rPr>
              <w:t>[blank]</w:t>
            </w:r>
          </w:p>
        </w:tc>
      </w:tr>
      <w:tr w:rsidR="00B95305" w:rsidRPr="00A447D9" w14:paraId="29FD3A0A" w14:textId="77777777" w:rsidTr="005B6AAB">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auto"/>
              <w:left w:val="single" w:sz="4" w:space="0" w:color="auto"/>
              <w:bottom w:val="single" w:sz="4" w:space="0" w:color="auto"/>
              <w:right w:val="single" w:sz="4" w:space="0" w:color="auto"/>
            </w:tcBorders>
          </w:tcPr>
          <w:p w14:paraId="714C507E"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17B8DCD9" w14:textId="465D179B"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Severity: </w:t>
            </w:r>
            <w:r w:rsidRPr="008815B9">
              <w:rPr>
                <w:rFonts w:ascii="Arial Narrow" w:hAnsi="Arial Narrow"/>
                <w:sz w:val="20"/>
                <w:szCs w:val="20"/>
              </w:rPr>
              <w:t>Metastatic, castration sensitive</w:t>
            </w:r>
          </w:p>
        </w:tc>
      </w:tr>
      <w:tr w:rsidR="00B95305" w:rsidRPr="00A447D9" w14:paraId="4A0C8405"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auto"/>
              <w:left w:val="single" w:sz="4" w:space="0" w:color="auto"/>
              <w:bottom w:val="single" w:sz="4" w:space="0" w:color="auto"/>
              <w:right w:val="single" w:sz="4" w:space="0" w:color="auto"/>
            </w:tcBorders>
          </w:tcPr>
          <w:p w14:paraId="72A856DD"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3F195632" w14:textId="77777777" w:rsidR="00B95305" w:rsidRPr="008815B9" w:rsidRDefault="00B95305" w:rsidP="00B90B63">
            <w:pPr>
              <w:ind w:left="-57"/>
              <w:rPr>
                <w:rFonts w:ascii="Arial Narrow" w:hAnsi="Arial Narrow"/>
                <w:sz w:val="20"/>
                <w:szCs w:val="20"/>
              </w:rPr>
            </w:pPr>
            <w:r w:rsidRPr="008815B9">
              <w:rPr>
                <w:rFonts w:ascii="Arial Narrow" w:hAnsi="Arial Narrow"/>
                <w:b/>
                <w:bCs/>
                <w:sz w:val="20"/>
                <w:szCs w:val="20"/>
              </w:rPr>
              <w:t xml:space="preserve">Condition: </w:t>
            </w:r>
            <w:r w:rsidRPr="008815B9">
              <w:rPr>
                <w:rFonts w:ascii="Arial Narrow" w:hAnsi="Arial Narrow"/>
                <w:sz w:val="20"/>
                <w:szCs w:val="20"/>
              </w:rPr>
              <w:t>carcinoma of the prostate</w:t>
            </w:r>
          </w:p>
        </w:tc>
      </w:tr>
      <w:tr w:rsidR="00B95305" w:rsidRPr="00A447D9" w14:paraId="34E4C0F5"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5D319512" w14:textId="3BE57BF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hideMark/>
          </w:tcPr>
          <w:p w14:paraId="5230CAE6" w14:textId="6E767A99" w:rsidR="00B95305" w:rsidRPr="008815B9" w:rsidRDefault="00B95305" w:rsidP="00B90B63">
            <w:pPr>
              <w:ind w:left="-57"/>
              <w:rPr>
                <w:rFonts w:ascii="Arial Narrow" w:hAnsi="Arial Narrow"/>
                <w:sz w:val="20"/>
                <w:szCs w:val="20"/>
              </w:rPr>
            </w:pPr>
            <w:r w:rsidRPr="008815B9">
              <w:rPr>
                <w:rFonts w:ascii="Arial Narrow" w:hAnsi="Arial Narrow"/>
                <w:b/>
                <w:bCs/>
                <w:sz w:val="20"/>
                <w:szCs w:val="20"/>
              </w:rPr>
              <w:t>Indication:</w:t>
            </w:r>
            <w:r w:rsidRPr="008815B9">
              <w:rPr>
                <w:rFonts w:ascii="Arial Narrow" w:hAnsi="Arial Narrow"/>
                <w:sz w:val="20"/>
                <w:szCs w:val="20"/>
              </w:rPr>
              <w:t xml:space="preserve"> Metastatic, castration sensitive carcinoma of the prostate</w:t>
            </w:r>
          </w:p>
        </w:tc>
      </w:tr>
      <w:tr w:rsidR="00B95305" w:rsidRPr="00A447D9" w14:paraId="77FF5945"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46CB43F5"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7EFAD662" w14:textId="77777777" w:rsidR="00B95305" w:rsidRPr="008815B9" w:rsidRDefault="00B95305" w:rsidP="00B90B63">
            <w:pPr>
              <w:ind w:left="-57"/>
              <w:rPr>
                <w:rFonts w:ascii="Arial Narrow" w:hAnsi="Arial Narrow"/>
                <w:b/>
                <w:bCs/>
                <w:sz w:val="20"/>
                <w:szCs w:val="20"/>
              </w:rPr>
            </w:pPr>
          </w:p>
        </w:tc>
      </w:tr>
      <w:tr w:rsidR="00B95305" w:rsidRPr="00A447D9" w14:paraId="4B58C2D4"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1A10AD05" w14:textId="6DD1945C"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CCA6386"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Clinical criteria:</w:t>
            </w:r>
          </w:p>
        </w:tc>
      </w:tr>
      <w:tr w:rsidR="00B95305" w:rsidRPr="00A447D9" w14:paraId="33D39151"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27370CDE" w14:textId="1C358143"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5F56FED" w14:textId="77777777" w:rsidR="00B95305" w:rsidRPr="008815B9" w:rsidRDefault="00B95305" w:rsidP="00B90B63">
            <w:pPr>
              <w:ind w:left="-57"/>
              <w:rPr>
                <w:rFonts w:ascii="Arial Narrow" w:hAnsi="Arial Narrow"/>
                <w:sz w:val="20"/>
                <w:szCs w:val="20"/>
              </w:rPr>
            </w:pPr>
            <w:r w:rsidRPr="008815B9">
              <w:rPr>
                <w:rFonts w:ascii="Arial Narrow" w:hAnsi="Arial Narrow"/>
                <w:sz w:val="20"/>
                <w:szCs w:val="20"/>
              </w:rPr>
              <w:t>The treatment must be/have been initiated within 6 months of treatment initiation with androgen deprivation therapy</w:t>
            </w:r>
          </w:p>
        </w:tc>
      </w:tr>
      <w:tr w:rsidR="00B95305" w:rsidRPr="00A447D9" w14:paraId="618EFAB8"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567AAF6F"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3BA91B74"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AND</w:t>
            </w:r>
          </w:p>
        </w:tc>
      </w:tr>
      <w:tr w:rsidR="00B95305" w:rsidRPr="00A447D9" w14:paraId="03BD8E82"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45354CEB" w14:textId="4BACBA49"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28D4B8AD"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Clinical criteria:</w:t>
            </w:r>
          </w:p>
        </w:tc>
      </w:tr>
      <w:tr w:rsidR="00B95305" w:rsidRPr="00A447D9" w14:paraId="4F87293D"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1A10B38C" w14:textId="3C735F48"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DC4BCAE" w14:textId="77777777" w:rsidR="00B95305" w:rsidRPr="008815B9" w:rsidRDefault="00B95305" w:rsidP="00B90B63">
            <w:pPr>
              <w:ind w:left="-57"/>
              <w:rPr>
                <w:rFonts w:ascii="Arial Narrow" w:hAnsi="Arial Narrow"/>
                <w:sz w:val="20"/>
                <w:szCs w:val="20"/>
              </w:rPr>
            </w:pPr>
            <w:r w:rsidRPr="008815B9">
              <w:rPr>
                <w:rFonts w:ascii="Arial Narrow" w:hAnsi="Arial Narrow"/>
                <w:sz w:val="20"/>
                <w:szCs w:val="20"/>
              </w:rPr>
              <w:t>Patient must only receive subsidy for one novel hormonal drug per lifetime for prostate cancer (regardless of whether a drug was subsidised under a metastatic/non-metastatic indication); or</w:t>
            </w:r>
          </w:p>
        </w:tc>
      </w:tr>
      <w:tr w:rsidR="00B95305" w:rsidRPr="00A447D9" w14:paraId="72346611"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0F45F4B0" w14:textId="311B220D"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9C8AA28" w14:textId="77777777" w:rsidR="00B95305" w:rsidRPr="008815B9" w:rsidRDefault="00B95305" w:rsidP="00B90B63">
            <w:pPr>
              <w:ind w:left="-57"/>
              <w:rPr>
                <w:rFonts w:ascii="Arial Narrow" w:hAnsi="Arial Narrow"/>
                <w:sz w:val="20"/>
                <w:szCs w:val="20"/>
              </w:rPr>
            </w:pPr>
            <w:r w:rsidRPr="008815B9">
              <w:rPr>
                <w:rFonts w:ascii="Arial Narrow" w:hAnsi="Arial Narrow"/>
                <w:sz w:val="20"/>
                <w:szCs w:val="20"/>
              </w:rPr>
              <w:t>Patient must only receive subsidy for a subsequent novel hormonal drug where there has been a severe intolerance to another novel hormonal drug leading to permanent treatment cessation</w:t>
            </w:r>
          </w:p>
        </w:tc>
      </w:tr>
      <w:tr w:rsidR="00B95305" w:rsidRPr="00A447D9" w14:paraId="5C08C9EC"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5F3C9A74"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32FE2CC8" w14:textId="77777777" w:rsidR="00B95305" w:rsidRPr="008815B9" w:rsidRDefault="00B95305" w:rsidP="00B90B63">
            <w:pPr>
              <w:autoSpaceDE w:val="0"/>
              <w:autoSpaceDN w:val="0"/>
              <w:adjustRightInd w:val="0"/>
              <w:ind w:left="-57"/>
              <w:rPr>
                <w:rFonts w:ascii="Arial Narrow" w:eastAsia="Calibri" w:hAnsi="Arial Narrow" w:cs="Arial Narrow"/>
                <w:b/>
                <w:bCs/>
                <w:sz w:val="20"/>
                <w:szCs w:val="20"/>
              </w:rPr>
            </w:pPr>
            <w:r w:rsidRPr="008815B9">
              <w:rPr>
                <w:rFonts w:ascii="Arial Narrow" w:eastAsia="Calibri" w:hAnsi="Arial Narrow" w:cs="Arial Narrow"/>
                <w:b/>
                <w:bCs/>
                <w:sz w:val="20"/>
                <w:szCs w:val="20"/>
              </w:rPr>
              <w:t>AND</w:t>
            </w:r>
          </w:p>
        </w:tc>
      </w:tr>
      <w:tr w:rsidR="00B95305" w:rsidRPr="00A447D9" w14:paraId="612A5FB6"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583757B2" w14:textId="78F61ED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5E2C3642" w14:textId="77777777" w:rsidR="00B95305" w:rsidRPr="008815B9" w:rsidRDefault="00B95305" w:rsidP="00B90B63">
            <w:pPr>
              <w:autoSpaceDE w:val="0"/>
              <w:autoSpaceDN w:val="0"/>
              <w:adjustRightInd w:val="0"/>
              <w:ind w:left="-57"/>
              <w:rPr>
                <w:rFonts w:ascii="Arial Narrow" w:eastAsia="Calibri" w:hAnsi="Arial Narrow" w:cs="Arial Narrow"/>
                <w:b/>
                <w:bCs/>
                <w:sz w:val="20"/>
                <w:szCs w:val="20"/>
              </w:rPr>
            </w:pPr>
            <w:r w:rsidRPr="008815B9">
              <w:rPr>
                <w:rFonts w:ascii="Arial Narrow" w:eastAsia="Calibri" w:hAnsi="Arial Narrow" w:cs="Arial Narrow"/>
                <w:b/>
                <w:bCs/>
                <w:sz w:val="20"/>
                <w:szCs w:val="20"/>
              </w:rPr>
              <w:t>Clinical criteria:</w:t>
            </w:r>
          </w:p>
        </w:tc>
      </w:tr>
      <w:tr w:rsidR="00B95305" w:rsidRPr="00A447D9" w14:paraId="787F9939"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31A6ABE0" w14:textId="150A214F"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621C7349" w14:textId="77777777" w:rsidR="00B95305" w:rsidRPr="008815B9" w:rsidRDefault="00B95305" w:rsidP="00B90B63">
            <w:pPr>
              <w:autoSpaceDE w:val="0"/>
              <w:autoSpaceDN w:val="0"/>
              <w:adjustRightInd w:val="0"/>
              <w:ind w:left="-57"/>
              <w:rPr>
                <w:rFonts w:ascii="Arial Narrow" w:eastAsia="Calibri" w:hAnsi="Arial Narrow" w:cs="Arial Narrow"/>
                <w:sz w:val="20"/>
                <w:szCs w:val="20"/>
              </w:rPr>
            </w:pPr>
            <w:r w:rsidRPr="008815B9">
              <w:rPr>
                <w:rFonts w:ascii="Arial Narrow" w:hAnsi="Arial Narrow"/>
                <w:sz w:val="20"/>
                <w:szCs w:val="20"/>
              </w:rPr>
              <w:t>Patient must not receive PBS-subsidised treatment with this drug if progressive disease develops while on this drug</w:t>
            </w:r>
          </w:p>
        </w:tc>
      </w:tr>
      <w:tr w:rsidR="00B95305" w:rsidRPr="00A447D9" w14:paraId="535EB78F"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52261A84"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1AD408B5" w14:textId="77777777" w:rsidR="00B95305" w:rsidRPr="008815B9" w:rsidRDefault="00B95305" w:rsidP="00B90B63">
            <w:pPr>
              <w:autoSpaceDE w:val="0"/>
              <w:autoSpaceDN w:val="0"/>
              <w:adjustRightInd w:val="0"/>
              <w:ind w:left="-57"/>
              <w:rPr>
                <w:rFonts w:ascii="Arial Narrow" w:eastAsia="Calibri" w:hAnsi="Arial Narrow" w:cs="Arial Narrow"/>
                <w:sz w:val="20"/>
                <w:szCs w:val="20"/>
              </w:rPr>
            </w:pPr>
          </w:p>
        </w:tc>
      </w:tr>
      <w:tr w:rsidR="00B95305" w:rsidRPr="00A447D9" w14:paraId="6D52A1D1"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73B4BE71" w14:textId="40AC8946"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77FAD88D" w14:textId="77777777" w:rsidR="00B95305" w:rsidRPr="008815B9" w:rsidRDefault="00B95305" w:rsidP="00B90B63">
            <w:pPr>
              <w:autoSpaceDE w:val="0"/>
              <w:autoSpaceDN w:val="0"/>
              <w:adjustRightInd w:val="0"/>
              <w:ind w:left="-57"/>
              <w:rPr>
                <w:rFonts w:ascii="Arial Narrow" w:eastAsia="Calibri" w:hAnsi="Arial Narrow" w:cs="Arial Narrow"/>
                <w:sz w:val="20"/>
                <w:szCs w:val="20"/>
              </w:rPr>
            </w:pPr>
            <w:r w:rsidRPr="008815B9">
              <w:rPr>
                <w:rFonts w:ascii="Arial Narrow" w:hAnsi="Arial Narrow"/>
                <w:b/>
                <w:bCs/>
                <w:sz w:val="20"/>
                <w:szCs w:val="20"/>
              </w:rPr>
              <w:t>Treatment criteria:</w:t>
            </w:r>
          </w:p>
        </w:tc>
      </w:tr>
      <w:tr w:rsidR="00B95305" w:rsidRPr="00A447D9" w14:paraId="712AC333"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1616ADDD" w14:textId="361B1766"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7F18B027" w14:textId="08076E2C" w:rsidR="00B95305" w:rsidRPr="008815B9" w:rsidRDefault="00B95305" w:rsidP="00B90B63">
            <w:pPr>
              <w:autoSpaceDE w:val="0"/>
              <w:autoSpaceDN w:val="0"/>
              <w:adjustRightInd w:val="0"/>
              <w:ind w:left="-57"/>
              <w:rPr>
                <w:rFonts w:ascii="Arial Narrow" w:eastAsia="Calibri" w:hAnsi="Arial Narrow" w:cs="Arial Narrow"/>
                <w:sz w:val="20"/>
                <w:szCs w:val="20"/>
              </w:rPr>
            </w:pPr>
            <w:r w:rsidRPr="008815B9">
              <w:rPr>
                <w:rFonts w:ascii="Arial Narrow" w:eastAsia="Calibri" w:hAnsi="Arial Narrow" w:cs="Arial Narrow"/>
                <w:sz w:val="20"/>
                <w:szCs w:val="20"/>
              </w:rPr>
              <w:t>Patient must be undergoing concurrent treatment with androgen deprivation therapy</w:t>
            </w:r>
            <w:r w:rsidR="00B746C7" w:rsidRPr="008815B9">
              <w:rPr>
                <w:rFonts w:ascii="Arial Narrow" w:eastAsia="Calibri" w:hAnsi="Arial Narrow" w:cs="Arial Narrow"/>
                <w:sz w:val="20"/>
                <w:szCs w:val="20"/>
              </w:rPr>
              <w:t xml:space="preserve"> with/without docetaxel</w:t>
            </w:r>
          </w:p>
        </w:tc>
      </w:tr>
      <w:tr w:rsidR="00B95305" w:rsidRPr="00A447D9" w14:paraId="0BD8731F"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108F5F43" w14:textId="7777777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674637D2" w14:textId="77777777" w:rsidR="00B95305" w:rsidRPr="008815B9" w:rsidRDefault="00B95305" w:rsidP="00B90B63">
            <w:pPr>
              <w:ind w:left="-57"/>
              <w:rPr>
                <w:rFonts w:ascii="Arial Narrow" w:hAnsi="Arial Narrow"/>
                <w:b/>
                <w:bCs/>
                <w:sz w:val="20"/>
                <w:szCs w:val="20"/>
              </w:rPr>
            </w:pPr>
          </w:p>
        </w:tc>
      </w:tr>
      <w:tr w:rsidR="00B95305" w:rsidRPr="00A447D9" w14:paraId="33FE5C0C"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09C51B18" w14:textId="485D7D25"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69AD2F59"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Administrative Advice: </w:t>
            </w:r>
            <w:r w:rsidRPr="008815B9">
              <w:rPr>
                <w:rFonts w:ascii="Arial Narrow" w:hAnsi="Arial Narrow"/>
                <w:sz w:val="20"/>
                <w:szCs w:val="20"/>
              </w:rPr>
              <w:t>No increase in the maximum quantity or number of units may be authorised.</w:t>
            </w:r>
          </w:p>
        </w:tc>
      </w:tr>
      <w:tr w:rsidR="00B95305" w:rsidRPr="00A447D9" w14:paraId="32DAEEC7" w14:textId="77777777" w:rsidTr="005B6AAB">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401E15B8" w14:textId="4596CD28"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5D341A1F"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Administrative Advice: </w:t>
            </w:r>
            <w:r w:rsidRPr="008815B9">
              <w:rPr>
                <w:rFonts w:ascii="Arial Narrow" w:hAnsi="Arial Narrow"/>
                <w:sz w:val="20"/>
                <w:szCs w:val="20"/>
              </w:rPr>
              <w:t>No increase in the maximum number of repeats may be authorised.</w:t>
            </w:r>
          </w:p>
        </w:tc>
      </w:tr>
      <w:tr w:rsidR="00B95305" w:rsidRPr="00A447D9" w14:paraId="6B008AD2" w14:textId="77777777" w:rsidTr="005B6AA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14072821" w14:textId="454953C5"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719B39AD"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Administrative Advice: </w:t>
            </w:r>
            <w:r w:rsidRPr="008815B9">
              <w:rPr>
                <w:rFonts w:ascii="Arial Narrow" w:hAnsi="Arial Narrow"/>
                <w:sz w:val="20"/>
                <w:szCs w:val="20"/>
              </w:rPr>
              <w:t>Special Pricing Arrangements apply.</w:t>
            </w:r>
          </w:p>
        </w:tc>
      </w:tr>
      <w:tr w:rsidR="00B95305" w:rsidRPr="00A447D9" w14:paraId="33E1A99E" w14:textId="77777777" w:rsidTr="005B6AAB">
        <w:trPr>
          <w:trHeight w:val="403"/>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706907EB" w14:textId="291F770C"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0861B8C3"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 xml:space="preserve">Administrative Advice: </w:t>
            </w:r>
          </w:p>
          <w:p w14:paraId="27F9C405" w14:textId="77777777" w:rsidR="00B95305" w:rsidRPr="008815B9" w:rsidRDefault="00B95305" w:rsidP="00B90B63">
            <w:pPr>
              <w:ind w:left="-57"/>
              <w:rPr>
                <w:rFonts w:ascii="Arial Narrow" w:hAnsi="Arial Narrow"/>
                <w:sz w:val="20"/>
                <w:szCs w:val="20"/>
              </w:rPr>
            </w:pPr>
            <w:r w:rsidRPr="008815B9">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B95305" w:rsidRPr="00A447D9" w14:paraId="207B03B1" w14:textId="77777777" w:rsidTr="005B6AAB">
        <w:trPr>
          <w:cnfStyle w:val="000000100000" w:firstRow="0" w:lastRow="0" w:firstColumn="0" w:lastColumn="0" w:oddVBand="0" w:evenVBand="0" w:oddHBand="1" w:evenHBand="0" w:firstRowFirstColumn="0" w:firstRowLastColumn="0" w:lastRowFirstColumn="0" w:lastRowLastColumn="0"/>
          <w:trHeight w:val="403"/>
        </w:trPr>
        <w:tc>
          <w:tcPr>
            <w:cnfStyle w:val="000010000000" w:firstRow="0" w:lastRow="0" w:firstColumn="0" w:lastColumn="0" w:oddVBand="1"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tcPr>
          <w:p w14:paraId="4CFF185F" w14:textId="3726CFF7" w:rsidR="00B95305" w:rsidRPr="008815B9" w:rsidRDefault="00B95305" w:rsidP="00B90B63">
            <w:pPr>
              <w:jc w:val="center"/>
              <w:rPr>
                <w:rFonts w:ascii="Arial Narrow" w:hAnsi="Arial Narrow"/>
                <w:sz w:val="20"/>
                <w:szCs w:val="20"/>
              </w:rPr>
            </w:pPr>
          </w:p>
        </w:tc>
        <w:tc>
          <w:tcPr>
            <w:cnfStyle w:val="000001000000" w:firstRow="0" w:lastRow="0" w:firstColumn="0" w:lastColumn="0" w:oddVBand="0" w:evenVBand="1" w:oddHBand="0" w:evenHBand="0" w:firstRowFirstColumn="0" w:firstRowLastColumn="0" w:lastRowFirstColumn="0" w:lastRowLastColumn="0"/>
            <w:tcW w:w="8092" w:type="dxa"/>
            <w:gridSpan w:val="6"/>
            <w:tcBorders>
              <w:top w:val="single" w:sz="4" w:space="0" w:color="auto"/>
              <w:left w:val="single" w:sz="4" w:space="0" w:color="auto"/>
              <w:bottom w:val="single" w:sz="4" w:space="0" w:color="auto"/>
              <w:right w:val="single" w:sz="4" w:space="0" w:color="auto"/>
            </w:tcBorders>
          </w:tcPr>
          <w:p w14:paraId="7156CE59" w14:textId="77777777" w:rsidR="00B95305" w:rsidRPr="008815B9" w:rsidRDefault="00B95305" w:rsidP="00B90B63">
            <w:pPr>
              <w:ind w:left="-57"/>
              <w:rPr>
                <w:rFonts w:ascii="Arial Narrow" w:hAnsi="Arial Narrow"/>
                <w:b/>
                <w:bCs/>
                <w:sz w:val="20"/>
                <w:szCs w:val="20"/>
              </w:rPr>
            </w:pPr>
            <w:r w:rsidRPr="008815B9">
              <w:rPr>
                <w:rFonts w:ascii="Arial Narrow" w:hAnsi="Arial Narrow"/>
                <w:b/>
                <w:bCs/>
                <w:sz w:val="20"/>
                <w:szCs w:val="20"/>
              </w:rPr>
              <w:t>Administrative Advice:</w:t>
            </w:r>
          </w:p>
          <w:p w14:paraId="2A37245E" w14:textId="77777777" w:rsidR="00B95305" w:rsidRPr="008815B9" w:rsidRDefault="00B95305" w:rsidP="00B90B63">
            <w:pPr>
              <w:ind w:left="-57"/>
              <w:rPr>
                <w:rFonts w:ascii="Arial Narrow" w:hAnsi="Arial Narrow"/>
                <w:b/>
                <w:bCs/>
                <w:sz w:val="20"/>
                <w:szCs w:val="20"/>
              </w:rPr>
            </w:pPr>
            <w:r w:rsidRPr="008815B9">
              <w:rPr>
                <w:rFonts w:ascii="Arial Narrow" w:hAnsi="Arial Narrow"/>
                <w:sz w:val="20"/>
                <w:szCs w:val="20"/>
              </w:rPr>
              <w:t>Where the term 'novel hormonal drug' appears in this restriction, it refers to: (i) abiraterone, (ii) apalutamide, (iii) darolutamide, (iv) enzalutamide.</w:t>
            </w:r>
          </w:p>
        </w:tc>
      </w:tr>
    </w:tbl>
    <w:p w14:paraId="67040ECA" w14:textId="77777777" w:rsidR="0077076F" w:rsidRDefault="0077076F" w:rsidP="009A7988">
      <w:pPr>
        <w:keepNext/>
        <w:widowControl w:val="0"/>
        <w:rPr>
          <w:rFonts w:asciiTheme="minorHAnsi" w:hAnsiTheme="minorHAnsi"/>
          <w:bCs/>
          <w:snapToGrid w:val="0"/>
        </w:rPr>
      </w:pPr>
    </w:p>
    <w:bookmarkEnd w:id="85"/>
    <w:p w14:paraId="1DA43C0D" w14:textId="62DF5876" w:rsidR="008815B9" w:rsidRPr="008815B9" w:rsidRDefault="008815B9" w:rsidP="009A7988">
      <w:pPr>
        <w:pStyle w:val="3-BodyText"/>
        <w:numPr>
          <w:ilvl w:val="0"/>
          <w:numId w:val="0"/>
        </w:numPr>
        <w:rPr>
          <w:b/>
          <w:bCs/>
          <w:i/>
          <w:szCs w:val="22"/>
        </w:rPr>
      </w:pPr>
      <w:r w:rsidRPr="00BB6D30">
        <w:rPr>
          <w:b/>
          <w:bCs/>
          <w:i/>
          <w:szCs w:val="22"/>
        </w:rPr>
        <w:t>This restriction may be subject to further review. Should there be any changes made to the restriction the sponsor will be informed</w:t>
      </w:r>
    </w:p>
    <w:p w14:paraId="4B7EA765" w14:textId="41A62347" w:rsidR="0075485D" w:rsidRDefault="00FB22BD" w:rsidP="009A7988">
      <w:pPr>
        <w:pStyle w:val="3-BodyText"/>
      </w:pPr>
      <w:r>
        <w:t>Flow-on changes are required to align the apalutamide restriction, which was recommended by the PBAC in July 2022, with the above restriction.</w:t>
      </w:r>
      <w:r w:rsidR="00C1183B">
        <w:t xml:space="preserve"> </w:t>
      </w:r>
    </w:p>
    <w:bookmarkEnd w:id="49"/>
    <w:bookmarkEnd w:id="86"/>
    <w:p w14:paraId="5082464C" w14:textId="2256A6AA" w:rsidR="008815B9" w:rsidRPr="008815B9" w:rsidRDefault="008815B9" w:rsidP="008815B9">
      <w:pPr>
        <w:pStyle w:val="2-SectionHeading"/>
      </w:pPr>
      <w:r w:rsidRPr="00C07617">
        <w:t>Context for Decision</w:t>
      </w:r>
    </w:p>
    <w:p w14:paraId="30CFC1D1" w14:textId="77777777" w:rsidR="008815B9" w:rsidRPr="007129F2" w:rsidRDefault="008815B9" w:rsidP="008815B9">
      <w:pPr>
        <w:pStyle w:val="3-BodyText"/>
        <w:numPr>
          <w:ilvl w:val="0"/>
          <w:numId w:val="0"/>
        </w:numPr>
        <w:ind w:left="720"/>
        <w:rPr>
          <w:bCs/>
          <w:lang w:val="en-GB"/>
        </w:rPr>
      </w:pPr>
      <w:r w:rsidRPr="007129F2">
        <w:rPr>
          <w:bCs/>
          <w:lang w:val="en-GB"/>
        </w:rPr>
        <w:t xml:space="preserve">The </w:t>
      </w:r>
      <w:r w:rsidRPr="008815B9">
        <w:t>PBAC</w:t>
      </w:r>
      <w:r w:rsidRPr="007129F2">
        <w:rPr>
          <w:bCs/>
          <w:lang w:val="en-GB"/>
        </w:rPr>
        <w:t xml:space="preserve">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D4B35CF" w14:textId="2D58A3A7" w:rsidR="008815B9" w:rsidRPr="008815B9" w:rsidRDefault="008815B9" w:rsidP="008815B9">
      <w:pPr>
        <w:pStyle w:val="2-SectionHeading"/>
      </w:pPr>
      <w:r>
        <w:t>Sponsor’s Comment</w:t>
      </w:r>
    </w:p>
    <w:p w14:paraId="4605C057" w14:textId="2EF62402" w:rsidR="008815B9" w:rsidRPr="00FC56D5" w:rsidRDefault="00FC56D5" w:rsidP="00DD7AC1">
      <w:pPr>
        <w:pStyle w:val="3-BodyText"/>
        <w:numPr>
          <w:ilvl w:val="0"/>
          <w:numId w:val="0"/>
        </w:numPr>
        <w:ind w:left="720"/>
      </w:pPr>
      <w:r>
        <w:t xml:space="preserve">Astellas Pharma Australia welcomes the PBAC decision to recommend the PBS listing of enzalutamide (Xtandi®) for metastatic hormone sensitive prostate cancer (mHSPC). </w:t>
      </w:r>
      <w:r w:rsidR="00423CBF">
        <w:t xml:space="preserve">Astellas </w:t>
      </w:r>
      <w:r w:rsidR="002845D6">
        <w:t>will continue to work</w:t>
      </w:r>
      <w:r>
        <w:t xml:space="preserve"> with the Department of Health to </w:t>
      </w:r>
      <w:r w:rsidR="002845D6">
        <w:t>ensure a timely</w:t>
      </w:r>
      <w:r>
        <w:t xml:space="preserve"> PBS listing.</w:t>
      </w:r>
    </w:p>
    <w:p w14:paraId="334A0581" w14:textId="77777777" w:rsidR="008815B9" w:rsidRPr="00C1183B" w:rsidRDefault="008815B9" w:rsidP="008815B9">
      <w:pPr>
        <w:pStyle w:val="3-BodyText"/>
        <w:numPr>
          <w:ilvl w:val="0"/>
          <w:numId w:val="0"/>
        </w:numPr>
      </w:pPr>
    </w:p>
    <w:sectPr w:rsidR="008815B9" w:rsidRPr="00C1183B" w:rsidSect="00BB44C1">
      <w:type w:val="continuous"/>
      <w:pgSz w:w="11907" w:h="16840" w:code="9"/>
      <w:pgMar w:top="1440" w:right="1440" w:bottom="1440" w:left="1440" w:header="1440" w:footer="1440"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38745" w14:textId="77777777" w:rsidR="00583EC6" w:rsidRDefault="00583EC6" w:rsidP="00124A51">
      <w:r>
        <w:separator/>
      </w:r>
    </w:p>
    <w:p w14:paraId="2559626C" w14:textId="77777777" w:rsidR="00583EC6" w:rsidRDefault="00583EC6"/>
  </w:endnote>
  <w:endnote w:type="continuationSeparator" w:id="0">
    <w:p w14:paraId="2D9A59B4" w14:textId="77777777" w:rsidR="00583EC6" w:rsidRDefault="00583EC6" w:rsidP="00124A51">
      <w:r>
        <w:continuationSeparator/>
      </w:r>
    </w:p>
    <w:p w14:paraId="1570193F" w14:textId="77777777" w:rsidR="00583EC6" w:rsidRDefault="00583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risten ITC">
    <w:panose1 w:val="03050502040202030202"/>
    <w:charset w:val="00"/>
    <w:family w:val="script"/>
    <w:pitch w:val="variable"/>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EA1F7" w14:textId="77777777" w:rsidR="008D2482" w:rsidRDefault="008D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A7D2" w14:textId="77777777" w:rsidR="00F32398" w:rsidRDefault="00F32398" w:rsidP="002E78EB">
    <w:pPr>
      <w:pStyle w:val="Footer"/>
      <w:jc w:val="center"/>
    </w:pPr>
  </w:p>
  <w:p w14:paraId="0BB259C0" w14:textId="370DB5C3" w:rsidR="00F32398" w:rsidRDefault="00307E3A" w:rsidP="002E78EB">
    <w:pPr>
      <w:pStyle w:val="Footer"/>
      <w:jc w:val="center"/>
    </w:pPr>
    <w:sdt>
      <w:sdtPr>
        <w:id w:val="1888834351"/>
        <w:docPartObj>
          <w:docPartGallery w:val="Page Numbers (Bottom of Page)"/>
          <w:docPartUnique/>
        </w:docPartObj>
      </w:sdtPr>
      <w:sdtEndPr>
        <w:rPr>
          <w:b/>
          <w:bCs/>
          <w:noProof/>
        </w:rPr>
      </w:sdtEndPr>
      <w:sdtContent>
        <w:r w:rsidR="00F32398" w:rsidRPr="0075485D">
          <w:rPr>
            <w:b/>
            <w:bCs/>
          </w:rPr>
          <w:fldChar w:fldCharType="begin"/>
        </w:r>
        <w:r w:rsidR="00F32398" w:rsidRPr="0075485D">
          <w:rPr>
            <w:b/>
            <w:bCs/>
          </w:rPr>
          <w:instrText xml:space="preserve"> PAGE   \* MERGEFORMAT </w:instrText>
        </w:r>
        <w:r w:rsidR="00F32398" w:rsidRPr="0075485D">
          <w:rPr>
            <w:b/>
            <w:bCs/>
          </w:rPr>
          <w:fldChar w:fldCharType="separate"/>
        </w:r>
        <w:r w:rsidR="00F32398" w:rsidRPr="0075485D">
          <w:rPr>
            <w:b/>
            <w:bCs/>
            <w:noProof/>
          </w:rPr>
          <w:t>2</w:t>
        </w:r>
        <w:r w:rsidR="00F32398" w:rsidRPr="0075485D">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C94D" w14:textId="77777777" w:rsidR="008D2482" w:rsidRDefault="008D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8F82" w14:textId="77777777" w:rsidR="00583EC6" w:rsidRDefault="00583EC6" w:rsidP="00124A51">
      <w:r>
        <w:separator/>
      </w:r>
    </w:p>
    <w:p w14:paraId="5DA970AD" w14:textId="77777777" w:rsidR="00583EC6" w:rsidRDefault="00583EC6"/>
  </w:footnote>
  <w:footnote w:type="continuationSeparator" w:id="0">
    <w:p w14:paraId="6CB8BFD4" w14:textId="77777777" w:rsidR="00583EC6" w:rsidRDefault="00583EC6" w:rsidP="00124A51">
      <w:r>
        <w:continuationSeparator/>
      </w:r>
    </w:p>
    <w:p w14:paraId="06A423BA" w14:textId="77777777" w:rsidR="00583EC6" w:rsidRDefault="00583EC6"/>
  </w:footnote>
  <w:footnote w:id="1">
    <w:p w14:paraId="2C236501" w14:textId="77777777" w:rsidR="00F3244E" w:rsidRPr="00D0666E" w:rsidRDefault="00F3244E" w:rsidP="00A01891">
      <w:pPr>
        <w:pStyle w:val="FootnoteText"/>
        <w:jc w:val="left"/>
        <w:rPr>
          <w:rFonts w:ascii="Arial Narrow" w:hAnsi="Arial Narrow"/>
          <w:sz w:val="18"/>
          <w:szCs w:val="18"/>
          <w:lang w:val="en-US"/>
        </w:rPr>
      </w:pPr>
      <w:r w:rsidRPr="00D0666E">
        <w:rPr>
          <w:rStyle w:val="FootnoteReference"/>
          <w:rFonts w:ascii="Arial Narrow" w:hAnsi="Arial Narrow"/>
          <w:sz w:val="18"/>
          <w:szCs w:val="18"/>
        </w:rPr>
        <w:footnoteRef/>
      </w:r>
      <w:r w:rsidRPr="00D0666E">
        <w:rPr>
          <w:rFonts w:ascii="Arial Narrow" w:hAnsi="Arial Narrow"/>
          <w:sz w:val="18"/>
          <w:szCs w:val="18"/>
        </w:rPr>
        <w:t xml:space="preserve"> PBAC outcomes July 2022, available from: https://www.pbs.gov.au/industry/listing/elements/pbac-meetings/pbac-outcomes/2022-07/pbac-web-outcomes-07-2022-v3.pdf [accessed 23/11/2022].</w:t>
      </w:r>
    </w:p>
  </w:footnote>
  <w:footnote w:id="2">
    <w:p w14:paraId="64E6A37D" w14:textId="77777777" w:rsidR="00F3244E" w:rsidRPr="004C30C4" w:rsidRDefault="00F3244E" w:rsidP="00A01891">
      <w:pPr>
        <w:pStyle w:val="FootnoteText"/>
        <w:rPr>
          <w:lang w:val="en-US"/>
        </w:rPr>
      </w:pPr>
      <w:r w:rsidRPr="00D0666E">
        <w:rPr>
          <w:rStyle w:val="FootnoteReference"/>
          <w:rFonts w:ascii="Arial Narrow" w:hAnsi="Arial Narrow"/>
          <w:sz w:val="18"/>
          <w:szCs w:val="18"/>
        </w:rPr>
        <w:footnoteRef/>
      </w:r>
      <w:r w:rsidRPr="00D0666E">
        <w:rPr>
          <w:rFonts w:ascii="Arial Narrow" w:hAnsi="Arial Narrow"/>
          <w:sz w:val="18"/>
          <w:szCs w:val="18"/>
        </w:rPr>
        <w:t xml:space="preserve"> </w:t>
      </w:r>
      <w:r w:rsidRPr="00D0666E">
        <w:rPr>
          <w:rFonts w:ascii="Arial Narrow" w:hAnsi="Arial Narrow"/>
          <w:sz w:val="18"/>
          <w:szCs w:val="18"/>
          <w:lang w:val="en-US"/>
        </w:rPr>
        <w:t>PBAC outcomes November 2022, available from: https://www.pbs.gov.au/industry/listing/elements/pbac-meetings/pbac-outcomes/2022-11/pbac-web-outcomes-11-2022.pdf [accessed 03/01/2023].</w:t>
      </w:r>
    </w:p>
  </w:footnote>
  <w:footnote w:id="3">
    <w:p w14:paraId="7F1AE13A"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Sathianathen NJ, Koschel S, Thangasamy IA, </w:t>
      </w:r>
      <w:r>
        <w:rPr>
          <w:rFonts w:ascii="Arial Narrow" w:hAnsi="Arial Narrow"/>
          <w:sz w:val="18"/>
        </w:rPr>
        <w:t>et al</w:t>
      </w:r>
      <w:r w:rsidRPr="00D0666E">
        <w:rPr>
          <w:rFonts w:ascii="Arial Narrow" w:hAnsi="Arial Narrow"/>
          <w:sz w:val="18"/>
        </w:rPr>
        <w:t>.</w:t>
      </w:r>
      <w:r>
        <w:rPr>
          <w:rFonts w:ascii="Arial Narrow" w:hAnsi="Arial Narrow"/>
          <w:sz w:val="18"/>
        </w:rPr>
        <w:t>, 2020.</w:t>
      </w:r>
      <w:r w:rsidRPr="00D0666E">
        <w:rPr>
          <w:rFonts w:ascii="Arial Narrow" w:hAnsi="Arial Narrow"/>
          <w:sz w:val="18"/>
        </w:rPr>
        <w:t xml:space="preserve"> Indirect Comparisons of Efficacy between Combination Approaches in Metastatic Hormone-sensitive Prostate Cancer: A Systematic Review and Network Meta-analysis. Eur Urol.</w:t>
      </w:r>
      <w:r>
        <w:rPr>
          <w:rFonts w:ascii="Arial Narrow" w:hAnsi="Arial Narrow"/>
          <w:sz w:val="18"/>
        </w:rPr>
        <w:t xml:space="preserve">, </w:t>
      </w:r>
      <w:r w:rsidRPr="00D0666E">
        <w:rPr>
          <w:rFonts w:ascii="Arial Narrow" w:hAnsi="Arial Narrow"/>
          <w:sz w:val="18"/>
        </w:rPr>
        <w:t>77(3):365-372.</w:t>
      </w:r>
    </w:p>
  </w:footnote>
  <w:footnote w:id="4">
    <w:p w14:paraId="453F60B6"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Marchioni M, Di Nicola M, Primiceri G, et al.</w:t>
      </w:r>
      <w:r>
        <w:rPr>
          <w:rFonts w:ascii="Arial Narrow" w:hAnsi="Arial Narrow"/>
          <w:sz w:val="18"/>
        </w:rPr>
        <w:t>, 2020.</w:t>
      </w:r>
      <w:r w:rsidRPr="00D0666E">
        <w:rPr>
          <w:rFonts w:ascii="Arial Narrow" w:hAnsi="Arial Narrow"/>
          <w:sz w:val="18"/>
        </w:rPr>
        <w:t xml:space="preserve"> New Antiandrogen Compounds Compared to Docetaxel for Metastatic Hormone Sensitive Prostate Cancer: Results from a Network Meta-Analysis. J Urol.</w:t>
      </w:r>
      <w:r>
        <w:rPr>
          <w:rFonts w:ascii="Arial Narrow" w:hAnsi="Arial Narrow"/>
          <w:sz w:val="18"/>
        </w:rPr>
        <w:t xml:space="preserve">, </w:t>
      </w:r>
      <w:r w:rsidRPr="00D0666E">
        <w:rPr>
          <w:rFonts w:ascii="Arial Narrow" w:hAnsi="Arial Narrow"/>
          <w:sz w:val="18"/>
        </w:rPr>
        <w:t>203(4):751-759.</w:t>
      </w:r>
    </w:p>
  </w:footnote>
  <w:footnote w:id="5">
    <w:p w14:paraId="2B6DFCA9"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Chen J, Ni Y, Sun G</w:t>
      </w:r>
      <w:r>
        <w:rPr>
          <w:rFonts w:ascii="Arial Narrow" w:hAnsi="Arial Narrow"/>
          <w:sz w:val="18"/>
        </w:rPr>
        <w:t>,</w:t>
      </w:r>
      <w:r w:rsidRPr="00D0666E">
        <w:rPr>
          <w:rFonts w:ascii="Arial Narrow" w:hAnsi="Arial Narrow"/>
          <w:sz w:val="18"/>
        </w:rPr>
        <w:t xml:space="preserve"> et al</w:t>
      </w:r>
      <w:r>
        <w:rPr>
          <w:rFonts w:ascii="Arial Narrow" w:hAnsi="Arial Narrow"/>
          <w:sz w:val="18"/>
        </w:rPr>
        <w:t xml:space="preserve">., </w:t>
      </w:r>
      <w:r w:rsidRPr="00D0666E">
        <w:rPr>
          <w:rFonts w:ascii="Arial Narrow" w:hAnsi="Arial Narrow"/>
          <w:sz w:val="18"/>
        </w:rPr>
        <w:t>2020</w:t>
      </w:r>
      <w:r>
        <w:rPr>
          <w:rFonts w:ascii="Arial Narrow" w:hAnsi="Arial Narrow"/>
          <w:sz w:val="18"/>
        </w:rPr>
        <w:t>.</w:t>
      </w:r>
      <w:r w:rsidRPr="00D0666E">
        <w:rPr>
          <w:rFonts w:ascii="Arial Narrow" w:hAnsi="Arial Narrow"/>
          <w:sz w:val="18"/>
        </w:rPr>
        <w:t xml:space="preserve"> Comparison of Current Systemic Combination Therapies for Metastatic Hormone-Sensitive Prostate Cancer and Selection of Candidates for Optimal Treatment: A Systematic Review and Bayesian Network Meta-Analysis. Front</w:t>
      </w:r>
      <w:r>
        <w:rPr>
          <w:rFonts w:ascii="Arial Narrow" w:hAnsi="Arial Narrow"/>
          <w:sz w:val="18"/>
        </w:rPr>
        <w:t>iers in</w:t>
      </w:r>
      <w:r w:rsidRPr="00D0666E">
        <w:rPr>
          <w:rFonts w:ascii="Arial Narrow" w:hAnsi="Arial Narrow"/>
          <w:sz w:val="18"/>
        </w:rPr>
        <w:t xml:space="preserve"> Oncol</w:t>
      </w:r>
      <w:r>
        <w:rPr>
          <w:rFonts w:ascii="Arial Narrow" w:hAnsi="Arial Narrow"/>
          <w:sz w:val="18"/>
        </w:rPr>
        <w:t>ogy,</w:t>
      </w:r>
      <w:r w:rsidRPr="00D0666E">
        <w:rPr>
          <w:rFonts w:ascii="Arial Narrow" w:hAnsi="Arial Narrow"/>
          <w:sz w:val="18"/>
        </w:rPr>
        <w:t xml:space="preserve"> 10:519388.</w:t>
      </w:r>
    </w:p>
  </w:footnote>
  <w:footnote w:id="6">
    <w:p w14:paraId="3582B15E"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Wang L, Paller CJ, Hong H</w:t>
      </w:r>
      <w:r>
        <w:rPr>
          <w:rFonts w:ascii="Arial Narrow" w:hAnsi="Arial Narrow"/>
          <w:sz w:val="18"/>
        </w:rPr>
        <w:t>,</w:t>
      </w:r>
      <w:r w:rsidRPr="00D0666E">
        <w:rPr>
          <w:rFonts w:ascii="Arial Narrow" w:hAnsi="Arial Narrow"/>
          <w:sz w:val="18"/>
        </w:rPr>
        <w:t xml:space="preserve"> et al.</w:t>
      </w:r>
      <w:r>
        <w:rPr>
          <w:rFonts w:ascii="Arial Narrow" w:hAnsi="Arial Narrow"/>
          <w:sz w:val="18"/>
        </w:rPr>
        <w:t>, 2021.</w:t>
      </w:r>
      <w:r w:rsidRPr="00D0666E">
        <w:rPr>
          <w:rFonts w:ascii="Arial Narrow" w:hAnsi="Arial Narrow"/>
          <w:sz w:val="18"/>
        </w:rPr>
        <w:t xml:space="preserve"> Comparison of Systemic Treatments for Metastatic Castration-Sensitive Prostate Cancer: A Systematic Review and Network Meta-analysis. JAMA Oncol.</w:t>
      </w:r>
      <w:r>
        <w:rPr>
          <w:rFonts w:ascii="Arial Narrow" w:hAnsi="Arial Narrow"/>
          <w:sz w:val="18"/>
        </w:rPr>
        <w:t xml:space="preserve">, </w:t>
      </w:r>
      <w:r w:rsidRPr="00D0666E">
        <w:rPr>
          <w:rFonts w:ascii="Arial Narrow" w:hAnsi="Arial Narrow"/>
          <w:sz w:val="18"/>
        </w:rPr>
        <w:t>7(3):412-420.</w:t>
      </w:r>
    </w:p>
  </w:footnote>
  <w:footnote w:id="7">
    <w:p w14:paraId="71DB320C"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w:t>
      </w:r>
      <w:r w:rsidRPr="009E3477">
        <w:rPr>
          <w:rFonts w:ascii="Arial Narrow" w:hAnsi="Arial Narrow"/>
          <w:sz w:val="18"/>
        </w:rPr>
        <w:t>Wenzel M, Nocera L, Collà Ruvolo C, et al., 2021. Overall survival and adverse events after treatment with darolutamide vs. apalutamide vs. enzalutamide for high-risk non-metastatic castration-resistant prostate cancer: a systematic review and network meta-analysis. Prostate Cancer Prostatic Dis, 25(2):139-148.</w:t>
      </w:r>
    </w:p>
  </w:footnote>
  <w:footnote w:id="8">
    <w:p w14:paraId="011BDA78" w14:textId="77777777" w:rsidR="00F3244E" w:rsidRPr="00D0666E" w:rsidRDefault="00F3244E" w:rsidP="00A01891">
      <w:pPr>
        <w:pStyle w:val="FootnoteText"/>
        <w:rPr>
          <w:rFonts w:ascii="Arial Narrow" w:hAnsi="Arial Narrow"/>
          <w:sz w:val="18"/>
        </w:rPr>
      </w:pPr>
      <w:r w:rsidRPr="00D0666E">
        <w:rPr>
          <w:rStyle w:val="FootnoteReference"/>
          <w:rFonts w:ascii="Arial Narrow" w:hAnsi="Arial Narrow"/>
          <w:sz w:val="18"/>
        </w:rPr>
        <w:footnoteRef/>
      </w:r>
      <w:r w:rsidRPr="00D0666E">
        <w:rPr>
          <w:rFonts w:ascii="Arial Narrow" w:hAnsi="Arial Narrow"/>
          <w:sz w:val="18"/>
        </w:rPr>
        <w:t xml:space="preserve"> </w:t>
      </w:r>
      <w:r w:rsidRPr="009E3477">
        <w:rPr>
          <w:rFonts w:ascii="Arial Narrow" w:hAnsi="Arial Narrow"/>
          <w:sz w:val="18"/>
        </w:rPr>
        <w:t>Mori K, Mostafaei H, Sari Motlagh R, et al., 2021. Systemic therapies for metastatic hormone-sensitive prostate cancer: network meta-analysis. BJU International, 129(4):423-433.</w:t>
      </w:r>
    </w:p>
  </w:footnote>
  <w:footnote w:id="9">
    <w:p w14:paraId="2498D47C" w14:textId="77777777" w:rsidR="00F3244E" w:rsidRDefault="00F3244E" w:rsidP="00A01891">
      <w:pPr>
        <w:pStyle w:val="FootnoteText"/>
      </w:pPr>
      <w:r w:rsidRPr="00D0666E">
        <w:rPr>
          <w:rStyle w:val="FootnoteReference"/>
          <w:rFonts w:ascii="Arial Narrow" w:hAnsi="Arial Narrow"/>
          <w:sz w:val="18"/>
        </w:rPr>
        <w:footnoteRef/>
      </w:r>
      <w:r w:rsidRPr="00D0666E">
        <w:rPr>
          <w:rFonts w:ascii="Arial Narrow" w:hAnsi="Arial Narrow"/>
          <w:sz w:val="18"/>
        </w:rPr>
        <w:t xml:space="preserve"> Mutlu H and Bozcuk H, The optimal upfront therapy in metastatic hormone-sensitive prostate cancer: A network meta-analysis. Journal of Cancer Research and Therapeutics (online ahead of print, accessed 5 August 2021). DOI: 10.4103/jcrt.JCRT_23_20</w:t>
      </w:r>
    </w:p>
  </w:footnote>
  <w:footnote w:id="10">
    <w:p w14:paraId="2E7A4B09" w14:textId="0D959154" w:rsidR="00F3244E" w:rsidRDefault="00F3244E" w:rsidP="00A01891">
      <w:pPr>
        <w:pStyle w:val="FootnoteText"/>
      </w:pPr>
      <w:r w:rsidRPr="00186A10">
        <w:rPr>
          <w:rStyle w:val="FootnoteReference"/>
          <w:rFonts w:ascii="Arial Narrow" w:hAnsi="Arial Narrow"/>
          <w:sz w:val="18"/>
        </w:rPr>
        <w:footnoteRef/>
      </w:r>
      <w:r w:rsidRPr="00186A10">
        <w:rPr>
          <w:rFonts w:ascii="Arial Narrow" w:hAnsi="Arial Narrow"/>
          <w:sz w:val="18"/>
        </w:rPr>
        <w:t xml:space="preserve"> </w:t>
      </w:r>
      <w:r w:rsidRPr="009E3477">
        <w:rPr>
          <w:rFonts w:ascii="Arial Narrow" w:hAnsi="Arial Narrow"/>
          <w:sz w:val="18"/>
        </w:rPr>
        <w:t>Cattrini C, Caffo O, De Giorgi U, et al., 2022. Apalutamide, Darolutamide and Enzalutamide for Nonmetastatic Castration-Resistant Prostate Cancer (m0CRPC): A Critical Review. Cancers (Basel), 14(7):1792. DOI: 10.3390/cancers14071792.</w:t>
      </w:r>
    </w:p>
  </w:footnote>
  <w:footnote w:id="11">
    <w:p w14:paraId="070688A4" w14:textId="77777777" w:rsidR="00654C71" w:rsidRPr="00654C71" w:rsidRDefault="00654C71" w:rsidP="00654C71">
      <w:pPr>
        <w:pStyle w:val="FootnoteText"/>
        <w:rPr>
          <w:rFonts w:ascii="Arial Narrow" w:hAnsi="Arial Narrow"/>
          <w:sz w:val="18"/>
          <w:szCs w:val="18"/>
        </w:rPr>
      </w:pPr>
      <w:r w:rsidRPr="00654C71">
        <w:rPr>
          <w:rStyle w:val="FootnoteReference"/>
          <w:rFonts w:ascii="Arial Narrow" w:hAnsi="Arial Narrow"/>
          <w:sz w:val="18"/>
          <w:szCs w:val="18"/>
        </w:rPr>
        <w:footnoteRef/>
      </w:r>
      <w:r w:rsidRPr="00654C71">
        <w:rPr>
          <w:rFonts w:ascii="Arial Narrow" w:hAnsi="Arial Narrow"/>
          <w:sz w:val="18"/>
          <w:szCs w:val="18"/>
        </w:rPr>
        <w:t xml:space="preserve"> </w:t>
      </w:r>
      <w:r w:rsidRPr="00654C71">
        <w:rPr>
          <w:rFonts w:ascii="Arial Narrow" w:hAnsi="Arial Narrow"/>
          <w:bCs/>
          <w:snapToGrid w:val="0"/>
          <w:sz w:val="18"/>
          <w:szCs w:val="18"/>
        </w:rPr>
        <w:t>Cherny NI, Dafni U, Bogaerts J, et al: ESMO-Magnitude of Clinical Benefit Scale version 1.1. Annals of Oncology 28:2340-2366, 2017</w:t>
      </w:r>
    </w:p>
  </w:footnote>
  <w:footnote w:id="12">
    <w:p w14:paraId="478E4993" w14:textId="77777777" w:rsidR="00F3244E" w:rsidRPr="0055690B" w:rsidRDefault="00F3244E" w:rsidP="00A01891">
      <w:pPr>
        <w:pStyle w:val="FootnoteText"/>
        <w:rPr>
          <w:rFonts w:ascii="Arial Narrow" w:hAnsi="Arial Narrow"/>
          <w:sz w:val="18"/>
        </w:rPr>
      </w:pPr>
      <w:r w:rsidRPr="0055690B">
        <w:rPr>
          <w:rStyle w:val="FootnoteReference"/>
          <w:rFonts w:ascii="Arial Narrow" w:hAnsi="Arial Narrow"/>
          <w:sz w:val="18"/>
        </w:rPr>
        <w:footnoteRef/>
      </w:r>
      <w:r w:rsidRPr="0055690B">
        <w:rPr>
          <w:rFonts w:ascii="Arial Narrow" w:hAnsi="Arial Narrow"/>
          <w:sz w:val="18"/>
        </w:rPr>
        <w:t xml:space="preserve"> Fizazi</w:t>
      </w:r>
      <w:r>
        <w:rPr>
          <w:rFonts w:ascii="Arial Narrow" w:hAnsi="Arial Narrow"/>
          <w:sz w:val="18"/>
        </w:rPr>
        <w:t xml:space="preserve"> </w:t>
      </w:r>
      <w:r w:rsidRPr="0055690B">
        <w:rPr>
          <w:rFonts w:ascii="Arial Narrow" w:hAnsi="Arial Narrow"/>
          <w:sz w:val="18"/>
        </w:rPr>
        <w:t xml:space="preserve">K, Foulon S, Carles J, </w:t>
      </w:r>
      <w:r>
        <w:rPr>
          <w:rFonts w:ascii="Arial Narrow" w:hAnsi="Arial Narrow"/>
          <w:sz w:val="18"/>
        </w:rPr>
        <w:t>et al.,</w:t>
      </w:r>
      <w:r w:rsidRPr="0055690B">
        <w:rPr>
          <w:rFonts w:ascii="Arial Narrow" w:hAnsi="Arial Narrow"/>
          <w:sz w:val="18"/>
        </w:rPr>
        <w:t xml:space="preserve"> 2022. Abiraterone plus prednisone added to androgen deprivation therapy and docetaxel in de novo metastatic castration-sensitive prostate cancer (PEACE-1): a multicentre, open-label, randomised, phase 3 study with a 2× 2 factorial design. The Lancet, 399(10336), </w:t>
      </w:r>
      <w:r>
        <w:rPr>
          <w:rFonts w:ascii="Arial Narrow" w:hAnsi="Arial Narrow"/>
          <w:sz w:val="18"/>
        </w:rPr>
        <w:t>pp.</w:t>
      </w:r>
      <w:r w:rsidRPr="0055690B">
        <w:rPr>
          <w:rFonts w:ascii="Arial Narrow" w:hAnsi="Arial Narrow"/>
          <w:sz w:val="18"/>
        </w:rPr>
        <w:t>1695-1707.</w:t>
      </w:r>
    </w:p>
  </w:footnote>
  <w:footnote w:id="13">
    <w:p w14:paraId="38A97740" w14:textId="77777777" w:rsidR="00F3244E" w:rsidRDefault="00F3244E" w:rsidP="00A01891">
      <w:pPr>
        <w:pStyle w:val="FootnoteText"/>
      </w:pPr>
      <w:r w:rsidRPr="0055690B">
        <w:rPr>
          <w:rStyle w:val="FootnoteReference"/>
          <w:rFonts w:ascii="Arial Narrow" w:hAnsi="Arial Narrow"/>
          <w:sz w:val="18"/>
        </w:rPr>
        <w:footnoteRef/>
      </w:r>
      <w:r w:rsidRPr="0055690B">
        <w:rPr>
          <w:rFonts w:ascii="Arial Narrow" w:hAnsi="Arial Narrow"/>
          <w:sz w:val="18"/>
        </w:rPr>
        <w:t xml:space="preserve"> Smith MR, Hussain M, Saad F, </w:t>
      </w:r>
      <w:r>
        <w:rPr>
          <w:rFonts w:ascii="Arial Narrow" w:hAnsi="Arial Narrow"/>
          <w:sz w:val="18"/>
        </w:rPr>
        <w:t>et al</w:t>
      </w:r>
      <w:r w:rsidRPr="0055690B">
        <w:rPr>
          <w:rFonts w:ascii="Arial Narrow" w:hAnsi="Arial Narrow"/>
          <w:sz w:val="18"/>
        </w:rPr>
        <w:t>.</w:t>
      </w:r>
      <w:r>
        <w:rPr>
          <w:rFonts w:ascii="Arial Narrow" w:hAnsi="Arial Narrow"/>
          <w:sz w:val="18"/>
        </w:rPr>
        <w:t>,</w:t>
      </w:r>
      <w:r w:rsidRPr="0055690B">
        <w:rPr>
          <w:rFonts w:ascii="Arial Narrow" w:hAnsi="Arial Narrow"/>
          <w:sz w:val="18"/>
        </w:rPr>
        <w:t xml:space="preserve"> 2022. Darolutamide and survival in metastatic, hormone-sensitive prostate cancer. New England Journal of Medicine, 386(12), </w:t>
      </w:r>
      <w:r>
        <w:rPr>
          <w:rFonts w:ascii="Arial Narrow" w:hAnsi="Arial Narrow"/>
          <w:sz w:val="18"/>
        </w:rPr>
        <w:t>pp.</w:t>
      </w:r>
      <w:r w:rsidRPr="0055690B">
        <w:rPr>
          <w:rFonts w:ascii="Arial Narrow" w:hAnsi="Arial Narrow"/>
          <w:sz w:val="18"/>
        </w:rPr>
        <w:t>1132-1142.</w:t>
      </w:r>
    </w:p>
  </w:footnote>
  <w:footnote w:id="14">
    <w:p w14:paraId="2A037EBC" w14:textId="2B5A60B4" w:rsidR="00F3244E" w:rsidRDefault="00F3244E" w:rsidP="00B90B63">
      <w:pPr>
        <w:pStyle w:val="TableFigureFooter"/>
        <w:spacing w:after="0"/>
        <w:jc w:val="left"/>
      </w:pPr>
      <w:r>
        <w:rPr>
          <w:rStyle w:val="FootnoteReference"/>
        </w:rPr>
        <w:footnoteRef/>
      </w:r>
      <w:r>
        <w:t xml:space="preserve"> Davis ID, Martin AJ, Zielinski RR, et al., 2022.</w:t>
      </w:r>
      <w:r w:rsidRPr="00DF0ADB">
        <w:t xml:space="preserve"> </w:t>
      </w:r>
      <w:r>
        <w:t xml:space="preserve">Updated overall survival outcomes in ENZAMET (ANZUP 1304), an international, cooperative group trial of enzalutamide in metastatic hormone-sensitive prostate cancer (mHSPC). Journal of Clinical Oncology, </w:t>
      </w:r>
      <w:r w:rsidRPr="00653B6C">
        <w:t>40:17_suppl, LBA5004-LBA5004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8BC8" w14:textId="77777777" w:rsidR="008D2482" w:rsidRDefault="008D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B6FA" w14:textId="70D632B9" w:rsidR="00614302" w:rsidRDefault="008815B9">
    <w:pPr>
      <w:pStyle w:val="Header"/>
      <w:rPr>
        <w:i/>
        <w:iCs/>
      </w:rPr>
    </w:pPr>
    <w:r>
      <w:rPr>
        <w:i/>
        <w:iCs/>
      </w:rPr>
      <w:t>Public Summary Document</w:t>
    </w:r>
    <w:r w:rsidR="0075485D">
      <w:rPr>
        <w:i/>
        <w:iCs/>
      </w:rPr>
      <w:t xml:space="preserve"> - </w:t>
    </w:r>
    <w:r w:rsidR="00F32398" w:rsidRPr="00F32398">
      <w:rPr>
        <w:i/>
        <w:iCs/>
      </w:rPr>
      <w:t>March 2023 PBAC Meeting</w:t>
    </w:r>
  </w:p>
  <w:p w14:paraId="49978F7C" w14:textId="77777777" w:rsidR="00F32398" w:rsidRDefault="00F32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07F" w14:textId="77777777" w:rsidR="008D2482" w:rsidRDefault="008D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844"/>
    <w:multiLevelType w:val="hybridMultilevel"/>
    <w:tmpl w:val="12583056"/>
    <w:lvl w:ilvl="0" w:tplc="235280C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03A97"/>
    <w:multiLevelType w:val="hybridMultilevel"/>
    <w:tmpl w:val="A18A9C04"/>
    <w:lvl w:ilvl="0" w:tplc="0C090001">
      <w:start w:val="1"/>
      <w:numFmt w:val="bullet"/>
      <w:lvlText w:val=""/>
      <w:lvlJc w:val="left"/>
      <w:pPr>
        <w:ind w:left="1440" w:hanging="360"/>
      </w:pPr>
      <w:rPr>
        <w:rFonts w:ascii="Symbol" w:hAnsi="Symbol" w:hint="default"/>
      </w:rPr>
    </w:lvl>
    <w:lvl w:ilvl="1" w:tplc="D8E438C8">
      <w:numFmt w:val="bullet"/>
      <w:lvlText w:val="•"/>
      <w:lvlJc w:val="left"/>
      <w:pPr>
        <w:ind w:left="2160" w:hanging="360"/>
      </w:pPr>
      <w:rPr>
        <w:rFonts w:ascii="Calibri" w:eastAsia="Times New Roman" w:hAnsi="Calibri" w:cs="Calibr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AE461CC"/>
    <w:multiLevelType w:val="multilevel"/>
    <w:tmpl w:val="483A53DC"/>
    <w:styleLink w:val="CurrentList2"/>
    <w:lvl w:ilvl="0">
      <w:start w:val="6"/>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8E2559"/>
    <w:multiLevelType w:val="hybridMultilevel"/>
    <w:tmpl w:val="E53A70EE"/>
    <w:lvl w:ilvl="0" w:tplc="8D080E9C">
      <w:numFmt w:val="bullet"/>
      <w:lvlText w:val="•"/>
      <w:lvlJc w:val="left"/>
      <w:pPr>
        <w:ind w:left="720" w:hanging="360"/>
      </w:pPr>
      <w:rPr>
        <w:rFonts w:ascii="Arial Narrow" w:eastAsia="Times New Roman" w:hAnsi="Arial Narrow" w:cs="Times New Roman"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C5686B"/>
    <w:multiLevelType w:val="hybridMultilevel"/>
    <w:tmpl w:val="61EAD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C02F4A"/>
    <w:multiLevelType w:val="multilevel"/>
    <w:tmpl w:val="BFA812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22B98"/>
    <w:multiLevelType w:val="hybridMultilevel"/>
    <w:tmpl w:val="638208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5D2865"/>
    <w:multiLevelType w:val="multilevel"/>
    <w:tmpl w:val="483A53DC"/>
    <w:lvl w:ilvl="0">
      <w:start w:val="6"/>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42897"/>
    <w:multiLevelType w:val="multilevel"/>
    <w:tmpl w:val="D70ECB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250968"/>
    <w:multiLevelType w:val="hybridMultilevel"/>
    <w:tmpl w:val="A40ABCB0"/>
    <w:lvl w:ilvl="0" w:tplc="33F0EBEE">
      <w:start w:val="1"/>
      <w:numFmt w:val="lowerLetter"/>
      <w:lvlText w:val="%1)"/>
      <w:lvlJc w:val="left"/>
      <w:pPr>
        <w:ind w:left="829" w:hanging="360"/>
      </w:pPr>
      <w:rPr>
        <w:i w:val="0"/>
        <w:iCs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20" w15:restartNumberingAfterBreak="0">
    <w:nsid w:val="540C0537"/>
    <w:multiLevelType w:val="hybridMultilevel"/>
    <w:tmpl w:val="759A0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320C95"/>
    <w:multiLevelType w:val="hybridMultilevel"/>
    <w:tmpl w:val="E5A2332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65D65D3"/>
    <w:multiLevelType w:val="hybridMultilevel"/>
    <w:tmpl w:val="E4CCF47C"/>
    <w:lvl w:ilvl="0" w:tplc="09CE9502">
      <w:start w:val="3"/>
      <w:numFmt w:val="bullet"/>
      <w:lvlText w:val="-"/>
      <w:lvlJc w:val="left"/>
      <w:pPr>
        <w:ind w:left="36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917F9D"/>
    <w:multiLevelType w:val="multilevel"/>
    <w:tmpl w:val="DFF0A32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0F2795"/>
    <w:multiLevelType w:val="hybridMultilevel"/>
    <w:tmpl w:val="390030C0"/>
    <w:lvl w:ilvl="0" w:tplc="81DE8742">
      <w:start w:val="1"/>
      <w:numFmt w:val="decimal"/>
      <w:lvlText w:val="%1."/>
      <w:lvlJc w:val="left"/>
      <w:pPr>
        <w:ind w:left="36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5436C01"/>
    <w:multiLevelType w:val="multilevel"/>
    <w:tmpl w:val="45FC285E"/>
    <w:styleLink w:val="CurrentList1"/>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1910B2"/>
    <w:multiLevelType w:val="hybridMultilevel"/>
    <w:tmpl w:val="4ECE8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DE1040"/>
    <w:multiLevelType w:val="multilevel"/>
    <w:tmpl w:val="21A8A56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90E9E"/>
    <w:multiLevelType w:val="multilevel"/>
    <w:tmpl w:val="D70ECB5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6"/>
  </w:num>
  <w:num w:numId="3">
    <w:abstractNumId w:val="17"/>
  </w:num>
  <w:num w:numId="4">
    <w:abstractNumId w:val="0"/>
  </w:num>
  <w:num w:numId="5">
    <w:abstractNumId w:val="31"/>
  </w:num>
  <w:num w:numId="6">
    <w:abstractNumId w:val="28"/>
  </w:num>
  <w:num w:numId="7">
    <w:abstractNumId w:val="1"/>
  </w:num>
  <w:num w:numId="8">
    <w:abstractNumId w:val="14"/>
  </w:num>
  <w:num w:numId="9">
    <w:abstractNumId w:val="24"/>
  </w:num>
  <w:num w:numId="10">
    <w:abstractNumId w:val="30"/>
  </w:num>
  <w:num w:numId="11">
    <w:abstractNumId w:val="15"/>
  </w:num>
  <w:num w:numId="12">
    <w:abstractNumId w:val="6"/>
  </w:num>
  <w:num w:numId="13">
    <w:abstractNumId w:val="7"/>
  </w:num>
  <w:num w:numId="14">
    <w:abstractNumId w:val="13"/>
  </w:num>
  <w:num w:numId="15">
    <w:abstractNumId w:val="23"/>
  </w:num>
  <w:num w:numId="16">
    <w:abstractNumId w:val="5"/>
  </w:num>
  <w:num w:numId="17">
    <w:abstractNumId w:val="32"/>
  </w:num>
  <w:num w:numId="18">
    <w:abstractNumId w:val="26"/>
  </w:num>
  <w:num w:numId="19">
    <w:abstractNumId w:val="19"/>
  </w:num>
  <w:num w:numId="20">
    <w:abstractNumId w:val="18"/>
  </w:num>
  <w:num w:numId="21">
    <w:abstractNumId w:val="34"/>
  </w:num>
  <w:num w:numId="22">
    <w:abstractNumId w:val="9"/>
  </w:num>
  <w:num w:numId="23">
    <w:abstractNumId w:val="20"/>
  </w:num>
  <w:num w:numId="24">
    <w:abstractNumId w:val="12"/>
  </w:num>
  <w:num w:numId="25">
    <w:abstractNumId w:val="3"/>
  </w:num>
  <w:num w:numId="26">
    <w:abstractNumId w:val="21"/>
  </w:num>
  <w:num w:numId="27">
    <w:abstractNumId w:val="22"/>
  </w:num>
  <w:num w:numId="28">
    <w:abstractNumId w:val="4"/>
  </w:num>
  <w:num w:numId="29">
    <w:abstractNumId w:val="2"/>
  </w:num>
  <w:num w:numId="30">
    <w:abstractNumId w:val="10"/>
  </w:num>
  <w:num w:numId="31">
    <w:abstractNumId w:val="11"/>
  </w:num>
  <w:num w:numId="32">
    <w:abstractNumId w:val="8"/>
  </w:num>
  <w:num w:numId="3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5"/>
  </w:num>
  <w:num w:numId="36">
    <w:abstractNumId w:val="33"/>
  </w:num>
  <w:num w:numId="37">
    <w:abstractNumId w:val="31"/>
  </w:num>
  <w:num w:numId="38">
    <w:abstractNumId w:val="31"/>
  </w:num>
  <w:num w:numId="39">
    <w:abstractNumId w:val="31"/>
  </w:num>
  <w:num w:numId="4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ocial Science and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65E79"/>
    <w:rsid w:val="00000790"/>
    <w:rsid w:val="00000E8F"/>
    <w:rsid w:val="0000110B"/>
    <w:rsid w:val="0000120D"/>
    <w:rsid w:val="00003499"/>
    <w:rsid w:val="00003737"/>
    <w:rsid w:val="000039B7"/>
    <w:rsid w:val="00003FD8"/>
    <w:rsid w:val="000049DB"/>
    <w:rsid w:val="000050FF"/>
    <w:rsid w:val="000056B9"/>
    <w:rsid w:val="0000639A"/>
    <w:rsid w:val="00013247"/>
    <w:rsid w:val="00015886"/>
    <w:rsid w:val="000162EF"/>
    <w:rsid w:val="000207C9"/>
    <w:rsid w:val="0002225F"/>
    <w:rsid w:val="00022AB3"/>
    <w:rsid w:val="00023763"/>
    <w:rsid w:val="00024A4B"/>
    <w:rsid w:val="00024EB5"/>
    <w:rsid w:val="000274B8"/>
    <w:rsid w:val="00033863"/>
    <w:rsid w:val="00033CDE"/>
    <w:rsid w:val="00035DC0"/>
    <w:rsid w:val="000362B5"/>
    <w:rsid w:val="00036426"/>
    <w:rsid w:val="00036584"/>
    <w:rsid w:val="00036829"/>
    <w:rsid w:val="00040895"/>
    <w:rsid w:val="000410A0"/>
    <w:rsid w:val="000435EE"/>
    <w:rsid w:val="00043C37"/>
    <w:rsid w:val="000441D2"/>
    <w:rsid w:val="00045017"/>
    <w:rsid w:val="00045A2B"/>
    <w:rsid w:val="0004686F"/>
    <w:rsid w:val="0004698F"/>
    <w:rsid w:val="00046D64"/>
    <w:rsid w:val="000508C2"/>
    <w:rsid w:val="00051881"/>
    <w:rsid w:val="000539D0"/>
    <w:rsid w:val="00054621"/>
    <w:rsid w:val="000546D7"/>
    <w:rsid w:val="00054A8D"/>
    <w:rsid w:val="00056ECF"/>
    <w:rsid w:val="00056F6B"/>
    <w:rsid w:val="000604DF"/>
    <w:rsid w:val="000616E8"/>
    <w:rsid w:val="000653B5"/>
    <w:rsid w:val="00066360"/>
    <w:rsid w:val="00066AF8"/>
    <w:rsid w:val="000670A6"/>
    <w:rsid w:val="00071248"/>
    <w:rsid w:val="000720B9"/>
    <w:rsid w:val="000737F7"/>
    <w:rsid w:val="00073DBE"/>
    <w:rsid w:val="0007672F"/>
    <w:rsid w:val="00076B54"/>
    <w:rsid w:val="000774F0"/>
    <w:rsid w:val="000800AC"/>
    <w:rsid w:val="0008059E"/>
    <w:rsid w:val="00080909"/>
    <w:rsid w:val="000812CA"/>
    <w:rsid w:val="00081E63"/>
    <w:rsid w:val="00081EEE"/>
    <w:rsid w:val="0008258D"/>
    <w:rsid w:val="00083E99"/>
    <w:rsid w:val="00084FA8"/>
    <w:rsid w:val="000856C5"/>
    <w:rsid w:val="00085C31"/>
    <w:rsid w:val="000877F9"/>
    <w:rsid w:val="000902D9"/>
    <w:rsid w:val="00090C7E"/>
    <w:rsid w:val="000911AC"/>
    <w:rsid w:val="00091AFA"/>
    <w:rsid w:val="00092600"/>
    <w:rsid w:val="0009262B"/>
    <w:rsid w:val="00093310"/>
    <w:rsid w:val="00093E39"/>
    <w:rsid w:val="0009445C"/>
    <w:rsid w:val="0009515F"/>
    <w:rsid w:val="00095200"/>
    <w:rsid w:val="00095FE5"/>
    <w:rsid w:val="00096284"/>
    <w:rsid w:val="000A0FA7"/>
    <w:rsid w:val="000A1BC0"/>
    <w:rsid w:val="000A2F9E"/>
    <w:rsid w:val="000A3E47"/>
    <w:rsid w:val="000A4A48"/>
    <w:rsid w:val="000A522B"/>
    <w:rsid w:val="000A6039"/>
    <w:rsid w:val="000A7453"/>
    <w:rsid w:val="000A7D08"/>
    <w:rsid w:val="000B0121"/>
    <w:rsid w:val="000B0670"/>
    <w:rsid w:val="000B0E75"/>
    <w:rsid w:val="000B2DCB"/>
    <w:rsid w:val="000B31CA"/>
    <w:rsid w:val="000B5CE0"/>
    <w:rsid w:val="000B6CAC"/>
    <w:rsid w:val="000B7612"/>
    <w:rsid w:val="000B78AE"/>
    <w:rsid w:val="000C3DF9"/>
    <w:rsid w:val="000C4677"/>
    <w:rsid w:val="000C4CF2"/>
    <w:rsid w:val="000C5ACE"/>
    <w:rsid w:val="000C6713"/>
    <w:rsid w:val="000D1BFC"/>
    <w:rsid w:val="000D1D5D"/>
    <w:rsid w:val="000D281A"/>
    <w:rsid w:val="000D2848"/>
    <w:rsid w:val="000D326A"/>
    <w:rsid w:val="000D51FB"/>
    <w:rsid w:val="000E0640"/>
    <w:rsid w:val="000E11BB"/>
    <w:rsid w:val="000E135D"/>
    <w:rsid w:val="000E59A6"/>
    <w:rsid w:val="000F00BA"/>
    <w:rsid w:val="000F316A"/>
    <w:rsid w:val="000F3C74"/>
    <w:rsid w:val="000F4BB8"/>
    <w:rsid w:val="000F4FA9"/>
    <w:rsid w:val="000F53FB"/>
    <w:rsid w:val="000F7127"/>
    <w:rsid w:val="000F73F6"/>
    <w:rsid w:val="000F754D"/>
    <w:rsid w:val="000F7B54"/>
    <w:rsid w:val="001000B3"/>
    <w:rsid w:val="00100F8A"/>
    <w:rsid w:val="0010452E"/>
    <w:rsid w:val="00105AE2"/>
    <w:rsid w:val="001060C6"/>
    <w:rsid w:val="00106B80"/>
    <w:rsid w:val="001076A0"/>
    <w:rsid w:val="0011032E"/>
    <w:rsid w:val="0011153F"/>
    <w:rsid w:val="0011348B"/>
    <w:rsid w:val="00114B31"/>
    <w:rsid w:val="00115982"/>
    <w:rsid w:val="00116C53"/>
    <w:rsid w:val="0012075A"/>
    <w:rsid w:val="0012099D"/>
    <w:rsid w:val="00121799"/>
    <w:rsid w:val="001222FC"/>
    <w:rsid w:val="00122563"/>
    <w:rsid w:val="00123902"/>
    <w:rsid w:val="00124A51"/>
    <w:rsid w:val="00125674"/>
    <w:rsid w:val="00126621"/>
    <w:rsid w:val="00126B1D"/>
    <w:rsid w:val="001301E9"/>
    <w:rsid w:val="00131D82"/>
    <w:rsid w:val="00132B22"/>
    <w:rsid w:val="00133D36"/>
    <w:rsid w:val="00133D72"/>
    <w:rsid w:val="00137645"/>
    <w:rsid w:val="00137D1B"/>
    <w:rsid w:val="0014015A"/>
    <w:rsid w:val="00140E99"/>
    <w:rsid w:val="00141B39"/>
    <w:rsid w:val="00143F67"/>
    <w:rsid w:val="00144C6B"/>
    <w:rsid w:val="00145234"/>
    <w:rsid w:val="00145540"/>
    <w:rsid w:val="001456B0"/>
    <w:rsid w:val="0015153E"/>
    <w:rsid w:val="001547AB"/>
    <w:rsid w:val="00156F8F"/>
    <w:rsid w:val="00157130"/>
    <w:rsid w:val="001576B1"/>
    <w:rsid w:val="0016047B"/>
    <w:rsid w:val="00160A4C"/>
    <w:rsid w:val="0016273B"/>
    <w:rsid w:val="00162913"/>
    <w:rsid w:val="00163216"/>
    <w:rsid w:val="00163EFF"/>
    <w:rsid w:val="00163F66"/>
    <w:rsid w:val="0016478E"/>
    <w:rsid w:val="00165EC4"/>
    <w:rsid w:val="001661FB"/>
    <w:rsid w:val="0016714B"/>
    <w:rsid w:val="001671A0"/>
    <w:rsid w:val="0016767F"/>
    <w:rsid w:val="00173565"/>
    <w:rsid w:val="00173B07"/>
    <w:rsid w:val="00174628"/>
    <w:rsid w:val="001751FA"/>
    <w:rsid w:val="00177866"/>
    <w:rsid w:val="001778B4"/>
    <w:rsid w:val="00181C10"/>
    <w:rsid w:val="00181D9C"/>
    <w:rsid w:val="001836A3"/>
    <w:rsid w:val="001837FF"/>
    <w:rsid w:val="00184B0E"/>
    <w:rsid w:val="00185B80"/>
    <w:rsid w:val="0018752F"/>
    <w:rsid w:val="00190F04"/>
    <w:rsid w:val="00193838"/>
    <w:rsid w:val="00194AD8"/>
    <w:rsid w:val="00195222"/>
    <w:rsid w:val="00195452"/>
    <w:rsid w:val="001975D8"/>
    <w:rsid w:val="001A178E"/>
    <w:rsid w:val="001A43FA"/>
    <w:rsid w:val="001A47C5"/>
    <w:rsid w:val="001A59FB"/>
    <w:rsid w:val="001A5E9E"/>
    <w:rsid w:val="001A6354"/>
    <w:rsid w:val="001A6366"/>
    <w:rsid w:val="001A7AE8"/>
    <w:rsid w:val="001B04DC"/>
    <w:rsid w:val="001B204E"/>
    <w:rsid w:val="001B2372"/>
    <w:rsid w:val="001B3443"/>
    <w:rsid w:val="001B3DAF"/>
    <w:rsid w:val="001B4D20"/>
    <w:rsid w:val="001B6CDD"/>
    <w:rsid w:val="001B7F84"/>
    <w:rsid w:val="001C2A9B"/>
    <w:rsid w:val="001C3DD6"/>
    <w:rsid w:val="001C4299"/>
    <w:rsid w:val="001C4874"/>
    <w:rsid w:val="001C5F94"/>
    <w:rsid w:val="001C69CB"/>
    <w:rsid w:val="001C6E66"/>
    <w:rsid w:val="001D0B99"/>
    <w:rsid w:val="001D1100"/>
    <w:rsid w:val="001D1391"/>
    <w:rsid w:val="001D1664"/>
    <w:rsid w:val="001D25D7"/>
    <w:rsid w:val="001D4BB2"/>
    <w:rsid w:val="001D50B2"/>
    <w:rsid w:val="001D5A74"/>
    <w:rsid w:val="001D6E3D"/>
    <w:rsid w:val="001D71F4"/>
    <w:rsid w:val="001D7645"/>
    <w:rsid w:val="001E1E86"/>
    <w:rsid w:val="001E238E"/>
    <w:rsid w:val="001E2483"/>
    <w:rsid w:val="001E2B1E"/>
    <w:rsid w:val="001E2CFF"/>
    <w:rsid w:val="001E2F24"/>
    <w:rsid w:val="001E30D4"/>
    <w:rsid w:val="001E34DF"/>
    <w:rsid w:val="001E496B"/>
    <w:rsid w:val="001E52EB"/>
    <w:rsid w:val="001E596A"/>
    <w:rsid w:val="001E61D2"/>
    <w:rsid w:val="001E740C"/>
    <w:rsid w:val="001F1235"/>
    <w:rsid w:val="001F1CB3"/>
    <w:rsid w:val="001F38B5"/>
    <w:rsid w:val="001F4081"/>
    <w:rsid w:val="001F507C"/>
    <w:rsid w:val="001F7361"/>
    <w:rsid w:val="002011B0"/>
    <w:rsid w:val="00201803"/>
    <w:rsid w:val="00203054"/>
    <w:rsid w:val="00203181"/>
    <w:rsid w:val="002033C7"/>
    <w:rsid w:val="00203783"/>
    <w:rsid w:val="0020385F"/>
    <w:rsid w:val="00203DD7"/>
    <w:rsid w:val="0020427D"/>
    <w:rsid w:val="002068A0"/>
    <w:rsid w:val="00207021"/>
    <w:rsid w:val="0020732F"/>
    <w:rsid w:val="00207775"/>
    <w:rsid w:val="00207D00"/>
    <w:rsid w:val="002101B2"/>
    <w:rsid w:val="002105C1"/>
    <w:rsid w:val="002116FD"/>
    <w:rsid w:val="0021355B"/>
    <w:rsid w:val="00213EF5"/>
    <w:rsid w:val="00216BF5"/>
    <w:rsid w:val="00223B49"/>
    <w:rsid w:val="00223D5A"/>
    <w:rsid w:val="00224DD4"/>
    <w:rsid w:val="002278A0"/>
    <w:rsid w:val="002309CC"/>
    <w:rsid w:val="00231BA9"/>
    <w:rsid w:val="0023209F"/>
    <w:rsid w:val="0023279D"/>
    <w:rsid w:val="00233C01"/>
    <w:rsid w:val="0023413C"/>
    <w:rsid w:val="002346F0"/>
    <w:rsid w:val="0023629D"/>
    <w:rsid w:val="00237255"/>
    <w:rsid w:val="002406B7"/>
    <w:rsid w:val="002424AF"/>
    <w:rsid w:val="0024308B"/>
    <w:rsid w:val="002439DC"/>
    <w:rsid w:val="002441D2"/>
    <w:rsid w:val="00244C2E"/>
    <w:rsid w:val="00244DC8"/>
    <w:rsid w:val="00245681"/>
    <w:rsid w:val="002458BA"/>
    <w:rsid w:val="00245CE9"/>
    <w:rsid w:val="0024636C"/>
    <w:rsid w:val="00246EC9"/>
    <w:rsid w:val="00247925"/>
    <w:rsid w:val="00247C96"/>
    <w:rsid w:val="00250C84"/>
    <w:rsid w:val="00251006"/>
    <w:rsid w:val="002524D5"/>
    <w:rsid w:val="00253B1D"/>
    <w:rsid w:val="00254DCF"/>
    <w:rsid w:val="0025534B"/>
    <w:rsid w:val="00255BB7"/>
    <w:rsid w:val="00257541"/>
    <w:rsid w:val="00257A39"/>
    <w:rsid w:val="00257AC4"/>
    <w:rsid w:val="00257BBE"/>
    <w:rsid w:val="002609F1"/>
    <w:rsid w:val="00261EEF"/>
    <w:rsid w:val="00262A1A"/>
    <w:rsid w:val="00262A87"/>
    <w:rsid w:val="0026320F"/>
    <w:rsid w:val="0026497E"/>
    <w:rsid w:val="00264D26"/>
    <w:rsid w:val="0026648E"/>
    <w:rsid w:val="00267642"/>
    <w:rsid w:val="00267AEA"/>
    <w:rsid w:val="00267F8F"/>
    <w:rsid w:val="002700E6"/>
    <w:rsid w:val="0027294B"/>
    <w:rsid w:val="002729DB"/>
    <w:rsid w:val="00273330"/>
    <w:rsid w:val="002734B6"/>
    <w:rsid w:val="00273EB4"/>
    <w:rsid w:val="00274682"/>
    <w:rsid w:val="00275158"/>
    <w:rsid w:val="00275C5A"/>
    <w:rsid w:val="0028005B"/>
    <w:rsid w:val="00281014"/>
    <w:rsid w:val="002838C1"/>
    <w:rsid w:val="002845D6"/>
    <w:rsid w:val="00285BCE"/>
    <w:rsid w:val="0028665D"/>
    <w:rsid w:val="00286EAB"/>
    <w:rsid w:val="00294CC3"/>
    <w:rsid w:val="002A14AB"/>
    <w:rsid w:val="002A2ADE"/>
    <w:rsid w:val="002A2F50"/>
    <w:rsid w:val="002A756B"/>
    <w:rsid w:val="002A7637"/>
    <w:rsid w:val="002A788F"/>
    <w:rsid w:val="002A7943"/>
    <w:rsid w:val="002A7FFC"/>
    <w:rsid w:val="002B05A1"/>
    <w:rsid w:val="002B09A4"/>
    <w:rsid w:val="002B1C1F"/>
    <w:rsid w:val="002B432F"/>
    <w:rsid w:val="002B5BA6"/>
    <w:rsid w:val="002B62B3"/>
    <w:rsid w:val="002B6754"/>
    <w:rsid w:val="002B6CCE"/>
    <w:rsid w:val="002B7579"/>
    <w:rsid w:val="002B7D0C"/>
    <w:rsid w:val="002C2510"/>
    <w:rsid w:val="002C2775"/>
    <w:rsid w:val="002C27C1"/>
    <w:rsid w:val="002C2CBF"/>
    <w:rsid w:val="002C3573"/>
    <w:rsid w:val="002C36E3"/>
    <w:rsid w:val="002C5099"/>
    <w:rsid w:val="002C5889"/>
    <w:rsid w:val="002C67AA"/>
    <w:rsid w:val="002C71CE"/>
    <w:rsid w:val="002D08F8"/>
    <w:rsid w:val="002D4864"/>
    <w:rsid w:val="002D577C"/>
    <w:rsid w:val="002D6F9D"/>
    <w:rsid w:val="002D7832"/>
    <w:rsid w:val="002E1071"/>
    <w:rsid w:val="002E15B9"/>
    <w:rsid w:val="002E2158"/>
    <w:rsid w:val="002E2C37"/>
    <w:rsid w:val="002E438D"/>
    <w:rsid w:val="002E4F02"/>
    <w:rsid w:val="002E648A"/>
    <w:rsid w:val="002E6B1D"/>
    <w:rsid w:val="002E7275"/>
    <w:rsid w:val="002E7722"/>
    <w:rsid w:val="002E78EB"/>
    <w:rsid w:val="002F07BA"/>
    <w:rsid w:val="002F0DA9"/>
    <w:rsid w:val="002F1014"/>
    <w:rsid w:val="002F13D1"/>
    <w:rsid w:val="002F17B3"/>
    <w:rsid w:val="002F1E3B"/>
    <w:rsid w:val="002F643C"/>
    <w:rsid w:val="002F71C0"/>
    <w:rsid w:val="002F74F1"/>
    <w:rsid w:val="00301017"/>
    <w:rsid w:val="0030155F"/>
    <w:rsid w:val="0030587B"/>
    <w:rsid w:val="00306D98"/>
    <w:rsid w:val="0030786C"/>
    <w:rsid w:val="00307E3A"/>
    <w:rsid w:val="0031031A"/>
    <w:rsid w:val="00310981"/>
    <w:rsid w:val="00311D9B"/>
    <w:rsid w:val="003124D9"/>
    <w:rsid w:val="00312594"/>
    <w:rsid w:val="003143DC"/>
    <w:rsid w:val="00314CEE"/>
    <w:rsid w:val="00315498"/>
    <w:rsid w:val="00315A7E"/>
    <w:rsid w:val="00316474"/>
    <w:rsid w:val="00322107"/>
    <w:rsid w:val="00322355"/>
    <w:rsid w:val="00322526"/>
    <w:rsid w:val="00322846"/>
    <w:rsid w:val="00326DA7"/>
    <w:rsid w:val="003270E4"/>
    <w:rsid w:val="0033092C"/>
    <w:rsid w:val="00330DAA"/>
    <w:rsid w:val="00330F5C"/>
    <w:rsid w:val="003330C9"/>
    <w:rsid w:val="003340E8"/>
    <w:rsid w:val="003366C9"/>
    <w:rsid w:val="003371B0"/>
    <w:rsid w:val="003408C6"/>
    <w:rsid w:val="00340DF1"/>
    <w:rsid w:val="003517F9"/>
    <w:rsid w:val="0035182C"/>
    <w:rsid w:val="00351BA9"/>
    <w:rsid w:val="0035301A"/>
    <w:rsid w:val="00353E82"/>
    <w:rsid w:val="00354ACE"/>
    <w:rsid w:val="00354F64"/>
    <w:rsid w:val="0035620E"/>
    <w:rsid w:val="003575BE"/>
    <w:rsid w:val="00360345"/>
    <w:rsid w:val="00361A05"/>
    <w:rsid w:val="003623C8"/>
    <w:rsid w:val="003624C4"/>
    <w:rsid w:val="00362F05"/>
    <w:rsid w:val="00363B00"/>
    <w:rsid w:val="003654AC"/>
    <w:rsid w:val="00367461"/>
    <w:rsid w:val="00367836"/>
    <w:rsid w:val="003710CF"/>
    <w:rsid w:val="0037358A"/>
    <w:rsid w:val="003750F6"/>
    <w:rsid w:val="003760FC"/>
    <w:rsid w:val="0038365C"/>
    <w:rsid w:val="0038369B"/>
    <w:rsid w:val="00383B78"/>
    <w:rsid w:val="00385A9D"/>
    <w:rsid w:val="00387121"/>
    <w:rsid w:val="003902B1"/>
    <w:rsid w:val="0039179C"/>
    <w:rsid w:val="00395585"/>
    <w:rsid w:val="003955C0"/>
    <w:rsid w:val="00396896"/>
    <w:rsid w:val="00396FD0"/>
    <w:rsid w:val="003A1A7A"/>
    <w:rsid w:val="003A2392"/>
    <w:rsid w:val="003A2831"/>
    <w:rsid w:val="003A3744"/>
    <w:rsid w:val="003A3CB6"/>
    <w:rsid w:val="003A3DA9"/>
    <w:rsid w:val="003A3ED1"/>
    <w:rsid w:val="003A44DB"/>
    <w:rsid w:val="003A4C14"/>
    <w:rsid w:val="003A5EB6"/>
    <w:rsid w:val="003A7836"/>
    <w:rsid w:val="003B0105"/>
    <w:rsid w:val="003B3971"/>
    <w:rsid w:val="003B50E6"/>
    <w:rsid w:val="003B55D1"/>
    <w:rsid w:val="003B5B61"/>
    <w:rsid w:val="003B67B9"/>
    <w:rsid w:val="003C08F7"/>
    <w:rsid w:val="003C1654"/>
    <w:rsid w:val="003C5542"/>
    <w:rsid w:val="003C7C15"/>
    <w:rsid w:val="003C7D19"/>
    <w:rsid w:val="003C7D2F"/>
    <w:rsid w:val="003D09BD"/>
    <w:rsid w:val="003D0AA8"/>
    <w:rsid w:val="003D0C5A"/>
    <w:rsid w:val="003D10AE"/>
    <w:rsid w:val="003D1828"/>
    <w:rsid w:val="003D1DE4"/>
    <w:rsid w:val="003D1E9A"/>
    <w:rsid w:val="003D2422"/>
    <w:rsid w:val="003D39A1"/>
    <w:rsid w:val="003D3FBF"/>
    <w:rsid w:val="003D4A30"/>
    <w:rsid w:val="003D7452"/>
    <w:rsid w:val="003D79BB"/>
    <w:rsid w:val="003D7C98"/>
    <w:rsid w:val="003D7D9D"/>
    <w:rsid w:val="003E0543"/>
    <w:rsid w:val="003E1B1F"/>
    <w:rsid w:val="003E5603"/>
    <w:rsid w:val="003E6BE7"/>
    <w:rsid w:val="003E749E"/>
    <w:rsid w:val="003F0FF8"/>
    <w:rsid w:val="003F1383"/>
    <w:rsid w:val="003F33AC"/>
    <w:rsid w:val="003F4156"/>
    <w:rsid w:val="003F5ADF"/>
    <w:rsid w:val="00400B29"/>
    <w:rsid w:val="00402812"/>
    <w:rsid w:val="0040504B"/>
    <w:rsid w:val="004059F4"/>
    <w:rsid w:val="0040768B"/>
    <w:rsid w:val="00407FE5"/>
    <w:rsid w:val="004101B0"/>
    <w:rsid w:val="00410326"/>
    <w:rsid w:val="00410708"/>
    <w:rsid w:val="00410EC7"/>
    <w:rsid w:val="00411B39"/>
    <w:rsid w:val="004127A7"/>
    <w:rsid w:val="00413603"/>
    <w:rsid w:val="00413A1E"/>
    <w:rsid w:val="00413E84"/>
    <w:rsid w:val="00414476"/>
    <w:rsid w:val="00414C2E"/>
    <w:rsid w:val="004151CF"/>
    <w:rsid w:val="00416364"/>
    <w:rsid w:val="004177F3"/>
    <w:rsid w:val="0042047F"/>
    <w:rsid w:val="00420AA6"/>
    <w:rsid w:val="00420B9F"/>
    <w:rsid w:val="0042192C"/>
    <w:rsid w:val="00422260"/>
    <w:rsid w:val="00423CBF"/>
    <w:rsid w:val="0042413F"/>
    <w:rsid w:val="004270CD"/>
    <w:rsid w:val="004319F8"/>
    <w:rsid w:val="00431E55"/>
    <w:rsid w:val="004321F6"/>
    <w:rsid w:val="00433044"/>
    <w:rsid w:val="00434088"/>
    <w:rsid w:val="00434514"/>
    <w:rsid w:val="00435424"/>
    <w:rsid w:val="004364EA"/>
    <w:rsid w:val="004375B9"/>
    <w:rsid w:val="00437847"/>
    <w:rsid w:val="004428D0"/>
    <w:rsid w:val="00442AE8"/>
    <w:rsid w:val="00444185"/>
    <w:rsid w:val="004443A7"/>
    <w:rsid w:val="0044442C"/>
    <w:rsid w:val="00445941"/>
    <w:rsid w:val="004464EB"/>
    <w:rsid w:val="00447349"/>
    <w:rsid w:val="00447D26"/>
    <w:rsid w:val="00447DFC"/>
    <w:rsid w:val="00451EEC"/>
    <w:rsid w:val="00453710"/>
    <w:rsid w:val="00454F9F"/>
    <w:rsid w:val="00455D45"/>
    <w:rsid w:val="00463D1B"/>
    <w:rsid w:val="00464595"/>
    <w:rsid w:val="004658B5"/>
    <w:rsid w:val="004704EC"/>
    <w:rsid w:val="00471EA5"/>
    <w:rsid w:val="00472962"/>
    <w:rsid w:val="00472A79"/>
    <w:rsid w:val="00473F19"/>
    <w:rsid w:val="00475E22"/>
    <w:rsid w:val="0048088E"/>
    <w:rsid w:val="00480F2B"/>
    <w:rsid w:val="00482720"/>
    <w:rsid w:val="004835E7"/>
    <w:rsid w:val="004859E1"/>
    <w:rsid w:val="00486162"/>
    <w:rsid w:val="004867E2"/>
    <w:rsid w:val="004868DC"/>
    <w:rsid w:val="004901F0"/>
    <w:rsid w:val="00490B17"/>
    <w:rsid w:val="00491B3A"/>
    <w:rsid w:val="00492CFD"/>
    <w:rsid w:val="00494207"/>
    <w:rsid w:val="00494DD5"/>
    <w:rsid w:val="004962D2"/>
    <w:rsid w:val="00496BD7"/>
    <w:rsid w:val="00496CBD"/>
    <w:rsid w:val="00496EB7"/>
    <w:rsid w:val="004A0D09"/>
    <w:rsid w:val="004A0DA1"/>
    <w:rsid w:val="004A13D6"/>
    <w:rsid w:val="004A52E9"/>
    <w:rsid w:val="004A6040"/>
    <w:rsid w:val="004A6458"/>
    <w:rsid w:val="004A6597"/>
    <w:rsid w:val="004A7848"/>
    <w:rsid w:val="004A793B"/>
    <w:rsid w:val="004B028F"/>
    <w:rsid w:val="004B1CB4"/>
    <w:rsid w:val="004B2F18"/>
    <w:rsid w:val="004B3DDB"/>
    <w:rsid w:val="004B437C"/>
    <w:rsid w:val="004B44FD"/>
    <w:rsid w:val="004B5CFC"/>
    <w:rsid w:val="004B6F79"/>
    <w:rsid w:val="004B72D6"/>
    <w:rsid w:val="004B774D"/>
    <w:rsid w:val="004C0212"/>
    <w:rsid w:val="004C2AC2"/>
    <w:rsid w:val="004C30C4"/>
    <w:rsid w:val="004C4AED"/>
    <w:rsid w:val="004D0820"/>
    <w:rsid w:val="004D27AC"/>
    <w:rsid w:val="004D2C2D"/>
    <w:rsid w:val="004D3553"/>
    <w:rsid w:val="004D3DD1"/>
    <w:rsid w:val="004D4200"/>
    <w:rsid w:val="004D6783"/>
    <w:rsid w:val="004D69B5"/>
    <w:rsid w:val="004D7227"/>
    <w:rsid w:val="004D7B5E"/>
    <w:rsid w:val="004E0E7F"/>
    <w:rsid w:val="004E0EB8"/>
    <w:rsid w:val="004E18E9"/>
    <w:rsid w:val="004E2AD4"/>
    <w:rsid w:val="004E2ADC"/>
    <w:rsid w:val="004E3FE3"/>
    <w:rsid w:val="004E43B2"/>
    <w:rsid w:val="004E6FBD"/>
    <w:rsid w:val="004F0CF9"/>
    <w:rsid w:val="004F1D02"/>
    <w:rsid w:val="004F2679"/>
    <w:rsid w:val="004F2F21"/>
    <w:rsid w:val="004F3DE5"/>
    <w:rsid w:val="004F5C0A"/>
    <w:rsid w:val="004F6913"/>
    <w:rsid w:val="004F7865"/>
    <w:rsid w:val="0050174E"/>
    <w:rsid w:val="00501755"/>
    <w:rsid w:val="00501854"/>
    <w:rsid w:val="00501E79"/>
    <w:rsid w:val="0050219B"/>
    <w:rsid w:val="00502B19"/>
    <w:rsid w:val="00503F17"/>
    <w:rsid w:val="00503F3A"/>
    <w:rsid w:val="00504329"/>
    <w:rsid w:val="0050626D"/>
    <w:rsid w:val="00506928"/>
    <w:rsid w:val="005077EF"/>
    <w:rsid w:val="00510351"/>
    <w:rsid w:val="0051094F"/>
    <w:rsid w:val="00510C04"/>
    <w:rsid w:val="00511AD5"/>
    <w:rsid w:val="00511DC7"/>
    <w:rsid w:val="005142C5"/>
    <w:rsid w:val="00514CC6"/>
    <w:rsid w:val="00514D0D"/>
    <w:rsid w:val="0051501B"/>
    <w:rsid w:val="005152B5"/>
    <w:rsid w:val="00515886"/>
    <w:rsid w:val="0052123C"/>
    <w:rsid w:val="00521319"/>
    <w:rsid w:val="00521F7F"/>
    <w:rsid w:val="00522BC8"/>
    <w:rsid w:val="00523C28"/>
    <w:rsid w:val="005244CD"/>
    <w:rsid w:val="005306E5"/>
    <w:rsid w:val="00530771"/>
    <w:rsid w:val="0053176B"/>
    <w:rsid w:val="00531C5B"/>
    <w:rsid w:val="005341B3"/>
    <w:rsid w:val="00536F42"/>
    <w:rsid w:val="00537182"/>
    <w:rsid w:val="00540A2F"/>
    <w:rsid w:val="00541EDD"/>
    <w:rsid w:val="00542743"/>
    <w:rsid w:val="00542C2D"/>
    <w:rsid w:val="005447E6"/>
    <w:rsid w:val="00546242"/>
    <w:rsid w:val="005467EB"/>
    <w:rsid w:val="005478BD"/>
    <w:rsid w:val="005479E3"/>
    <w:rsid w:val="00551985"/>
    <w:rsid w:val="00552BD3"/>
    <w:rsid w:val="005532A0"/>
    <w:rsid w:val="00555109"/>
    <w:rsid w:val="00556688"/>
    <w:rsid w:val="00556B35"/>
    <w:rsid w:val="0055741A"/>
    <w:rsid w:val="005611B7"/>
    <w:rsid w:val="005618D4"/>
    <w:rsid w:val="00564867"/>
    <w:rsid w:val="00565C79"/>
    <w:rsid w:val="00565DF0"/>
    <w:rsid w:val="0056696F"/>
    <w:rsid w:val="00566FDC"/>
    <w:rsid w:val="00572269"/>
    <w:rsid w:val="0057244A"/>
    <w:rsid w:val="00572F26"/>
    <w:rsid w:val="00574319"/>
    <w:rsid w:val="005750C5"/>
    <w:rsid w:val="005752DE"/>
    <w:rsid w:val="00575D60"/>
    <w:rsid w:val="00575D8D"/>
    <w:rsid w:val="00576972"/>
    <w:rsid w:val="00577248"/>
    <w:rsid w:val="0058013B"/>
    <w:rsid w:val="00580B37"/>
    <w:rsid w:val="00583699"/>
    <w:rsid w:val="00583CC8"/>
    <w:rsid w:val="00583EC6"/>
    <w:rsid w:val="00585CDD"/>
    <w:rsid w:val="00587058"/>
    <w:rsid w:val="0059023F"/>
    <w:rsid w:val="00591957"/>
    <w:rsid w:val="00594BEC"/>
    <w:rsid w:val="00597BF9"/>
    <w:rsid w:val="00597E1C"/>
    <w:rsid w:val="005A0C11"/>
    <w:rsid w:val="005A2D4C"/>
    <w:rsid w:val="005A309A"/>
    <w:rsid w:val="005A373D"/>
    <w:rsid w:val="005A54E8"/>
    <w:rsid w:val="005B0B58"/>
    <w:rsid w:val="005B111A"/>
    <w:rsid w:val="005B4E53"/>
    <w:rsid w:val="005B5857"/>
    <w:rsid w:val="005B6AAB"/>
    <w:rsid w:val="005C12E5"/>
    <w:rsid w:val="005C19C4"/>
    <w:rsid w:val="005C1B83"/>
    <w:rsid w:val="005C25FF"/>
    <w:rsid w:val="005C2D55"/>
    <w:rsid w:val="005C346B"/>
    <w:rsid w:val="005C5ABC"/>
    <w:rsid w:val="005C7F8D"/>
    <w:rsid w:val="005D044D"/>
    <w:rsid w:val="005D08F0"/>
    <w:rsid w:val="005D0ABD"/>
    <w:rsid w:val="005D1054"/>
    <w:rsid w:val="005D18AD"/>
    <w:rsid w:val="005D26B4"/>
    <w:rsid w:val="005D5C8A"/>
    <w:rsid w:val="005D5D9E"/>
    <w:rsid w:val="005D5E9A"/>
    <w:rsid w:val="005E104E"/>
    <w:rsid w:val="005E1995"/>
    <w:rsid w:val="005E50A1"/>
    <w:rsid w:val="005E6CBC"/>
    <w:rsid w:val="005E72FF"/>
    <w:rsid w:val="005E73C0"/>
    <w:rsid w:val="005F0666"/>
    <w:rsid w:val="005F07ED"/>
    <w:rsid w:val="005F0AAC"/>
    <w:rsid w:val="005F23C7"/>
    <w:rsid w:val="005F2706"/>
    <w:rsid w:val="005F2B21"/>
    <w:rsid w:val="005F30B6"/>
    <w:rsid w:val="005F352B"/>
    <w:rsid w:val="005F6A8F"/>
    <w:rsid w:val="005F6BB7"/>
    <w:rsid w:val="005F7588"/>
    <w:rsid w:val="00603DB9"/>
    <w:rsid w:val="00604EEA"/>
    <w:rsid w:val="00606FBA"/>
    <w:rsid w:val="00607669"/>
    <w:rsid w:val="006076F4"/>
    <w:rsid w:val="00607AFD"/>
    <w:rsid w:val="006105BC"/>
    <w:rsid w:val="00611B12"/>
    <w:rsid w:val="00612F97"/>
    <w:rsid w:val="0061345D"/>
    <w:rsid w:val="00614302"/>
    <w:rsid w:val="0061549B"/>
    <w:rsid w:val="00615E46"/>
    <w:rsid w:val="00616802"/>
    <w:rsid w:val="00617E12"/>
    <w:rsid w:val="00620C25"/>
    <w:rsid w:val="00621477"/>
    <w:rsid w:val="00621ADA"/>
    <w:rsid w:val="00622BB0"/>
    <w:rsid w:val="00623309"/>
    <w:rsid w:val="00623E10"/>
    <w:rsid w:val="00623F7B"/>
    <w:rsid w:val="0062402C"/>
    <w:rsid w:val="00624BD4"/>
    <w:rsid w:val="00625538"/>
    <w:rsid w:val="00626DD6"/>
    <w:rsid w:val="00630596"/>
    <w:rsid w:val="0063158F"/>
    <w:rsid w:val="00631D6B"/>
    <w:rsid w:val="00632183"/>
    <w:rsid w:val="006330A1"/>
    <w:rsid w:val="0063479F"/>
    <w:rsid w:val="006353F0"/>
    <w:rsid w:val="006357B5"/>
    <w:rsid w:val="006364A1"/>
    <w:rsid w:val="0063678E"/>
    <w:rsid w:val="00637BFD"/>
    <w:rsid w:val="00637C5C"/>
    <w:rsid w:val="00641C4E"/>
    <w:rsid w:val="00641FB3"/>
    <w:rsid w:val="0064200C"/>
    <w:rsid w:val="0064434C"/>
    <w:rsid w:val="006444EC"/>
    <w:rsid w:val="006471CC"/>
    <w:rsid w:val="006472FE"/>
    <w:rsid w:val="00647A29"/>
    <w:rsid w:val="0065079F"/>
    <w:rsid w:val="00652A28"/>
    <w:rsid w:val="0065379F"/>
    <w:rsid w:val="00654C71"/>
    <w:rsid w:val="00656188"/>
    <w:rsid w:val="00656C0B"/>
    <w:rsid w:val="00656D5B"/>
    <w:rsid w:val="0065715A"/>
    <w:rsid w:val="006610F1"/>
    <w:rsid w:val="00661ABB"/>
    <w:rsid w:val="00661C6B"/>
    <w:rsid w:val="00662D3E"/>
    <w:rsid w:val="0066591C"/>
    <w:rsid w:val="0066781A"/>
    <w:rsid w:val="00667BE3"/>
    <w:rsid w:val="00671004"/>
    <w:rsid w:val="00672646"/>
    <w:rsid w:val="00673640"/>
    <w:rsid w:val="00674E42"/>
    <w:rsid w:val="00675BA3"/>
    <w:rsid w:val="00676563"/>
    <w:rsid w:val="006813F8"/>
    <w:rsid w:val="00682112"/>
    <w:rsid w:val="00682BA6"/>
    <w:rsid w:val="00684C33"/>
    <w:rsid w:val="00686480"/>
    <w:rsid w:val="00686957"/>
    <w:rsid w:val="00686999"/>
    <w:rsid w:val="006872BA"/>
    <w:rsid w:val="00690795"/>
    <w:rsid w:val="00690CA5"/>
    <w:rsid w:val="00691648"/>
    <w:rsid w:val="006917D7"/>
    <w:rsid w:val="00692A83"/>
    <w:rsid w:val="0069434C"/>
    <w:rsid w:val="00694F44"/>
    <w:rsid w:val="00696EF9"/>
    <w:rsid w:val="00696F51"/>
    <w:rsid w:val="006979A5"/>
    <w:rsid w:val="006A016F"/>
    <w:rsid w:val="006A0DF7"/>
    <w:rsid w:val="006A2BDA"/>
    <w:rsid w:val="006A4321"/>
    <w:rsid w:val="006A43D9"/>
    <w:rsid w:val="006A6B99"/>
    <w:rsid w:val="006A7E5F"/>
    <w:rsid w:val="006B0701"/>
    <w:rsid w:val="006B0757"/>
    <w:rsid w:val="006B261B"/>
    <w:rsid w:val="006B2C90"/>
    <w:rsid w:val="006B35E6"/>
    <w:rsid w:val="006B3955"/>
    <w:rsid w:val="006B3D19"/>
    <w:rsid w:val="006B43E0"/>
    <w:rsid w:val="006B465A"/>
    <w:rsid w:val="006B6DD0"/>
    <w:rsid w:val="006C0399"/>
    <w:rsid w:val="006C12A7"/>
    <w:rsid w:val="006C2A8E"/>
    <w:rsid w:val="006C2D50"/>
    <w:rsid w:val="006C3255"/>
    <w:rsid w:val="006C3F26"/>
    <w:rsid w:val="006C4983"/>
    <w:rsid w:val="006C6934"/>
    <w:rsid w:val="006C71A4"/>
    <w:rsid w:val="006D0BFC"/>
    <w:rsid w:val="006D0D17"/>
    <w:rsid w:val="006D3C7D"/>
    <w:rsid w:val="006D3E38"/>
    <w:rsid w:val="006D4659"/>
    <w:rsid w:val="006D4DBA"/>
    <w:rsid w:val="006D5D5F"/>
    <w:rsid w:val="006D68FB"/>
    <w:rsid w:val="006E1FE3"/>
    <w:rsid w:val="006E2868"/>
    <w:rsid w:val="006E46EB"/>
    <w:rsid w:val="006E63DF"/>
    <w:rsid w:val="006F2C5F"/>
    <w:rsid w:val="006F306C"/>
    <w:rsid w:val="006F3A3C"/>
    <w:rsid w:val="006F63A5"/>
    <w:rsid w:val="006F6F93"/>
    <w:rsid w:val="006F7A84"/>
    <w:rsid w:val="0070112A"/>
    <w:rsid w:val="0070142B"/>
    <w:rsid w:val="00701908"/>
    <w:rsid w:val="0070276E"/>
    <w:rsid w:val="00702F8F"/>
    <w:rsid w:val="007079FC"/>
    <w:rsid w:val="00711A36"/>
    <w:rsid w:val="007125D3"/>
    <w:rsid w:val="00714C26"/>
    <w:rsid w:val="0071529C"/>
    <w:rsid w:val="007160C9"/>
    <w:rsid w:val="00716F8A"/>
    <w:rsid w:val="007170DA"/>
    <w:rsid w:val="007172AD"/>
    <w:rsid w:val="00717546"/>
    <w:rsid w:val="00720801"/>
    <w:rsid w:val="00722B1B"/>
    <w:rsid w:val="0072416F"/>
    <w:rsid w:val="00725166"/>
    <w:rsid w:val="00727C94"/>
    <w:rsid w:val="00731B0A"/>
    <w:rsid w:val="00731EAE"/>
    <w:rsid w:val="00733073"/>
    <w:rsid w:val="00733A71"/>
    <w:rsid w:val="00735033"/>
    <w:rsid w:val="00735328"/>
    <w:rsid w:val="0073685B"/>
    <w:rsid w:val="00741BC8"/>
    <w:rsid w:val="00742DB6"/>
    <w:rsid w:val="007449BF"/>
    <w:rsid w:val="007463FE"/>
    <w:rsid w:val="00746BC0"/>
    <w:rsid w:val="007510B4"/>
    <w:rsid w:val="00752142"/>
    <w:rsid w:val="007523F9"/>
    <w:rsid w:val="0075357E"/>
    <w:rsid w:val="00753B29"/>
    <w:rsid w:val="00753DEB"/>
    <w:rsid w:val="0075485D"/>
    <w:rsid w:val="007573E8"/>
    <w:rsid w:val="00760C4E"/>
    <w:rsid w:val="00760F9E"/>
    <w:rsid w:val="007616E6"/>
    <w:rsid w:val="007627BE"/>
    <w:rsid w:val="00764F03"/>
    <w:rsid w:val="00765B1A"/>
    <w:rsid w:val="00765DC1"/>
    <w:rsid w:val="0077076F"/>
    <w:rsid w:val="00771195"/>
    <w:rsid w:val="00774E94"/>
    <w:rsid w:val="00777335"/>
    <w:rsid w:val="007843F2"/>
    <w:rsid w:val="007846FA"/>
    <w:rsid w:val="00785A9F"/>
    <w:rsid w:val="007868BD"/>
    <w:rsid w:val="007925DF"/>
    <w:rsid w:val="007A08AA"/>
    <w:rsid w:val="007A0A12"/>
    <w:rsid w:val="007A132D"/>
    <w:rsid w:val="007A1345"/>
    <w:rsid w:val="007A1B50"/>
    <w:rsid w:val="007A2DDB"/>
    <w:rsid w:val="007A3226"/>
    <w:rsid w:val="007A70BA"/>
    <w:rsid w:val="007B0D68"/>
    <w:rsid w:val="007B15DB"/>
    <w:rsid w:val="007B226C"/>
    <w:rsid w:val="007B251D"/>
    <w:rsid w:val="007B3533"/>
    <w:rsid w:val="007B4F58"/>
    <w:rsid w:val="007B5163"/>
    <w:rsid w:val="007B528D"/>
    <w:rsid w:val="007B63CA"/>
    <w:rsid w:val="007B75C6"/>
    <w:rsid w:val="007B77D1"/>
    <w:rsid w:val="007C07C7"/>
    <w:rsid w:val="007C1CD9"/>
    <w:rsid w:val="007C32EF"/>
    <w:rsid w:val="007C361D"/>
    <w:rsid w:val="007C4B84"/>
    <w:rsid w:val="007C4E6D"/>
    <w:rsid w:val="007C70FF"/>
    <w:rsid w:val="007C7C25"/>
    <w:rsid w:val="007D004F"/>
    <w:rsid w:val="007D035F"/>
    <w:rsid w:val="007D06B2"/>
    <w:rsid w:val="007D0B38"/>
    <w:rsid w:val="007D0F10"/>
    <w:rsid w:val="007D5440"/>
    <w:rsid w:val="007D672C"/>
    <w:rsid w:val="007D69EB"/>
    <w:rsid w:val="007E0636"/>
    <w:rsid w:val="007E128F"/>
    <w:rsid w:val="007E3FBA"/>
    <w:rsid w:val="007F098C"/>
    <w:rsid w:val="007F1017"/>
    <w:rsid w:val="007F1AB1"/>
    <w:rsid w:val="007F4A3F"/>
    <w:rsid w:val="007F4A61"/>
    <w:rsid w:val="007F5255"/>
    <w:rsid w:val="007F56CC"/>
    <w:rsid w:val="007F5CAA"/>
    <w:rsid w:val="007F61C2"/>
    <w:rsid w:val="00800124"/>
    <w:rsid w:val="008021A5"/>
    <w:rsid w:val="00804A42"/>
    <w:rsid w:val="00805142"/>
    <w:rsid w:val="00805FCE"/>
    <w:rsid w:val="008064DD"/>
    <w:rsid w:val="00807A8B"/>
    <w:rsid w:val="00811383"/>
    <w:rsid w:val="00812149"/>
    <w:rsid w:val="00812CAC"/>
    <w:rsid w:val="00812D93"/>
    <w:rsid w:val="0081340B"/>
    <w:rsid w:val="00816361"/>
    <w:rsid w:val="008166EF"/>
    <w:rsid w:val="00816FEF"/>
    <w:rsid w:val="008208CA"/>
    <w:rsid w:val="00820A8C"/>
    <w:rsid w:val="008215FB"/>
    <w:rsid w:val="008220CC"/>
    <w:rsid w:val="00822712"/>
    <w:rsid w:val="00823174"/>
    <w:rsid w:val="00825751"/>
    <w:rsid w:val="00825BC6"/>
    <w:rsid w:val="008264EB"/>
    <w:rsid w:val="008268CE"/>
    <w:rsid w:val="00827C23"/>
    <w:rsid w:val="00833B05"/>
    <w:rsid w:val="008359A6"/>
    <w:rsid w:val="008362B4"/>
    <w:rsid w:val="00836C55"/>
    <w:rsid w:val="00840CA2"/>
    <w:rsid w:val="008417A8"/>
    <w:rsid w:val="0084374F"/>
    <w:rsid w:val="00843891"/>
    <w:rsid w:val="00844A22"/>
    <w:rsid w:val="008453BC"/>
    <w:rsid w:val="00845F7F"/>
    <w:rsid w:val="00846489"/>
    <w:rsid w:val="00847703"/>
    <w:rsid w:val="00847DF5"/>
    <w:rsid w:val="0085309D"/>
    <w:rsid w:val="00854F9F"/>
    <w:rsid w:val="00856897"/>
    <w:rsid w:val="00856E9A"/>
    <w:rsid w:val="00857DB8"/>
    <w:rsid w:val="0086075D"/>
    <w:rsid w:val="00862502"/>
    <w:rsid w:val="00862CC1"/>
    <w:rsid w:val="008642A7"/>
    <w:rsid w:val="00864D8F"/>
    <w:rsid w:val="008660D4"/>
    <w:rsid w:val="00871BE3"/>
    <w:rsid w:val="00871FA9"/>
    <w:rsid w:val="008728E9"/>
    <w:rsid w:val="008736A1"/>
    <w:rsid w:val="008815B9"/>
    <w:rsid w:val="00882874"/>
    <w:rsid w:val="00882E3C"/>
    <w:rsid w:val="0088308A"/>
    <w:rsid w:val="008835DC"/>
    <w:rsid w:val="00883787"/>
    <w:rsid w:val="008855E4"/>
    <w:rsid w:val="00886CD2"/>
    <w:rsid w:val="00887721"/>
    <w:rsid w:val="00887A65"/>
    <w:rsid w:val="008909A9"/>
    <w:rsid w:val="00891E6F"/>
    <w:rsid w:val="008923E0"/>
    <w:rsid w:val="0089275D"/>
    <w:rsid w:val="00892A36"/>
    <w:rsid w:val="00893089"/>
    <w:rsid w:val="00893239"/>
    <w:rsid w:val="00894489"/>
    <w:rsid w:val="008944A4"/>
    <w:rsid w:val="00894CD6"/>
    <w:rsid w:val="00894F48"/>
    <w:rsid w:val="008963A5"/>
    <w:rsid w:val="00896D5D"/>
    <w:rsid w:val="008A3158"/>
    <w:rsid w:val="008A3363"/>
    <w:rsid w:val="008A3371"/>
    <w:rsid w:val="008A3C3E"/>
    <w:rsid w:val="008A4422"/>
    <w:rsid w:val="008A79DE"/>
    <w:rsid w:val="008B161D"/>
    <w:rsid w:val="008B1757"/>
    <w:rsid w:val="008B1C33"/>
    <w:rsid w:val="008B2BC9"/>
    <w:rsid w:val="008B32C5"/>
    <w:rsid w:val="008B3F38"/>
    <w:rsid w:val="008B4B6F"/>
    <w:rsid w:val="008B7992"/>
    <w:rsid w:val="008B7D7E"/>
    <w:rsid w:val="008C0AFD"/>
    <w:rsid w:val="008C256A"/>
    <w:rsid w:val="008C36C5"/>
    <w:rsid w:val="008C5610"/>
    <w:rsid w:val="008C5739"/>
    <w:rsid w:val="008C6396"/>
    <w:rsid w:val="008C7282"/>
    <w:rsid w:val="008C7ECB"/>
    <w:rsid w:val="008D2482"/>
    <w:rsid w:val="008D29E8"/>
    <w:rsid w:val="008D2D85"/>
    <w:rsid w:val="008D34DF"/>
    <w:rsid w:val="008D3B86"/>
    <w:rsid w:val="008D3F34"/>
    <w:rsid w:val="008D4063"/>
    <w:rsid w:val="008D43FD"/>
    <w:rsid w:val="008D4755"/>
    <w:rsid w:val="008D4C3D"/>
    <w:rsid w:val="008D743C"/>
    <w:rsid w:val="008E0D3C"/>
    <w:rsid w:val="008E1354"/>
    <w:rsid w:val="008E1B9E"/>
    <w:rsid w:val="008E1E43"/>
    <w:rsid w:val="008E3BC7"/>
    <w:rsid w:val="008E42DE"/>
    <w:rsid w:val="008E55AB"/>
    <w:rsid w:val="008F02D9"/>
    <w:rsid w:val="008F120A"/>
    <w:rsid w:val="008F2642"/>
    <w:rsid w:val="008F27E0"/>
    <w:rsid w:val="008F3B01"/>
    <w:rsid w:val="008F4216"/>
    <w:rsid w:val="008F48EB"/>
    <w:rsid w:val="008F4F0B"/>
    <w:rsid w:val="00903D01"/>
    <w:rsid w:val="009044B4"/>
    <w:rsid w:val="009046C4"/>
    <w:rsid w:val="009062A5"/>
    <w:rsid w:val="00907699"/>
    <w:rsid w:val="00910FA7"/>
    <w:rsid w:val="00911272"/>
    <w:rsid w:val="00911339"/>
    <w:rsid w:val="009118B1"/>
    <w:rsid w:val="009118C2"/>
    <w:rsid w:val="00913051"/>
    <w:rsid w:val="009135D6"/>
    <w:rsid w:val="00914C77"/>
    <w:rsid w:val="0092026D"/>
    <w:rsid w:val="00921ACB"/>
    <w:rsid w:val="0092369B"/>
    <w:rsid w:val="009258B1"/>
    <w:rsid w:val="00926DCC"/>
    <w:rsid w:val="0092791E"/>
    <w:rsid w:val="00934988"/>
    <w:rsid w:val="009353B2"/>
    <w:rsid w:val="00937089"/>
    <w:rsid w:val="00942030"/>
    <w:rsid w:val="00944F8A"/>
    <w:rsid w:val="009510A2"/>
    <w:rsid w:val="00953257"/>
    <w:rsid w:val="009541A3"/>
    <w:rsid w:val="0095474C"/>
    <w:rsid w:val="00955D3E"/>
    <w:rsid w:val="00957D92"/>
    <w:rsid w:val="00961290"/>
    <w:rsid w:val="00962CB9"/>
    <w:rsid w:val="00964312"/>
    <w:rsid w:val="00965B8A"/>
    <w:rsid w:val="0097071F"/>
    <w:rsid w:val="009711E4"/>
    <w:rsid w:val="009717AC"/>
    <w:rsid w:val="00972954"/>
    <w:rsid w:val="009751C1"/>
    <w:rsid w:val="009800DE"/>
    <w:rsid w:val="00980BF0"/>
    <w:rsid w:val="009811F1"/>
    <w:rsid w:val="00983E57"/>
    <w:rsid w:val="00985DE2"/>
    <w:rsid w:val="00985E25"/>
    <w:rsid w:val="0098675D"/>
    <w:rsid w:val="00987BA4"/>
    <w:rsid w:val="009907AF"/>
    <w:rsid w:val="009926E0"/>
    <w:rsid w:val="0099451E"/>
    <w:rsid w:val="0099461E"/>
    <w:rsid w:val="00996B1A"/>
    <w:rsid w:val="009A18F6"/>
    <w:rsid w:val="009A2DCC"/>
    <w:rsid w:val="009A5ABC"/>
    <w:rsid w:val="009A7988"/>
    <w:rsid w:val="009A7F10"/>
    <w:rsid w:val="009B3E26"/>
    <w:rsid w:val="009B67C7"/>
    <w:rsid w:val="009C1271"/>
    <w:rsid w:val="009C3706"/>
    <w:rsid w:val="009C3A3A"/>
    <w:rsid w:val="009C5D0A"/>
    <w:rsid w:val="009C5E14"/>
    <w:rsid w:val="009C6CEA"/>
    <w:rsid w:val="009C7B85"/>
    <w:rsid w:val="009D0043"/>
    <w:rsid w:val="009D0254"/>
    <w:rsid w:val="009D1A64"/>
    <w:rsid w:val="009D2A74"/>
    <w:rsid w:val="009D5B91"/>
    <w:rsid w:val="009D792E"/>
    <w:rsid w:val="009E05F0"/>
    <w:rsid w:val="009E085D"/>
    <w:rsid w:val="009E0DFE"/>
    <w:rsid w:val="009E1CDB"/>
    <w:rsid w:val="009E31F6"/>
    <w:rsid w:val="009E4C07"/>
    <w:rsid w:val="009E777F"/>
    <w:rsid w:val="009F3418"/>
    <w:rsid w:val="009F4AE7"/>
    <w:rsid w:val="009F6120"/>
    <w:rsid w:val="00A00D76"/>
    <w:rsid w:val="00A01184"/>
    <w:rsid w:val="00A01449"/>
    <w:rsid w:val="00A01891"/>
    <w:rsid w:val="00A037C2"/>
    <w:rsid w:val="00A03D43"/>
    <w:rsid w:val="00A04380"/>
    <w:rsid w:val="00A04786"/>
    <w:rsid w:val="00A05472"/>
    <w:rsid w:val="00A05C32"/>
    <w:rsid w:val="00A0653F"/>
    <w:rsid w:val="00A06DC4"/>
    <w:rsid w:val="00A073EF"/>
    <w:rsid w:val="00A11CD0"/>
    <w:rsid w:val="00A13948"/>
    <w:rsid w:val="00A1555B"/>
    <w:rsid w:val="00A155C5"/>
    <w:rsid w:val="00A16AD8"/>
    <w:rsid w:val="00A2021E"/>
    <w:rsid w:val="00A2084E"/>
    <w:rsid w:val="00A21994"/>
    <w:rsid w:val="00A21C95"/>
    <w:rsid w:val="00A21CF3"/>
    <w:rsid w:val="00A2391F"/>
    <w:rsid w:val="00A24813"/>
    <w:rsid w:val="00A24D7A"/>
    <w:rsid w:val="00A27AEC"/>
    <w:rsid w:val="00A31FF1"/>
    <w:rsid w:val="00A320DB"/>
    <w:rsid w:val="00A34F01"/>
    <w:rsid w:val="00A35D16"/>
    <w:rsid w:val="00A363C3"/>
    <w:rsid w:val="00A3643E"/>
    <w:rsid w:val="00A3766F"/>
    <w:rsid w:val="00A37BCD"/>
    <w:rsid w:val="00A41689"/>
    <w:rsid w:val="00A42592"/>
    <w:rsid w:val="00A43C59"/>
    <w:rsid w:val="00A4760B"/>
    <w:rsid w:val="00A50ECD"/>
    <w:rsid w:val="00A518F3"/>
    <w:rsid w:val="00A52729"/>
    <w:rsid w:val="00A535E3"/>
    <w:rsid w:val="00A53675"/>
    <w:rsid w:val="00A558A0"/>
    <w:rsid w:val="00A55EE7"/>
    <w:rsid w:val="00A564D7"/>
    <w:rsid w:val="00A56B6A"/>
    <w:rsid w:val="00A56E63"/>
    <w:rsid w:val="00A578DC"/>
    <w:rsid w:val="00A60512"/>
    <w:rsid w:val="00A61108"/>
    <w:rsid w:val="00A640E2"/>
    <w:rsid w:val="00A64D65"/>
    <w:rsid w:val="00A6725B"/>
    <w:rsid w:val="00A70605"/>
    <w:rsid w:val="00A73134"/>
    <w:rsid w:val="00A7365A"/>
    <w:rsid w:val="00A73A4F"/>
    <w:rsid w:val="00A76001"/>
    <w:rsid w:val="00A777B2"/>
    <w:rsid w:val="00A825D4"/>
    <w:rsid w:val="00A828F6"/>
    <w:rsid w:val="00A82B73"/>
    <w:rsid w:val="00A840B8"/>
    <w:rsid w:val="00A86E8B"/>
    <w:rsid w:val="00A87164"/>
    <w:rsid w:val="00A902CC"/>
    <w:rsid w:val="00A91076"/>
    <w:rsid w:val="00A93072"/>
    <w:rsid w:val="00A938BD"/>
    <w:rsid w:val="00A93953"/>
    <w:rsid w:val="00A959D8"/>
    <w:rsid w:val="00AA0451"/>
    <w:rsid w:val="00AA113D"/>
    <w:rsid w:val="00AA190B"/>
    <w:rsid w:val="00AA407B"/>
    <w:rsid w:val="00AA45EE"/>
    <w:rsid w:val="00AA6BD5"/>
    <w:rsid w:val="00AA6BD8"/>
    <w:rsid w:val="00AA6C7D"/>
    <w:rsid w:val="00AA73B7"/>
    <w:rsid w:val="00AA7FD6"/>
    <w:rsid w:val="00AB003C"/>
    <w:rsid w:val="00AB00A6"/>
    <w:rsid w:val="00AB042A"/>
    <w:rsid w:val="00AB11AD"/>
    <w:rsid w:val="00AB19EF"/>
    <w:rsid w:val="00AB1AAF"/>
    <w:rsid w:val="00AB2495"/>
    <w:rsid w:val="00AB2D34"/>
    <w:rsid w:val="00AB3430"/>
    <w:rsid w:val="00AB37B9"/>
    <w:rsid w:val="00AB4AD1"/>
    <w:rsid w:val="00AB5E07"/>
    <w:rsid w:val="00AB7CFA"/>
    <w:rsid w:val="00AC26F4"/>
    <w:rsid w:val="00AC5B42"/>
    <w:rsid w:val="00AC5B48"/>
    <w:rsid w:val="00AD011C"/>
    <w:rsid w:val="00AD1450"/>
    <w:rsid w:val="00AD15E8"/>
    <w:rsid w:val="00AD356D"/>
    <w:rsid w:val="00AD6502"/>
    <w:rsid w:val="00AE0695"/>
    <w:rsid w:val="00AE3E7E"/>
    <w:rsid w:val="00AE41FA"/>
    <w:rsid w:val="00AE64A3"/>
    <w:rsid w:val="00AE7E53"/>
    <w:rsid w:val="00AF1315"/>
    <w:rsid w:val="00AF19BF"/>
    <w:rsid w:val="00AF2A3C"/>
    <w:rsid w:val="00AF2DC3"/>
    <w:rsid w:val="00AF315E"/>
    <w:rsid w:val="00AF38F5"/>
    <w:rsid w:val="00B00275"/>
    <w:rsid w:val="00B01E26"/>
    <w:rsid w:val="00B033E5"/>
    <w:rsid w:val="00B03497"/>
    <w:rsid w:val="00B03A63"/>
    <w:rsid w:val="00B0405A"/>
    <w:rsid w:val="00B129A4"/>
    <w:rsid w:val="00B17F58"/>
    <w:rsid w:val="00B201A4"/>
    <w:rsid w:val="00B201D1"/>
    <w:rsid w:val="00B213A6"/>
    <w:rsid w:val="00B235B0"/>
    <w:rsid w:val="00B24ADC"/>
    <w:rsid w:val="00B24DF6"/>
    <w:rsid w:val="00B27A61"/>
    <w:rsid w:val="00B32B7B"/>
    <w:rsid w:val="00B34FE2"/>
    <w:rsid w:val="00B35166"/>
    <w:rsid w:val="00B357D8"/>
    <w:rsid w:val="00B360F4"/>
    <w:rsid w:val="00B36A00"/>
    <w:rsid w:val="00B3792B"/>
    <w:rsid w:val="00B37BFC"/>
    <w:rsid w:val="00B40358"/>
    <w:rsid w:val="00B41614"/>
    <w:rsid w:val="00B42851"/>
    <w:rsid w:val="00B42F80"/>
    <w:rsid w:val="00B435CB"/>
    <w:rsid w:val="00B449A4"/>
    <w:rsid w:val="00B465EC"/>
    <w:rsid w:val="00B505C8"/>
    <w:rsid w:val="00B50DB8"/>
    <w:rsid w:val="00B51D18"/>
    <w:rsid w:val="00B53654"/>
    <w:rsid w:val="00B53905"/>
    <w:rsid w:val="00B546DB"/>
    <w:rsid w:val="00B54818"/>
    <w:rsid w:val="00B54B5B"/>
    <w:rsid w:val="00B5562E"/>
    <w:rsid w:val="00B55862"/>
    <w:rsid w:val="00B55D65"/>
    <w:rsid w:val="00B56305"/>
    <w:rsid w:val="00B57000"/>
    <w:rsid w:val="00B60600"/>
    <w:rsid w:val="00B60939"/>
    <w:rsid w:val="00B60AFD"/>
    <w:rsid w:val="00B61805"/>
    <w:rsid w:val="00B62715"/>
    <w:rsid w:val="00B62C8B"/>
    <w:rsid w:val="00B65611"/>
    <w:rsid w:val="00B70E8E"/>
    <w:rsid w:val="00B71B49"/>
    <w:rsid w:val="00B7208B"/>
    <w:rsid w:val="00B73C05"/>
    <w:rsid w:val="00B746C7"/>
    <w:rsid w:val="00B747FE"/>
    <w:rsid w:val="00B767B8"/>
    <w:rsid w:val="00B76C92"/>
    <w:rsid w:val="00B80EFD"/>
    <w:rsid w:val="00B818A4"/>
    <w:rsid w:val="00B82204"/>
    <w:rsid w:val="00B83739"/>
    <w:rsid w:val="00B83EA4"/>
    <w:rsid w:val="00B84117"/>
    <w:rsid w:val="00B84870"/>
    <w:rsid w:val="00B858F0"/>
    <w:rsid w:val="00B85AA2"/>
    <w:rsid w:val="00B8649C"/>
    <w:rsid w:val="00B8695D"/>
    <w:rsid w:val="00B87F0A"/>
    <w:rsid w:val="00B90B63"/>
    <w:rsid w:val="00B92D0B"/>
    <w:rsid w:val="00B94945"/>
    <w:rsid w:val="00B94DD6"/>
    <w:rsid w:val="00B95305"/>
    <w:rsid w:val="00BA14D8"/>
    <w:rsid w:val="00BA31B3"/>
    <w:rsid w:val="00BA322D"/>
    <w:rsid w:val="00BA570B"/>
    <w:rsid w:val="00BA63FA"/>
    <w:rsid w:val="00BA6D4C"/>
    <w:rsid w:val="00BA7675"/>
    <w:rsid w:val="00BB00B3"/>
    <w:rsid w:val="00BB046A"/>
    <w:rsid w:val="00BB0823"/>
    <w:rsid w:val="00BB0BDD"/>
    <w:rsid w:val="00BB176C"/>
    <w:rsid w:val="00BB20D1"/>
    <w:rsid w:val="00BB2A73"/>
    <w:rsid w:val="00BB3247"/>
    <w:rsid w:val="00BB3A45"/>
    <w:rsid w:val="00BB3F98"/>
    <w:rsid w:val="00BB44C1"/>
    <w:rsid w:val="00BB4ACC"/>
    <w:rsid w:val="00BB5FAE"/>
    <w:rsid w:val="00BB6C1C"/>
    <w:rsid w:val="00BB703E"/>
    <w:rsid w:val="00BB732D"/>
    <w:rsid w:val="00BB7405"/>
    <w:rsid w:val="00BC1566"/>
    <w:rsid w:val="00BC3631"/>
    <w:rsid w:val="00BC591F"/>
    <w:rsid w:val="00BC7D6D"/>
    <w:rsid w:val="00BD2108"/>
    <w:rsid w:val="00BD3594"/>
    <w:rsid w:val="00BD68A3"/>
    <w:rsid w:val="00BD6938"/>
    <w:rsid w:val="00BD6CF3"/>
    <w:rsid w:val="00BD7F72"/>
    <w:rsid w:val="00BE0ECA"/>
    <w:rsid w:val="00BE1089"/>
    <w:rsid w:val="00BE2180"/>
    <w:rsid w:val="00BE21F2"/>
    <w:rsid w:val="00BE4275"/>
    <w:rsid w:val="00BE495E"/>
    <w:rsid w:val="00BE6ECA"/>
    <w:rsid w:val="00BF06AE"/>
    <w:rsid w:val="00BF0F95"/>
    <w:rsid w:val="00BF2433"/>
    <w:rsid w:val="00BF2E6E"/>
    <w:rsid w:val="00BF3344"/>
    <w:rsid w:val="00BF5765"/>
    <w:rsid w:val="00BF6029"/>
    <w:rsid w:val="00BF61C9"/>
    <w:rsid w:val="00BF6C94"/>
    <w:rsid w:val="00C00424"/>
    <w:rsid w:val="00C00BB0"/>
    <w:rsid w:val="00C0570B"/>
    <w:rsid w:val="00C11358"/>
    <w:rsid w:val="00C1179F"/>
    <w:rsid w:val="00C1183B"/>
    <w:rsid w:val="00C127B9"/>
    <w:rsid w:val="00C128FA"/>
    <w:rsid w:val="00C12C14"/>
    <w:rsid w:val="00C13B7B"/>
    <w:rsid w:val="00C15F04"/>
    <w:rsid w:val="00C179B3"/>
    <w:rsid w:val="00C17CBE"/>
    <w:rsid w:val="00C17E3F"/>
    <w:rsid w:val="00C200AA"/>
    <w:rsid w:val="00C237ED"/>
    <w:rsid w:val="00C24632"/>
    <w:rsid w:val="00C2499E"/>
    <w:rsid w:val="00C25408"/>
    <w:rsid w:val="00C25418"/>
    <w:rsid w:val="00C25D9C"/>
    <w:rsid w:val="00C265E1"/>
    <w:rsid w:val="00C2778B"/>
    <w:rsid w:val="00C27997"/>
    <w:rsid w:val="00C30A13"/>
    <w:rsid w:val="00C31649"/>
    <w:rsid w:val="00C3434C"/>
    <w:rsid w:val="00C40385"/>
    <w:rsid w:val="00C41768"/>
    <w:rsid w:val="00C471C4"/>
    <w:rsid w:val="00C475AA"/>
    <w:rsid w:val="00C5017D"/>
    <w:rsid w:val="00C50652"/>
    <w:rsid w:val="00C527C7"/>
    <w:rsid w:val="00C53C98"/>
    <w:rsid w:val="00C55646"/>
    <w:rsid w:val="00C56752"/>
    <w:rsid w:val="00C56FCF"/>
    <w:rsid w:val="00C57B6C"/>
    <w:rsid w:val="00C61A59"/>
    <w:rsid w:val="00C628A6"/>
    <w:rsid w:val="00C64344"/>
    <w:rsid w:val="00C65108"/>
    <w:rsid w:val="00C65576"/>
    <w:rsid w:val="00C656DC"/>
    <w:rsid w:val="00C66165"/>
    <w:rsid w:val="00C6677E"/>
    <w:rsid w:val="00C6684C"/>
    <w:rsid w:val="00C673CE"/>
    <w:rsid w:val="00C7060A"/>
    <w:rsid w:val="00C7151A"/>
    <w:rsid w:val="00C717E3"/>
    <w:rsid w:val="00C71F60"/>
    <w:rsid w:val="00C72241"/>
    <w:rsid w:val="00C750C8"/>
    <w:rsid w:val="00C7560F"/>
    <w:rsid w:val="00C80A0E"/>
    <w:rsid w:val="00C8213F"/>
    <w:rsid w:val="00C8303F"/>
    <w:rsid w:val="00C8324C"/>
    <w:rsid w:val="00C85154"/>
    <w:rsid w:val="00C85A70"/>
    <w:rsid w:val="00C8797A"/>
    <w:rsid w:val="00C900B8"/>
    <w:rsid w:val="00C90197"/>
    <w:rsid w:val="00C90C71"/>
    <w:rsid w:val="00C91FD1"/>
    <w:rsid w:val="00C931CF"/>
    <w:rsid w:val="00C938CF"/>
    <w:rsid w:val="00C94053"/>
    <w:rsid w:val="00C94903"/>
    <w:rsid w:val="00C9624D"/>
    <w:rsid w:val="00C969DA"/>
    <w:rsid w:val="00CA2C77"/>
    <w:rsid w:val="00CA444F"/>
    <w:rsid w:val="00CA5245"/>
    <w:rsid w:val="00CA71F4"/>
    <w:rsid w:val="00CA7B09"/>
    <w:rsid w:val="00CB12A5"/>
    <w:rsid w:val="00CB1CAC"/>
    <w:rsid w:val="00CB2F2A"/>
    <w:rsid w:val="00CB5B1A"/>
    <w:rsid w:val="00CB6B22"/>
    <w:rsid w:val="00CB7F5F"/>
    <w:rsid w:val="00CC11EE"/>
    <w:rsid w:val="00CC1B39"/>
    <w:rsid w:val="00CC1BFA"/>
    <w:rsid w:val="00CC2E9F"/>
    <w:rsid w:val="00CC35EA"/>
    <w:rsid w:val="00CC3848"/>
    <w:rsid w:val="00CC6D5E"/>
    <w:rsid w:val="00CC7BAD"/>
    <w:rsid w:val="00CD0200"/>
    <w:rsid w:val="00CD0A58"/>
    <w:rsid w:val="00CD0AE1"/>
    <w:rsid w:val="00CD3F77"/>
    <w:rsid w:val="00CD5D25"/>
    <w:rsid w:val="00CD6ADC"/>
    <w:rsid w:val="00CD7193"/>
    <w:rsid w:val="00CD7991"/>
    <w:rsid w:val="00CE243F"/>
    <w:rsid w:val="00CE38C8"/>
    <w:rsid w:val="00CE524F"/>
    <w:rsid w:val="00CE58CC"/>
    <w:rsid w:val="00CE6274"/>
    <w:rsid w:val="00CE77B6"/>
    <w:rsid w:val="00CF2B8D"/>
    <w:rsid w:val="00CF3A1B"/>
    <w:rsid w:val="00CF4165"/>
    <w:rsid w:val="00CF456B"/>
    <w:rsid w:val="00CF5692"/>
    <w:rsid w:val="00CF5A22"/>
    <w:rsid w:val="00D0262E"/>
    <w:rsid w:val="00D03679"/>
    <w:rsid w:val="00D05E3D"/>
    <w:rsid w:val="00D06139"/>
    <w:rsid w:val="00D110BD"/>
    <w:rsid w:val="00D13675"/>
    <w:rsid w:val="00D139A1"/>
    <w:rsid w:val="00D141E1"/>
    <w:rsid w:val="00D15314"/>
    <w:rsid w:val="00D15B48"/>
    <w:rsid w:val="00D17D6C"/>
    <w:rsid w:val="00D2155B"/>
    <w:rsid w:val="00D23D11"/>
    <w:rsid w:val="00D244B6"/>
    <w:rsid w:val="00D2754D"/>
    <w:rsid w:val="00D27B27"/>
    <w:rsid w:val="00D30D5B"/>
    <w:rsid w:val="00D317C1"/>
    <w:rsid w:val="00D325AC"/>
    <w:rsid w:val="00D33BE9"/>
    <w:rsid w:val="00D33F93"/>
    <w:rsid w:val="00D357FF"/>
    <w:rsid w:val="00D374B4"/>
    <w:rsid w:val="00D424C7"/>
    <w:rsid w:val="00D43B2A"/>
    <w:rsid w:val="00D43CF1"/>
    <w:rsid w:val="00D43D83"/>
    <w:rsid w:val="00D45249"/>
    <w:rsid w:val="00D468B8"/>
    <w:rsid w:val="00D47575"/>
    <w:rsid w:val="00D5243B"/>
    <w:rsid w:val="00D533EC"/>
    <w:rsid w:val="00D53497"/>
    <w:rsid w:val="00D54A94"/>
    <w:rsid w:val="00D56A95"/>
    <w:rsid w:val="00D6076E"/>
    <w:rsid w:val="00D60E3F"/>
    <w:rsid w:val="00D610FA"/>
    <w:rsid w:val="00D6184E"/>
    <w:rsid w:val="00D70F16"/>
    <w:rsid w:val="00D71068"/>
    <w:rsid w:val="00D72617"/>
    <w:rsid w:val="00D72F57"/>
    <w:rsid w:val="00D7336F"/>
    <w:rsid w:val="00D76A44"/>
    <w:rsid w:val="00D77744"/>
    <w:rsid w:val="00D815EF"/>
    <w:rsid w:val="00D81949"/>
    <w:rsid w:val="00D81F26"/>
    <w:rsid w:val="00D822E2"/>
    <w:rsid w:val="00D8242A"/>
    <w:rsid w:val="00D843F2"/>
    <w:rsid w:val="00D86231"/>
    <w:rsid w:val="00D864D4"/>
    <w:rsid w:val="00D9013E"/>
    <w:rsid w:val="00D912AB"/>
    <w:rsid w:val="00D91923"/>
    <w:rsid w:val="00D92F60"/>
    <w:rsid w:val="00D93753"/>
    <w:rsid w:val="00D9493A"/>
    <w:rsid w:val="00DA2B14"/>
    <w:rsid w:val="00DA3167"/>
    <w:rsid w:val="00DA3B46"/>
    <w:rsid w:val="00DA4DC3"/>
    <w:rsid w:val="00DA77A5"/>
    <w:rsid w:val="00DB0E36"/>
    <w:rsid w:val="00DB3DBF"/>
    <w:rsid w:val="00DB484F"/>
    <w:rsid w:val="00DC04F6"/>
    <w:rsid w:val="00DC0690"/>
    <w:rsid w:val="00DC09D7"/>
    <w:rsid w:val="00DC1D65"/>
    <w:rsid w:val="00DC3C57"/>
    <w:rsid w:val="00DC5501"/>
    <w:rsid w:val="00DC5926"/>
    <w:rsid w:val="00DC5DE4"/>
    <w:rsid w:val="00DC70CD"/>
    <w:rsid w:val="00DC7154"/>
    <w:rsid w:val="00DC7E8A"/>
    <w:rsid w:val="00DD0F78"/>
    <w:rsid w:val="00DD144E"/>
    <w:rsid w:val="00DD1462"/>
    <w:rsid w:val="00DD194E"/>
    <w:rsid w:val="00DD273C"/>
    <w:rsid w:val="00DD3F28"/>
    <w:rsid w:val="00DD4446"/>
    <w:rsid w:val="00DD4537"/>
    <w:rsid w:val="00DD4E15"/>
    <w:rsid w:val="00DD7AC1"/>
    <w:rsid w:val="00DD7B7F"/>
    <w:rsid w:val="00DE0593"/>
    <w:rsid w:val="00DE2304"/>
    <w:rsid w:val="00DE2E78"/>
    <w:rsid w:val="00DE3138"/>
    <w:rsid w:val="00DE35D1"/>
    <w:rsid w:val="00DE37F8"/>
    <w:rsid w:val="00DE4273"/>
    <w:rsid w:val="00DE4FCB"/>
    <w:rsid w:val="00DE5D07"/>
    <w:rsid w:val="00DE72A7"/>
    <w:rsid w:val="00DE7832"/>
    <w:rsid w:val="00DE7E65"/>
    <w:rsid w:val="00DF18FC"/>
    <w:rsid w:val="00DF349A"/>
    <w:rsid w:val="00DF3E93"/>
    <w:rsid w:val="00DF5D2B"/>
    <w:rsid w:val="00DF6341"/>
    <w:rsid w:val="00E00E8E"/>
    <w:rsid w:val="00E0132A"/>
    <w:rsid w:val="00E05630"/>
    <w:rsid w:val="00E06DBB"/>
    <w:rsid w:val="00E10149"/>
    <w:rsid w:val="00E11340"/>
    <w:rsid w:val="00E122A1"/>
    <w:rsid w:val="00E15EFA"/>
    <w:rsid w:val="00E16372"/>
    <w:rsid w:val="00E16AD8"/>
    <w:rsid w:val="00E17FFA"/>
    <w:rsid w:val="00E20E4D"/>
    <w:rsid w:val="00E20ED6"/>
    <w:rsid w:val="00E21358"/>
    <w:rsid w:val="00E2249B"/>
    <w:rsid w:val="00E22822"/>
    <w:rsid w:val="00E22A0D"/>
    <w:rsid w:val="00E244F6"/>
    <w:rsid w:val="00E258DB"/>
    <w:rsid w:val="00E25D2A"/>
    <w:rsid w:val="00E2771E"/>
    <w:rsid w:val="00E27E19"/>
    <w:rsid w:val="00E311EF"/>
    <w:rsid w:val="00E32180"/>
    <w:rsid w:val="00E34948"/>
    <w:rsid w:val="00E354B9"/>
    <w:rsid w:val="00E37569"/>
    <w:rsid w:val="00E377D2"/>
    <w:rsid w:val="00E401B2"/>
    <w:rsid w:val="00E41E30"/>
    <w:rsid w:val="00E41FC5"/>
    <w:rsid w:val="00E42F73"/>
    <w:rsid w:val="00E43D70"/>
    <w:rsid w:val="00E44076"/>
    <w:rsid w:val="00E44D1F"/>
    <w:rsid w:val="00E466F3"/>
    <w:rsid w:val="00E47B2C"/>
    <w:rsid w:val="00E50E3C"/>
    <w:rsid w:val="00E51560"/>
    <w:rsid w:val="00E51821"/>
    <w:rsid w:val="00E53FC8"/>
    <w:rsid w:val="00E54347"/>
    <w:rsid w:val="00E55424"/>
    <w:rsid w:val="00E55915"/>
    <w:rsid w:val="00E55BB5"/>
    <w:rsid w:val="00E55F5C"/>
    <w:rsid w:val="00E561F6"/>
    <w:rsid w:val="00E57202"/>
    <w:rsid w:val="00E611DF"/>
    <w:rsid w:val="00E61772"/>
    <w:rsid w:val="00E65E79"/>
    <w:rsid w:val="00E66BA2"/>
    <w:rsid w:val="00E67416"/>
    <w:rsid w:val="00E718B6"/>
    <w:rsid w:val="00E72386"/>
    <w:rsid w:val="00E723BA"/>
    <w:rsid w:val="00E73581"/>
    <w:rsid w:val="00E774BC"/>
    <w:rsid w:val="00E77F64"/>
    <w:rsid w:val="00E80E04"/>
    <w:rsid w:val="00E81F79"/>
    <w:rsid w:val="00E833F7"/>
    <w:rsid w:val="00E83BDF"/>
    <w:rsid w:val="00E86FCC"/>
    <w:rsid w:val="00E87A1D"/>
    <w:rsid w:val="00E90390"/>
    <w:rsid w:val="00E9094A"/>
    <w:rsid w:val="00E91877"/>
    <w:rsid w:val="00E91D35"/>
    <w:rsid w:val="00E91EAB"/>
    <w:rsid w:val="00E926A5"/>
    <w:rsid w:val="00E93B74"/>
    <w:rsid w:val="00E962CC"/>
    <w:rsid w:val="00E9798F"/>
    <w:rsid w:val="00EA0A22"/>
    <w:rsid w:val="00EA17C3"/>
    <w:rsid w:val="00EA2CAA"/>
    <w:rsid w:val="00EA3864"/>
    <w:rsid w:val="00EA7F1C"/>
    <w:rsid w:val="00EB15B6"/>
    <w:rsid w:val="00EB3D06"/>
    <w:rsid w:val="00EB4245"/>
    <w:rsid w:val="00EB4916"/>
    <w:rsid w:val="00EC00C9"/>
    <w:rsid w:val="00EC0DD9"/>
    <w:rsid w:val="00EC2649"/>
    <w:rsid w:val="00EC31ED"/>
    <w:rsid w:val="00EC4073"/>
    <w:rsid w:val="00EC5836"/>
    <w:rsid w:val="00EC6207"/>
    <w:rsid w:val="00EC688C"/>
    <w:rsid w:val="00ED12E3"/>
    <w:rsid w:val="00ED4B04"/>
    <w:rsid w:val="00ED57EA"/>
    <w:rsid w:val="00ED5BD4"/>
    <w:rsid w:val="00ED7384"/>
    <w:rsid w:val="00EE07D3"/>
    <w:rsid w:val="00EE1996"/>
    <w:rsid w:val="00EE1C01"/>
    <w:rsid w:val="00EE22AF"/>
    <w:rsid w:val="00EE57E2"/>
    <w:rsid w:val="00EE6263"/>
    <w:rsid w:val="00EE7829"/>
    <w:rsid w:val="00EF0171"/>
    <w:rsid w:val="00EF1B25"/>
    <w:rsid w:val="00EF1DA0"/>
    <w:rsid w:val="00EF4747"/>
    <w:rsid w:val="00EF4BF8"/>
    <w:rsid w:val="00EF4C7C"/>
    <w:rsid w:val="00EF5884"/>
    <w:rsid w:val="00EF6B11"/>
    <w:rsid w:val="00F019B4"/>
    <w:rsid w:val="00F02253"/>
    <w:rsid w:val="00F029B6"/>
    <w:rsid w:val="00F03C2E"/>
    <w:rsid w:val="00F03FD8"/>
    <w:rsid w:val="00F04A66"/>
    <w:rsid w:val="00F04B4B"/>
    <w:rsid w:val="00F0516C"/>
    <w:rsid w:val="00F067A2"/>
    <w:rsid w:val="00F07B9E"/>
    <w:rsid w:val="00F1116F"/>
    <w:rsid w:val="00F1263A"/>
    <w:rsid w:val="00F139C5"/>
    <w:rsid w:val="00F13E6D"/>
    <w:rsid w:val="00F13F7F"/>
    <w:rsid w:val="00F15B77"/>
    <w:rsid w:val="00F15BF1"/>
    <w:rsid w:val="00F15C8A"/>
    <w:rsid w:val="00F162F8"/>
    <w:rsid w:val="00F16E3B"/>
    <w:rsid w:val="00F173ED"/>
    <w:rsid w:val="00F21236"/>
    <w:rsid w:val="00F24837"/>
    <w:rsid w:val="00F25639"/>
    <w:rsid w:val="00F2575F"/>
    <w:rsid w:val="00F27565"/>
    <w:rsid w:val="00F3101B"/>
    <w:rsid w:val="00F310D4"/>
    <w:rsid w:val="00F31D5A"/>
    <w:rsid w:val="00F31DE2"/>
    <w:rsid w:val="00F32398"/>
    <w:rsid w:val="00F3244E"/>
    <w:rsid w:val="00F333A5"/>
    <w:rsid w:val="00F33975"/>
    <w:rsid w:val="00F33DE9"/>
    <w:rsid w:val="00F35E6D"/>
    <w:rsid w:val="00F35EF4"/>
    <w:rsid w:val="00F3619A"/>
    <w:rsid w:val="00F40AAA"/>
    <w:rsid w:val="00F40BA7"/>
    <w:rsid w:val="00F40F9D"/>
    <w:rsid w:val="00F4139A"/>
    <w:rsid w:val="00F41ACD"/>
    <w:rsid w:val="00F42564"/>
    <w:rsid w:val="00F451E2"/>
    <w:rsid w:val="00F45B17"/>
    <w:rsid w:val="00F46CB6"/>
    <w:rsid w:val="00F4756D"/>
    <w:rsid w:val="00F47DE8"/>
    <w:rsid w:val="00F542C1"/>
    <w:rsid w:val="00F545D6"/>
    <w:rsid w:val="00F550E3"/>
    <w:rsid w:val="00F553DB"/>
    <w:rsid w:val="00F55E73"/>
    <w:rsid w:val="00F55EDA"/>
    <w:rsid w:val="00F56C80"/>
    <w:rsid w:val="00F60092"/>
    <w:rsid w:val="00F61C18"/>
    <w:rsid w:val="00F61C1B"/>
    <w:rsid w:val="00F65F4B"/>
    <w:rsid w:val="00F672BC"/>
    <w:rsid w:val="00F672F1"/>
    <w:rsid w:val="00F67A69"/>
    <w:rsid w:val="00F67B57"/>
    <w:rsid w:val="00F70BFF"/>
    <w:rsid w:val="00F70C9D"/>
    <w:rsid w:val="00F715C7"/>
    <w:rsid w:val="00F73E08"/>
    <w:rsid w:val="00F74CD9"/>
    <w:rsid w:val="00F7534F"/>
    <w:rsid w:val="00F80A7B"/>
    <w:rsid w:val="00F80E5D"/>
    <w:rsid w:val="00F815C7"/>
    <w:rsid w:val="00F81E78"/>
    <w:rsid w:val="00F83916"/>
    <w:rsid w:val="00F841E6"/>
    <w:rsid w:val="00F851CE"/>
    <w:rsid w:val="00F91219"/>
    <w:rsid w:val="00F92444"/>
    <w:rsid w:val="00F9393E"/>
    <w:rsid w:val="00F96697"/>
    <w:rsid w:val="00F96FD0"/>
    <w:rsid w:val="00F97A78"/>
    <w:rsid w:val="00FA0B20"/>
    <w:rsid w:val="00FA24E7"/>
    <w:rsid w:val="00FA2825"/>
    <w:rsid w:val="00FA5EE6"/>
    <w:rsid w:val="00FA7956"/>
    <w:rsid w:val="00FB0824"/>
    <w:rsid w:val="00FB211F"/>
    <w:rsid w:val="00FB22BD"/>
    <w:rsid w:val="00FB25D7"/>
    <w:rsid w:val="00FB2FCB"/>
    <w:rsid w:val="00FB32C1"/>
    <w:rsid w:val="00FB4C9C"/>
    <w:rsid w:val="00FB5890"/>
    <w:rsid w:val="00FB7C55"/>
    <w:rsid w:val="00FC1074"/>
    <w:rsid w:val="00FC1884"/>
    <w:rsid w:val="00FC21A2"/>
    <w:rsid w:val="00FC34D3"/>
    <w:rsid w:val="00FC371D"/>
    <w:rsid w:val="00FC56D5"/>
    <w:rsid w:val="00FC59A3"/>
    <w:rsid w:val="00FC5F0B"/>
    <w:rsid w:val="00FC6C34"/>
    <w:rsid w:val="00FD1BEE"/>
    <w:rsid w:val="00FD2100"/>
    <w:rsid w:val="00FD436C"/>
    <w:rsid w:val="00FD446D"/>
    <w:rsid w:val="00FD4F2C"/>
    <w:rsid w:val="00FD6394"/>
    <w:rsid w:val="00FE0E6C"/>
    <w:rsid w:val="00FE1CDC"/>
    <w:rsid w:val="00FE215E"/>
    <w:rsid w:val="00FE4F14"/>
    <w:rsid w:val="00FE70C3"/>
    <w:rsid w:val="00FF1A8B"/>
    <w:rsid w:val="00FF2AD9"/>
    <w:rsid w:val="00FF359F"/>
    <w:rsid w:val="00FF3DCF"/>
    <w:rsid w:val="00FF492C"/>
    <w:rsid w:val="00FF4A21"/>
    <w:rsid w:val="00FF54B5"/>
    <w:rsid w:val="00FF5AA3"/>
    <w:rsid w:val="00FF5AD8"/>
    <w:rsid w:val="00FF7E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RTI AMCP Table,Source table_,NICE instructions"/>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9711E4"/>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093E39"/>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093E39"/>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08059E"/>
    <w:rPr>
      <w:color w:val="605E5C"/>
      <w:shd w:val="clear" w:color="auto" w:fill="E1DFDD"/>
    </w:rPr>
  </w:style>
  <w:style w:type="paragraph" w:styleId="FootnoteText">
    <w:name w:val="footnote text"/>
    <w:aliases w:val="Footnote Text Char1,Footnote Text Char Char,Footnote Text Char2,Footnote Text Char Char1"/>
    <w:basedOn w:val="Normal"/>
    <w:link w:val="FootnoteTextChar"/>
    <w:unhideWhenUsed/>
    <w:rsid w:val="00D7336F"/>
    <w:rPr>
      <w:rFonts w:eastAsia="SimSun"/>
      <w:sz w:val="20"/>
      <w:szCs w:val="20"/>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D7336F"/>
    <w:rPr>
      <w:rFonts w:ascii="Calibri" w:eastAsia="SimSun" w:hAnsi="Calibri" w:cs="Arial"/>
    </w:rPr>
  </w:style>
  <w:style w:type="character" w:styleId="FootnoteReference">
    <w:name w:val="footnote reference"/>
    <w:basedOn w:val="DefaultParagraphFont"/>
    <w:unhideWhenUsed/>
    <w:rsid w:val="00D7336F"/>
    <w:rPr>
      <w:vertAlign w:val="superscript"/>
    </w:rPr>
  </w:style>
  <w:style w:type="character" w:customStyle="1" w:styleId="TableHeadingChar">
    <w:name w:val="TableHeading Char"/>
    <w:link w:val="TableHeading"/>
    <w:rsid w:val="00725166"/>
    <w:rPr>
      <w:rFonts w:ascii="Arial Narrow" w:hAnsi="Arial Narrow" w:cs="Arial Narrow"/>
      <w:b/>
      <w:bCs/>
      <w:snapToGrid w:val="0"/>
      <w:szCs w:val="24"/>
    </w:rPr>
  </w:style>
  <w:style w:type="table" w:customStyle="1" w:styleId="PBACTableStyle">
    <w:name w:val="PBAC Table Style"/>
    <w:basedOn w:val="TableGrid1"/>
    <w:uiPriority w:val="99"/>
    <w:rsid w:val="00846489"/>
    <w:pPr>
      <w:widowControl w:val="0"/>
      <w:spacing w:before="120"/>
      <w:contextualSpacing/>
      <w:jc w:val="center"/>
    </w:pPr>
    <w:rPr>
      <w:rFonts w:ascii="Arial Narrow" w:eastAsiaTheme="minorHAnsi" w:hAnsi="Arial Narrow" w:cstheme="minorBidi"/>
      <w:color w:val="000000" w:themeColor="text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Kristen ITC" w:hAnsi="Kristen ITC"/>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Kristen ITC" w:hAnsi="Kristen ITC"/>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Kristen ITC" w:hAnsi="Kristen ITC"/>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TableGrid1">
    <w:name w:val="Table Grid 1"/>
    <w:basedOn w:val="TableNormal"/>
    <w:semiHidden/>
    <w:unhideWhenUsed/>
    <w:rsid w:val="0084648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mail-msofootnotetext">
    <w:name w:val="gmail-msofootnotetext"/>
    <w:basedOn w:val="Normal"/>
    <w:rsid w:val="00846489"/>
    <w:pPr>
      <w:spacing w:before="100" w:beforeAutospacing="1" w:after="100" w:afterAutospacing="1"/>
      <w:jc w:val="left"/>
    </w:pPr>
    <w:rPr>
      <w:rFonts w:ascii="Times New Roman" w:eastAsiaTheme="minorEastAsia" w:hAnsi="Times New Roman" w:cs="Times New Roman"/>
      <w:lang w:eastAsia="zh-CN"/>
    </w:rPr>
  </w:style>
  <w:style w:type="numbering" w:customStyle="1" w:styleId="CurrentList1">
    <w:name w:val="Current List1"/>
    <w:uiPriority w:val="99"/>
    <w:rsid w:val="00846489"/>
    <w:pPr>
      <w:numPr>
        <w:numId w:val="10"/>
      </w:numPr>
    </w:pPr>
  </w:style>
  <w:style w:type="numbering" w:customStyle="1" w:styleId="CurrentList2">
    <w:name w:val="Current List2"/>
    <w:uiPriority w:val="99"/>
    <w:rsid w:val="00846489"/>
    <w:pPr>
      <w:numPr>
        <w:numId w:val="12"/>
      </w:numPr>
    </w:pPr>
  </w:style>
  <w:style w:type="paragraph" w:customStyle="1" w:styleId="3Bodytext">
    <w:name w:val="3. Body text"/>
    <w:basedOn w:val="ListParagraph"/>
    <w:link w:val="3BodytextChar"/>
    <w:qFormat/>
    <w:rsid w:val="004901F0"/>
    <w:pPr>
      <w:numPr>
        <w:numId w:val="0"/>
      </w:numPr>
      <w:ind w:left="720" w:hanging="720"/>
      <w:jc w:val="left"/>
    </w:pPr>
    <w:rPr>
      <w:rFonts w:eastAsia="SimSun" w:cstheme="minorBidi"/>
      <w:snapToGrid/>
      <w:sz w:val="22"/>
      <w:szCs w:val="22"/>
    </w:rPr>
  </w:style>
  <w:style w:type="character" w:customStyle="1" w:styleId="3BodytextChar">
    <w:name w:val="3. Body text Char"/>
    <w:basedOn w:val="ListParagraphChar"/>
    <w:link w:val="3Bodytext"/>
    <w:rsid w:val="004901F0"/>
    <w:rPr>
      <w:rFonts w:asciiTheme="minorHAnsi" w:eastAsia="SimSun" w:hAnsiTheme="minorHAnsi" w:cstheme="minorBidi"/>
      <w:snapToGrid/>
      <w:sz w:val="22"/>
      <w:szCs w:val="22"/>
    </w:rPr>
  </w:style>
  <w:style w:type="paragraph" w:customStyle="1" w:styleId="3-SubsectionHeading">
    <w:name w:val="3-Subsection Heading"/>
    <w:basedOn w:val="Heading2"/>
    <w:next w:val="Normal"/>
    <w:link w:val="3-SubsectionHeadingChar"/>
    <w:qFormat/>
    <w:rsid w:val="0075485D"/>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5485D"/>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2845D6"/>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2845D6"/>
  </w:style>
  <w:style w:type="character" w:customStyle="1" w:styleId="eop">
    <w:name w:val="eop"/>
    <w:basedOn w:val="DefaultParagraphFont"/>
    <w:rsid w:val="00284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33978290">
      <w:bodyDiv w:val="1"/>
      <w:marLeft w:val="0"/>
      <w:marRight w:val="0"/>
      <w:marTop w:val="0"/>
      <w:marBottom w:val="0"/>
      <w:divBdr>
        <w:top w:val="none" w:sz="0" w:space="0" w:color="auto"/>
        <w:left w:val="none" w:sz="0" w:space="0" w:color="auto"/>
        <w:bottom w:val="none" w:sz="0" w:space="0" w:color="auto"/>
        <w:right w:val="none" w:sz="0" w:space="0" w:color="auto"/>
      </w:divBdr>
    </w:div>
    <w:div w:id="1130711049">
      <w:bodyDiv w:val="1"/>
      <w:marLeft w:val="0"/>
      <w:marRight w:val="0"/>
      <w:marTop w:val="0"/>
      <w:marBottom w:val="0"/>
      <w:divBdr>
        <w:top w:val="none" w:sz="0" w:space="0" w:color="auto"/>
        <w:left w:val="none" w:sz="0" w:space="0" w:color="auto"/>
        <w:bottom w:val="none" w:sz="0" w:space="0" w:color="auto"/>
        <w:right w:val="none" w:sz="0" w:space="0" w:color="auto"/>
      </w:divBdr>
      <w:divsChild>
        <w:div w:id="300383843">
          <w:marLeft w:val="0"/>
          <w:marRight w:val="0"/>
          <w:marTop w:val="0"/>
          <w:marBottom w:val="0"/>
          <w:divBdr>
            <w:top w:val="none" w:sz="0" w:space="0" w:color="auto"/>
            <w:left w:val="none" w:sz="0" w:space="0" w:color="auto"/>
            <w:bottom w:val="none" w:sz="0" w:space="0" w:color="auto"/>
            <w:right w:val="none" w:sz="0" w:space="0" w:color="auto"/>
          </w:divBdr>
        </w:div>
        <w:div w:id="1044989167">
          <w:marLeft w:val="0"/>
          <w:marRight w:val="0"/>
          <w:marTop w:val="0"/>
          <w:marBottom w:val="0"/>
          <w:divBdr>
            <w:top w:val="none" w:sz="0" w:space="0" w:color="auto"/>
            <w:left w:val="none" w:sz="0" w:space="0" w:color="auto"/>
            <w:bottom w:val="none" w:sz="0" w:space="0" w:color="auto"/>
            <w:right w:val="none" w:sz="0" w:space="0" w:color="auto"/>
          </w:divBdr>
        </w:div>
        <w:div w:id="598946221">
          <w:marLeft w:val="0"/>
          <w:marRight w:val="0"/>
          <w:marTop w:val="0"/>
          <w:marBottom w:val="0"/>
          <w:divBdr>
            <w:top w:val="none" w:sz="0" w:space="0" w:color="auto"/>
            <w:left w:val="none" w:sz="0" w:space="0" w:color="auto"/>
            <w:bottom w:val="none" w:sz="0" w:space="0" w:color="auto"/>
            <w:right w:val="none" w:sz="0" w:space="0" w:color="auto"/>
          </w:divBdr>
        </w:div>
        <w:div w:id="1373921152">
          <w:marLeft w:val="0"/>
          <w:marRight w:val="0"/>
          <w:marTop w:val="0"/>
          <w:marBottom w:val="0"/>
          <w:divBdr>
            <w:top w:val="none" w:sz="0" w:space="0" w:color="auto"/>
            <w:left w:val="none" w:sz="0" w:space="0" w:color="auto"/>
            <w:bottom w:val="none" w:sz="0" w:space="0" w:color="auto"/>
            <w:right w:val="none" w:sz="0" w:space="0" w:color="auto"/>
          </w:divBdr>
        </w:div>
        <w:div w:id="1282150269">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2D044-25E8-4D77-B511-9653FD2B9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18218</Words>
  <Characters>97804</Characters>
  <Application>Microsoft Office Word</Application>
  <DocSecurity>0</DocSecurity>
  <Lines>815</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2023-06-23T05:55:00Z</dcterms:created>
  <dcterms:modified xsi:type="dcterms:W3CDTF">2023-06-23T06:06:00Z</dcterms:modified>
</cp:coreProperties>
</file>