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8869" w14:textId="289DBA11" w:rsidR="00BA4874" w:rsidRPr="00A95754" w:rsidRDefault="00BA4874" w:rsidP="00BA4874">
      <w:pPr>
        <w:pStyle w:val="1-MainHeading"/>
      </w:pPr>
      <w:bookmarkStart w:id="0" w:name="_Toc124925599"/>
      <w:r w:rsidRPr="00A95754">
        <w:t>6.05</w:t>
      </w:r>
      <w:r w:rsidRPr="00A95754">
        <w:tab/>
        <w:t>DURVALUMAB,</w:t>
      </w:r>
      <w:r w:rsidRPr="00A95754">
        <w:br/>
      </w:r>
      <w:r w:rsidR="004D70AB" w:rsidRPr="00A95754">
        <w:t xml:space="preserve">Solution </w:t>
      </w:r>
      <w:r w:rsidR="004D70AB">
        <w:t xml:space="preserve">concentrate </w:t>
      </w:r>
      <w:r w:rsidR="004D70AB" w:rsidRPr="00A95754">
        <w:t>for I.V. infusion 120 mg in 2.4</w:t>
      </w:r>
      <w:r w:rsidR="006B08CD">
        <w:t> </w:t>
      </w:r>
      <w:r w:rsidR="004D70AB" w:rsidRPr="00A95754">
        <w:t>mL vial</w:t>
      </w:r>
      <w:r w:rsidR="004D70AB">
        <w:t>,</w:t>
      </w:r>
      <w:r w:rsidR="004D70AB">
        <w:br/>
      </w:r>
      <w:r w:rsidRPr="00A95754">
        <w:t xml:space="preserve">Solution </w:t>
      </w:r>
      <w:r w:rsidR="004D70AB">
        <w:t xml:space="preserve">concentrate </w:t>
      </w:r>
      <w:r w:rsidRPr="00A95754">
        <w:t>for I.V. infusion 500 mg in 10</w:t>
      </w:r>
      <w:r w:rsidR="006B08CD">
        <w:t> </w:t>
      </w:r>
      <w:r w:rsidRPr="00A95754">
        <w:t>mL vial</w:t>
      </w:r>
      <w:r w:rsidR="00DA6ADE">
        <w:t>,</w:t>
      </w:r>
      <w:r w:rsidRPr="00A95754">
        <w:br/>
        <w:t>Imfinzi</w:t>
      </w:r>
      <w:r w:rsidRPr="00A95754">
        <w:rPr>
          <w:vertAlign w:val="superscript"/>
        </w:rPr>
        <w:t>®</w:t>
      </w:r>
      <w:r w:rsidRPr="00A95754">
        <w:t>,</w:t>
      </w:r>
      <w:r w:rsidRPr="00A95754">
        <w:br/>
        <w:t>AstraZeneca Pty Ltd.</w:t>
      </w:r>
      <w:bookmarkEnd w:id="0"/>
    </w:p>
    <w:p w14:paraId="3962228B" w14:textId="77777777" w:rsidR="00BA4874" w:rsidRPr="00A95754" w:rsidRDefault="00BA4874" w:rsidP="00BA4874">
      <w:pPr>
        <w:pStyle w:val="2-SectionHeading"/>
      </w:pPr>
      <w:bookmarkStart w:id="1" w:name="_Toc124925601"/>
      <w:r w:rsidRPr="00A95754">
        <w:t>Purpose of submission</w:t>
      </w:r>
      <w:bookmarkEnd w:id="1"/>
    </w:p>
    <w:p w14:paraId="04D3F8C1" w14:textId="2A7CFEC5" w:rsidR="00BA4874" w:rsidRPr="00A95754" w:rsidRDefault="00BA4874" w:rsidP="00BA4874">
      <w:pPr>
        <w:pStyle w:val="3-BodyText"/>
      </w:pPr>
      <w:r w:rsidRPr="00A95754">
        <w:t>The Category 1 submission requested a Section 100 listing for durvalumab in combination with gemcitabine and cisplatin (GemCis) in 3-weekly cycles</w:t>
      </w:r>
      <w:r w:rsidR="0059310F" w:rsidRPr="00A95754">
        <w:t xml:space="preserve"> for up to 8 cycles</w:t>
      </w:r>
      <w:r w:rsidRPr="00A95754">
        <w:t xml:space="preserve">, followed by </w:t>
      </w:r>
      <w:r w:rsidR="009648FE" w:rsidRPr="00A95754">
        <w:t>durvalumab monotherapy</w:t>
      </w:r>
      <w:r w:rsidRPr="00A95754">
        <w:t xml:space="preserve"> every 4 weeks until disease progression for the first-line treatment of patients with advanced biliary tract cancer (BTC). </w:t>
      </w:r>
    </w:p>
    <w:p w14:paraId="52FAB7D0" w14:textId="37D375B8" w:rsidR="00BA4874" w:rsidRPr="00A95754" w:rsidRDefault="00BA4874" w:rsidP="00BA4874">
      <w:pPr>
        <w:pStyle w:val="3-BodyText"/>
      </w:pPr>
      <w:r w:rsidRPr="00A95754">
        <w:t xml:space="preserve">Listing was requested on the basis of a cost-effectiveness analysis versus </w:t>
      </w:r>
      <w:r w:rsidR="00CF55B3">
        <w:t xml:space="preserve">placebo + </w:t>
      </w:r>
      <w:r w:rsidRPr="00A95754">
        <w:t>GemCis. The key components of the clinical issues addressed in the submission are summarised in</w:t>
      </w:r>
      <w:r w:rsidR="0025289C" w:rsidRPr="00A95754">
        <w:t xml:space="preserve"> </w:t>
      </w:r>
      <w:r w:rsidR="0025289C" w:rsidRPr="00A95754">
        <w:fldChar w:fldCharType="begin"/>
      </w:r>
      <w:r w:rsidR="0025289C" w:rsidRPr="00A95754">
        <w:instrText xml:space="preserve"> REF _Ref124181525 \h </w:instrText>
      </w:r>
      <w:r w:rsidR="004D2C5E" w:rsidRPr="00A95754">
        <w:instrText xml:space="preserve"> \* MERGEFORMAT </w:instrText>
      </w:r>
      <w:r w:rsidR="0025289C" w:rsidRPr="00A95754">
        <w:fldChar w:fldCharType="separate"/>
      </w:r>
      <w:r w:rsidR="000178EC" w:rsidRPr="00A95754">
        <w:t xml:space="preserve">Table </w:t>
      </w:r>
      <w:r w:rsidR="000178EC">
        <w:rPr>
          <w:noProof/>
        </w:rPr>
        <w:t>1</w:t>
      </w:r>
      <w:r w:rsidR="0025289C" w:rsidRPr="00A95754">
        <w:fldChar w:fldCharType="end"/>
      </w:r>
      <w:r w:rsidRPr="00A95754">
        <w:t>.</w:t>
      </w:r>
    </w:p>
    <w:p w14:paraId="776A8D23" w14:textId="2BAA588F" w:rsidR="00BA4874" w:rsidRPr="00A95754" w:rsidRDefault="00BA4874" w:rsidP="00BA4874">
      <w:pPr>
        <w:pStyle w:val="TableFigureHeading"/>
        <w:rPr>
          <w:rStyle w:val="CommentReference"/>
          <w:b/>
          <w:szCs w:val="24"/>
        </w:rPr>
      </w:pPr>
      <w:bookmarkStart w:id="2" w:name="_Ref124181525"/>
      <w:r w:rsidRPr="00A95754">
        <w:t xml:space="preserve">Table </w:t>
      </w:r>
      <w:fldSimple w:instr=" SEQ Table \* ARABIC ">
        <w:r w:rsidR="000178EC">
          <w:rPr>
            <w:noProof/>
          </w:rPr>
          <w:t>1</w:t>
        </w:r>
      </w:fldSimple>
      <w:bookmarkEnd w:id="2"/>
      <w:r w:rsidRPr="00A95754">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BA4874" w:rsidRPr="00A95754" w14:paraId="39247815" w14:textId="77777777" w:rsidTr="00094E2F">
        <w:trPr>
          <w:cantSplit/>
          <w:tblHeader/>
        </w:trPr>
        <w:tc>
          <w:tcPr>
            <w:tcW w:w="924" w:type="pct"/>
            <w:shd w:val="clear" w:color="auto" w:fill="auto"/>
          </w:tcPr>
          <w:p w14:paraId="4DB56B1B" w14:textId="77777777" w:rsidR="00BA4874" w:rsidRPr="00A95754" w:rsidRDefault="00BA4874" w:rsidP="00094E2F">
            <w:pPr>
              <w:pStyle w:val="In-tableHeading"/>
              <w:rPr>
                <w:szCs w:val="20"/>
              </w:rPr>
            </w:pPr>
            <w:r w:rsidRPr="00A95754">
              <w:t>Component</w:t>
            </w:r>
          </w:p>
        </w:tc>
        <w:tc>
          <w:tcPr>
            <w:tcW w:w="4076" w:type="pct"/>
            <w:shd w:val="clear" w:color="auto" w:fill="auto"/>
          </w:tcPr>
          <w:p w14:paraId="43DABA28" w14:textId="77777777" w:rsidR="00BA4874" w:rsidRPr="00A95754" w:rsidRDefault="00BA4874" w:rsidP="00094E2F">
            <w:pPr>
              <w:pStyle w:val="In-tableHeading"/>
            </w:pPr>
            <w:r w:rsidRPr="00A95754">
              <w:t>Description</w:t>
            </w:r>
          </w:p>
        </w:tc>
      </w:tr>
      <w:tr w:rsidR="00BA4874" w:rsidRPr="00A95754" w14:paraId="62D7DC8F" w14:textId="77777777" w:rsidTr="00094E2F">
        <w:trPr>
          <w:cantSplit/>
        </w:trPr>
        <w:tc>
          <w:tcPr>
            <w:tcW w:w="924" w:type="pct"/>
            <w:shd w:val="clear" w:color="auto" w:fill="auto"/>
          </w:tcPr>
          <w:p w14:paraId="471F9884" w14:textId="77777777" w:rsidR="00BA4874" w:rsidRPr="00A95754" w:rsidRDefault="00BA4874" w:rsidP="00094E2F">
            <w:pPr>
              <w:pStyle w:val="TableText0"/>
            </w:pPr>
            <w:r w:rsidRPr="00A95754">
              <w:t>Population</w:t>
            </w:r>
          </w:p>
        </w:tc>
        <w:tc>
          <w:tcPr>
            <w:tcW w:w="4076" w:type="pct"/>
            <w:shd w:val="clear" w:color="auto" w:fill="auto"/>
          </w:tcPr>
          <w:p w14:paraId="222AE675" w14:textId="77777777" w:rsidR="00BA4874" w:rsidRPr="00A95754" w:rsidRDefault="00BA4874" w:rsidP="00094E2F">
            <w:pPr>
              <w:pStyle w:val="TableText0"/>
              <w:rPr>
                <w:szCs w:val="20"/>
              </w:rPr>
            </w:pPr>
            <w:r w:rsidRPr="00A95754">
              <w:t>Patients with advanced BTC (i.e. patients with previously untreated, unresectable locally advanced, or metastatic disease, and patients with recurrent disease after curative surgery or after completion of adjuvant therapy).</w:t>
            </w:r>
          </w:p>
        </w:tc>
      </w:tr>
      <w:tr w:rsidR="00BA4874" w:rsidRPr="00A95754" w14:paraId="49FEF7CA" w14:textId="77777777" w:rsidTr="00094E2F">
        <w:trPr>
          <w:cantSplit/>
        </w:trPr>
        <w:tc>
          <w:tcPr>
            <w:tcW w:w="924" w:type="pct"/>
            <w:shd w:val="clear" w:color="auto" w:fill="auto"/>
          </w:tcPr>
          <w:p w14:paraId="0E3553C9" w14:textId="77777777" w:rsidR="00BA4874" w:rsidRPr="00A95754" w:rsidRDefault="00BA4874" w:rsidP="00094E2F">
            <w:pPr>
              <w:pStyle w:val="TableText0"/>
            </w:pPr>
            <w:r w:rsidRPr="00A95754">
              <w:t>Intervention</w:t>
            </w:r>
          </w:p>
        </w:tc>
        <w:tc>
          <w:tcPr>
            <w:tcW w:w="4076" w:type="pct"/>
            <w:shd w:val="clear" w:color="auto" w:fill="auto"/>
          </w:tcPr>
          <w:p w14:paraId="2EDC06D5" w14:textId="77777777" w:rsidR="00BA4874" w:rsidRPr="00A95754" w:rsidRDefault="00BA4874" w:rsidP="00094E2F">
            <w:pPr>
              <w:pStyle w:val="TableText0"/>
            </w:pPr>
            <w:r w:rsidRPr="00A95754">
              <w:t>Durvalumab 1,500 mg in combination with GemCis every 3 weeks up to 8 cycles</w:t>
            </w:r>
            <w:r w:rsidRPr="00A95754">
              <w:rPr>
                <w:vertAlign w:val="superscript"/>
              </w:rPr>
              <w:t>a</w:t>
            </w:r>
            <w:r w:rsidRPr="00A95754">
              <w:t xml:space="preserve"> followed by durvalumab 1,500 mg every 4 weeks until disease progression. </w:t>
            </w:r>
          </w:p>
        </w:tc>
      </w:tr>
      <w:tr w:rsidR="00BA4874" w:rsidRPr="00A95754" w14:paraId="5682D810" w14:textId="77777777" w:rsidTr="00094E2F">
        <w:trPr>
          <w:cantSplit/>
        </w:trPr>
        <w:tc>
          <w:tcPr>
            <w:tcW w:w="924" w:type="pct"/>
            <w:shd w:val="clear" w:color="auto" w:fill="auto"/>
          </w:tcPr>
          <w:p w14:paraId="5574D520" w14:textId="77777777" w:rsidR="00BA4874" w:rsidRPr="00A95754" w:rsidRDefault="00BA4874" w:rsidP="00094E2F">
            <w:pPr>
              <w:pStyle w:val="TableText0"/>
            </w:pPr>
            <w:r w:rsidRPr="00A95754">
              <w:t>Comparator</w:t>
            </w:r>
          </w:p>
        </w:tc>
        <w:tc>
          <w:tcPr>
            <w:tcW w:w="4076" w:type="pct"/>
            <w:shd w:val="clear" w:color="auto" w:fill="auto"/>
          </w:tcPr>
          <w:p w14:paraId="7E21172B" w14:textId="77777777" w:rsidR="00BA4874" w:rsidRPr="00A95754" w:rsidRDefault="00BA4874" w:rsidP="00094E2F">
            <w:pPr>
              <w:pStyle w:val="TableText0"/>
            </w:pPr>
            <w:r w:rsidRPr="00A95754">
              <w:t>Placebo in combination with GemCis every 3 weeks up to 8 cycles followed by placebo every 4 weeks until disease progression.</w:t>
            </w:r>
          </w:p>
        </w:tc>
      </w:tr>
      <w:tr w:rsidR="00BA4874" w:rsidRPr="00A95754" w14:paraId="49A67C07" w14:textId="77777777" w:rsidTr="00094E2F">
        <w:trPr>
          <w:cantSplit/>
        </w:trPr>
        <w:tc>
          <w:tcPr>
            <w:tcW w:w="924" w:type="pct"/>
            <w:shd w:val="clear" w:color="auto" w:fill="auto"/>
          </w:tcPr>
          <w:p w14:paraId="74A7B8FF" w14:textId="77777777" w:rsidR="00BA4874" w:rsidRPr="00A95754" w:rsidRDefault="00BA4874" w:rsidP="00094E2F">
            <w:pPr>
              <w:pStyle w:val="TableText0"/>
            </w:pPr>
            <w:r w:rsidRPr="00A95754">
              <w:t>Outcomes</w:t>
            </w:r>
          </w:p>
        </w:tc>
        <w:tc>
          <w:tcPr>
            <w:tcW w:w="4076" w:type="pct"/>
            <w:shd w:val="clear" w:color="auto" w:fill="auto"/>
          </w:tcPr>
          <w:p w14:paraId="61711103" w14:textId="77777777" w:rsidR="00BA4874" w:rsidRPr="00A95754" w:rsidRDefault="00BA4874" w:rsidP="00094E2F">
            <w:pPr>
              <w:pStyle w:val="TableText0"/>
              <w:rPr>
                <w:rFonts w:eastAsia="Times New Roman" w:cs="Arial"/>
                <w:bCs w:val="0"/>
                <w:snapToGrid w:val="0"/>
                <w:color w:val="0066FF"/>
                <w:szCs w:val="20"/>
              </w:rPr>
            </w:pPr>
            <w:r w:rsidRPr="00A95754">
              <w:t xml:space="preserve">OS, PFS, ORR, DoR, HRQoL and safety. </w:t>
            </w:r>
          </w:p>
        </w:tc>
      </w:tr>
      <w:tr w:rsidR="00BA4874" w:rsidRPr="00A95754" w14:paraId="593252ED" w14:textId="77777777" w:rsidTr="00094E2F">
        <w:trPr>
          <w:cantSplit/>
        </w:trPr>
        <w:tc>
          <w:tcPr>
            <w:tcW w:w="924" w:type="pct"/>
            <w:shd w:val="clear" w:color="auto" w:fill="auto"/>
          </w:tcPr>
          <w:p w14:paraId="12F0ED84" w14:textId="77777777" w:rsidR="00BA4874" w:rsidRPr="00A95754" w:rsidRDefault="00BA4874" w:rsidP="00094E2F">
            <w:pPr>
              <w:pStyle w:val="TableText0"/>
            </w:pPr>
            <w:r w:rsidRPr="00A95754">
              <w:t>Clinical claim</w:t>
            </w:r>
          </w:p>
        </w:tc>
        <w:tc>
          <w:tcPr>
            <w:tcW w:w="4076" w:type="pct"/>
            <w:shd w:val="clear" w:color="auto" w:fill="auto"/>
          </w:tcPr>
          <w:p w14:paraId="3FD493AE" w14:textId="77777777" w:rsidR="00BA4874" w:rsidRPr="00A95754" w:rsidRDefault="00BA4874" w:rsidP="00094E2F">
            <w:pPr>
              <w:pStyle w:val="TableText0"/>
              <w:rPr>
                <w:rFonts w:eastAsia="Times New Roman" w:cs="Arial"/>
                <w:bCs w:val="0"/>
                <w:snapToGrid w:val="0"/>
                <w:color w:val="0066FF"/>
                <w:szCs w:val="20"/>
              </w:rPr>
            </w:pPr>
            <w:r w:rsidRPr="00A95754">
              <w:t>Durvalumab in combination with GemCis is superior in term of efficacy and non-inferior in terms of safety overall when compared to placebo in combination with GemCis.</w:t>
            </w:r>
          </w:p>
        </w:tc>
      </w:tr>
    </w:tbl>
    <w:p w14:paraId="7AA42A55" w14:textId="77777777" w:rsidR="00BA4874" w:rsidRPr="00A95754" w:rsidRDefault="00BA4874" w:rsidP="00BA4874">
      <w:pPr>
        <w:pStyle w:val="TableFigureFooter"/>
        <w:jc w:val="left"/>
      </w:pPr>
      <w:r w:rsidRPr="00A95754">
        <w:t>Source: Table 1.1, p21 of the submission.</w:t>
      </w:r>
      <w:r w:rsidRPr="00A95754">
        <w:br/>
        <w:t>BTC = biliary tract cancer; DoR = duration of response; GemCis = gemcitabine plus cisplatin; HRQoL = health related quality of life; ORR = objective response rate; OS = overall survival; PFS = progression free survival.</w:t>
      </w:r>
    </w:p>
    <w:p w14:paraId="06F8EFBA" w14:textId="77777777" w:rsidR="00BA4874" w:rsidRPr="00C44D12" w:rsidRDefault="00BA4874" w:rsidP="00BA4874">
      <w:pPr>
        <w:pStyle w:val="TableFigureFooter"/>
        <w:jc w:val="left"/>
      </w:pPr>
      <w:r w:rsidRPr="00C44D12">
        <w:rPr>
          <w:vertAlign w:val="superscript"/>
        </w:rPr>
        <w:t>a</w:t>
      </w:r>
      <w:r w:rsidRPr="00C44D12">
        <w:t xml:space="preserve"> Durvalumab was administered once per cycle with GemCis on day 1, and GemCis administered again on day 8 of each 3-week cycle.</w:t>
      </w:r>
    </w:p>
    <w:p w14:paraId="171154F7" w14:textId="77777777" w:rsidR="00BA4874" w:rsidRPr="00A95754" w:rsidRDefault="00BA4874" w:rsidP="00BA4874">
      <w:pPr>
        <w:pStyle w:val="2-SectionHeading"/>
      </w:pPr>
      <w:bookmarkStart w:id="3" w:name="_Toc124925602"/>
      <w:r w:rsidRPr="00A95754">
        <w:t>Background</w:t>
      </w:r>
      <w:bookmarkEnd w:id="3"/>
    </w:p>
    <w:p w14:paraId="0EF54985" w14:textId="77777777" w:rsidR="00BA4874" w:rsidRPr="00A95754" w:rsidRDefault="00BA4874" w:rsidP="00BA4874">
      <w:pPr>
        <w:pStyle w:val="4-SubsectionHeading"/>
      </w:pPr>
      <w:bookmarkStart w:id="4" w:name="_Toc124925603"/>
      <w:r w:rsidRPr="00A95754">
        <w:t>Registration status</w:t>
      </w:r>
      <w:bookmarkEnd w:id="4"/>
    </w:p>
    <w:p w14:paraId="73123939" w14:textId="2079C72F" w:rsidR="00BA4874" w:rsidRDefault="00C44D12" w:rsidP="00BA4874">
      <w:pPr>
        <w:pStyle w:val="3-BodyText"/>
      </w:pPr>
      <w:r w:rsidRPr="00BE18C5">
        <w:rPr>
          <w:rFonts w:ascii="Calibri" w:eastAsia="Calibri" w:hAnsi="Calibri"/>
          <w:b/>
          <w:szCs w:val="22"/>
        </w:rPr>
        <w:t xml:space="preserve">TGA status at time of </w:t>
      </w:r>
      <w:r w:rsidR="00BE18C5" w:rsidRPr="00BE18C5">
        <w:rPr>
          <w:rFonts w:ascii="Calibri" w:eastAsia="Calibri" w:hAnsi="Calibri"/>
          <w:b/>
          <w:szCs w:val="22"/>
        </w:rPr>
        <w:t>PBAC consideration</w:t>
      </w:r>
      <w:r w:rsidRPr="00BE18C5">
        <w:rPr>
          <w:rFonts w:ascii="Calibri" w:eastAsia="Calibri" w:hAnsi="Calibri"/>
          <w:szCs w:val="22"/>
        </w:rPr>
        <w:t>:</w:t>
      </w:r>
      <w:r w:rsidRPr="00AE77F4">
        <w:rPr>
          <w:rFonts w:ascii="Calibri" w:eastAsia="Calibri" w:hAnsi="Calibri"/>
          <w:i/>
          <w:iCs/>
          <w:szCs w:val="22"/>
        </w:rPr>
        <w:t xml:space="preserve"> </w:t>
      </w:r>
      <w:r w:rsidR="00AE77F4" w:rsidRPr="00BE18C5">
        <w:rPr>
          <w:rFonts w:ascii="Calibri" w:eastAsia="Calibri" w:hAnsi="Calibri"/>
          <w:szCs w:val="22"/>
        </w:rPr>
        <w:t>not registered</w:t>
      </w:r>
      <w:r w:rsidR="00AE77F4">
        <w:rPr>
          <w:rFonts w:ascii="Calibri" w:eastAsia="Calibri" w:hAnsi="Calibri"/>
          <w:i/>
          <w:iCs/>
          <w:szCs w:val="22"/>
        </w:rPr>
        <w:t xml:space="preserve">. </w:t>
      </w:r>
      <w:r w:rsidR="00AE77F4" w:rsidRPr="00AE77F4">
        <w:rPr>
          <w:rFonts w:ascii="Calibri" w:eastAsia="Calibri" w:hAnsi="Calibri"/>
          <w:szCs w:val="22"/>
        </w:rPr>
        <w:t>The</w:t>
      </w:r>
      <w:r w:rsidR="00AE77F4">
        <w:rPr>
          <w:rFonts w:ascii="Calibri" w:eastAsia="Calibri" w:hAnsi="Calibri"/>
          <w:i/>
          <w:iCs/>
          <w:szCs w:val="22"/>
        </w:rPr>
        <w:t xml:space="preserve"> </w:t>
      </w:r>
      <w:r w:rsidR="00BA4874" w:rsidRPr="00A95754">
        <w:t xml:space="preserve">submission was made under the TGA/PBAC parallel process. In March 2022 the TGA granted durvalumab orphan drug designation for the treatment of advanced BTC. At the time of PBAC consideration, the </w:t>
      </w:r>
      <w:r w:rsidR="00CF035F" w:rsidRPr="00A95754">
        <w:t xml:space="preserve">Round 1 </w:t>
      </w:r>
      <w:r w:rsidR="00BA4874" w:rsidRPr="00A95754">
        <w:t xml:space="preserve">TGA Clinical Evaluator’s </w:t>
      </w:r>
      <w:r w:rsidR="00CF035F">
        <w:t>R</w:t>
      </w:r>
      <w:r w:rsidR="00BA4874" w:rsidRPr="00A95754">
        <w:t>eport</w:t>
      </w:r>
      <w:r w:rsidR="00CF035F">
        <w:t xml:space="preserve"> (CER)</w:t>
      </w:r>
      <w:r w:rsidR="00BA4874" w:rsidRPr="00A95754">
        <w:t xml:space="preserve"> </w:t>
      </w:r>
      <w:r w:rsidR="00BA2E86">
        <w:t xml:space="preserve">and the Delegate’s Overview </w:t>
      </w:r>
      <w:r w:rsidR="00ED4926">
        <w:t xml:space="preserve">were </w:t>
      </w:r>
      <w:r w:rsidR="00BA2E86">
        <w:t xml:space="preserve">available. </w:t>
      </w:r>
      <w:r w:rsidR="005134D8">
        <w:t>T</w:t>
      </w:r>
      <w:r w:rsidR="005134D8" w:rsidRPr="005134D8">
        <w:t xml:space="preserve">he </w:t>
      </w:r>
      <w:r w:rsidR="00BA2E86">
        <w:t xml:space="preserve">TGA Delegate was supportive of approving durvalumab </w:t>
      </w:r>
      <w:r w:rsidR="00BA2E86">
        <w:lastRenderedPageBreak/>
        <w:t xml:space="preserve">in combination with gemcitabine and cisplatin for the treatment of patients with locally advanced or metastatic biliary tract cancer (BTC). </w:t>
      </w:r>
    </w:p>
    <w:p w14:paraId="25372C03" w14:textId="7D7096F8" w:rsidR="00C667F1" w:rsidRPr="00A95754" w:rsidRDefault="00C667F1" w:rsidP="00C667F1">
      <w:pPr>
        <w:pStyle w:val="3-BodyText"/>
      </w:pPr>
      <w:r w:rsidRPr="00A95754">
        <w:t xml:space="preserve">Durvalumab is currently TGA approved for the treatment of </w:t>
      </w:r>
      <w:r>
        <w:t xml:space="preserve">malignant pleural mesothelioma, </w:t>
      </w:r>
      <w:r w:rsidRPr="00A95754">
        <w:t xml:space="preserve">non-small cell </w:t>
      </w:r>
      <w:r w:rsidR="00CF035F">
        <w:t xml:space="preserve">lung cancer (NSCLC) </w:t>
      </w:r>
      <w:r w:rsidRPr="00A95754">
        <w:t xml:space="preserve">and </w:t>
      </w:r>
      <w:r w:rsidR="00CF035F">
        <w:t xml:space="preserve">extensive stage </w:t>
      </w:r>
      <w:r w:rsidRPr="00A95754">
        <w:t>small cell lung cancer</w:t>
      </w:r>
      <w:r w:rsidR="00CF035F">
        <w:t xml:space="preserve"> (ES-SCLC)</w:t>
      </w:r>
      <w:r w:rsidRPr="00A95754">
        <w:t xml:space="preserve">. </w:t>
      </w:r>
    </w:p>
    <w:p w14:paraId="75D7A25C" w14:textId="77777777" w:rsidR="00BA4874" w:rsidRPr="00A95754" w:rsidRDefault="00BA4874" w:rsidP="00BA4874">
      <w:pPr>
        <w:pStyle w:val="4-SubsectionHeading"/>
      </w:pPr>
      <w:bookmarkStart w:id="5" w:name="_Toc124925604"/>
      <w:r w:rsidRPr="00A95754">
        <w:t>Previous PBAC consideration</w:t>
      </w:r>
      <w:bookmarkEnd w:id="5"/>
    </w:p>
    <w:p w14:paraId="6C7CA771" w14:textId="77777777" w:rsidR="00BA4874" w:rsidRPr="00A95754" w:rsidRDefault="00BA4874" w:rsidP="00BA4874">
      <w:pPr>
        <w:pStyle w:val="3-BodyText"/>
      </w:pPr>
      <w:r w:rsidRPr="00A95754">
        <w:t>This is the first time the PBAC has considered a drug for the treatment of advanced BTC.</w:t>
      </w:r>
    </w:p>
    <w:p w14:paraId="05309C5B" w14:textId="77777777" w:rsidR="00BA4874" w:rsidRPr="00A95754" w:rsidRDefault="00BA4874" w:rsidP="00BA4874">
      <w:pPr>
        <w:pStyle w:val="3-BodyText"/>
        <w:rPr>
          <w:u w:val="single"/>
        </w:rPr>
      </w:pPr>
      <w:r w:rsidRPr="00A95754">
        <w:t xml:space="preserve">The PBAC have previously considered durvalumab for the following indications: </w:t>
      </w:r>
    </w:p>
    <w:p w14:paraId="34EAFDBD" w14:textId="6915FF64" w:rsidR="00BA4874" w:rsidRPr="00A95754" w:rsidRDefault="00BA4874" w:rsidP="007F02EB">
      <w:pPr>
        <w:pStyle w:val="3-BodyText"/>
        <w:numPr>
          <w:ilvl w:val="0"/>
          <w:numId w:val="10"/>
        </w:numPr>
        <w:ind w:left="1134"/>
      </w:pPr>
      <w:r w:rsidRPr="00A95754">
        <w:t>Stage III unresectable NSCLC: PBAC meetings November 2018 (</w:t>
      </w:r>
      <w:r w:rsidR="00C667F1">
        <w:t>not recommended</w:t>
      </w:r>
      <w:r w:rsidRPr="00A95754">
        <w:t>), July 2019 (</w:t>
      </w:r>
      <w:r w:rsidR="00C667F1">
        <w:t>not recommended</w:t>
      </w:r>
      <w:r w:rsidRPr="00A95754">
        <w:t xml:space="preserve">), and </w:t>
      </w:r>
      <w:r w:rsidR="007F02EB" w:rsidRPr="00A95754">
        <w:t>November</w:t>
      </w:r>
      <w:r w:rsidR="007F02EB">
        <w:t> </w:t>
      </w:r>
      <w:r w:rsidRPr="00A95754">
        <w:t>2019 (recommended).</w:t>
      </w:r>
    </w:p>
    <w:p w14:paraId="36151BB8" w14:textId="1B22F983" w:rsidR="00BA4874" w:rsidRPr="00A95754" w:rsidRDefault="00AE77F4" w:rsidP="007F02EB">
      <w:pPr>
        <w:pStyle w:val="3-BodyText"/>
        <w:numPr>
          <w:ilvl w:val="0"/>
          <w:numId w:val="10"/>
        </w:numPr>
        <w:ind w:left="1134"/>
      </w:pPr>
      <w:r>
        <w:t>ES-SCLC</w:t>
      </w:r>
      <w:r w:rsidR="00BA4874" w:rsidRPr="00A95754">
        <w:t xml:space="preserve">: PBAC meeting November 2020 (recommended, but not currently PBS listed). </w:t>
      </w:r>
    </w:p>
    <w:p w14:paraId="62D53670" w14:textId="030FE0E7" w:rsidR="00BA4874" w:rsidRPr="00A95754" w:rsidRDefault="00BA4874" w:rsidP="007F02EB">
      <w:pPr>
        <w:pStyle w:val="3-BodyText"/>
        <w:numPr>
          <w:ilvl w:val="0"/>
          <w:numId w:val="10"/>
        </w:numPr>
        <w:ind w:left="1134"/>
      </w:pPr>
      <w:r w:rsidRPr="00A95754">
        <w:t>Urothelial cancer: PBAC meeting July 2019 (</w:t>
      </w:r>
      <w:r w:rsidR="00C667F1">
        <w:t>not recommended</w:t>
      </w:r>
      <w:r w:rsidRPr="00A95754">
        <w:t>).</w:t>
      </w:r>
    </w:p>
    <w:p w14:paraId="59572FD3" w14:textId="43ED044D" w:rsidR="00BA4874" w:rsidRDefault="00BA4874" w:rsidP="00BA4874">
      <w:pPr>
        <w:pStyle w:val="2-SectionHeading"/>
      </w:pPr>
      <w:bookmarkStart w:id="6" w:name="_Toc124925605"/>
      <w:r w:rsidRPr="00A95754">
        <w:t>Requested listing</w:t>
      </w:r>
      <w:bookmarkEnd w:id="6"/>
    </w:p>
    <w:p w14:paraId="76CAC800" w14:textId="1278168C" w:rsidR="00205750" w:rsidRDefault="00205750" w:rsidP="00205750">
      <w:pPr>
        <w:pStyle w:val="3-BodyText"/>
      </w:pPr>
      <w:bookmarkStart w:id="7" w:name="_Ref132285681"/>
      <w:r w:rsidRPr="00F91542">
        <w:t>Suggestions and additions proposed by the Secretariat are added in italics and suggested deletions are crossed out with strikethrough</w:t>
      </w:r>
      <w:r>
        <w:t>.</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5"/>
        <w:gridCol w:w="2254"/>
        <w:gridCol w:w="2254"/>
        <w:gridCol w:w="2254"/>
      </w:tblGrid>
      <w:tr w:rsidR="00FF7EEA" w:rsidRPr="00A95754" w14:paraId="50236742" w14:textId="77777777" w:rsidTr="00DF2C5C">
        <w:trPr>
          <w:cantSplit/>
          <w:trHeight w:val="20"/>
        </w:trPr>
        <w:tc>
          <w:tcPr>
            <w:tcW w:w="1250" w:type="pct"/>
            <w:vAlign w:val="center"/>
          </w:tcPr>
          <w:p w14:paraId="4E20274D" w14:textId="77777777" w:rsidR="008A6DF0" w:rsidRPr="00A95754" w:rsidRDefault="008A6DF0" w:rsidP="00DF2C5C">
            <w:pPr>
              <w:pStyle w:val="In-tableHeading"/>
              <w:keepNext w:val="0"/>
              <w:keepLines/>
              <w:rPr>
                <w:lang w:val="en-AU"/>
              </w:rPr>
            </w:pPr>
            <w:r w:rsidRPr="00A95754">
              <w:rPr>
                <w:lang w:val="en-AU"/>
              </w:rPr>
              <w:t>MEDICINAL PRODUCT</w:t>
            </w:r>
          </w:p>
          <w:p w14:paraId="4290854C" w14:textId="77777777" w:rsidR="008A6DF0" w:rsidRPr="00A95754" w:rsidRDefault="008A6DF0" w:rsidP="00DF2C5C">
            <w:pPr>
              <w:pStyle w:val="In-tableHeading"/>
              <w:keepNext w:val="0"/>
              <w:keepLines/>
              <w:rPr>
                <w:lang w:val="en-AU"/>
              </w:rPr>
            </w:pPr>
            <w:r w:rsidRPr="00A95754">
              <w:rPr>
                <w:lang w:val="en-AU"/>
              </w:rPr>
              <w:t>Form</w:t>
            </w:r>
          </w:p>
        </w:tc>
        <w:tc>
          <w:tcPr>
            <w:tcW w:w="1250" w:type="pct"/>
            <w:vAlign w:val="center"/>
          </w:tcPr>
          <w:p w14:paraId="3D5683A9" w14:textId="77777777" w:rsidR="008A6DF0" w:rsidRPr="00A95754" w:rsidRDefault="008A6DF0" w:rsidP="00DF2C5C">
            <w:pPr>
              <w:pStyle w:val="In-tableHeading"/>
              <w:keepNext w:val="0"/>
              <w:keepLines/>
              <w:jc w:val="center"/>
            </w:pPr>
            <w:r w:rsidRPr="00A95754">
              <w:t>Dispensed Price Max Amt</w:t>
            </w:r>
          </w:p>
        </w:tc>
        <w:tc>
          <w:tcPr>
            <w:tcW w:w="1250" w:type="pct"/>
            <w:vAlign w:val="center"/>
          </w:tcPr>
          <w:p w14:paraId="3B05B613" w14:textId="77777777" w:rsidR="008A6DF0" w:rsidRPr="00A95754" w:rsidRDefault="008A6DF0" w:rsidP="00DF2C5C">
            <w:pPr>
              <w:pStyle w:val="In-tableHeading"/>
              <w:keepNext w:val="0"/>
              <w:keepLines/>
              <w:jc w:val="center"/>
            </w:pPr>
            <w:r w:rsidRPr="00A95754">
              <w:t>Max. Amount</w:t>
            </w:r>
          </w:p>
        </w:tc>
        <w:tc>
          <w:tcPr>
            <w:tcW w:w="1250" w:type="pct"/>
            <w:vAlign w:val="center"/>
          </w:tcPr>
          <w:p w14:paraId="6526BBE9" w14:textId="77777777" w:rsidR="008A6DF0" w:rsidRPr="00A95754" w:rsidRDefault="008A6DF0" w:rsidP="00DF2C5C">
            <w:pPr>
              <w:pStyle w:val="In-tableHeading"/>
              <w:keepNext w:val="0"/>
              <w:keepLines/>
              <w:jc w:val="center"/>
            </w:pPr>
            <w:r w:rsidRPr="00A95754">
              <w:t>№.of Rpts</w:t>
            </w:r>
          </w:p>
        </w:tc>
      </w:tr>
      <w:tr w:rsidR="00FF7EEA" w:rsidRPr="00A95754" w14:paraId="00781F0F" w14:textId="77777777" w:rsidTr="00DF2C5C">
        <w:trPr>
          <w:cantSplit/>
          <w:trHeight w:val="20"/>
        </w:trPr>
        <w:tc>
          <w:tcPr>
            <w:tcW w:w="1250" w:type="pct"/>
            <w:vAlign w:val="center"/>
          </w:tcPr>
          <w:p w14:paraId="1CB5BA74" w14:textId="77777777" w:rsidR="008A6DF0" w:rsidRPr="00A95754" w:rsidRDefault="008A6DF0" w:rsidP="00DF2C5C">
            <w:pPr>
              <w:jc w:val="left"/>
              <w:rPr>
                <w:rFonts w:ascii="Arial Narrow" w:hAnsi="Arial Narrow"/>
                <w:sz w:val="20"/>
              </w:rPr>
            </w:pPr>
            <w:r w:rsidRPr="00A95754">
              <w:rPr>
                <w:rFonts w:ascii="Arial Narrow" w:hAnsi="Arial Narrow"/>
                <w:smallCaps/>
                <w:sz w:val="20"/>
              </w:rPr>
              <w:t>Durvalumab</w:t>
            </w:r>
          </w:p>
          <w:p w14:paraId="02BEA6F2" w14:textId="77777777" w:rsidR="008A6DF0" w:rsidRPr="00A95754" w:rsidRDefault="008A6DF0" w:rsidP="00DF2C5C">
            <w:pPr>
              <w:jc w:val="left"/>
              <w:rPr>
                <w:rFonts w:ascii="Arial Narrow" w:hAnsi="Arial Narrow"/>
                <w:sz w:val="20"/>
              </w:rPr>
            </w:pPr>
            <w:r w:rsidRPr="00A95754">
              <w:rPr>
                <w:rFonts w:ascii="Arial Narrow" w:hAnsi="Arial Narrow"/>
                <w:sz w:val="20"/>
              </w:rPr>
              <w:t>500 mg/10 mL solution for infusion</w:t>
            </w:r>
          </w:p>
          <w:p w14:paraId="67174B3B" w14:textId="77777777" w:rsidR="008A6DF0" w:rsidRPr="00A95754" w:rsidRDefault="008A6DF0" w:rsidP="00DF2C5C">
            <w:pPr>
              <w:pStyle w:val="TableText0"/>
              <w:keepNext w:val="0"/>
              <w:keepLines/>
            </w:pPr>
            <w:r w:rsidRPr="00A95754">
              <w:t>120 mg/2.4 mL solution for infusion</w:t>
            </w:r>
          </w:p>
        </w:tc>
        <w:tc>
          <w:tcPr>
            <w:tcW w:w="1250" w:type="pct"/>
            <w:vAlign w:val="center"/>
          </w:tcPr>
          <w:p w14:paraId="03AE14EB" w14:textId="77777777" w:rsidR="008A6DF0" w:rsidRPr="00A95754" w:rsidRDefault="008A6DF0" w:rsidP="00DF2C5C">
            <w:pPr>
              <w:jc w:val="center"/>
              <w:rPr>
                <w:rFonts w:ascii="Arial Narrow" w:hAnsi="Arial Narrow"/>
                <w:sz w:val="20"/>
              </w:rPr>
            </w:pPr>
            <w:r w:rsidRPr="00A95754">
              <w:rPr>
                <w:rFonts w:ascii="Arial Narrow" w:hAnsi="Arial Narrow"/>
                <w:sz w:val="20"/>
              </w:rPr>
              <w:t>Published price</w:t>
            </w:r>
          </w:p>
          <w:p w14:paraId="486536DD" w14:textId="77777777" w:rsidR="008A6DF0" w:rsidRPr="00A95754" w:rsidRDefault="008A6DF0" w:rsidP="00DF2C5C">
            <w:pPr>
              <w:jc w:val="center"/>
              <w:rPr>
                <w:rFonts w:ascii="Arial Narrow" w:hAnsi="Arial Narrow"/>
                <w:sz w:val="20"/>
              </w:rPr>
            </w:pPr>
            <w:r w:rsidRPr="00A95754">
              <w:rPr>
                <w:rFonts w:ascii="Arial Narrow" w:hAnsi="Arial Narrow"/>
                <w:sz w:val="20"/>
              </w:rPr>
              <w:t>$12,012.07 (public hospital)</w:t>
            </w:r>
          </w:p>
          <w:p w14:paraId="6DF69EAA" w14:textId="77777777" w:rsidR="008A6DF0" w:rsidRPr="00A95754" w:rsidRDefault="008A6DF0" w:rsidP="00DF2C5C">
            <w:pPr>
              <w:jc w:val="center"/>
              <w:rPr>
                <w:rFonts w:ascii="Arial Narrow" w:hAnsi="Arial Narrow"/>
                <w:sz w:val="20"/>
              </w:rPr>
            </w:pPr>
            <w:r w:rsidRPr="00A95754">
              <w:rPr>
                <w:rFonts w:ascii="Arial Narrow" w:hAnsi="Arial Narrow"/>
                <w:sz w:val="20"/>
              </w:rPr>
              <w:t>$12,220.65 (private hospital)</w:t>
            </w:r>
          </w:p>
          <w:p w14:paraId="2931CC8E" w14:textId="77777777" w:rsidR="008A6DF0" w:rsidRPr="00A95754" w:rsidRDefault="008A6DF0" w:rsidP="00DF2C5C">
            <w:pPr>
              <w:jc w:val="center"/>
              <w:rPr>
                <w:rFonts w:ascii="Arial Narrow" w:hAnsi="Arial Narrow"/>
                <w:sz w:val="20"/>
              </w:rPr>
            </w:pPr>
          </w:p>
          <w:p w14:paraId="76813388" w14:textId="77777777" w:rsidR="008A6DF0" w:rsidRPr="00A95754" w:rsidRDefault="008A6DF0" w:rsidP="00DF2C5C">
            <w:pPr>
              <w:jc w:val="center"/>
              <w:rPr>
                <w:rFonts w:ascii="Arial Narrow" w:hAnsi="Arial Narrow"/>
                <w:sz w:val="20"/>
              </w:rPr>
            </w:pPr>
            <w:r w:rsidRPr="00A95754">
              <w:rPr>
                <w:rFonts w:ascii="Arial Narrow" w:hAnsi="Arial Narrow"/>
                <w:sz w:val="20"/>
              </w:rPr>
              <w:t>Effective price</w:t>
            </w:r>
          </w:p>
          <w:p w14:paraId="55A2E157" w14:textId="381644FB" w:rsidR="008A6DF0" w:rsidRPr="00A95754" w:rsidRDefault="008A6DF0" w:rsidP="00DF2C5C">
            <w:pPr>
              <w:pStyle w:val="TableText0"/>
              <w:keepNext w:val="0"/>
              <w:keepLines/>
              <w:jc w:val="center"/>
            </w:pPr>
            <w:r w:rsidRPr="00A95754">
              <w:t>$</w:t>
            </w:r>
            <w:r w:rsidR="003C043D" w:rsidRPr="003C043D">
              <w:rPr>
                <w:color w:val="000000"/>
                <w:spacing w:val="56"/>
                <w:shd w:val="solid" w:color="000000" w:fill="000000"/>
                <w:fitText w:val="341" w:id="-1233371136"/>
                <w14:textFill>
                  <w14:solidFill>
                    <w14:srgbClr w14:val="000000">
                      <w14:alpha w14:val="100000"/>
                    </w14:srgbClr>
                  </w14:solidFill>
                </w14:textFill>
              </w:rPr>
              <w:t>|||</w:t>
            </w:r>
            <w:r w:rsidR="003C043D" w:rsidRPr="003C043D">
              <w:rPr>
                <w:color w:val="000000"/>
                <w:spacing w:val="3"/>
                <w:shd w:val="solid" w:color="000000" w:fill="000000"/>
                <w:fitText w:val="341" w:id="-1233371136"/>
                <w14:textFill>
                  <w14:solidFill>
                    <w14:srgbClr w14:val="000000">
                      <w14:alpha w14:val="100000"/>
                    </w14:srgbClr>
                  </w14:solidFill>
                </w14:textFill>
              </w:rPr>
              <w:t>|</w:t>
            </w:r>
            <w:r w:rsidRPr="00A95754">
              <w:t xml:space="preserve"> (public hospital)</w:t>
            </w:r>
            <w:r w:rsidRPr="00A95754">
              <w:br/>
              <w:t>$</w:t>
            </w:r>
            <w:r w:rsidR="003C043D" w:rsidRPr="00450E34">
              <w:rPr>
                <w:color w:val="000000"/>
                <w:spacing w:val="58"/>
                <w:shd w:val="solid" w:color="000000" w:fill="000000"/>
                <w:fitText w:val="358" w:id="-1233371135"/>
                <w14:textFill>
                  <w14:solidFill>
                    <w14:srgbClr w14:val="000000">
                      <w14:alpha w14:val="100000"/>
                    </w14:srgbClr>
                  </w14:solidFill>
                </w14:textFill>
              </w:rPr>
              <w:t>|||</w:t>
            </w:r>
            <w:r w:rsidR="003C043D" w:rsidRPr="00450E34">
              <w:rPr>
                <w:color w:val="000000"/>
                <w:spacing w:val="17"/>
                <w:shd w:val="solid" w:color="000000" w:fill="000000"/>
                <w:fitText w:val="358" w:id="-1233371135"/>
                <w14:textFill>
                  <w14:solidFill>
                    <w14:srgbClr w14:val="000000">
                      <w14:alpha w14:val="100000"/>
                    </w14:srgbClr>
                  </w14:solidFill>
                </w14:textFill>
              </w:rPr>
              <w:t>|</w:t>
            </w:r>
            <w:r w:rsidRPr="00A95754">
              <w:t xml:space="preserve"> (private hospital)</w:t>
            </w:r>
          </w:p>
        </w:tc>
        <w:tc>
          <w:tcPr>
            <w:tcW w:w="1250" w:type="pct"/>
            <w:vAlign w:val="center"/>
          </w:tcPr>
          <w:p w14:paraId="64ABA709" w14:textId="77777777" w:rsidR="008A6DF0" w:rsidRPr="00A95754" w:rsidRDefault="008A6DF0" w:rsidP="00DF2C5C">
            <w:pPr>
              <w:pStyle w:val="TableText0"/>
              <w:keepNext w:val="0"/>
              <w:keepLines/>
              <w:jc w:val="center"/>
            </w:pPr>
            <w:r w:rsidRPr="00A95754">
              <w:t>1</w:t>
            </w:r>
            <w:r>
              <w:t>,</w:t>
            </w:r>
            <w:r w:rsidRPr="00A95754">
              <w:t>500 mg</w:t>
            </w:r>
          </w:p>
        </w:tc>
        <w:tc>
          <w:tcPr>
            <w:tcW w:w="1250" w:type="pct"/>
            <w:vAlign w:val="center"/>
          </w:tcPr>
          <w:p w14:paraId="2833FBB5" w14:textId="77777777" w:rsidR="008A6DF0" w:rsidRPr="00A95754" w:rsidRDefault="008A6DF0" w:rsidP="00DF2C5C">
            <w:pPr>
              <w:jc w:val="center"/>
              <w:rPr>
                <w:rFonts w:ascii="Arial Narrow" w:hAnsi="Arial Narrow"/>
                <w:sz w:val="20"/>
              </w:rPr>
            </w:pPr>
            <w:r w:rsidRPr="00A95754">
              <w:rPr>
                <w:rFonts w:ascii="Arial Narrow" w:hAnsi="Arial Narrow"/>
                <w:sz w:val="20"/>
              </w:rPr>
              <w:t>7 (initial treatment)</w:t>
            </w:r>
          </w:p>
          <w:p w14:paraId="6D4C16C2" w14:textId="77777777" w:rsidR="008A6DF0" w:rsidRPr="00A95754" w:rsidRDefault="008A6DF0" w:rsidP="00DF2C5C">
            <w:pPr>
              <w:pStyle w:val="TableText0"/>
              <w:keepNext w:val="0"/>
              <w:keepLines/>
              <w:jc w:val="center"/>
            </w:pPr>
            <w:r w:rsidRPr="00A95754">
              <w:t>5 (continuing treatment)</w:t>
            </w:r>
          </w:p>
        </w:tc>
      </w:tr>
    </w:tbl>
    <w:p w14:paraId="485C453E" w14:textId="77777777" w:rsidR="008A6DF0" w:rsidRPr="00125404" w:rsidRDefault="008A6DF0" w:rsidP="008A6DF0">
      <w:pPr>
        <w:pStyle w:val="3-BodyText"/>
        <w:numPr>
          <w:ilvl w:val="0"/>
          <w:numId w:val="0"/>
        </w:numPr>
        <w:spacing w:after="0"/>
        <w:rPr>
          <w:rFonts w:ascii="Arial Narrow" w:hAnsi="Arial Narrow"/>
          <w:sz w:val="20"/>
          <w:szCs w:val="20"/>
        </w:rPr>
      </w:pPr>
    </w:p>
    <w:tbl>
      <w:tblPr>
        <w:tblStyle w:val="RTIAMCPTable1"/>
        <w:tblW w:w="5000" w:type="pct"/>
        <w:tblInd w:w="0" w:type="dxa"/>
        <w:tblLook w:val="04A0" w:firstRow="1" w:lastRow="0" w:firstColumn="1" w:lastColumn="0" w:noHBand="0" w:noVBand="1"/>
      </w:tblPr>
      <w:tblGrid>
        <w:gridCol w:w="9017"/>
      </w:tblGrid>
      <w:tr w:rsidR="00FF7EEA" w:rsidRPr="00232355" w14:paraId="4AC5F108" w14:textId="77777777" w:rsidTr="00DF2C5C">
        <w:tc>
          <w:tcPr>
            <w:tcW w:w="5000" w:type="pct"/>
            <w:tcBorders>
              <w:top w:val="single" w:sz="4" w:space="0" w:color="auto"/>
              <w:left w:val="single" w:sz="4" w:space="0" w:color="auto"/>
              <w:bottom w:val="single" w:sz="4" w:space="0" w:color="auto"/>
              <w:right w:val="single" w:sz="4" w:space="0" w:color="auto"/>
            </w:tcBorders>
          </w:tcPr>
          <w:p w14:paraId="0B835AB0" w14:textId="3FF80530" w:rsidR="008A6DF0" w:rsidRPr="008A6DF0" w:rsidRDefault="008A6DF0" w:rsidP="00DF2C5C">
            <w:pPr>
              <w:ind w:left="-57"/>
              <w:textAlignment w:val="baseline"/>
              <w:rPr>
                <w:rFonts w:ascii="Arial Narrow" w:hAnsi="Arial Narrow" w:cs="Open Sans"/>
                <w:sz w:val="20"/>
                <w:szCs w:val="20"/>
                <w:bdr w:val="none" w:sz="0" w:space="0" w:color="auto" w:frame="1"/>
              </w:rPr>
            </w:pPr>
            <w:r w:rsidRPr="008A6DF0">
              <w:rPr>
                <w:rFonts w:ascii="Arial Narrow" w:hAnsi="Arial Narrow" w:cs="Open Sans"/>
                <w:b/>
                <w:sz w:val="20"/>
                <w:szCs w:val="20"/>
                <w:bdr w:val="none" w:sz="0" w:space="0" w:color="auto" w:frame="1"/>
              </w:rPr>
              <w:t>Available brands</w:t>
            </w:r>
          </w:p>
        </w:tc>
      </w:tr>
      <w:tr w:rsidR="00FF7EEA" w:rsidRPr="00232355" w14:paraId="4A92D72B" w14:textId="77777777" w:rsidTr="00DF2C5C">
        <w:tc>
          <w:tcPr>
            <w:tcW w:w="5000" w:type="pct"/>
            <w:tcBorders>
              <w:top w:val="single" w:sz="4" w:space="0" w:color="auto"/>
              <w:left w:val="single" w:sz="4" w:space="0" w:color="auto"/>
              <w:bottom w:val="single" w:sz="4" w:space="0" w:color="auto"/>
              <w:right w:val="single" w:sz="4" w:space="0" w:color="auto"/>
            </w:tcBorders>
          </w:tcPr>
          <w:p w14:paraId="0547F845" w14:textId="77777777" w:rsidR="008A6DF0" w:rsidRPr="008A6DF0" w:rsidRDefault="008A6DF0" w:rsidP="008A6DF0">
            <w:pPr>
              <w:ind w:left="-57"/>
              <w:textAlignment w:val="baseline"/>
              <w:rPr>
                <w:rFonts w:ascii="Arial Narrow" w:hAnsi="Arial Narrow" w:cs="Open Sans"/>
                <w:sz w:val="20"/>
                <w:szCs w:val="20"/>
                <w:bdr w:val="none" w:sz="0" w:space="0" w:color="auto" w:frame="1"/>
              </w:rPr>
            </w:pPr>
            <w:r w:rsidRPr="008A6DF0">
              <w:rPr>
                <w:rFonts w:ascii="Arial Narrow" w:hAnsi="Arial Narrow" w:cs="Open Sans"/>
                <w:sz w:val="20"/>
                <w:szCs w:val="20"/>
                <w:bdr w:val="none" w:sz="0" w:space="0" w:color="auto" w:frame="1"/>
              </w:rPr>
              <w:t>Imfinzi®</w:t>
            </w:r>
          </w:p>
          <w:p w14:paraId="350C1DF9" w14:textId="77777777" w:rsidR="008A6DF0" w:rsidRPr="008A6DF0" w:rsidRDefault="008A6DF0" w:rsidP="008A6DF0">
            <w:pPr>
              <w:ind w:left="-57"/>
              <w:textAlignment w:val="baseline"/>
              <w:rPr>
                <w:rFonts w:ascii="Arial Narrow" w:hAnsi="Arial Narrow" w:cs="Open Sans"/>
                <w:bCs/>
                <w:sz w:val="20"/>
                <w:szCs w:val="20"/>
                <w:bdr w:val="none" w:sz="0" w:space="0" w:color="auto" w:frame="1"/>
              </w:rPr>
            </w:pPr>
            <w:r w:rsidRPr="008A6DF0">
              <w:rPr>
                <w:rFonts w:ascii="Arial Narrow" w:hAnsi="Arial Narrow" w:cs="Open Sans"/>
                <w:bCs/>
                <w:sz w:val="20"/>
                <w:szCs w:val="20"/>
                <w:bdr w:val="none" w:sz="0" w:space="0" w:color="auto" w:frame="1"/>
              </w:rPr>
              <w:t xml:space="preserve">Durvalumab 500 and 120 mg injection, 1 vial </w:t>
            </w:r>
          </w:p>
          <w:p w14:paraId="1C673D45" w14:textId="77777777" w:rsidR="008A6DF0" w:rsidRPr="008A6DF0" w:rsidRDefault="008A6DF0" w:rsidP="00DF2C5C">
            <w:pPr>
              <w:ind w:left="-57"/>
              <w:textAlignment w:val="baseline"/>
              <w:rPr>
                <w:rFonts w:ascii="Arial Narrow" w:hAnsi="Arial Narrow" w:cs="Open Sans"/>
                <w:sz w:val="20"/>
                <w:szCs w:val="20"/>
                <w:bdr w:val="none" w:sz="0" w:space="0" w:color="auto" w:frame="1"/>
              </w:rPr>
            </w:pPr>
          </w:p>
        </w:tc>
      </w:tr>
      <w:tr w:rsidR="00FF7EEA" w:rsidRPr="00232355" w14:paraId="2F4DF743" w14:textId="77777777" w:rsidTr="00DF2C5C">
        <w:tc>
          <w:tcPr>
            <w:tcW w:w="5000" w:type="pct"/>
            <w:tcBorders>
              <w:top w:val="single" w:sz="4" w:space="0" w:color="auto"/>
              <w:left w:val="single" w:sz="4" w:space="0" w:color="auto"/>
              <w:bottom w:val="single" w:sz="4" w:space="0" w:color="auto"/>
              <w:right w:val="single" w:sz="4" w:space="0" w:color="auto"/>
            </w:tcBorders>
          </w:tcPr>
          <w:p w14:paraId="1A163EA7" w14:textId="185BB380" w:rsidR="008A6DF0" w:rsidRPr="008A6DF0" w:rsidRDefault="008A6DF0" w:rsidP="00DF2C5C">
            <w:pPr>
              <w:ind w:left="-57"/>
              <w:textAlignment w:val="baseline"/>
              <w:rPr>
                <w:rFonts w:ascii="Arial Narrow" w:hAnsi="Arial Narrow" w:cs="Open Sans"/>
                <w:sz w:val="20"/>
                <w:szCs w:val="20"/>
                <w:bdr w:val="none" w:sz="0" w:space="0" w:color="auto" w:frame="1"/>
              </w:rPr>
            </w:pPr>
            <w:r w:rsidRPr="008A6DF0">
              <w:rPr>
                <w:rFonts w:ascii="Arial Narrow" w:hAnsi="Arial Narrow" w:cs="Open Sans"/>
                <w:b/>
                <w:sz w:val="20"/>
                <w:szCs w:val="20"/>
                <w:bdr w:val="none" w:sz="0" w:space="0" w:color="auto" w:frame="1"/>
              </w:rPr>
              <w:t xml:space="preserve">Category / Program: </w:t>
            </w:r>
            <w:r w:rsidRPr="008A6DF0">
              <w:rPr>
                <w:rFonts w:ascii="Arial Narrow" w:hAnsi="Arial Narrow" w:cs="Open Sans"/>
                <w:sz w:val="20"/>
                <w:szCs w:val="20"/>
                <w:bdr w:val="none" w:sz="0" w:space="0" w:color="auto" w:frame="1"/>
              </w:rPr>
              <w:t>Section 100 – Efficient Funding of Chemotherapy Public/Private hospitals</w:t>
            </w:r>
          </w:p>
        </w:tc>
      </w:tr>
      <w:tr w:rsidR="00FF7EEA" w:rsidRPr="00232355" w14:paraId="52D49025" w14:textId="77777777" w:rsidTr="00DF2C5C">
        <w:tc>
          <w:tcPr>
            <w:tcW w:w="5000" w:type="pct"/>
            <w:tcBorders>
              <w:top w:val="single" w:sz="4" w:space="0" w:color="auto"/>
              <w:left w:val="single" w:sz="4" w:space="0" w:color="auto"/>
              <w:bottom w:val="single" w:sz="4" w:space="0" w:color="auto"/>
              <w:right w:val="single" w:sz="4" w:space="0" w:color="auto"/>
            </w:tcBorders>
          </w:tcPr>
          <w:p w14:paraId="259964FE" w14:textId="00251B7E" w:rsidR="008A6DF0" w:rsidRPr="008A6DF0" w:rsidRDefault="008A6DF0" w:rsidP="00DF2C5C">
            <w:pPr>
              <w:ind w:left="-57"/>
              <w:textAlignment w:val="baseline"/>
              <w:rPr>
                <w:rFonts w:ascii="Arial Narrow" w:hAnsi="Arial Narrow" w:cs="Open Sans"/>
                <w:sz w:val="20"/>
                <w:szCs w:val="20"/>
                <w:bdr w:val="none" w:sz="0" w:space="0" w:color="auto" w:frame="1"/>
              </w:rPr>
            </w:pPr>
            <w:r w:rsidRPr="008A6DF0">
              <w:rPr>
                <w:rFonts w:ascii="Arial Narrow" w:hAnsi="Arial Narrow" w:cs="Open Sans"/>
                <w:b/>
                <w:sz w:val="20"/>
                <w:szCs w:val="20"/>
                <w:bdr w:val="none" w:sz="0" w:space="0" w:color="auto" w:frame="1"/>
              </w:rPr>
              <w:t xml:space="preserve">Prescriber type:   </w:t>
            </w:r>
            <w:r w:rsidRPr="008A6DF0">
              <w:rPr>
                <w:rFonts w:ascii="Arial Narrow" w:hAnsi="Arial Narrow" w:cs="Open Sans"/>
                <w:sz w:val="20"/>
                <w:szCs w:val="20"/>
                <w:bdr w:val="none" w:sz="0" w:space="0" w:color="auto" w:frame="1"/>
              </w:rPr>
              <w:fldChar w:fldCharType="begin">
                <w:ffData>
                  <w:name w:val=""/>
                  <w:enabled/>
                  <w:calcOnExit w:val="0"/>
                  <w:checkBox>
                    <w:sizeAuto/>
                    <w:default w:val="1"/>
                  </w:checkBox>
                </w:ffData>
              </w:fldChar>
            </w:r>
            <w:r w:rsidRPr="008A6DF0">
              <w:rPr>
                <w:rFonts w:ascii="Arial Narrow" w:hAnsi="Arial Narrow" w:cs="Open Sans"/>
                <w:sz w:val="20"/>
                <w:szCs w:val="20"/>
                <w:bdr w:val="none" w:sz="0" w:space="0" w:color="auto" w:frame="1"/>
              </w:rPr>
              <w:instrText xml:space="preserve"> FORMCHECKBOX </w:instrText>
            </w:r>
            <w:r w:rsidR="000178EC">
              <w:rPr>
                <w:rFonts w:ascii="Arial Narrow" w:hAnsi="Arial Narrow" w:cs="Open Sans"/>
                <w:sz w:val="20"/>
                <w:szCs w:val="20"/>
                <w:bdr w:val="none" w:sz="0" w:space="0" w:color="auto" w:frame="1"/>
              </w:rPr>
            </w:r>
            <w:r w:rsidR="000178EC">
              <w:rPr>
                <w:rFonts w:ascii="Arial Narrow" w:hAnsi="Arial Narrow" w:cs="Open Sans"/>
                <w:sz w:val="20"/>
                <w:szCs w:val="20"/>
                <w:bdr w:val="none" w:sz="0" w:space="0" w:color="auto" w:frame="1"/>
              </w:rPr>
              <w:fldChar w:fldCharType="separate"/>
            </w:r>
            <w:r w:rsidRPr="008A6DF0">
              <w:rPr>
                <w:rFonts w:ascii="Arial Narrow" w:hAnsi="Arial Narrow" w:cs="Open Sans"/>
                <w:sz w:val="20"/>
                <w:szCs w:val="20"/>
                <w:bdr w:val="none" w:sz="0" w:space="0" w:color="auto" w:frame="1"/>
              </w:rPr>
              <w:fldChar w:fldCharType="end"/>
            </w:r>
            <w:r w:rsidRPr="008A6DF0">
              <w:rPr>
                <w:rFonts w:ascii="Arial Narrow" w:hAnsi="Arial Narrow" w:cs="Open Sans"/>
                <w:sz w:val="20"/>
                <w:szCs w:val="20"/>
                <w:bdr w:val="none" w:sz="0" w:space="0" w:color="auto" w:frame="1"/>
              </w:rPr>
              <w:t xml:space="preserve"> Medical Practitioner</w:t>
            </w:r>
          </w:p>
        </w:tc>
      </w:tr>
      <w:tr w:rsidR="00FF7EEA" w:rsidRPr="00232355" w14:paraId="125E23D1" w14:textId="77777777" w:rsidTr="00DF2C5C">
        <w:tc>
          <w:tcPr>
            <w:tcW w:w="5000" w:type="pct"/>
            <w:tcBorders>
              <w:top w:val="single" w:sz="4" w:space="0" w:color="auto"/>
              <w:left w:val="single" w:sz="4" w:space="0" w:color="auto"/>
              <w:bottom w:val="single" w:sz="4" w:space="0" w:color="auto"/>
              <w:right w:val="single" w:sz="4" w:space="0" w:color="auto"/>
            </w:tcBorders>
          </w:tcPr>
          <w:p w14:paraId="2ED09ADF" w14:textId="61725E7D" w:rsidR="008A6DF0" w:rsidRPr="008A6DF0" w:rsidRDefault="008A6DF0" w:rsidP="00DF2C5C">
            <w:pPr>
              <w:ind w:left="-57"/>
              <w:textAlignment w:val="baseline"/>
              <w:rPr>
                <w:rFonts w:ascii="Arial Narrow" w:hAnsi="Arial Narrow" w:cs="Open Sans"/>
                <w:sz w:val="20"/>
                <w:szCs w:val="20"/>
                <w:bdr w:val="none" w:sz="0" w:space="0" w:color="auto" w:frame="1"/>
              </w:rPr>
            </w:pPr>
            <w:r w:rsidRPr="008A6DF0">
              <w:rPr>
                <w:rFonts w:ascii="Arial Narrow" w:hAnsi="Arial Narrow" w:cs="Open Sans"/>
                <w:b/>
                <w:sz w:val="20"/>
                <w:szCs w:val="20"/>
                <w:bdr w:val="none" w:sz="0" w:space="0" w:color="auto" w:frame="1"/>
              </w:rPr>
              <w:t xml:space="preserve">Restriction type: </w:t>
            </w:r>
            <w:r w:rsidRPr="008A6DF0">
              <w:rPr>
                <w:rFonts w:ascii="Arial Narrow" w:hAnsi="Arial Narrow" w:cs="Open Sans"/>
                <w:sz w:val="20"/>
                <w:szCs w:val="20"/>
                <w:bdr w:val="none" w:sz="0" w:space="0" w:color="auto" w:frame="1"/>
              </w:rPr>
              <w:fldChar w:fldCharType="begin">
                <w:ffData>
                  <w:name w:val=""/>
                  <w:enabled/>
                  <w:calcOnExit w:val="0"/>
                  <w:checkBox>
                    <w:sizeAuto/>
                    <w:default w:val="1"/>
                  </w:checkBox>
                </w:ffData>
              </w:fldChar>
            </w:r>
            <w:r w:rsidRPr="008A6DF0">
              <w:rPr>
                <w:rFonts w:ascii="Arial Narrow" w:hAnsi="Arial Narrow" w:cs="Open Sans"/>
                <w:sz w:val="20"/>
                <w:szCs w:val="20"/>
                <w:bdr w:val="none" w:sz="0" w:space="0" w:color="auto" w:frame="1"/>
              </w:rPr>
              <w:instrText xml:space="preserve"> FORMCHECKBOX </w:instrText>
            </w:r>
            <w:r w:rsidR="000178EC">
              <w:rPr>
                <w:rFonts w:ascii="Arial Narrow" w:hAnsi="Arial Narrow" w:cs="Open Sans"/>
                <w:sz w:val="20"/>
                <w:szCs w:val="20"/>
                <w:bdr w:val="none" w:sz="0" w:space="0" w:color="auto" w:frame="1"/>
              </w:rPr>
            </w:r>
            <w:r w:rsidR="000178EC">
              <w:rPr>
                <w:rFonts w:ascii="Arial Narrow" w:hAnsi="Arial Narrow" w:cs="Open Sans"/>
                <w:sz w:val="20"/>
                <w:szCs w:val="20"/>
                <w:bdr w:val="none" w:sz="0" w:space="0" w:color="auto" w:frame="1"/>
              </w:rPr>
              <w:fldChar w:fldCharType="separate"/>
            </w:r>
            <w:r w:rsidRPr="008A6DF0">
              <w:rPr>
                <w:rFonts w:ascii="Arial Narrow" w:hAnsi="Arial Narrow" w:cs="Open Sans"/>
                <w:sz w:val="20"/>
                <w:szCs w:val="20"/>
                <w:bdr w:val="none" w:sz="0" w:space="0" w:color="auto" w:frame="1"/>
              </w:rPr>
              <w:fldChar w:fldCharType="end"/>
            </w:r>
            <w:r w:rsidRPr="008A6DF0">
              <w:rPr>
                <w:rFonts w:ascii="Arial Narrow" w:hAnsi="Arial Narrow" w:cs="Open Sans"/>
                <w:sz w:val="20"/>
                <w:szCs w:val="20"/>
                <w:bdr w:val="none" w:sz="0" w:space="0" w:color="auto" w:frame="1"/>
              </w:rPr>
              <w:t xml:space="preserve"> Authority Required (STREAMLINED</w:t>
            </w:r>
          </w:p>
        </w:tc>
      </w:tr>
      <w:tr w:rsidR="00FF7EEA" w:rsidRPr="00232355" w14:paraId="0A621B10" w14:textId="77777777" w:rsidTr="00DF2C5C">
        <w:tc>
          <w:tcPr>
            <w:tcW w:w="5000" w:type="pct"/>
            <w:tcBorders>
              <w:top w:val="single" w:sz="4" w:space="0" w:color="auto"/>
              <w:left w:val="single" w:sz="4" w:space="0" w:color="auto"/>
              <w:bottom w:val="single" w:sz="4" w:space="0" w:color="auto"/>
              <w:right w:val="single" w:sz="4" w:space="0" w:color="auto"/>
            </w:tcBorders>
          </w:tcPr>
          <w:p w14:paraId="3A7A5D23" w14:textId="77777777" w:rsidR="008A6DF0" w:rsidRPr="008A6DF0" w:rsidRDefault="008A6DF0" w:rsidP="00DF2C5C">
            <w:pPr>
              <w:ind w:left="-57"/>
              <w:textAlignment w:val="baseline"/>
              <w:rPr>
                <w:rFonts w:ascii="Arial Narrow" w:hAnsi="Arial Narrow" w:cs="Open Sans"/>
                <w:sz w:val="20"/>
                <w:szCs w:val="20"/>
                <w:bdr w:val="none" w:sz="0" w:space="0" w:color="auto" w:frame="1"/>
              </w:rPr>
            </w:pPr>
          </w:p>
        </w:tc>
      </w:tr>
      <w:tr w:rsidR="00FF7EEA" w:rsidRPr="00232355" w14:paraId="64E48BB6" w14:textId="77777777" w:rsidTr="00DF2C5C">
        <w:tc>
          <w:tcPr>
            <w:tcW w:w="5000" w:type="pct"/>
            <w:tcBorders>
              <w:top w:val="single" w:sz="4" w:space="0" w:color="auto"/>
              <w:left w:val="single" w:sz="4" w:space="0" w:color="auto"/>
              <w:bottom w:val="single" w:sz="4" w:space="0" w:color="auto"/>
              <w:right w:val="single" w:sz="4" w:space="0" w:color="auto"/>
            </w:tcBorders>
          </w:tcPr>
          <w:p w14:paraId="600BD5A0" w14:textId="0E0427BA" w:rsidR="008A6DF0" w:rsidRPr="008A6DF0" w:rsidRDefault="008A6DF0" w:rsidP="00DF2C5C">
            <w:pPr>
              <w:ind w:left="-57"/>
              <w:textAlignment w:val="baseline"/>
              <w:rPr>
                <w:rFonts w:ascii="Arial Narrow" w:hAnsi="Arial Narrow" w:cs="Open Sans"/>
                <w:sz w:val="20"/>
                <w:szCs w:val="20"/>
                <w:bdr w:val="none" w:sz="0" w:space="0" w:color="auto" w:frame="1"/>
              </w:rPr>
            </w:pPr>
            <w:r w:rsidRPr="008A6DF0">
              <w:rPr>
                <w:rFonts w:ascii="Arial Narrow" w:hAnsi="Arial Narrow" w:cs="Open Sans"/>
                <w:b/>
                <w:bCs/>
                <w:sz w:val="20"/>
                <w:szCs w:val="20"/>
                <w:bdr w:val="none" w:sz="0" w:space="0" w:color="auto" w:frame="1"/>
              </w:rPr>
              <w:t>Administrative Advice:</w:t>
            </w:r>
            <w:r w:rsidRPr="008A6DF0">
              <w:rPr>
                <w:rFonts w:ascii="Arial Narrow" w:hAnsi="Arial Narrow" w:cs="Open Sans"/>
                <w:sz w:val="20"/>
                <w:szCs w:val="20"/>
                <w:bdr w:val="none" w:sz="0" w:space="0" w:color="auto" w:frame="1"/>
              </w:rPr>
              <w:t xml:space="preserve"> No increase in the maximum amount or number of units may be authorised</w:t>
            </w:r>
          </w:p>
        </w:tc>
      </w:tr>
      <w:tr w:rsidR="00FF7EEA" w:rsidRPr="00232355" w14:paraId="1793CA78" w14:textId="77777777" w:rsidTr="00DF2C5C">
        <w:tc>
          <w:tcPr>
            <w:tcW w:w="5000" w:type="pct"/>
            <w:tcBorders>
              <w:top w:val="single" w:sz="4" w:space="0" w:color="auto"/>
              <w:left w:val="single" w:sz="4" w:space="0" w:color="auto"/>
              <w:bottom w:val="single" w:sz="4" w:space="0" w:color="auto"/>
              <w:right w:val="single" w:sz="4" w:space="0" w:color="auto"/>
            </w:tcBorders>
          </w:tcPr>
          <w:p w14:paraId="6E71ED1E" w14:textId="772A865C" w:rsidR="008A6DF0" w:rsidRPr="008A6DF0" w:rsidRDefault="008A6DF0" w:rsidP="00DF2C5C">
            <w:pPr>
              <w:ind w:left="-57"/>
              <w:textAlignment w:val="baseline"/>
              <w:rPr>
                <w:rFonts w:ascii="Arial Narrow" w:hAnsi="Arial Narrow" w:cs="Open Sans"/>
                <w:sz w:val="20"/>
                <w:szCs w:val="20"/>
                <w:bdr w:val="none" w:sz="0" w:space="0" w:color="auto" w:frame="1"/>
              </w:rPr>
            </w:pPr>
            <w:r w:rsidRPr="008A6DF0">
              <w:rPr>
                <w:rFonts w:ascii="Arial Narrow" w:hAnsi="Arial Narrow" w:cs="Open Sans"/>
                <w:b/>
                <w:bCs/>
                <w:sz w:val="20"/>
                <w:szCs w:val="20"/>
                <w:bdr w:val="none" w:sz="0" w:space="0" w:color="auto" w:frame="1"/>
              </w:rPr>
              <w:t xml:space="preserve">Administrative Advice: </w:t>
            </w:r>
            <w:r w:rsidRPr="008A6DF0">
              <w:rPr>
                <w:rFonts w:ascii="Arial Narrow" w:hAnsi="Arial Narrow" w:cs="Open Sans"/>
                <w:sz w:val="20"/>
                <w:szCs w:val="20"/>
                <w:bdr w:val="none" w:sz="0" w:space="0" w:color="auto" w:frame="1"/>
              </w:rPr>
              <w:t>No increase in the maximum number of repeats may be authorise</w:t>
            </w:r>
          </w:p>
        </w:tc>
      </w:tr>
      <w:tr w:rsidR="00FF7EEA" w:rsidRPr="00232355" w14:paraId="57D67729" w14:textId="77777777" w:rsidTr="00DF2C5C">
        <w:tc>
          <w:tcPr>
            <w:tcW w:w="5000" w:type="pct"/>
            <w:tcBorders>
              <w:top w:val="single" w:sz="4" w:space="0" w:color="auto"/>
              <w:left w:val="single" w:sz="4" w:space="0" w:color="auto"/>
              <w:bottom w:val="single" w:sz="4" w:space="0" w:color="auto"/>
              <w:right w:val="single" w:sz="4" w:space="0" w:color="auto"/>
            </w:tcBorders>
          </w:tcPr>
          <w:p w14:paraId="7D430C47" w14:textId="7E2B9358" w:rsidR="008A6DF0" w:rsidRPr="008A6DF0" w:rsidRDefault="008A6DF0" w:rsidP="00DF2C5C">
            <w:pPr>
              <w:ind w:left="-57"/>
              <w:textAlignment w:val="baseline"/>
              <w:rPr>
                <w:rFonts w:ascii="Arial Narrow" w:hAnsi="Arial Narrow" w:cs="Open Sans"/>
                <w:sz w:val="20"/>
                <w:szCs w:val="20"/>
                <w:bdr w:val="none" w:sz="0" w:space="0" w:color="auto" w:frame="1"/>
              </w:rPr>
            </w:pPr>
            <w:r w:rsidRPr="008A6DF0">
              <w:rPr>
                <w:rFonts w:ascii="Arial Narrow" w:hAnsi="Arial Narrow" w:cs="Open Sans"/>
                <w:b/>
                <w:bCs/>
                <w:sz w:val="20"/>
                <w:szCs w:val="20"/>
                <w:bdr w:val="none" w:sz="0" w:space="0" w:color="auto" w:frame="1"/>
              </w:rPr>
              <w:t xml:space="preserve">Administrative Advice: </w:t>
            </w:r>
            <w:r w:rsidRPr="008A6DF0">
              <w:rPr>
                <w:rFonts w:ascii="Arial Narrow" w:hAnsi="Arial Narrow" w:cs="Open Sans"/>
                <w:sz w:val="20"/>
                <w:szCs w:val="20"/>
                <w:bdr w:val="none" w:sz="0" w:space="0" w:color="auto" w:frame="1"/>
              </w:rPr>
              <w:t>Special Pricing Arrangements apply</w:t>
            </w:r>
          </w:p>
        </w:tc>
      </w:tr>
    </w:tbl>
    <w:p w14:paraId="7D2E4659" w14:textId="77777777" w:rsidR="00125404" w:rsidRPr="00125404" w:rsidRDefault="00125404">
      <w:pPr>
        <w:rPr>
          <w:rFonts w:ascii="Arial Narrow" w:hAnsi="Arial Narrow"/>
          <w:sz w:val="20"/>
          <w:szCs w:val="20"/>
        </w:rPr>
      </w:pPr>
    </w:p>
    <w:tbl>
      <w:tblPr>
        <w:tblStyle w:val="RTIAMCPTable1"/>
        <w:tblW w:w="5000" w:type="pct"/>
        <w:tblInd w:w="0" w:type="dxa"/>
        <w:tblLook w:val="04A0" w:firstRow="1" w:lastRow="0" w:firstColumn="1" w:lastColumn="0" w:noHBand="0" w:noVBand="1"/>
      </w:tblPr>
      <w:tblGrid>
        <w:gridCol w:w="9017"/>
      </w:tblGrid>
      <w:tr w:rsidR="00FF7EEA" w:rsidRPr="00232355" w14:paraId="2D9FAC53"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23BC87B1" w14:textId="77777777" w:rsidR="008D7331" w:rsidRPr="00232355" w:rsidRDefault="008D7331" w:rsidP="00DF2C5C">
            <w:pPr>
              <w:ind w:left="-57"/>
              <w:textAlignment w:val="baseline"/>
              <w:rPr>
                <w:rFonts w:ascii="Arial Narrow" w:hAnsi="Arial Narrow" w:cs="Open Sans"/>
                <w:sz w:val="20"/>
                <w:szCs w:val="20"/>
                <w:bdr w:val="none" w:sz="0" w:space="0" w:color="auto" w:frame="1"/>
              </w:rPr>
            </w:pPr>
            <w:r w:rsidRPr="00232355">
              <w:rPr>
                <w:rFonts w:ascii="Arial Narrow" w:hAnsi="Arial Narrow" w:cs="Open Sans"/>
                <w:b/>
                <w:bCs/>
                <w:sz w:val="20"/>
                <w:szCs w:val="20"/>
                <w:bdr w:val="none" w:sz="0" w:space="0" w:color="auto" w:frame="1"/>
              </w:rPr>
              <w:t>Severity:</w:t>
            </w:r>
            <w:r w:rsidRPr="00232355">
              <w:rPr>
                <w:rFonts w:ascii="Arial Narrow" w:hAnsi="Arial Narrow" w:cs="Open Sans"/>
                <w:sz w:val="20"/>
                <w:szCs w:val="20"/>
                <w:bdr w:val="none" w:sz="0" w:space="0" w:color="auto" w:frame="1"/>
              </w:rPr>
              <w:t xml:space="preserve"> Locally advanced, metastatic or recurrent</w:t>
            </w:r>
          </w:p>
        </w:tc>
      </w:tr>
      <w:tr w:rsidR="00FF7EEA" w:rsidRPr="00232355" w14:paraId="3BF185B1"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4634AE10" w14:textId="77777777" w:rsidR="008D7331" w:rsidRPr="00232355" w:rsidRDefault="008D7331" w:rsidP="00DF2C5C">
            <w:pPr>
              <w:ind w:left="-57"/>
              <w:textAlignment w:val="baseline"/>
              <w:rPr>
                <w:rFonts w:ascii="Arial Narrow" w:hAnsi="Arial Narrow" w:cs="Open Sans"/>
                <w:sz w:val="20"/>
                <w:szCs w:val="20"/>
                <w:bdr w:val="none" w:sz="0" w:space="0" w:color="auto" w:frame="1"/>
              </w:rPr>
            </w:pPr>
            <w:r w:rsidRPr="00232355">
              <w:rPr>
                <w:rFonts w:ascii="Arial Narrow" w:hAnsi="Arial Narrow" w:cs="Open Sans"/>
                <w:b/>
                <w:bCs/>
                <w:sz w:val="20"/>
                <w:szCs w:val="20"/>
                <w:bdr w:val="none" w:sz="0" w:space="0" w:color="auto" w:frame="1"/>
              </w:rPr>
              <w:t xml:space="preserve">Condition: </w:t>
            </w:r>
            <w:r w:rsidRPr="00232355">
              <w:rPr>
                <w:rFonts w:ascii="Arial Narrow" w:hAnsi="Arial Narrow" w:cs="Open Sans"/>
                <w:sz w:val="20"/>
                <w:szCs w:val="20"/>
                <w:bdr w:val="none" w:sz="0" w:space="0" w:color="auto" w:frame="1"/>
              </w:rPr>
              <w:t>Biliary tract cancer</w:t>
            </w:r>
          </w:p>
        </w:tc>
      </w:tr>
      <w:tr w:rsidR="00FF7EEA" w:rsidRPr="00232355" w14:paraId="67E90C7C"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09EA8D30" w14:textId="77777777" w:rsidR="008D7331" w:rsidRPr="00232355" w:rsidRDefault="008D7331" w:rsidP="00DF2C5C">
            <w:pPr>
              <w:ind w:left="-57"/>
              <w:textAlignment w:val="baseline"/>
              <w:rPr>
                <w:rFonts w:ascii="Arial Narrow" w:hAnsi="Arial Narrow" w:cs="Open Sans"/>
                <w:color w:val="333333"/>
                <w:sz w:val="20"/>
                <w:szCs w:val="20"/>
              </w:rPr>
            </w:pPr>
            <w:r w:rsidRPr="00232355">
              <w:rPr>
                <w:rFonts w:ascii="Arial Narrow" w:hAnsi="Arial Narrow" w:cs="Open Sans"/>
                <w:b/>
                <w:bCs/>
                <w:color w:val="333333"/>
                <w:sz w:val="20"/>
                <w:szCs w:val="20"/>
                <w:bdr w:val="none" w:sz="0" w:space="0" w:color="auto" w:frame="1"/>
              </w:rPr>
              <w:lastRenderedPageBreak/>
              <w:t xml:space="preserve">Indication: </w:t>
            </w:r>
            <w:r w:rsidRPr="00232355">
              <w:rPr>
                <w:rFonts w:ascii="Arial Narrow" w:hAnsi="Arial Narrow" w:cs="Open Sans"/>
                <w:sz w:val="20"/>
                <w:szCs w:val="20"/>
                <w:bdr w:val="none" w:sz="0" w:space="0" w:color="auto" w:frame="1"/>
              </w:rPr>
              <w:t>Locally advanced, metastatic or recurrent Biliary tract cancer</w:t>
            </w:r>
          </w:p>
        </w:tc>
      </w:tr>
      <w:tr w:rsidR="00FF7EEA" w:rsidRPr="00232355" w14:paraId="3C84216F" w14:textId="77777777" w:rsidTr="00DF2C5C">
        <w:tc>
          <w:tcPr>
            <w:tcW w:w="5000" w:type="pct"/>
            <w:tcBorders>
              <w:top w:val="single" w:sz="4" w:space="0" w:color="auto"/>
              <w:left w:val="single" w:sz="4" w:space="0" w:color="auto"/>
              <w:bottom w:val="single" w:sz="4" w:space="0" w:color="auto"/>
              <w:right w:val="single" w:sz="4" w:space="0" w:color="auto"/>
            </w:tcBorders>
          </w:tcPr>
          <w:p w14:paraId="0AE272ED"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p>
        </w:tc>
      </w:tr>
      <w:tr w:rsidR="00FF7EEA" w:rsidRPr="00232355" w14:paraId="01B6EFAE"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6BCC15D0" w14:textId="77777777" w:rsidR="008D7331" w:rsidRPr="00232355" w:rsidRDefault="008D7331" w:rsidP="00DF2C5C">
            <w:pPr>
              <w:ind w:left="-57"/>
              <w:textAlignment w:val="baseline"/>
              <w:rPr>
                <w:rFonts w:ascii="Arial Narrow" w:hAnsi="Arial Narrow" w:cs="Open Sans"/>
                <w:sz w:val="20"/>
                <w:szCs w:val="20"/>
              </w:rPr>
            </w:pPr>
            <w:r w:rsidRPr="00232355">
              <w:rPr>
                <w:rFonts w:ascii="Arial Narrow" w:hAnsi="Arial Narrow" w:cs="Open Sans"/>
                <w:b/>
                <w:bCs/>
                <w:sz w:val="20"/>
                <w:szCs w:val="20"/>
                <w:bdr w:val="none" w:sz="0" w:space="0" w:color="auto" w:frame="1"/>
              </w:rPr>
              <w:t xml:space="preserve">Treatment Phase: </w:t>
            </w:r>
            <w:r w:rsidRPr="00232355">
              <w:rPr>
                <w:rFonts w:ascii="Arial Narrow" w:hAnsi="Arial Narrow" w:cs="Open Sans"/>
                <w:sz w:val="20"/>
                <w:szCs w:val="20"/>
                <w:bdr w:val="none" w:sz="0" w:space="0" w:color="auto" w:frame="1"/>
              </w:rPr>
              <w:t>Initial treatment</w:t>
            </w:r>
          </w:p>
        </w:tc>
      </w:tr>
      <w:tr w:rsidR="00FF7EEA" w:rsidRPr="00232355" w14:paraId="6FF55AC9" w14:textId="77777777" w:rsidTr="00DF2C5C">
        <w:tc>
          <w:tcPr>
            <w:tcW w:w="5000" w:type="pct"/>
            <w:tcBorders>
              <w:top w:val="single" w:sz="4" w:space="0" w:color="auto"/>
              <w:left w:val="single" w:sz="4" w:space="0" w:color="auto"/>
              <w:bottom w:val="single" w:sz="4" w:space="0" w:color="auto"/>
              <w:right w:val="single" w:sz="4" w:space="0" w:color="auto"/>
            </w:tcBorders>
          </w:tcPr>
          <w:p w14:paraId="0107DBF5"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p>
        </w:tc>
      </w:tr>
      <w:tr w:rsidR="00FF7EEA" w:rsidRPr="00232355" w14:paraId="0DAC54B5" w14:textId="77777777" w:rsidTr="00DF2C5C">
        <w:tc>
          <w:tcPr>
            <w:tcW w:w="5000" w:type="pct"/>
            <w:tcBorders>
              <w:top w:val="single" w:sz="4" w:space="0" w:color="auto"/>
              <w:left w:val="single" w:sz="4" w:space="0" w:color="auto"/>
              <w:bottom w:val="single" w:sz="4" w:space="0" w:color="auto"/>
              <w:right w:val="single" w:sz="4" w:space="0" w:color="auto"/>
            </w:tcBorders>
          </w:tcPr>
          <w:p w14:paraId="50896DCC"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r w:rsidRPr="00232355">
              <w:rPr>
                <w:rFonts w:ascii="Arial Narrow" w:hAnsi="Arial Narrow" w:cs="Open Sans"/>
                <w:b/>
                <w:bCs/>
                <w:color w:val="333333"/>
                <w:sz w:val="20"/>
                <w:szCs w:val="20"/>
                <w:bdr w:val="none" w:sz="0" w:space="0" w:color="auto" w:frame="1"/>
              </w:rPr>
              <w:t>Patient population:</w:t>
            </w:r>
          </w:p>
        </w:tc>
      </w:tr>
      <w:tr w:rsidR="00FF7EEA" w:rsidRPr="00232355" w14:paraId="040BE5CA" w14:textId="77777777" w:rsidTr="00DF2C5C">
        <w:tc>
          <w:tcPr>
            <w:tcW w:w="5000" w:type="pct"/>
            <w:tcBorders>
              <w:top w:val="single" w:sz="4" w:space="0" w:color="auto"/>
              <w:left w:val="single" w:sz="4" w:space="0" w:color="auto"/>
              <w:bottom w:val="single" w:sz="4" w:space="0" w:color="auto"/>
              <w:right w:val="single" w:sz="4" w:space="0" w:color="auto"/>
            </w:tcBorders>
          </w:tcPr>
          <w:p w14:paraId="739E38CA" w14:textId="77777777" w:rsidR="008D7331" w:rsidRPr="00232355" w:rsidRDefault="008D7331" w:rsidP="00DF2C5C">
            <w:pPr>
              <w:ind w:left="-57"/>
              <w:textAlignment w:val="baseline"/>
              <w:rPr>
                <w:rFonts w:ascii="Arial Narrow" w:hAnsi="Arial Narrow" w:cs="Open Sans"/>
                <w:color w:val="333333"/>
                <w:sz w:val="20"/>
                <w:szCs w:val="20"/>
                <w:bdr w:val="none" w:sz="0" w:space="0" w:color="auto" w:frame="1"/>
              </w:rPr>
            </w:pPr>
            <w:r w:rsidRPr="00232355">
              <w:rPr>
                <w:rFonts w:ascii="Arial Narrow" w:hAnsi="Arial Narrow" w:cs="Open Sans"/>
                <w:color w:val="333333"/>
                <w:sz w:val="20"/>
                <w:szCs w:val="20"/>
                <w:bdr w:val="none" w:sz="0" w:space="0" w:color="auto" w:frame="1"/>
              </w:rPr>
              <w:t>Patient must be initiating treatment and have either of the following: (i) locally advanced biliary tract cancer that is untreated with systemic anti-cancer therapy</w:t>
            </w:r>
            <w:r>
              <w:rPr>
                <w:rFonts w:ascii="Arial Narrow" w:hAnsi="Arial Narrow" w:cs="Open Sans"/>
                <w:color w:val="333333"/>
                <w:sz w:val="20"/>
                <w:szCs w:val="20"/>
                <w:bdr w:val="none" w:sz="0" w:space="0" w:color="auto" w:frame="1"/>
              </w:rPr>
              <w:t xml:space="preserve"> </w:t>
            </w:r>
            <w:r w:rsidRPr="005133AE">
              <w:rPr>
                <w:rFonts w:ascii="Arial Narrow" w:hAnsi="Arial Narrow" w:cs="Open Sans"/>
                <w:i/>
                <w:iCs/>
                <w:color w:val="333333"/>
                <w:sz w:val="20"/>
                <w:szCs w:val="20"/>
                <w:bdr w:val="none" w:sz="0" w:space="0" w:color="auto" w:frame="1"/>
              </w:rPr>
              <w:t>in the unresectable setting</w:t>
            </w:r>
            <w:r w:rsidRPr="00232355">
              <w:rPr>
                <w:rFonts w:ascii="Arial Narrow" w:hAnsi="Arial Narrow" w:cs="Open Sans"/>
                <w:color w:val="333333"/>
                <w:sz w:val="20"/>
                <w:szCs w:val="20"/>
                <w:bdr w:val="none" w:sz="0" w:space="0" w:color="auto" w:frame="1"/>
              </w:rPr>
              <w:t>, (ii) metastatic biliary tract cancer that is untreated with systemic anti-cancer therapy</w:t>
            </w:r>
            <w:r>
              <w:rPr>
                <w:rFonts w:ascii="Arial Narrow" w:hAnsi="Arial Narrow" w:cs="Open Sans"/>
                <w:color w:val="333333"/>
                <w:sz w:val="20"/>
                <w:szCs w:val="20"/>
                <w:bdr w:val="none" w:sz="0" w:space="0" w:color="auto" w:frame="1"/>
              </w:rPr>
              <w:t xml:space="preserve"> </w:t>
            </w:r>
            <w:r w:rsidRPr="005133AE">
              <w:rPr>
                <w:rFonts w:ascii="Arial Narrow" w:hAnsi="Arial Narrow" w:cs="Open Sans"/>
                <w:i/>
                <w:iCs/>
                <w:color w:val="333333"/>
                <w:sz w:val="20"/>
                <w:szCs w:val="20"/>
                <w:bdr w:val="none" w:sz="0" w:space="0" w:color="auto" w:frame="1"/>
              </w:rPr>
              <w:t>in the metastatic setting</w:t>
            </w:r>
            <w:r>
              <w:rPr>
                <w:rFonts w:ascii="Arial Narrow" w:hAnsi="Arial Narrow" w:cs="Open Sans"/>
                <w:i/>
                <w:iCs/>
                <w:color w:val="333333"/>
                <w:sz w:val="20"/>
                <w:szCs w:val="20"/>
                <w:bdr w:val="none" w:sz="0" w:space="0" w:color="auto" w:frame="1"/>
              </w:rPr>
              <w:t xml:space="preserve"> </w:t>
            </w:r>
            <w:r w:rsidRPr="005133AE">
              <w:rPr>
                <w:rFonts w:ascii="Arial Narrow" w:hAnsi="Arial Narrow" w:cs="Open Sans"/>
                <w:strike/>
                <w:color w:val="333333"/>
                <w:sz w:val="20"/>
                <w:szCs w:val="20"/>
                <w:bdr w:val="none" w:sz="0" w:space="0" w:color="auto" w:frame="1"/>
              </w:rPr>
              <w:t>, (iii) recurrent biliary tract cancer after</w:t>
            </w:r>
            <w:r w:rsidRPr="005133AE">
              <w:rPr>
                <w:rFonts w:ascii="Arial Narrow" w:hAnsi="Arial Narrow" w:cs="Open Sans"/>
                <w:i/>
                <w:iCs/>
                <w:strike/>
                <w:color w:val="333333"/>
                <w:sz w:val="20"/>
                <w:szCs w:val="20"/>
                <w:bdr w:val="none" w:sz="0" w:space="0" w:color="auto" w:frame="1"/>
              </w:rPr>
              <w:t xml:space="preserve"> </w:t>
            </w:r>
            <w:r w:rsidRPr="005133AE">
              <w:rPr>
                <w:rFonts w:ascii="Arial Narrow" w:hAnsi="Arial Narrow" w:cs="Open Sans"/>
                <w:strike/>
                <w:color w:val="333333"/>
                <w:sz w:val="20"/>
                <w:szCs w:val="20"/>
                <w:bdr w:val="none" w:sz="0" w:space="0" w:color="auto" w:frame="1"/>
              </w:rPr>
              <w:t>surgery with curative intent/adjuvant therapy</w:t>
            </w:r>
            <w:r w:rsidRPr="00232355">
              <w:rPr>
                <w:rFonts w:ascii="Arial Narrow" w:hAnsi="Arial Narrow" w:cs="Open Sans"/>
                <w:color w:val="333333"/>
                <w:sz w:val="20"/>
                <w:szCs w:val="20"/>
                <w:bdr w:val="none" w:sz="0" w:space="0" w:color="auto" w:frame="1"/>
              </w:rPr>
              <w:t xml:space="preserve">; OR </w:t>
            </w:r>
          </w:p>
        </w:tc>
      </w:tr>
      <w:tr w:rsidR="00FF7EEA" w:rsidRPr="00232355" w14:paraId="06AD99F2" w14:textId="77777777" w:rsidTr="00DF2C5C">
        <w:tc>
          <w:tcPr>
            <w:tcW w:w="5000" w:type="pct"/>
            <w:tcBorders>
              <w:top w:val="single" w:sz="4" w:space="0" w:color="auto"/>
              <w:left w:val="single" w:sz="4" w:space="0" w:color="auto"/>
              <w:bottom w:val="single" w:sz="4" w:space="0" w:color="auto"/>
              <w:right w:val="single" w:sz="4" w:space="0" w:color="auto"/>
            </w:tcBorders>
          </w:tcPr>
          <w:p w14:paraId="413BBCD0" w14:textId="77777777" w:rsidR="008D7331" w:rsidRPr="00232355" w:rsidRDefault="008D7331" w:rsidP="00DF2C5C">
            <w:pPr>
              <w:ind w:left="-57"/>
              <w:textAlignment w:val="baseline"/>
              <w:rPr>
                <w:rFonts w:ascii="Arial Narrow" w:hAnsi="Arial Narrow" w:cs="Open Sans"/>
                <w:color w:val="333333"/>
                <w:sz w:val="20"/>
                <w:szCs w:val="20"/>
                <w:bdr w:val="none" w:sz="0" w:space="0" w:color="auto" w:frame="1"/>
              </w:rPr>
            </w:pPr>
            <w:r w:rsidRPr="00232355">
              <w:rPr>
                <w:rFonts w:ascii="Arial Narrow" w:hAnsi="Arial Narrow" w:cs="Open Sans"/>
                <w:color w:val="333333"/>
                <w:sz w:val="20"/>
                <w:szCs w:val="20"/>
                <w:bdr w:val="none" w:sz="0" w:space="0" w:color="auto" w:frame="1"/>
              </w:rPr>
              <w:t>Patient must be transitioning from existing non-PBS to PBS subsidised supply of this drug and have either of the following at the time this drug was initiated: (i) locally advanced biliary tract cancer that is untreated with systemic anti-cancer therapy</w:t>
            </w:r>
            <w:r>
              <w:rPr>
                <w:rFonts w:ascii="Arial Narrow" w:hAnsi="Arial Narrow" w:cs="Open Sans"/>
                <w:color w:val="333333"/>
                <w:sz w:val="20"/>
                <w:szCs w:val="20"/>
                <w:bdr w:val="none" w:sz="0" w:space="0" w:color="auto" w:frame="1"/>
              </w:rPr>
              <w:t xml:space="preserve"> </w:t>
            </w:r>
            <w:r w:rsidRPr="005133AE">
              <w:rPr>
                <w:rFonts w:ascii="Arial Narrow" w:hAnsi="Arial Narrow" w:cs="Open Sans"/>
                <w:i/>
                <w:iCs/>
                <w:color w:val="333333"/>
                <w:sz w:val="20"/>
                <w:szCs w:val="20"/>
                <w:bdr w:val="none" w:sz="0" w:space="0" w:color="auto" w:frame="1"/>
              </w:rPr>
              <w:t>in the unresectable setting</w:t>
            </w:r>
            <w:r w:rsidRPr="00232355">
              <w:rPr>
                <w:rFonts w:ascii="Arial Narrow" w:hAnsi="Arial Narrow" w:cs="Open Sans"/>
                <w:color w:val="333333"/>
                <w:sz w:val="20"/>
                <w:szCs w:val="20"/>
                <w:bdr w:val="none" w:sz="0" w:space="0" w:color="auto" w:frame="1"/>
              </w:rPr>
              <w:t>, (ii) metastatic biliary tract cancer that is untreated with systemic anti-cancer therapy</w:t>
            </w:r>
            <w:r>
              <w:rPr>
                <w:rFonts w:ascii="Arial Narrow" w:hAnsi="Arial Narrow" w:cs="Open Sans"/>
                <w:color w:val="333333"/>
                <w:sz w:val="20"/>
                <w:szCs w:val="20"/>
                <w:bdr w:val="none" w:sz="0" w:space="0" w:color="auto" w:frame="1"/>
              </w:rPr>
              <w:t xml:space="preserve"> </w:t>
            </w:r>
            <w:r w:rsidRPr="005133AE">
              <w:rPr>
                <w:rFonts w:ascii="Arial Narrow" w:hAnsi="Arial Narrow" w:cs="Open Sans"/>
                <w:i/>
                <w:iCs/>
                <w:color w:val="333333"/>
                <w:sz w:val="20"/>
                <w:szCs w:val="20"/>
                <w:bdr w:val="none" w:sz="0" w:space="0" w:color="auto" w:frame="1"/>
              </w:rPr>
              <w:t>in the metastatic setting</w:t>
            </w:r>
            <w:r w:rsidRPr="00232355">
              <w:rPr>
                <w:rFonts w:ascii="Arial Narrow" w:hAnsi="Arial Narrow" w:cs="Open Sans"/>
                <w:color w:val="333333"/>
                <w:sz w:val="20"/>
                <w:szCs w:val="20"/>
                <w:bdr w:val="none" w:sz="0" w:space="0" w:color="auto" w:frame="1"/>
              </w:rPr>
              <w:t xml:space="preserve">, </w:t>
            </w:r>
            <w:r w:rsidRPr="005133AE">
              <w:rPr>
                <w:rFonts w:ascii="Arial Narrow" w:hAnsi="Arial Narrow" w:cs="Open Sans"/>
                <w:strike/>
                <w:color w:val="333333"/>
                <w:sz w:val="20"/>
                <w:szCs w:val="20"/>
                <w:bdr w:val="none" w:sz="0" w:space="0" w:color="auto" w:frame="1"/>
              </w:rPr>
              <w:t>(iii) recurrent biliary tract cancer after</w:t>
            </w:r>
            <w:r w:rsidRPr="005133AE">
              <w:rPr>
                <w:rFonts w:ascii="Arial Narrow" w:hAnsi="Arial Narrow" w:cs="Open Sans"/>
                <w:i/>
                <w:iCs/>
                <w:strike/>
                <w:color w:val="333333"/>
                <w:sz w:val="20"/>
                <w:szCs w:val="20"/>
                <w:bdr w:val="none" w:sz="0" w:space="0" w:color="auto" w:frame="1"/>
              </w:rPr>
              <w:t xml:space="preserve"> </w:t>
            </w:r>
            <w:r w:rsidRPr="005133AE">
              <w:rPr>
                <w:rFonts w:ascii="Arial Narrow" w:hAnsi="Arial Narrow" w:cs="Open Sans"/>
                <w:strike/>
                <w:color w:val="333333"/>
                <w:sz w:val="20"/>
                <w:szCs w:val="20"/>
                <w:bdr w:val="none" w:sz="0" w:space="0" w:color="auto" w:frame="1"/>
              </w:rPr>
              <w:t>surgery with curative intent/adjuvant therapy</w:t>
            </w:r>
          </w:p>
        </w:tc>
      </w:tr>
      <w:tr w:rsidR="00FF7EEA" w:rsidRPr="00232355" w14:paraId="2436807C"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18C70B60" w14:textId="77777777" w:rsidR="008D7331" w:rsidRPr="00232355" w:rsidRDefault="008D7331" w:rsidP="00DF2C5C">
            <w:pPr>
              <w:ind w:left="-57"/>
              <w:textAlignment w:val="baseline"/>
              <w:rPr>
                <w:rFonts w:ascii="Arial Narrow" w:hAnsi="Arial Narrow" w:cs="Open Sans"/>
                <w:color w:val="333333"/>
                <w:sz w:val="20"/>
                <w:szCs w:val="20"/>
              </w:rPr>
            </w:pPr>
            <w:r w:rsidRPr="00232355">
              <w:rPr>
                <w:rFonts w:ascii="Arial Narrow" w:hAnsi="Arial Narrow" w:cs="Open Sans"/>
                <w:b/>
                <w:bCs/>
                <w:color w:val="333333"/>
                <w:sz w:val="20"/>
                <w:szCs w:val="20"/>
                <w:bdr w:val="none" w:sz="0" w:space="0" w:color="auto" w:frame="1"/>
              </w:rPr>
              <w:t>Clinical criteria:</w:t>
            </w:r>
          </w:p>
        </w:tc>
      </w:tr>
      <w:tr w:rsidR="00FF7EEA" w:rsidRPr="00232355" w14:paraId="47CB9395"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19D1DEDF" w14:textId="77777777" w:rsidR="008D7331" w:rsidRPr="00232355" w:rsidRDefault="008D7331" w:rsidP="00DF2C5C">
            <w:pPr>
              <w:ind w:left="-57"/>
              <w:rPr>
                <w:rFonts w:ascii="Arial Narrow" w:hAnsi="Arial Narrow" w:cs="Open Sans"/>
                <w:color w:val="333333"/>
                <w:sz w:val="20"/>
                <w:szCs w:val="20"/>
              </w:rPr>
            </w:pPr>
            <w:r w:rsidRPr="00232355">
              <w:rPr>
                <w:rFonts w:ascii="Arial Narrow" w:hAnsi="Arial Narrow" w:cs="Open Sans"/>
                <w:color w:val="333333"/>
                <w:sz w:val="20"/>
                <w:szCs w:val="20"/>
              </w:rPr>
              <w:t>Patient must have/have had a WHO performance status score of no greater than 1</w:t>
            </w:r>
            <w:r w:rsidRPr="00232355">
              <w:rPr>
                <w:rFonts w:ascii="Arial Narrow" w:hAnsi="Arial Narrow"/>
                <w:sz w:val="20"/>
                <w:szCs w:val="20"/>
              </w:rPr>
              <w:t xml:space="preserve"> </w:t>
            </w:r>
            <w:r w:rsidRPr="00232355">
              <w:rPr>
                <w:rFonts w:ascii="Arial Narrow" w:hAnsi="Arial Narrow" w:cs="Open Sans"/>
                <w:color w:val="333333"/>
                <w:sz w:val="20"/>
                <w:szCs w:val="20"/>
              </w:rPr>
              <w:t>at treatment initiation with this drug</w:t>
            </w:r>
          </w:p>
        </w:tc>
      </w:tr>
      <w:tr w:rsidR="00FF7EEA" w:rsidRPr="00232355" w14:paraId="0597B032"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300F7266" w14:textId="77777777" w:rsidR="008D7331" w:rsidRPr="00232355" w:rsidRDefault="008D7331" w:rsidP="00DF2C5C">
            <w:pPr>
              <w:ind w:left="-57"/>
              <w:rPr>
                <w:rFonts w:ascii="Arial Narrow" w:hAnsi="Arial Narrow" w:cs="Open Sans"/>
                <w:b/>
                <w:bCs/>
                <w:color w:val="333333"/>
                <w:sz w:val="20"/>
                <w:szCs w:val="20"/>
              </w:rPr>
            </w:pPr>
            <w:r w:rsidRPr="00232355">
              <w:rPr>
                <w:rFonts w:ascii="Arial Narrow" w:hAnsi="Arial Narrow" w:cs="Open Sans"/>
                <w:b/>
                <w:bCs/>
                <w:color w:val="333333"/>
                <w:sz w:val="20"/>
                <w:szCs w:val="20"/>
              </w:rPr>
              <w:t>AND</w:t>
            </w:r>
          </w:p>
        </w:tc>
      </w:tr>
      <w:tr w:rsidR="00FF7EEA" w:rsidRPr="00232355" w14:paraId="1FAB1AB2"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4E31D33D" w14:textId="77777777" w:rsidR="008D7331" w:rsidRPr="00232355" w:rsidRDefault="008D7331" w:rsidP="00DF2C5C">
            <w:pPr>
              <w:ind w:left="-57"/>
              <w:rPr>
                <w:rFonts w:ascii="Arial Narrow" w:hAnsi="Arial Narrow" w:cs="Open Sans"/>
                <w:b/>
                <w:bCs/>
                <w:color w:val="333333"/>
                <w:sz w:val="20"/>
                <w:szCs w:val="20"/>
              </w:rPr>
            </w:pPr>
            <w:r w:rsidRPr="00232355">
              <w:rPr>
                <w:rFonts w:ascii="Arial Narrow" w:hAnsi="Arial Narrow" w:cs="Open Sans"/>
                <w:b/>
                <w:bCs/>
                <w:color w:val="333333"/>
                <w:sz w:val="20"/>
                <w:szCs w:val="20"/>
              </w:rPr>
              <w:t>Clinical criteria:</w:t>
            </w:r>
          </w:p>
        </w:tc>
      </w:tr>
      <w:tr w:rsidR="00FF7EEA" w:rsidRPr="00232355" w14:paraId="67D5CD7A"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537B01F4" w14:textId="77777777" w:rsidR="008D7331" w:rsidRPr="00232355" w:rsidRDefault="008D7331" w:rsidP="00DF2C5C">
            <w:pPr>
              <w:ind w:left="-57"/>
              <w:rPr>
                <w:rFonts w:ascii="Arial Narrow" w:hAnsi="Arial Narrow" w:cs="Open Sans"/>
                <w:color w:val="333333"/>
                <w:sz w:val="20"/>
                <w:szCs w:val="20"/>
              </w:rPr>
            </w:pPr>
            <w:r w:rsidRPr="00232355">
              <w:rPr>
                <w:rFonts w:ascii="Arial Narrow" w:hAnsi="Arial Narrow" w:cs="Open Sans"/>
                <w:color w:val="333333"/>
                <w:sz w:val="20"/>
                <w:szCs w:val="20"/>
              </w:rPr>
              <w:t xml:space="preserve">The treatment must be/have been initiated with both: (i) gemcitabine, (ii) cisplatin </w:t>
            </w:r>
          </w:p>
        </w:tc>
      </w:tr>
      <w:tr w:rsidR="00FF7EEA" w:rsidRPr="00232355" w14:paraId="6C4B3B84"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6B08B7E6" w14:textId="77777777" w:rsidR="008D7331" w:rsidRPr="00232355" w:rsidRDefault="008D7331" w:rsidP="00DF2C5C">
            <w:pPr>
              <w:ind w:left="-57"/>
              <w:rPr>
                <w:rFonts w:ascii="Arial Narrow" w:hAnsi="Arial Narrow" w:cs="Open Sans"/>
                <w:b/>
                <w:bCs/>
                <w:color w:val="333333"/>
                <w:sz w:val="20"/>
                <w:szCs w:val="20"/>
              </w:rPr>
            </w:pPr>
            <w:r w:rsidRPr="00232355">
              <w:rPr>
                <w:rFonts w:ascii="Arial Narrow" w:hAnsi="Arial Narrow" w:cs="Open Sans"/>
                <w:b/>
                <w:bCs/>
                <w:color w:val="333333"/>
                <w:sz w:val="20"/>
                <w:szCs w:val="20"/>
              </w:rPr>
              <w:t>AND</w:t>
            </w:r>
          </w:p>
        </w:tc>
      </w:tr>
      <w:tr w:rsidR="00FF7EEA" w:rsidRPr="00232355" w14:paraId="68ADDDE6" w14:textId="77777777" w:rsidTr="00DF2C5C">
        <w:tc>
          <w:tcPr>
            <w:tcW w:w="5000" w:type="pct"/>
            <w:tcBorders>
              <w:top w:val="single" w:sz="4" w:space="0" w:color="auto"/>
              <w:left w:val="single" w:sz="4" w:space="0" w:color="auto"/>
              <w:bottom w:val="single" w:sz="4" w:space="0" w:color="auto"/>
              <w:right w:val="single" w:sz="4" w:space="0" w:color="auto"/>
            </w:tcBorders>
          </w:tcPr>
          <w:p w14:paraId="059DD557" w14:textId="77777777" w:rsidR="008D7331" w:rsidRPr="00232355" w:rsidRDefault="008D7331" w:rsidP="00DF2C5C">
            <w:pPr>
              <w:ind w:left="-57"/>
              <w:rPr>
                <w:rFonts w:ascii="Arial Narrow" w:hAnsi="Arial Narrow" w:cs="Open Sans"/>
                <w:color w:val="333333"/>
                <w:sz w:val="20"/>
                <w:szCs w:val="20"/>
              </w:rPr>
            </w:pPr>
            <w:r w:rsidRPr="00232355">
              <w:rPr>
                <w:rFonts w:ascii="Arial Narrow" w:hAnsi="Arial Narrow" w:cs="Open Sans"/>
                <w:b/>
                <w:bCs/>
                <w:color w:val="333333"/>
                <w:sz w:val="20"/>
                <w:szCs w:val="20"/>
              </w:rPr>
              <w:t>Clinical criteria:</w:t>
            </w:r>
          </w:p>
        </w:tc>
      </w:tr>
      <w:tr w:rsidR="00FF7EEA" w:rsidRPr="00232355" w14:paraId="74A9DC12" w14:textId="77777777" w:rsidTr="00DF2C5C">
        <w:tc>
          <w:tcPr>
            <w:tcW w:w="5000" w:type="pct"/>
            <w:tcBorders>
              <w:top w:val="single" w:sz="4" w:space="0" w:color="auto"/>
              <w:left w:val="single" w:sz="4" w:space="0" w:color="auto"/>
              <w:bottom w:val="single" w:sz="4" w:space="0" w:color="auto"/>
              <w:right w:val="single" w:sz="4" w:space="0" w:color="auto"/>
            </w:tcBorders>
          </w:tcPr>
          <w:p w14:paraId="1CFB9BF4" w14:textId="77777777" w:rsidR="008D7331" w:rsidRPr="00232355" w:rsidRDefault="008D7331" w:rsidP="00DF2C5C">
            <w:pPr>
              <w:ind w:left="-57"/>
              <w:rPr>
                <w:rFonts w:ascii="Arial Narrow" w:hAnsi="Arial Narrow" w:cs="Open Sans"/>
                <w:color w:val="333333"/>
                <w:sz w:val="20"/>
                <w:szCs w:val="20"/>
              </w:rPr>
            </w:pPr>
            <w:r w:rsidRPr="00232355">
              <w:rPr>
                <w:rFonts w:ascii="Arial Narrow" w:hAnsi="Arial Narrow" w:cs="Open Sans"/>
                <w:color w:val="333333"/>
                <w:sz w:val="20"/>
                <w:szCs w:val="20"/>
              </w:rPr>
              <w:t>The treatment must be prescribed with up to a certain number of repeat prescriptions dependent on either of which: (i) up to 7 repeats for initial treatment to complete 8 cycles, (ii) remainder repeats to complete 8 cycles for patients transitioning from non-PBS to PBS-subsidised supply provided the disease has not progressed</w:t>
            </w:r>
          </w:p>
        </w:tc>
      </w:tr>
    </w:tbl>
    <w:p w14:paraId="769CF9F4" w14:textId="77777777" w:rsidR="008D7331" w:rsidRPr="00232355" w:rsidRDefault="008D7331" w:rsidP="00125404">
      <w:pPr>
        <w:rPr>
          <w:rFonts w:ascii="Arial Narrow" w:hAnsi="Arial Narrow" w:cs="Calibri"/>
          <w:sz w:val="20"/>
          <w:szCs w:val="20"/>
        </w:rPr>
      </w:pPr>
    </w:p>
    <w:tbl>
      <w:tblPr>
        <w:tblStyle w:val="RTIAMCPTable1"/>
        <w:tblW w:w="5000" w:type="pct"/>
        <w:tblInd w:w="0" w:type="dxa"/>
        <w:tblLook w:val="04A0" w:firstRow="1" w:lastRow="0" w:firstColumn="1" w:lastColumn="0" w:noHBand="0" w:noVBand="1"/>
      </w:tblPr>
      <w:tblGrid>
        <w:gridCol w:w="9017"/>
      </w:tblGrid>
      <w:tr w:rsidR="00FF7EEA" w:rsidRPr="00232355" w14:paraId="23C3D307"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7F2DEE76"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r w:rsidRPr="00232355">
              <w:rPr>
                <w:rFonts w:ascii="Arial Narrow" w:hAnsi="Arial Narrow"/>
                <w:b/>
                <w:sz w:val="20"/>
                <w:szCs w:val="20"/>
              </w:rPr>
              <w:t xml:space="preserve">Category / Program: </w:t>
            </w:r>
            <w:r w:rsidRPr="00232355">
              <w:rPr>
                <w:rFonts w:ascii="Arial Narrow" w:hAnsi="Arial Narrow"/>
                <w:sz w:val="20"/>
                <w:szCs w:val="20"/>
              </w:rPr>
              <w:t xml:space="preserve">Section 100 – Efficient Funding of Chemotherapy Public/Private hospitals </w:t>
            </w:r>
          </w:p>
        </w:tc>
      </w:tr>
      <w:tr w:rsidR="00FF7EEA" w:rsidRPr="00232355" w14:paraId="0FE5A78A"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59A16D86"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r w:rsidRPr="00232355">
              <w:rPr>
                <w:rFonts w:ascii="Arial Narrow" w:hAnsi="Arial Narrow"/>
                <w:b/>
                <w:sz w:val="20"/>
                <w:szCs w:val="20"/>
              </w:rPr>
              <w:t xml:space="preserve">Prescriber type:   </w:t>
            </w:r>
            <w:r w:rsidRPr="00232355">
              <w:rPr>
                <w:rFonts w:ascii="Arial Narrow" w:hAnsi="Arial Narrow"/>
                <w:sz w:val="20"/>
                <w:szCs w:val="20"/>
              </w:rPr>
              <w:fldChar w:fldCharType="begin">
                <w:ffData>
                  <w:name w:val=""/>
                  <w:enabled/>
                  <w:calcOnExit w:val="0"/>
                  <w:checkBox>
                    <w:sizeAuto/>
                    <w:default w:val="1"/>
                  </w:checkBox>
                </w:ffData>
              </w:fldChar>
            </w:r>
            <w:r w:rsidRPr="00232355">
              <w:rPr>
                <w:rFonts w:ascii="Arial Narrow" w:hAnsi="Arial Narrow"/>
                <w:sz w:val="20"/>
                <w:szCs w:val="20"/>
              </w:rPr>
              <w:instrText xml:space="preserve"> FORMCHECKBOX </w:instrText>
            </w:r>
            <w:r w:rsidR="000178EC">
              <w:rPr>
                <w:rFonts w:ascii="Arial Narrow" w:hAnsi="Arial Narrow"/>
                <w:sz w:val="20"/>
                <w:szCs w:val="20"/>
              </w:rPr>
            </w:r>
            <w:r w:rsidR="000178EC">
              <w:rPr>
                <w:rFonts w:ascii="Arial Narrow" w:hAnsi="Arial Narrow"/>
                <w:sz w:val="20"/>
                <w:szCs w:val="20"/>
              </w:rPr>
              <w:fldChar w:fldCharType="separate"/>
            </w:r>
            <w:r w:rsidRPr="00232355">
              <w:rPr>
                <w:rFonts w:ascii="Arial Narrow" w:hAnsi="Arial Narrow"/>
                <w:sz w:val="20"/>
                <w:szCs w:val="20"/>
              </w:rPr>
              <w:fldChar w:fldCharType="end"/>
            </w:r>
            <w:r w:rsidRPr="00232355">
              <w:rPr>
                <w:rFonts w:ascii="Arial Narrow" w:hAnsi="Arial Narrow"/>
                <w:sz w:val="20"/>
                <w:szCs w:val="20"/>
              </w:rPr>
              <w:t xml:space="preserve"> Medical Practitioners    </w:t>
            </w:r>
          </w:p>
        </w:tc>
      </w:tr>
      <w:tr w:rsidR="00FF7EEA" w:rsidRPr="00232355" w14:paraId="0EA3E78D"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3DCD3B02"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r w:rsidRPr="00232355">
              <w:rPr>
                <w:rFonts w:ascii="Arial Narrow" w:hAnsi="Arial Narrow"/>
                <w:b/>
                <w:sz w:val="20"/>
                <w:szCs w:val="20"/>
              </w:rPr>
              <w:t xml:space="preserve">Restriction type: </w:t>
            </w:r>
            <w:r w:rsidRPr="00232355">
              <w:rPr>
                <w:rFonts w:ascii="Arial Narrow" w:eastAsia="Calibri" w:hAnsi="Arial Narrow"/>
                <w:sz w:val="20"/>
                <w:szCs w:val="20"/>
              </w:rPr>
              <w:fldChar w:fldCharType="begin">
                <w:ffData>
                  <w:name w:val=""/>
                  <w:enabled/>
                  <w:calcOnExit w:val="0"/>
                  <w:checkBox>
                    <w:sizeAuto/>
                    <w:default w:val="1"/>
                  </w:checkBox>
                </w:ffData>
              </w:fldChar>
            </w:r>
            <w:r w:rsidRPr="00232355">
              <w:rPr>
                <w:rFonts w:ascii="Arial Narrow" w:eastAsia="Calibri" w:hAnsi="Arial Narrow"/>
                <w:sz w:val="20"/>
                <w:szCs w:val="20"/>
              </w:rPr>
              <w:instrText xml:space="preserve"> FORMCHECKBOX </w:instrText>
            </w:r>
            <w:r w:rsidR="000178EC">
              <w:rPr>
                <w:rFonts w:ascii="Arial Narrow" w:eastAsia="Calibri" w:hAnsi="Arial Narrow"/>
                <w:sz w:val="20"/>
                <w:szCs w:val="20"/>
              </w:rPr>
            </w:r>
            <w:r w:rsidR="000178EC">
              <w:rPr>
                <w:rFonts w:ascii="Arial Narrow" w:eastAsia="Calibri" w:hAnsi="Arial Narrow"/>
                <w:sz w:val="20"/>
                <w:szCs w:val="20"/>
              </w:rPr>
              <w:fldChar w:fldCharType="separate"/>
            </w:r>
            <w:r w:rsidRPr="00232355">
              <w:rPr>
                <w:rFonts w:ascii="Arial Narrow" w:eastAsia="Calibri" w:hAnsi="Arial Narrow"/>
                <w:sz w:val="20"/>
                <w:szCs w:val="20"/>
              </w:rPr>
              <w:fldChar w:fldCharType="end"/>
            </w:r>
            <w:r w:rsidRPr="00232355">
              <w:rPr>
                <w:rFonts w:ascii="Arial Narrow" w:eastAsia="Calibri" w:hAnsi="Arial Narrow"/>
                <w:sz w:val="20"/>
                <w:szCs w:val="20"/>
              </w:rPr>
              <w:t xml:space="preserve"> Authority Required (STREAMLINED)  </w:t>
            </w:r>
          </w:p>
        </w:tc>
      </w:tr>
      <w:tr w:rsidR="00FF7EEA" w:rsidRPr="00232355" w14:paraId="53CC1738" w14:textId="77777777" w:rsidTr="00DF2C5C">
        <w:tc>
          <w:tcPr>
            <w:tcW w:w="5000" w:type="pct"/>
            <w:tcBorders>
              <w:top w:val="single" w:sz="4" w:space="0" w:color="auto"/>
              <w:left w:val="single" w:sz="4" w:space="0" w:color="auto"/>
              <w:bottom w:val="single" w:sz="4" w:space="0" w:color="auto"/>
              <w:right w:val="single" w:sz="4" w:space="0" w:color="auto"/>
            </w:tcBorders>
          </w:tcPr>
          <w:p w14:paraId="7306046C"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p>
        </w:tc>
      </w:tr>
      <w:tr w:rsidR="00FF7EEA" w:rsidRPr="00232355" w14:paraId="398639C4" w14:textId="77777777" w:rsidTr="00DF2C5C">
        <w:tc>
          <w:tcPr>
            <w:tcW w:w="5000" w:type="pct"/>
            <w:tcBorders>
              <w:top w:val="single" w:sz="4" w:space="0" w:color="auto"/>
              <w:left w:val="single" w:sz="4" w:space="0" w:color="auto"/>
              <w:bottom w:val="single" w:sz="4" w:space="0" w:color="auto"/>
              <w:right w:val="single" w:sz="4" w:space="0" w:color="auto"/>
            </w:tcBorders>
          </w:tcPr>
          <w:p w14:paraId="03EF0D94" w14:textId="77777777" w:rsidR="008D7331" w:rsidRPr="00232355" w:rsidRDefault="008D7331" w:rsidP="00DF2C5C">
            <w:pPr>
              <w:ind w:left="-57"/>
              <w:textAlignment w:val="baseline"/>
              <w:rPr>
                <w:rFonts w:ascii="Arial Narrow" w:hAnsi="Arial Narrow" w:cs="Open Sans"/>
                <w:color w:val="333333"/>
                <w:sz w:val="20"/>
                <w:szCs w:val="20"/>
                <w:bdr w:val="none" w:sz="0" w:space="0" w:color="auto" w:frame="1"/>
              </w:rPr>
            </w:pPr>
            <w:r w:rsidRPr="00232355">
              <w:rPr>
                <w:rFonts w:ascii="Arial Narrow" w:hAnsi="Arial Narrow" w:cs="Open Sans"/>
                <w:b/>
                <w:bCs/>
                <w:color w:val="333333"/>
                <w:sz w:val="20"/>
                <w:szCs w:val="20"/>
                <w:bdr w:val="none" w:sz="0" w:space="0" w:color="auto" w:frame="1"/>
              </w:rPr>
              <w:t>Administrative Advice:</w:t>
            </w:r>
            <w:r w:rsidRPr="00232355">
              <w:rPr>
                <w:rFonts w:ascii="Arial Narrow" w:hAnsi="Arial Narrow" w:cs="Open Sans"/>
                <w:color w:val="333333"/>
                <w:sz w:val="20"/>
                <w:szCs w:val="20"/>
                <w:bdr w:val="none" w:sz="0" w:space="0" w:color="auto" w:frame="1"/>
              </w:rPr>
              <w:t xml:space="preserve"> No increase in the maximum amount or number of units may be authorised.</w:t>
            </w:r>
          </w:p>
        </w:tc>
      </w:tr>
      <w:tr w:rsidR="00FF7EEA" w:rsidRPr="00232355" w14:paraId="054D84F3"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6880C491" w14:textId="77777777" w:rsidR="008D7331" w:rsidRPr="00232355" w:rsidRDefault="008D7331" w:rsidP="00DF2C5C">
            <w:pPr>
              <w:ind w:left="-57"/>
              <w:textAlignment w:val="baseline"/>
              <w:rPr>
                <w:rFonts w:ascii="Arial Narrow" w:hAnsi="Arial Narrow" w:cs="Open Sans"/>
                <w:color w:val="333333"/>
                <w:sz w:val="20"/>
                <w:szCs w:val="20"/>
              </w:rPr>
            </w:pPr>
            <w:r w:rsidRPr="00232355">
              <w:rPr>
                <w:rFonts w:ascii="Arial Narrow" w:hAnsi="Arial Narrow" w:cs="Open Sans"/>
                <w:b/>
                <w:bCs/>
                <w:color w:val="333333"/>
                <w:sz w:val="20"/>
                <w:szCs w:val="20"/>
                <w:bdr w:val="none" w:sz="0" w:space="0" w:color="auto" w:frame="1"/>
              </w:rPr>
              <w:t xml:space="preserve">Administrative Advice: </w:t>
            </w:r>
            <w:r w:rsidRPr="00232355">
              <w:rPr>
                <w:rFonts w:ascii="Arial Narrow" w:hAnsi="Arial Narrow" w:cs="Open Sans"/>
                <w:color w:val="333333"/>
                <w:sz w:val="20"/>
                <w:szCs w:val="20"/>
              </w:rPr>
              <w:t>No increase in the maximum number of repeats may be authorised.</w:t>
            </w:r>
          </w:p>
        </w:tc>
      </w:tr>
      <w:tr w:rsidR="00FF7EEA" w:rsidRPr="00232355" w14:paraId="2882D50F"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75C07BBB" w14:textId="77777777" w:rsidR="008D7331" w:rsidRPr="00232355" w:rsidRDefault="008D7331" w:rsidP="00DF2C5C">
            <w:pPr>
              <w:ind w:left="-57"/>
              <w:textAlignment w:val="baseline"/>
              <w:rPr>
                <w:rFonts w:ascii="Arial Narrow" w:hAnsi="Arial Narrow" w:cs="Open Sans"/>
                <w:color w:val="333333"/>
                <w:sz w:val="20"/>
                <w:szCs w:val="20"/>
              </w:rPr>
            </w:pPr>
            <w:r w:rsidRPr="00232355">
              <w:rPr>
                <w:rFonts w:ascii="Arial Narrow" w:hAnsi="Arial Narrow" w:cs="Open Sans"/>
                <w:b/>
                <w:bCs/>
                <w:color w:val="333333"/>
                <w:sz w:val="20"/>
                <w:szCs w:val="20"/>
                <w:bdr w:val="none" w:sz="0" w:space="0" w:color="auto" w:frame="1"/>
              </w:rPr>
              <w:t xml:space="preserve">Administrative Advice: </w:t>
            </w:r>
            <w:r w:rsidRPr="00232355">
              <w:rPr>
                <w:rFonts w:ascii="Arial Narrow" w:hAnsi="Arial Narrow" w:cs="Open Sans"/>
                <w:color w:val="333333"/>
                <w:sz w:val="20"/>
                <w:szCs w:val="20"/>
              </w:rPr>
              <w:t>Special Pricing Arrangements apply.</w:t>
            </w:r>
          </w:p>
        </w:tc>
      </w:tr>
    </w:tbl>
    <w:p w14:paraId="1F0DBCD4" w14:textId="77777777" w:rsidR="00125404" w:rsidRPr="00125404" w:rsidRDefault="00125404">
      <w:pPr>
        <w:rPr>
          <w:rFonts w:ascii="Arial Narrow" w:hAnsi="Arial Narrow"/>
          <w:sz w:val="20"/>
          <w:szCs w:val="20"/>
        </w:rPr>
      </w:pPr>
    </w:p>
    <w:tbl>
      <w:tblPr>
        <w:tblStyle w:val="RTIAMCPTable1"/>
        <w:tblW w:w="5000" w:type="pct"/>
        <w:tblInd w:w="0" w:type="dxa"/>
        <w:tblLook w:val="04A0" w:firstRow="1" w:lastRow="0" w:firstColumn="1" w:lastColumn="0" w:noHBand="0" w:noVBand="1"/>
      </w:tblPr>
      <w:tblGrid>
        <w:gridCol w:w="9017"/>
      </w:tblGrid>
      <w:tr w:rsidR="00FF7EEA" w:rsidRPr="00232355" w14:paraId="630A27F4"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2CB56B9A" w14:textId="77777777" w:rsidR="008D7331" w:rsidRPr="00232355" w:rsidRDefault="008D7331" w:rsidP="00DF2C5C">
            <w:pPr>
              <w:ind w:left="-57"/>
              <w:textAlignment w:val="baseline"/>
              <w:rPr>
                <w:rFonts w:ascii="Arial Narrow" w:hAnsi="Arial Narrow" w:cs="Open Sans"/>
                <w:sz w:val="20"/>
                <w:szCs w:val="20"/>
                <w:bdr w:val="none" w:sz="0" w:space="0" w:color="auto" w:frame="1"/>
              </w:rPr>
            </w:pPr>
            <w:r w:rsidRPr="00232355">
              <w:rPr>
                <w:rFonts w:ascii="Arial Narrow" w:hAnsi="Arial Narrow" w:cs="Open Sans"/>
                <w:b/>
                <w:bCs/>
                <w:sz w:val="20"/>
                <w:szCs w:val="20"/>
                <w:bdr w:val="none" w:sz="0" w:space="0" w:color="auto" w:frame="1"/>
              </w:rPr>
              <w:t>Severity:</w:t>
            </w:r>
            <w:r w:rsidRPr="00232355">
              <w:rPr>
                <w:rFonts w:ascii="Arial Narrow" w:hAnsi="Arial Narrow" w:cs="Open Sans"/>
                <w:sz w:val="20"/>
                <w:szCs w:val="20"/>
                <w:bdr w:val="none" w:sz="0" w:space="0" w:color="auto" w:frame="1"/>
              </w:rPr>
              <w:t xml:space="preserve"> Locally advanced, metastatic or recurrent</w:t>
            </w:r>
          </w:p>
        </w:tc>
      </w:tr>
      <w:tr w:rsidR="00FF7EEA" w:rsidRPr="00232355" w14:paraId="30F36EEB"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27A8BCCD" w14:textId="77777777" w:rsidR="008D7331" w:rsidRPr="00232355" w:rsidRDefault="008D7331" w:rsidP="00DF2C5C">
            <w:pPr>
              <w:ind w:left="-57"/>
              <w:textAlignment w:val="baseline"/>
              <w:rPr>
                <w:rFonts w:ascii="Arial Narrow" w:hAnsi="Arial Narrow" w:cs="Open Sans"/>
                <w:sz w:val="20"/>
                <w:szCs w:val="20"/>
                <w:bdr w:val="none" w:sz="0" w:space="0" w:color="auto" w:frame="1"/>
              </w:rPr>
            </w:pPr>
            <w:r w:rsidRPr="00232355">
              <w:rPr>
                <w:rFonts w:ascii="Arial Narrow" w:hAnsi="Arial Narrow" w:cs="Open Sans"/>
                <w:b/>
                <w:bCs/>
                <w:sz w:val="20"/>
                <w:szCs w:val="20"/>
                <w:bdr w:val="none" w:sz="0" w:space="0" w:color="auto" w:frame="1"/>
              </w:rPr>
              <w:t xml:space="preserve">Condition: </w:t>
            </w:r>
            <w:r w:rsidRPr="00232355">
              <w:rPr>
                <w:rFonts w:ascii="Arial Narrow" w:hAnsi="Arial Narrow" w:cs="Open Sans"/>
                <w:sz w:val="20"/>
                <w:szCs w:val="20"/>
                <w:bdr w:val="none" w:sz="0" w:space="0" w:color="auto" w:frame="1"/>
              </w:rPr>
              <w:t>Biliary tract cancer</w:t>
            </w:r>
          </w:p>
        </w:tc>
      </w:tr>
      <w:tr w:rsidR="00FF7EEA" w:rsidRPr="00232355" w14:paraId="57F26E15"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6B95B818" w14:textId="77777777" w:rsidR="008D7331" w:rsidRPr="00232355" w:rsidRDefault="008D7331" w:rsidP="00DF2C5C">
            <w:pPr>
              <w:ind w:left="-57"/>
              <w:textAlignment w:val="baseline"/>
              <w:rPr>
                <w:rFonts w:ascii="Arial Narrow" w:hAnsi="Arial Narrow" w:cs="Open Sans"/>
                <w:color w:val="333333"/>
                <w:sz w:val="20"/>
                <w:szCs w:val="20"/>
              </w:rPr>
            </w:pPr>
            <w:r w:rsidRPr="00232355">
              <w:rPr>
                <w:rFonts w:ascii="Arial Narrow" w:hAnsi="Arial Narrow" w:cs="Open Sans"/>
                <w:b/>
                <w:bCs/>
                <w:color w:val="333333"/>
                <w:sz w:val="20"/>
                <w:szCs w:val="20"/>
                <w:bdr w:val="none" w:sz="0" w:space="0" w:color="auto" w:frame="1"/>
              </w:rPr>
              <w:t xml:space="preserve">Indication: </w:t>
            </w:r>
            <w:r w:rsidRPr="00232355">
              <w:rPr>
                <w:rFonts w:ascii="Arial Narrow" w:hAnsi="Arial Narrow" w:cs="Open Sans"/>
                <w:sz w:val="20"/>
                <w:szCs w:val="20"/>
                <w:bdr w:val="none" w:sz="0" w:space="0" w:color="auto" w:frame="1"/>
              </w:rPr>
              <w:t>Locally advanced, metastatic or recurrent Biliary tract cancer</w:t>
            </w:r>
          </w:p>
        </w:tc>
      </w:tr>
      <w:tr w:rsidR="00FF7EEA" w:rsidRPr="00232355" w14:paraId="695F9963" w14:textId="77777777" w:rsidTr="00DF2C5C">
        <w:tc>
          <w:tcPr>
            <w:tcW w:w="5000" w:type="pct"/>
            <w:tcBorders>
              <w:top w:val="single" w:sz="4" w:space="0" w:color="auto"/>
              <w:left w:val="single" w:sz="4" w:space="0" w:color="auto"/>
              <w:bottom w:val="single" w:sz="4" w:space="0" w:color="auto"/>
              <w:right w:val="single" w:sz="4" w:space="0" w:color="auto"/>
            </w:tcBorders>
          </w:tcPr>
          <w:p w14:paraId="2EEAEDF8" w14:textId="77777777" w:rsidR="008D7331" w:rsidRPr="00232355" w:rsidRDefault="008D7331" w:rsidP="00DF2C5C">
            <w:pPr>
              <w:ind w:left="-57"/>
              <w:textAlignment w:val="baseline"/>
              <w:rPr>
                <w:rFonts w:ascii="Arial Narrow" w:hAnsi="Arial Narrow" w:cs="Open Sans"/>
                <w:b/>
                <w:bCs/>
                <w:color w:val="333333"/>
                <w:sz w:val="20"/>
                <w:szCs w:val="20"/>
                <w:bdr w:val="none" w:sz="0" w:space="0" w:color="auto" w:frame="1"/>
              </w:rPr>
            </w:pPr>
          </w:p>
        </w:tc>
      </w:tr>
      <w:tr w:rsidR="00FF7EEA" w:rsidRPr="00232355" w14:paraId="0885D582"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7EA32363" w14:textId="77777777" w:rsidR="008D7331" w:rsidRPr="00232355" w:rsidRDefault="008D7331" w:rsidP="00DF2C5C">
            <w:pPr>
              <w:ind w:left="-57"/>
              <w:textAlignment w:val="baseline"/>
              <w:rPr>
                <w:rFonts w:ascii="Arial Narrow" w:hAnsi="Arial Narrow" w:cs="Open Sans"/>
                <w:sz w:val="20"/>
                <w:szCs w:val="20"/>
              </w:rPr>
            </w:pPr>
            <w:r w:rsidRPr="00232355">
              <w:rPr>
                <w:rFonts w:ascii="Arial Narrow" w:hAnsi="Arial Narrow" w:cs="Open Sans"/>
                <w:b/>
                <w:bCs/>
                <w:sz w:val="20"/>
                <w:szCs w:val="20"/>
                <w:bdr w:val="none" w:sz="0" w:space="0" w:color="auto" w:frame="1"/>
              </w:rPr>
              <w:t xml:space="preserve">Treatment Phase: </w:t>
            </w:r>
            <w:r w:rsidRPr="00232355">
              <w:rPr>
                <w:rFonts w:ascii="Arial Narrow" w:hAnsi="Arial Narrow" w:cs="Open Sans"/>
                <w:sz w:val="20"/>
                <w:szCs w:val="20"/>
                <w:bdr w:val="none" w:sz="0" w:space="0" w:color="auto" w:frame="1"/>
              </w:rPr>
              <w:t xml:space="preserve">Continuing treatment </w:t>
            </w:r>
          </w:p>
        </w:tc>
      </w:tr>
      <w:tr w:rsidR="00FF7EEA" w:rsidRPr="00232355" w14:paraId="2A09DB25" w14:textId="77777777" w:rsidTr="00DF2C5C">
        <w:tc>
          <w:tcPr>
            <w:tcW w:w="5000" w:type="pct"/>
            <w:tcBorders>
              <w:top w:val="single" w:sz="4" w:space="0" w:color="auto"/>
              <w:left w:val="single" w:sz="4" w:space="0" w:color="auto"/>
              <w:bottom w:val="single" w:sz="4" w:space="0" w:color="auto"/>
              <w:right w:val="single" w:sz="4" w:space="0" w:color="auto"/>
            </w:tcBorders>
          </w:tcPr>
          <w:p w14:paraId="11716157" w14:textId="77777777" w:rsidR="008D7331" w:rsidRPr="00232355" w:rsidRDefault="008D7331" w:rsidP="00DF2C5C">
            <w:pPr>
              <w:ind w:left="-57"/>
              <w:textAlignment w:val="baseline"/>
              <w:rPr>
                <w:rFonts w:ascii="Arial Narrow" w:hAnsi="Arial Narrow" w:cs="Open Sans"/>
                <w:b/>
                <w:bCs/>
                <w:sz w:val="20"/>
                <w:szCs w:val="20"/>
                <w:bdr w:val="none" w:sz="0" w:space="0" w:color="auto" w:frame="1"/>
              </w:rPr>
            </w:pPr>
          </w:p>
        </w:tc>
      </w:tr>
      <w:tr w:rsidR="00FF7EEA" w:rsidRPr="00232355" w14:paraId="591940DD"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0C1F5D89" w14:textId="77777777" w:rsidR="008D7331" w:rsidRPr="00232355" w:rsidRDefault="008D7331" w:rsidP="00DF2C5C">
            <w:pPr>
              <w:ind w:left="-57"/>
              <w:textAlignment w:val="baseline"/>
              <w:rPr>
                <w:rFonts w:ascii="Arial Narrow" w:hAnsi="Arial Narrow" w:cs="Open Sans"/>
                <w:color w:val="333333"/>
                <w:sz w:val="20"/>
                <w:szCs w:val="20"/>
              </w:rPr>
            </w:pPr>
            <w:r w:rsidRPr="00232355">
              <w:rPr>
                <w:rFonts w:ascii="Arial Narrow" w:hAnsi="Arial Narrow" w:cs="Open Sans"/>
                <w:b/>
                <w:bCs/>
                <w:color w:val="333333"/>
                <w:sz w:val="20"/>
                <w:szCs w:val="20"/>
                <w:bdr w:val="none" w:sz="0" w:space="0" w:color="auto" w:frame="1"/>
              </w:rPr>
              <w:t>Clinical criteria:</w:t>
            </w:r>
          </w:p>
        </w:tc>
      </w:tr>
      <w:tr w:rsidR="00FF7EEA" w:rsidRPr="00232355" w14:paraId="25C7BF63" w14:textId="77777777" w:rsidTr="00DF2C5C">
        <w:tc>
          <w:tcPr>
            <w:tcW w:w="5000" w:type="pct"/>
            <w:tcBorders>
              <w:top w:val="single" w:sz="4" w:space="0" w:color="auto"/>
              <w:left w:val="single" w:sz="4" w:space="0" w:color="auto"/>
              <w:bottom w:val="single" w:sz="4" w:space="0" w:color="auto"/>
              <w:right w:val="single" w:sz="4" w:space="0" w:color="auto"/>
            </w:tcBorders>
            <w:hideMark/>
          </w:tcPr>
          <w:p w14:paraId="756D0876" w14:textId="77777777" w:rsidR="008D7331" w:rsidRPr="00232355" w:rsidRDefault="008D7331" w:rsidP="00DF2C5C">
            <w:pPr>
              <w:ind w:left="-57"/>
              <w:rPr>
                <w:rFonts w:ascii="Arial Narrow" w:hAnsi="Arial Narrow" w:cs="Open Sans"/>
                <w:color w:val="333333"/>
                <w:sz w:val="20"/>
                <w:szCs w:val="20"/>
              </w:rPr>
            </w:pPr>
            <w:r w:rsidRPr="00232355">
              <w:rPr>
                <w:rFonts w:ascii="Arial Narrow" w:hAnsi="Arial Narrow" w:cs="Open Sans"/>
                <w:color w:val="333333"/>
                <w:sz w:val="20"/>
                <w:szCs w:val="20"/>
              </w:rPr>
              <w:t xml:space="preserve">Patient must have previously received PBS-subsidised treatment with this drug for this condition </w:t>
            </w:r>
          </w:p>
        </w:tc>
      </w:tr>
      <w:tr w:rsidR="00FF7EEA" w:rsidRPr="00232355" w14:paraId="2F68E469" w14:textId="77777777" w:rsidTr="00DF2C5C">
        <w:tc>
          <w:tcPr>
            <w:tcW w:w="5000" w:type="pct"/>
            <w:tcBorders>
              <w:top w:val="single" w:sz="4" w:space="0" w:color="auto"/>
              <w:left w:val="single" w:sz="4" w:space="0" w:color="auto"/>
              <w:bottom w:val="single" w:sz="4" w:space="0" w:color="auto"/>
              <w:right w:val="single" w:sz="4" w:space="0" w:color="auto"/>
            </w:tcBorders>
          </w:tcPr>
          <w:p w14:paraId="288DAF15" w14:textId="77777777" w:rsidR="008D7331" w:rsidRPr="00232355" w:rsidRDefault="008D7331" w:rsidP="00DF2C5C">
            <w:pPr>
              <w:ind w:left="-57"/>
              <w:rPr>
                <w:rFonts w:ascii="Arial Narrow" w:hAnsi="Arial Narrow" w:cs="Open Sans"/>
                <w:b/>
                <w:bCs/>
                <w:color w:val="333333"/>
                <w:sz w:val="20"/>
                <w:szCs w:val="20"/>
              </w:rPr>
            </w:pPr>
            <w:r w:rsidRPr="00232355">
              <w:rPr>
                <w:rFonts w:ascii="Arial Narrow" w:hAnsi="Arial Narrow" w:cs="Open Sans"/>
                <w:b/>
                <w:bCs/>
                <w:color w:val="333333"/>
                <w:sz w:val="20"/>
                <w:szCs w:val="20"/>
              </w:rPr>
              <w:t>AND</w:t>
            </w:r>
          </w:p>
        </w:tc>
      </w:tr>
      <w:tr w:rsidR="00FF7EEA" w:rsidRPr="00232355" w14:paraId="7736C7AA" w14:textId="77777777" w:rsidTr="00DF2C5C">
        <w:tc>
          <w:tcPr>
            <w:tcW w:w="5000" w:type="pct"/>
            <w:tcBorders>
              <w:top w:val="single" w:sz="4" w:space="0" w:color="auto"/>
              <w:left w:val="single" w:sz="4" w:space="0" w:color="auto"/>
              <w:bottom w:val="single" w:sz="4" w:space="0" w:color="auto"/>
              <w:right w:val="single" w:sz="4" w:space="0" w:color="auto"/>
            </w:tcBorders>
          </w:tcPr>
          <w:p w14:paraId="522E57C8" w14:textId="77777777" w:rsidR="008D7331" w:rsidRPr="00232355" w:rsidRDefault="008D7331" w:rsidP="00DF2C5C">
            <w:pPr>
              <w:ind w:left="-57"/>
              <w:rPr>
                <w:rFonts w:ascii="Arial Narrow" w:hAnsi="Arial Narrow" w:cs="Open Sans"/>
                <w:color w:val="333333"/>
                <w:sz w:val="20"/>
                <w:szCs w:val="20"/>
              </w:rPr>
            </w:pPr>
            <w:r w:rsidRPr="00232355">
              <w:rPr>
                <w:rFonts w:ascii="Arial Narrow" w:hAnsi="Arial Narrow" w:cs="Open Sans"/>
                <w:color w:val="333333"/>
                <w:sz w:val="20"/>
                <w:szCs w:val="20"/>
              </w:rPr>
              <w:t>Patient must not have developed disease progression while being treated with his drug for this condition</w:t>
            </w:r>
          </w:p>
        </w:tc>
      </w:tr>
      <w:tr w:rsidR="00FF7EEA" w:rsidRPr="00232355" w14:paraId="32FA9883" w14:textId="77777777" w:rsidTr="00DF2C5C">
        <w:tc>
          <w:tcPr>
            <w:tcW w:w="5000" w:type="pct"/>
            <w:tcBorders>
              <w:top w:val="single" w:sz="4" w:space="0" w:color="auto"/>
              <w:left w:val="single" w:sz="4" w:space="0" w:color="auto"/>
              <w:bottom w:val="single" w:sz="4" w:space="0" w:color="auto"/>
              <w:right w:val="single" w:sz="4" w:space="0" w:color="auto"/>
            </w:tcBorders>
          </w:tcPr>
          <w:p w14:paraId="7CDE9721" w14:textId="77777777" w:rsidR="008D7331" w:rsidRPr="00232355" w:rsidRDefault="008D7331" w:rsidP="00DF2C5C">
            <w:pPr>
              <w:ind w:left="-57"/>
              <w:rPr>
                <w:rFonts w:ascii="Arial Narrow" w:hAnsi="Arial Narrow" w:cs="Open Sans"/>
                <w:b/>
                <w:bCs/>
                <w:color w:val="333333"/>
                <w:sz w:val="20"/>
                <w:szCs w:val="20"/>
              </w:rPr>
            </w:pPr>
            <w:r w:rsidRPr="00232355">
              <w:rPr>
                <w:rFonts w:ascii="Arial Narrow" w:hAnsi="Arial Narrow" w:cs="Open Sans"/>
                <w:b/>
                <w:bCs/>
                <w:color w:val="333333"/>
                <w:sz w:val="20"/>
                <w:szCs w:val="20"/>
              </w:rPr>
              <w:t>AND</w:t>
            </w:r>
          </w:p>
        </w:tc>
      </w:tr>
      <w:tr w:rsidR="00FF7EEA" w:rsidRPr="00232355" w14:paraId="35795EEC" w14:textId="77777777" w:rsidTr="00DF2C5C">
        <w:tc>
          <w:tcPr>
            <w:tcW w:w="5000" w:type="pct"/>
            <w:tcBorders>
              <w:top w:val="single" w:sz="4" w:space="0" w:color="auto"/>
              <w:left w:val="single" w:sz="4" w:space="0" w:color="auto"/>
              <w:bottom w:val="single" w:sz="4" w:space="0" w:color="auto"/>
              <w:right w:val="single" w:sz="4" w:space="0" w:color="auto"/>
            </w:tcBorders>
          </w:tcPr>
          <w:p w14:paraId="23C4A28D" w14:textId="77777777" w:rsidR="008D7331" w:rsidRPr="00232355" w:rsidRDefault="008D7331" w:rsidP="00DF2C5C">
            <w:pPr>
              <w:ind w:left="-57"/>
              <w:rPr>
                <w:rFonts w:ascii="Arial Narrow" w:hAnsi="Arial Narrow" w:cs="Open Sans"/>
                <w:color w:val="333333"/>
                <w:sz w:val="20"/>
                <w:szCs w:val="20"/>
              </w:rPr>
            </w:pPr>
            <w:r w:rsidRPr="00232355">
              <w:rPr>
                <w:rFonts w:ascii="Arial Narrow" w:hAnsi="Arial Narrow" w:cs="Open Sans"/>
                <w:color w:val="333333"/>
                <w:sz w:val="20"/>
                <w:szCs w:val="20"/>
              </w:rPr>
              <w:t>The treatment must be the sole PBS-subsidised systemic anti-cancer therapy for this condition</w:t>
            </w:r>
          </w:p>
        </w:tc>
      </w:tr>
    </w:tbl>
    <w:p w14:paraId="1BE8E984" w14:textId="77777777" w:rsidR="008D7331" w:rsidRDefault="008D7331" w:rsidP="00125404">
      <w:pPr>
        <w:pStyle w:val="3-BodyText"/>
        <w:numPr>
          <w:ilvl w:val="0"/>
          <w:numId w:val="0"/>
        </w:numPr>
        <w:spacing w:after="0"/>
        <w:ind w:left="720" w:hanging="720"/>
      </w:pPr>
    </w:p>
    <w:p w14:paraId="71F8AC8A" w14:textId="551DAA6B" w:rsidR="00BA4874" w:rsidRPr="00A95754" w:rsidRDefault="00BA4874" w:rsidP="00BA4874">
      <w:pPr>
        <w:pStyle w:val="3-BodyText"/>
      </w:pPr>
      <w:r w:rsidRPr="00A95754">
        <w:t>Durvalumab will be supplied as 3 x 500 mg vials to achieve a dose of 1,500</w:t>
      </w:r>
      <w:r w:rsidR="007F02EB">
        <w:t> </w:t>
      </w:r>
      <w:r w:rsidRPr="00A95754">
        <w:t>mg per administration. The listing proposed 1 prescription + 7 repeats for initial treatment, which covers the span of 8 cycles (</w:t>
      </w:r>
      <w:r w:rsidR="006C4412" w:rsidRPr="00A95754">
        <w:t>24 weeks</w:t>
      </w:r>
      <w:r w:rsidRPr="00A95754">
        <w:t xml:space="preserve">), and 1 prescription + 5 repeats for continuing treatment, which covers an additional </w:t>
      </w:r>
      <w:r w:rsidR="006C4412" w:rsidRPr="00A95754">
        <w:t>24 weeks</w:t>
      </w:r>
      <w:r w:rsidRPr="00A95754">
        <w:t xml:space="preserve"> of monotherapy. </w:t>
      </w:r>
    </w:p>
    <w:p w14:paraId="6C0018BA" w14:textId="2BFE0604" w:rsidR="00BA4874" w:rsidRPr="00C44D12" w:rsidRDefault="00BA4874" w:rsidP="005737D4">
      <w:pPr>
        <w:pStyle w:val="3-BodyText"/>
      </w:pPr>
      <w:r w:rsidRPr="00A95754">
        <w:t>Durvalumab may also be supplied in 120 mg vials for patients who weigh ≤</w:t>
      </w:r>
      <w:r w:rsidR="007F02EB" w:rsidRPr="00A95754">
        <w:t>30</w:t>
      </w:r>
      <w:r w:rsidR="007F02EB">
        <w:t> </w:t>
      </w:r>
      <w:r w:rsidRPr="00A95754">
        <w:t>kg</w:t>
      </w:r>
      <w:r w:rsidR="004220BB">
        <w:t xml:space="preserve"> </w:t>
      </w:r>
      <w:r w:rsidRPr="00A95754">
        <w:t>, in whom the protocol for TOPAZ-1</w:t>
      </w:r>
      <w:r w:rsidR="004220BB">
        <w:t xml:space="preserve"> </w:t>
      </w:r>
      <w:r w:rsidRPr="00A95754">
        <w:t>required an adjusted durvalumab dose of 20</w:t>
      </w:r>
      <w:r w:rsidR="007F02EB">
        <w:t> </w:t>
      </w:r>
      <w:r w:rsidRPr="00A95754">
        <w:t xml:space="preserve">mg/kg </w:t>
      </w:r>
      <w:r w:rsidRPr="00A95754">
        <w:lastRenderedPageBreak/>
        <w:t xml:space="preserve">every 3 weeks for combination with chemotherapy, and </w:t>
      </w:r>
      <w:r w:rsidR="007F02EB" w:rsidRPr="00A95754">
        <w:t>20</w:t>
      </w:r>
      <w:r w:rsidR="007F02EB">
        <w:t> </w:t>
      </w:r>
      <w:r w:rsidRPr="00A95754">
        <w:t>mg/kg every 4 weeks for monotherapy.</w:t>
      </w:r>
      <w:r w:rsidRPr="00A95754">
        <w:rPr>
          <w:i/>
          <w:iCs/>
        </w:rPr>
        <w:t xml:space="preserve"> </w:t>
      </w:r>
    </w:p>
    <w:p w14:paraId="5AC18C62" w14:textId="77777777" w:rsidR="00BA4874" w:rsidRPr="00C44D12" w:rsidRDefault="00BA4874" w:rsidP="00BA4874">
      <w:pPr>
        <w:pStyle w:val="3-BodyText"/>
        <w:rPr>
          <w:snapToGrid/>
          <w:lang w:val="en-US"/>
        </w:rPr>
      </w:pPr>
      <w:bookmarkStart w:id="8" w:name="_Ref124169084"/>
      <w:r w:rsidRPr="00C44D12">
        <w:t>The proposed restriction is largely consistent with the population and eligibility criteria of TOPAZ-1, however the following differences were identified:</w:t>
      </w:r>
      <w:bookmarkEnd w:id="8"/>
    </w:p>
    <w:p w14:paraId="4E336C55" w14:textId="465DA8EE" w:rsidR="00BA4874" w:rsidRPr="00C44D12" w:rsidRDefault="00BA4874" w:rsidP="007F02EB">
      <w:pPr>
        <w:pStyle w:val="3-BodyText"/>
        <w:numPr>
          <w:ilvl w:val="0"/>
          <w:numId w:val="11"/>
        </w:numPr>
        <w:ind w:left="1134"/>
        <w:rPr>
          <w:iCs/>
        </w:rPr>
      </w:pPr>
      <w:r w:rsidRPr="00C44D12">
        <w:rPr>
          <w:iCs/>
        </w:rPr>
        <w:t xml:space="preserve">The proposed restriction does not specify patients must have unresectable locally advanced disease, which could result in use of durvalumab + GemCis outside the proposed PBS listing, in the (neo)adjuvant setting. </w:t>
      </w:r>
      <w:r w:rsidR="00BB395F" w:rsidRPr="00CF035F">
        <w:rPr>
          <w:iCs/>
        </w:rPr>
        <w:t xml:space="preserve">The ESC considered the risk of use in the (neo)adjuvant treatment setting was low and it was unnecessary to </w:t>
      </w:r>
      <w:r w:rsidR="00930345" w:rsidRPr="00CF035F">
        <w:rPr>
          <w:iCs/>
        </w:rPr>
        <w:t xml:space="preserve">refer to </w:t>
      </w:r>
      <w:r w:rsidR="00BB395F" w:rsidRPr="00CF035F">
        <w:rPr>
          <w:iCs/>
        </w:rPr>
        <w:t>‘unresectable</w:t>
      </w:r>
      <w:r w:rsidR="00930345" w:rsidRPr="00CF035F">
        <w:rPr>
          <w:iCs/>
        </w:rPr>
        <w:t xml:space="preserve"> locally advanced</w:t>
      </w:r>
      <w:r w:rsidR="00BB395F" w:rsidRPr="00CF035F">
        <w:rPr>
          <w:iCs/>
        </w:rPr>
        <w:t xml:space="preserve">’ </w:t>
      </w:r>
      <w:r w:rsidR="00930345" w:rsidRPr="00CF035F">
        <w:rPr>
          <w:iCs/>
        </w:rPr>
        <w:t xml:space="preserve">disease </w:t>
      </w:r>
      <w:r w:rsidR="00BB395F" w:rsidRPr="00CF035F">
        <w:rPr>
          <w:iCs/>
        </w:rPr>
        <w:t>in the restriction.</w:t>
      </w:r>
      <w:r w:rsidR="00BB395F">
        <w:rPr>
          <w:iCs/>
        </w:rPr>
        <w:t xml:space="preserve"> </w:t>
      </w:r>
    </w:p>
    <w:p w14:paraId="25CFE5D4" w14:textId="7FC5AF42" w:rsidR="00BA4874" w:rsidRPr="00A95754" w:rsidRDefault="00BA4874" w:rsidP="007F02EB">
      <w:pPr>
        <w:pStyle w:val="3-BodyText"/>
        <w:numPr>
          <w:ilvl w:val="0"/>
          <w:numId w:val="11"/>
        </w:numPr>
        <w:ind w:left="1134"/>
      </w:pPr>
      <w:r w:rsidRPr="00C44D12">
        <w:rPr>
          <w:iCs/>
        </w:rPr>
        <w:t xml:space="preserve">In TOPAZ-1, following the initial 8 cycles of durvalumab + GemCis, patients continued durvalumab monotherapy beyond disease progression if they were deemed to be receiving a clinical benefit. The proposed restriction states that patients are not eligible for continuing therapy in the presence of progressive disease. </w:t>
      </w:r>
      <w:r w:rsidR="00971E6D" w:rsidRPr="00C44D12">
        <w:rPr>
          <w:iCs/>
        </w:rPr>
        <w:t>The restriction is in line with the draft TGA product information which state</w:t>
      </w:r>
      <w:r w:rsidR="009E4FA1" w:rsidRPr="00C44D12">
        <w:rPr>
          <w:iCs/>
        </w:rPr>
        <w:t>d</w:t>
      </w:r>
      <w:r w:rsidR="00971E6D" w:rsidRPr="00C44D12">
        <w:rPr>
          <w:iCs/>
        </w:rPr>
        <w:t xml:space="preserve"> that duration of therapy should be limited to disease progression or unacceptable toxicity. </w:t>
      </w:r>
      <w:r w:rsidR="00BB395F" w:rsidRPr="008A5DEA">
        <w:t xml:space="preserve">The ESC considered the use of durvalumab beyond progression was likely to be limited as there are second line chemotherapy options available. </w:t>
      </w:r>
      <w:r w:rsidR="00F11AB4" w:rsidRPr="008A5DEA">
        <w:t>Th</w:t>
      </w:r>
      <w:r w:rsidR="007502DD" w:rsidRPr="008A5DEA">
        <w:t>e ESC noted limiting the use of durvalumab to patients not hav</w:t>
      </w:r>
      <w:r w:rsidR="00127364" w:rsidRPr="008A5DEA">
        <w:t>ing</w:t>
      </w:r>
      <w:r w:rsidR="007502DD" w:rsidRPr="008A5DEA">
        <w:t xml:space="preserve"> developed disease progression was consistent with other immunotherapy listi</w:t>
      </w:r>
      <w:r w:rsidR="007502DD" w:rsidRPr="00DF0F8B">
        <w:t>ngs.</w:t>
      </w:r>
      <w:r w:rsidR="007502DD">
        <w:rPr>
          <w:i/>
          <w:iCs/>
        </w:rPr>
        <w:t xml:space="preserve"> </w:t>
      </w:r>
    </w:p>
    <w:p w14:paraId="65C55771" w14:textId="19BC706F" w:rsidR="007502DD" w:rsidRPr="00930345" w:rsidRDefault="007502DD" w:rsidP="00BA4874">
      <w:pPr>
        <w:pStyle w:val="3-BodyText"/>
        <w:rPr>
          <w:i/>
          <w:iCs/>
        </w:rPr>
      </w:pPr>
      <w:r w:rsidRPr="00CF035F">
        <w:t xml:space="preserve">The ESC </w:t>
      </w:r>
      <w:r w:rsidR="00930345" w:rsidRPr="00CF035F">
        <w:t>considered the clinical criteria ‘Patient must have locally advanced or metastatic disease that is untreated with systemic therapy’ could be amended to ‘Patient must have locally advanced or metastatic disease that is untreated with systemic therapy in the unresectable</w:t>
      </w:r>
      <w:r w:rsidR="009648FE" w:rsidRPr="00CF035F">
        <w:t xml:space="preserve">/ metastatic </w:t>
      </w:r>
      <w:r w:rsidR="00930345" w:rsidRPr="00CF035F">
        <w:t>setting’. The ESC noted that with this</w:t>
      </w:r>
      <w:r w:rsidR="00930345">
        <w:rPr>
          <w:i/>
          <w:iCs/>
        </w:rPr>
        <w:t xml:space="preserve"> </w:t>
      </w:r>
      <w:r w:rsidR="00930345" w:rsidRPr="00CF035F">
        <w:t>amendment, the clinical criteria ‘Patient must have recurrent disease after curative surgery or after adjuvant therapy’ is not necessary and could be removed.</w:t>
      </w:r>
    </w:p>
    <w:p w14:paraId="33B0AD8A" w14:textId="43F40D28" w:rsidR="00BA4874" w:rsidRPr="00C44D12" w:rsidRDefault="00BA4874" w:rsidP="00BA4874">
      <w:pPr>
        <w:pStyle w:val="3-BodyText"/>
      </w:pPr>
      <w:bookmarkStart w:id="9" w:name="_Ref132206716"/>
      <w:r w:rsidRPr="00A95754">
        <w:t xml:space="preserve">The submission requested an effective price </w:t>
      </w:r>
      <w:r w:rsidR="004B4AA2" w:rsidRPr="00A95754">
        <w:t>(EMP of $</w:t>
      </w:r>
      <w:r w:rsidR="003C043D" w:rsidRPr="003C043D">
        <w:rPr>
          <w:color w:val="000000"/>
          <w:w w:val="63"/>
          <w:shd w:val="solid" w:color="000000" w:fill="000000"/>
          <w:fitText w:val="629" w:id="-1233371134"/>
          <w14:textFill>
            <w14:solidFill>
              <w14:srgbClr w14:val="000000">
                <w14:alpha w14:val="100000"/>
              </w14:srgbClr>
            </w14:solidFill>
          </w14:textFill>
        </w:rPr>
        <w:t>||||  |||</w:t>
      </w:r>
      <w:r w:rsidR="003C043D" w:rsidRPr="003C043D">
        <w:rPr>
          <w:color w:val="000000"/>
          <w:spacing w:val="3"/>
          <w:w w:val="63"/>
          <w:shd w:val="solid" w:color="000000" w:fill="000000"/>
          <w:fitText w:val="629" w:id="-1233371134"/>
          <w14:textFill>
            <w14:solidFill>
              <w14:srgbClr w14:val="000000">
                <w14:alpha w14:val="100000"/>
              </w14:srgbClr>
            </w14:solidFill>
          </w14:textFill>
        </w:rPr>
        <w:t>|</w:t>
      </w:r>
      <w:r w:rsidR="004B4AA2" w:rsidRPr="00A95754">
        <w:t xml:space="preserve"> per 500 mg in </w:t>
      </w:r>
      <w:r w:rsidR="007F02EB" w:rsidRPr="00A95754">
        <w:t>10</w:t>
      </w:r>
      <w:r w:rsidR="007F02EB">
        <w:t> </w:t>
      </w:r>
      <w:r w:rsidR="007F02EB" w:rsidRPr="00A95754">
        <w:t>m</w:t>
      </w:r>
      <w:r w:rsidR="007F02EB">
        <w:t>L</w:t>
      </w:r>
      <w:r w:rsidR="007F02EB" w:rsidRPr="00A95754">
        <w:t xml:space="preserve"> </w:t>
      </w:r>
      <w:r w:rsidR="004B4AA2" w:rsidRPr="00A95754">
        <w:t xml:space="preserve">vial) </w:t>
      </w:r>
      <w:r w:rsidR="00521AAC" w:rsidRPr="00A95754">
        <w:t xml:space="preserve">via </w:t>
      </w:r>
      <w:r w:rsidRPr="00A95754">
        <w:t xml:space="preserve">a special pricing arrangement (SPA). </w:t>
      </w:r>
      <w:r w:rsidR="00377C1F">
        <w:t xml:space="preserve">The pre-PBAC response reduced the EMP to </w:t>
      </w:r>
      <w:r w:rsidR="00377C1F" w:rsidRPr="007F02EB">
        <w:t>$</w:t>
      </w:r>
      <w:r w:rsidR="003C043D" w:rsidRPr="000178EC">
        <w:rPr>
          <w:color w:val="000000"/>
          <w:w w:val="15"/>
          <w:shd w:val="solid" w:color="000000" w:fill="000000"/>
          <w:fitText w:val="-20" w:id="-1233371133"/>
          <w14:textFill>
            <w14:solidFill>
              <w14:srgbClr w14:val="000000">
                <w14:alpha w14:val="100000"/>
              </w14:srgbClr>
            </w14:solidFill>
          </w14:textFill>
        </w:rPr>
        <w:t xml:space="preserve">|  </w:t>
      </w:r>
      <w:r w:rsidR="003C043D" w:rsidRPr="000178EC">
        <w:rPr>
          <w:color w:val="000000"/>
          <w:spacing w:val="-69"/>
          <w:w w:val="15"/>
          <w:shd w:val="solid" w:color="000000" w:fill="000000"/>
          <w:fitText w:val="-20" w:id="-1233371133"/>
          <w14:textFill>
            <w14:solidFill>
              <w14:srgbClr w14:val="000000">
                <w14:alpha w14:val="100000"/>
              </w14:srgbClr>
            </w14:solidFill>
          </w14:textFill>
        </w:rPr>
        <w:t>|</w:t>
      </w:r>
      <w:r w:rsidR="00377C1F">
        <w:t xml:space="preserve"> per 500 mg in 10 </w:t>
      </w:r>
      <w:r w:rsidR="007F02EB">
        <w:t xml:space="preserve">mL </w:t>
      </w:r>
      <w:r w:rsidR="00377C1F">
        <w:t>vial.</w:t>
      </w:r>
      <w:bookmarkEnd w:id="9"/>
    </w:p>
    <w:p w14:paraId="1BFE5177" w14:textId="03507E09" w:rsidR="00BA4874" w:rsidRDefault="00BA4874" w:rsidP="00BA4874">
      <w:pPr>
        <w:pStyle w:val="3-BodyText"/>
      </w:pPr>
      <w:r w:rsidRPr="008A5DEA">
        <w:t>The submission requested a grandfathering restriction be applied to durvalumab for advanced BTC but did not provide any details regarding existing or planned grandfathering or early access program for patients, and the financials d</w:t>
      </w:r>
      <w:r w:rsidR="008A5DEA">
        <w:t xml:space="preserve">id </w:t>
      </w:r>
      <w:r w:rsidRPr="008A5DEA">
        <w:t>not consider grandfathering patients.</w:t>
      </w:r>
      <w:r w:rsidR="008A5DEA">
        <w:t xml:space="preserve"> The </w:t>
      </w:r>
      <w:r w:rsidR="00CF55B3">
        <w:t>pre-subcommittee response (PSCR)</w:t>
      </w:r>
      <w:r w:rsidR="008A5DEA">
        <w:t xml:space="preserve"> updated the financials to </w:t>
      </w:r>
      <w:r w:rsidR="00DF0F8B">
        <w:t xml:space="preserve">include </w:t>
      </w:r>
      <w:r w:rsidR="007F02EB" w:rsidRPr="00D6301A">
        <w:t>&lt; 5</w:t>
      </w:r>
      <w:r w:rsidR="00CF55B3" w:rsidRPr="00D6301A">
        <w:t>00</w:t>
      </w:r>
      <w:r w:rsidR="00CF55B3">
        <w:t xml:space="preserve"> </w:t>
      </w:r>
      <w:r w:rsidR="00DF0F8B" w:rsidRPr="00DF0F8B">
        <w:t>grandfathered patients</w:t>
      </w:r>
      <w:r w:rsidR="00CF55B3">
        <w:t>.</w:t>
      </w:r>
      <w:r w:rsidR="00DF0F8B" w:rsidRPr="00DF0F8B">
        <w:t xml:space="preserve"> </w:t>
      </w:r>
    </w:p>
    <w:p w14:paraId="5D469586" w14:textId="79985BBB" w:rsidR="008A5DEA" w:rsidRPr="00A60671" w:rsidRDefault="008A5DEA" w:rsidP="00BA4874">
      <w:pPr>
        <w:pStyle w:val="3-BodyText"/>
      </w:pPr>
      <w:r w:rsidRPr="00A60671">
        <w:t>DUSC noted that patients with ampullary carcinoma were excluded from the pivotal trial (TOPAZ-1). DUSC considered that the restriction should specify the exclusion of this patient population due to the potential uncertainty in its management in practice (treatment with either small bowel, pancreatic or biliary regimens).</w:t>
      </w:r>
    </w:p>
    <w:p w14:paraId="3BBBE1B3" w14:textId="023092A8" w:rsidR="00C25D66" w:rsidRPr="00A60671" w:rsidRDefault="00C25D66" w:rsidP="00C25D66">
      <w:pPr>
        <w:pStyle w:val="3-BodyText"/>
        <w:numPr>
          <w:ilvl w:val="0"/>
          <w:numId w:val="0"/>
        </w:numPr>
        <w:ind w:firstLine="720"/>
        <w:rPr>
          <w:i/>
          <w:iCs/>
        </w:rPr>
      </w:pPr>
      <w:r w:rsidRPr="00A60671">
        <w:rPr>
          <w:i/>
          <w:iCs/>
        </w:rPr>
        <w:t>For more detail on PBAC’s view, see section 7 PBAC outcome.</w:t>
      </w:r>
    </w:p>
    <w:p w14:paraId="0687FCE7" w14:textId="77777777" w:rsidR="00BA4874" w:rsidRPr="00A60671" w:rsidRDefault="00BA4874" w:rsidP="00BA4874">
      <w:pPr>
        <w:pStyle w:val="2-SectionHeading"/>
      </w:pPr>
      <w:bookmarkStart w:id="10" w:name="_Toc124925606"/>
      <w:r w:rsidRPr="00A60671">
        <w:lastRenderedPageBreak/>
        <w:t>Population and disease</w:t>
      </w:r>
      <w:bookmarkEnd w:id="10"/>
    </w:p>
    <w:p w14:paraId="29FDE603" w14:textId="4ED4E02C" w:rsidR="00BA4874" w:rsidRPr="00A60671" w:rsidRDefault="00BA4874" w:rsidP="00BA4874">
      <w:pPr>
        <w:pStyle w:val="3-BodyText"/>
      </w:pPr>
      <w:r w:rsidRPr="00A60671">
        <w:t>The target population was defined as having unresectable locally advanced, recurrent or metastatic BTC. BTCs arise from the biliary tree and gallbladder, comprised of three categories, depending on the location of malignancy:</w:t>
      </w:r>
    </w:p>
    <w:p w14:paraId="0C6DCE7F" w14:textId="7FCBC028" w:rsidR="00BA4874" w:rsidRPr="00C44D12" w:rsidRDefault="004378D0" w:rsidP="007F02EB">
      <w:pPr>
        <w:pStyle w:val="3-BodyText"/>
        <w:numPr>
          <w:ilvl w:val="0"/>
          <w:numId w:val="12"/>
        </w:numPr>
        <w:ind w:left="1134"/>
      </w:pPr>
      <w:r w:rsidRPr="00A95754">
        <w:t>Cholangiocarcinoma</w:t>
      </w:r>
      <w:r w:rsidR="00DC104F" w:rsidRPr="00A95754">
        <w:t xml:space="preserve"> (CCA)</w:t>
      </w:r>
      <w:r w:rsidR="00BA4874" w:rsidRPr="00A95754">
        <w:t xml:space="preserve">: </w:t>
      </w:r>
      <w:r w:rsidR="00BA4874" w:rsidRPr="00C44D12">
        <w:t>arise from the epithelial cells of the intrahepatic or extrahepatic bile ducts (IHCC and EHCC). These account for approximately 3% of all gastrointestinal malignancies, noting that incidence varies with geography. Projections from the Australian Institute of Health and Welfare (AIHW)</w:t>
      </w:r>
      <w:r w:rsidR="00BA4874" w:rsidRPr="00C44D12">
        <w:rPr>
          <w:rStyle w:val="FootnoteReference"/>
        </w:rPr>
        <w:footnoteReference w:id="2"/>
      </w:r>
      <w:r w:rsidR="00BA4874" w:rsidRPr="00C44D12">
        <w:t xml:space="preserve"> show that in 2022 there would be 425 new cases of EHCC (crude rate: 1.6 per 100,000) and 2,905 new cases of liver cancer, of which the submission suggested that approximately 436 (15%) will be IHCC.</w:t>
      </w:r>
    </w:p>
    <w:p w14:paraId="6B978399" w14:textId="77777777" w:rsidR="00BA4874" w:rsidRPr="00C44D12" w:rsidRDefault="00BA4874" w:rsidP="007F02EB">
      <w:pPr>
        <w:pStyle w:val="3-BodyText"/>
        <w:numPr>
          <w:ilvl w:val="0"/>
          <w:numId w:val="12"/>
        </w:numPr>
        <w:ind w:left="1134"/>
      </w:pPr>
      <w:r w:rsidRPr="00C44D12">
        <w:t>Gallbladder cancer (GBC): comprised of almost 90% adenocarcinomas of the gallbladder. The AIHW projected 413 new cases of GBC in 2022 (crude rate: 1.6 per 100,000).</w:t>
      </w:r>
    </w:p>
    <w:p w14:paraId="2EA07DE4" w14:textId="5CEE1326" w:rsidR="00BA4874" w:rsidRPr="00C44D12" w:rsidRDefault="00BA4874" w:rsidP="007F02EB">
      <w:pPr>
        <w:pStyle w:val="3-BodyText"/>
        <w:numPr>
          <w:ilvl w:val="0"/>
          <w:numId w:val="12"/>
        </w:numPr>
        <w:ind w:left="1134"/>
      </w:pPr>
      <w:r w:rsidRPr="00C44D12">
        <w:t xml:space="preserve">Ampullary carcinoma: arises from the ampulla of Vater, has distinct pathophysiology and treatments, and was excluded from the target population. </w:t>
      </w:r>
    </w:p>
    <w:p w14:paraId="5E0A70AA" w14:textId="4D210045" w:rsidR="00BA4874" w:rsidRPr="00A95754" w:rsidRDefault="00BA4874" w:rsidP="00BA4874">
      <w:pPr>
        <w:pStyle w:val="3-BodyText"/>
        <w:rPr>
          <w:i/>
          <w:iCs/>
        </w:rPr>
      </w:pPr>
      <w:r w:rsidRPr="00A95754">
        <w:t xml:space="preserve">BTC is a rare aggressive cancer that is often diagnosed late due to the anatomical location of the tumour and the paucity or non-specificity of symptoms. </w:t>
      </w:r>
      <w:r w:rsidRPr="00C44D12">
        <w:rPr>
          <w:iCs/>
        </w:rPr>
        <w:t>Symptoms generally arise as a result of direct tissue compression (e.g. biliary obstruction) which may lead to jaundice and pruritis, which can mimic or are due to cholelithiasis, leading</w:t>
      </w:r>
      <w:r w:rsidRPr="00A95754">
        <w:rPr>
          <w:i/>
        </w:rPr>
        <w:t xml:space="preserve"> </w:t>
      </w:r>
      <w:r w:rsidRPr="00C44D12">
        <w:rPr>
          <w:iCs/>
        </w:rPr>
        <w:t>to patients generally presenting with advanced disease.</w:t>
      </w:r>
      <w:r w:rsidRPr="00C44D12">
        <w:rPr>
          <w:rStyle w:val="FootnoteReference"/>
          <w:iCs/>
        </w:rPr>
        <w:footnoteReference w:id="3"/>
      </w:r>
      <w:r w:rsidRPr="00C44D12">
        <w:rPr>
          <w:iCs/>
        </w:rPr>
        <w:t xml:space="preserve"> The majority of patients develop resistance to treatment with GemCis after a few months with an OS of less than one year. Curative surgery is an option when diagnosed at an early stage, however disease recurrence rates post-surgery are high (60% to 70%); hence, the majority of patients are ultimately managed with systemic therapy regardless of whether they present with advanced disease or develop recurrence after surgery. </w:t>
      </w:r>
    </w:p>
    <w:p w14:paraId="5191059F" w14:textId="5D954457" w:rsidR="00BA4874" w:rsidRPr="00C44D12" w:rsidRDefault="00BA4874" w:rsidP="00BA4874">
      <w:pPr>
        <w:pStyle w:val="3-BodyText"/>
      </w:pPr>
      <w:r w:rsidRPr="00C44D12">
        <w:t>Patients with BTC have a poor prognosis, which is worse for the target population of unresectable locally advanced, recurrent or metastatic disease. Surveillance, Epidemiology, and End Results (SEER) registry data collected in the U.S. from 2011 to 2017 show that</w:t>
      </w:r>
      <w:r w:rsidR="00D530A5" w:rsidRPr="00C44D12">
        <w:t xml:space="preserve"> the 5-year survival rate </w:t>
      </w:r>
      <w:r w:rsidR="00483B16" w:rsidRPr="00C44D12">
        <w:t xml:space="preserve">of different types of BTC </w:t>
      </w:r>
      <w:r w:rsidR="00D530A5" w:rsidRPr="00C44D12">
        <w:t>ranges between 2% to 16%, varying based on cancer type and stage. F</w:t>
      </w:r>
      <w:r w:rsidRPr="00C44D12">
        <w:t>or metastatic gallbladder cancer, IHCC and EHCC, the 5-year survival rate was 2%</w:t>
      </w:r>
      <w:r w:rsidR="008D5FDE">
        <w:t>.</w:t>
      </w:r>
      <w:r w:rsidRPr="00C44D12">
        <w:rPr>
          <w:rStyle w:val="FootnoteReference"/>
        </w:rPr>
        <w:footnoteReference w:id="4"/>
      </w:r>
      <w:r w:rsidRPr="00C44D12">
        <w:rPr>
          <w:vertAlign w:val="superscript"/>
        </w:rPr>
        <w:t>,</w:t>
      </w:r>
      <w:r w:rsidRPr="00C44D12">
        <w:rPr>
          <w:rStyle w:val="FootnoteReference"/>
        </w:rPr>
        <w:footnoteReference w:id="5"/>
      </w:r>
      <w:r w:rsidRPr="00C44D12">
        <w:t xml:space="preserve"> </w:t>
      </w:r>
    </w:p>
    <w:p w14:paraId="439172C3" w14:textId="430F7E99" w:rsidR="00BA4874" w:rsidRPr="00A95754" w:rsidRDefault="00BA4874" w:rsidP="00BA4874">
      <w:pPr>
        <w:pStyle w:val="3-BodyText"/>
        <w:rPr>
          <w:i/>
          <w:iCs/>
        </w:rPr>
      </w:pPr>
      <w:r w:rsidRPr="00A95754">
        <w:lastRenderedPageBreak/>
        <w:t>Durvalumab is a monoclonal antibody (mAb) of the IgG1 kappa subclass that specifically binds to the programmed cell death</w:t>
      </w:r>
      <w:r w:rsidR="003C0115">
        <w:t xml:space="preserve"> ligand</w:t>
      </w:r>
      <w:r w:rsidRPr="00A95754">
        <w:noBreakHyphen/>
        <w:t>1</w:t>
      </w:r>
      <w:r w:rsidR="003C0115">
        <w:t xml:space="preserve"> </w:t>
      </w:r>
      <w:r w:rsidRPr="00A95754">
        <w:t>(PD</w:t>
      </w:r>
      <w:r w:rsidR="003C0115">
        <w:t>L</w:t>
      </w:r>
      <w:r w:rsidRPr="00A95754">
        <w:noBreakHyphen/>
        <w:t>1) receptor, which delivers inhibitory signals to T lymphocytes. Programmed death-ligand 1 (PD</w:t>
      </w:r>
      <w:r w:rsidRPr="00A95754">
        <w:noBreakHyphen/>
        <w:t>L1) is expressed on the surface of tumour cells. By binding to the PD</w:t>
      </w:r>
      <w:r w:rsidRPr="00A95754">
        <w:noBreakHyphen/>
        <w:t>1 receptor expressed on cytotoxic T</w:t>
      </w:r>
      <w:r w:rsidRPr="00A95754">
        <w:noBreakHyphen/>
        <w:t>cells, tumour cells can evade detection and destruction by the body’s innate immune system, thereby repressing the anti</w:t>
      </w:r>
      <w:r w:rsidRPr="00A95754">
        <w:noBreakHyphen/>
        <w:t>tumour T</w:t>
      </w:r>
      <w:r w:rsidRPr="00A95754">
        <w:noBreakHyphen/>
        <w:t>cell response. Durvalumab prevents PD</w:t>
      </w:r>
      <w:r w:rsidRPr="00A95754">
        <w:noBreakHyphen/>
        <w:t>L1 from interacting with the PD</w:t>
      </w:r>
      <w:r w:rsidRPr="00A95754">
        <w:noBreakHyphen/>
        <w:t>1 receptor, thus reversing PD</w:t>
      </w:r>
      <w:r w:rsidRPr="00A95754">
        <w:noBreakHyphen/>
        <w:t>L1’s immunosuppressive effects and enhancing the cytotoxic activity of anti</w:t>
      </w:r>
      <w:r w:rsidRPr="00A95754">
        <w:noBreakHyphen/>
        <w:t>tumour T</w:t>
      </w:r>
      <w:r w:rsidRPr="00A95754">
        <w:noBreakHyphen/>
        <w:t xml:space="preserve">cells. </w:t>
      </w:r>
    </w:p>
    <w:p w14:paraId="3DEC800D" w14:textId="0CD0E9BE" w:rsidR="00BA4874" w:rsidRPr="00A95754" w:rsidRDefault="00BA4874" w:rsidP="00BA4874">
      <w:pPr>
        <w:pStyle w:val="3-BodyText"/>
        <w:rPr>
          <w:i/>
          <w:iCs/>
        </w:rPr>
      </w:pPr>
      <w:bookmarkStart w:id="11" w:name="_Ref132618675"/>
      <w:r w:rsidRPr="00A95754">
        <w:t xml:space="preserve">The National Comprehensive Cancer Network (NCCN) guidelines for hepatobiliary tract cancers list </w:t>
      </w:r>
      <w:r w:rsidR="008D5FDE">
        <w:t xml:space="preserve">GemCis, as well as </w:t>
      </w:r>
      <w:r w:rsidRPr="00A95754">
        <w:t>durvalumab + GemCis</w:t>
      </w:r>
      <w:r w:rsidR="008D5FDE">
        <w:t>,</w:t>
      </w:r>
      <w:r w:rsidRPr="00A95754">
        <w:t xml:space="preserve"> as the preferred treatment</w:t>
      </w:r>
      <w:r w:rsidR="002A49B6">
        <w:t xml:space="preserve"> options</w:t>
      </w:r>
      <w:r w:rsidRPr="00A95754">
        <w:t xml:space="preserve"> for patients with advanced BTC following the results of TOPAZ-1. </w:t>
      </w:r>
      <w:r w:rsidRPr="00C44D12">
        <w:rPr>
          <w:iCs/>
        </w:rPr>
        <w:t>The European Society for Medical Oncology (ESMO) clinical practice guidelines for BTC</w:t>
      </w:r>
      <w:r w:rsidR="008D5FDE">
        <w:rPr>
          <w:iCs/>
        </w:rPr>
        <w:t xml:space="preserve"> recommends GemCis as standard of care but</w:t>
      </w:r>
      <w:r w:rsidRPr="00C44D12">
        <w:rPr>
          <w:iCs/>
        </w:rPr>
        <w:t xml:space="preserve"> also recommend that the combination of GemCis with durvalumab should be considered in first-line BTC.</w:t>
      </w:r>
      <w:r w:rsidR="002A49B6">
        <w:rPr>
          <w:iCs/>
        </w:rPr>
        <w:t xml:space="preserve"> </w:t>
      </w:r>
      <w:r w:rsidR="009C6600">
        <w:rPr>
          <w:iCs/>
        </w:rPr>
        <w:t>UpToDate (September 2022 update) stated durvalumab + GemCis is an alternative to GemCis but is not necessarily preferred in all patients. It noted t</w:t>
      </w:r>
      <w:r w:rsidR="009C6600" w:rsidRPr="009C6600">
        <w:rPr>
          <w:iCs/>
        </w:rPr>
        <w:t xml:space="preserve">he short-term benefits </w:t>
      </w:r>
      <w:r w:rsidR="009C6600">
        <w:rPr>
          <w:iCs/>
        </w:rPr>
        <w:t xml:space="preserve">of durvalumab + GemCis </w:t>
      </w:r>
      <w:r w:rsidR="009C6600" w:rsidRPr="009C6600">
        <w:rPr>
          <w:iCs/>
        </w:rPr>
        <w:t>over GemCis alone are modest but long-term benefits may be clinically meaningful for some patients.</w:t>
      </w:r>
      <w:r w:rsidR="009C6600">
        <w:rPr>
          <w:iCs/>
        </w:rPr>
        <w:t xml:space="preserve"> </w:t>
      </w:r>
      <w:bookmarkEnd w:id="11"/>
    </w:p>
    <w:p w14:paraId="34F94B10" w14:textId="04565F84" w:rsidR="00BA4874" w:rsidRPr="00A95754" w:rsidRDefault="00BA4874" w:rsidP="00BA4874">
      <w:pPr>
        <w:pStyle w:val="3-BodyText"/>
      </w:pPr>
      <w:r w:rsidRPr="00A95754">
        <w:t xml:space="preserve">The standard first-line treatment for the Australian target population is GemCis, given </w:t>
      </w:r>
      <w:r w:rsidRPr="00A95754">
        <w:rPr>
          <w:iCs/>
        </w:rPr>
        <w:t>until disease progression or unacceptable toxicity</w:t>
      </w:r>
      <w:r w:rsidR="00DF0F8B">
        <w:rPr>
          <w:iCs/>
        </w:rPr>
        <w:t xml:space="preserve"> (</w:t>
      </w:r>
      <w:r w:rsidR="00067CD2">
        <w:rPr>
          <w:iCs/>
        </w:rPr>
        <w:t xml:space="preserve">typically </w:t>
      </w:r>
      <w:r w:rsidR="008C4D81">
        <w:rPr>
          <w:iCs/>
        </w:rPr>
        <w:t xml:space="preserve">up to </w:t>
      </w:r>
      <w:r w:rsidR="00DF0F8B">
        <w:rPr>
          <w:iCs/>
        </w:rPr>
        <w:t>8 cycles)</w:t>
      </w:r>
      <w:r w:rsidRPr="00A95754">
        <w:t>.</w:t>
      </w:r>
      <w:r w:rsidRPr="00A95754">
        <w:rPr>
          <w:rStyle w:val="FootnoteReference"/>
          <w:iCs/>
        </w:rPr>
        <w:footnoteReference w:id="6"/>
      </w:r>
      <w:r w:rsidRPr="00A95754">
        <w:t xml:space="preserve"> </w:t>
      </w:r>
    </w:p>
    <w:p w14:paraId="5AC18492" w14:textId="77777777" w:rsidR="00BA4874" w:rsidRPr="00A95754" w:rsidRDefault="00BA4874" w:rsidP="00BA4874">
      <w:pPr>
        <w:pStyle w:val="2-SectionHeading"/>
      </w:pPr>
      <w:bookmarkStart w:id="12" w:name="_Toc124925607"/>
      <w:r w:rsidRPr="00A95754">
        <w:t>Comparator</w:t>
      </w:r>
      <w:bookmarkEnd w:id="12"/>
    </w:p>
    <w:p w14:paraId="4D07B41F" w14:textId="5B9D8F6C" w:rsidR="00BA4874" w:rsidRPr="00A95754" w:rsidRDefault="00BA4874" w:rsidP="00BA4874">
      <w:pPr>
        <w:pStyle w:val="3-BodyText"/>
        <w:rPr>
          <w:snapToGrid/>
          <w:lang w:val="en-US"/>
        </w:rPr>
      </w:pPr>
      <w:r w:rsidRPr="00A95754">
        <w:rPr>
          <w:snapToGrid/>
          <w:lang w:val="en-US"/>
        </w:rPr>
        <w:t xml:space="preserve">The nominated comparator was 3-weekly placebo + GemCis on day 1 and 8, for up to 8 cycles, followed by placebo every 4 weeks until disease progression. </w:t>
      </w:r>
      <w:r w:rsidRPr="00C44D12">
        <w:rPr>
          <w:snapToGrid/>
          <w:lang w:val="en-US"/>
        </w:rPr>
        <w:t>This was appropriate and consistent with current Australian clinical practice.</w:t>
      </w:r>
      <w:r w:rsidR="002D5F6A" w:rsidRPr="00C44D12">
        <w:t xml:space="preserve"> </w:t>
      </w:r>
    </w:p>
    <w:p w14:paraId="3B95F65C" w14:textId="77777777" w:rsidR="00BA4874" w:rsidRPr="00A95754" w:rsidRDefault="00BA4874" w:rsidP="00BA4874">
      <w:pPr>
        <w:pStyle w:val="2-SectionHeading"/>
      </w:pPr>
      <w:bookmarkStart w:id="13" w:name="_Toc124925608"/>
      <w:r w:rsidRPr="00A95754">
        <w:t>Consideration of the evidence</w:t>
      </w:r>
      <w:bookmarkEnd w:id="13"/>
    </w:p>
    <w:p w14:paraId="76EC09EA" w14:textId="77777777" w:rsidR="00BE18C5" w:rsidRPr="006E1229" w:rsidRDefault="00BE18C5" w:rsidP="00BE18C5">
      <w:pPr>
        <w:pStyle w:val="4-SubsectionHeading"/>
      </w:pPr>
      <w:bookmarkStart w:id="14" w:name="_Toc124925609"/>
      <w:r w:rsidRPr="006E1229">
        <w:t>Sponsor hearing</w:t>
      </w:r>
    </w:p>
    <w:p w14:paraId="2CF2FDF8" w14:textId="757F4C43" w:rsidR="00BE18C5" w:rsidRPr="00BE18C5" w:rsidRDefault="00BE18C5" w:rsidP="00BE18C5">
      <w:pPr>
        <w:pStyle w:val="3-BodyText"/>
        <w:rPr>
          <w:rFonts w:eastAsiaTheme="majorEastAsia" w:cstheme="majorBidi"/>
          <w:b/>
          <w:i/>
          <w:snapToGrid/>
          <w:spacing w:val="5"/>
          <w:kern w:val="28"/>
          <w:sz w:val="28"/>
          <w:szCs w:val="36"/>
        </w:rPr>
      </w:pPr>
      <w:r w:rsidRPr="00F91542">
        <w:rPr>
          <w:rFonts w:ascii="Calibri" w:hAnsi="Calibri" w:cs="Calibri"/>
          <w:bCs/>
        </w:rPr>
        <w:t>There was no hearing for this item</w:t>
      </w:r>
      <w:r>
        <w:t>.</w:t>
      </w:r>
    </w:p>
    <w:p w14:paraId="5D5BA433" w14:textId="77777777" w:rsidR="00BE18C5" w:rsidRPr="006E1229" w:rsidRDefault="00BE18C5" w:rsidP="00BE18C5">
      <w:pPr>
        <w:pStyle w:val="4-SubsectionHeading"/>
      </w:pPr>
      <w:r w:rsidRPr="006E1229">
        <w:t>Consumer comments</w:t>
      </w:r>
    </w:p>
    <w:p w14:paraId="5BA73B43" w14:textId="76068D72" w:rsidR="00BE18C5" w:rsidRDefault="00BE18C5" w:rsidP="00BE18C5">
      <w:pPr>
        <w:pStyle w:val="3-BodyText"/>
      </w:pPr>
      <w:r w:rsidRPr="00836F75">
        <w:rPr>
          <w:bCs/>
        </w:rPr>
        <w:t>The PBAC noted and welcomed the input from individuals (4), health care professionals (</w:t>
      </w:r>
      <w:r>
        <w:rPr>
          <w:bCs/>
        </w:rPr>
        <w:t>2</w:t>
      </w:r>
      <w:r w:rsidRPr="00836F75">
        <w:rPr>
          <w:bCs/>
        </w:rPr>
        <w:t>) and organisations (</w:t>
      </w:r>
      <w:r>
        <w:rPr>
          <w:bCs/>
        </w:rPr>
        <w:t>5</w:t>
      </w:r>
      <w:r w:rsidRPr="00836F75">
        <w:rPr>
          <w:bCs/>
        </w:rPr>
        <w:t xml:space="preserve">) via the Consumer Comments facility on the PBS website. The comments </w:t>
      </w:r>
      <w:r w:rsidR="004220BB">
        <w:rPr>
          <w:bCs/>
        </w:rPr>
        <w:t xml:space="preserve">from individuals </w:t>
      </w:r>
      <w:r w:rsidRPr="00836F75">
        <w:rPr>
          <w:bCs/>
        </w:rPr>
        <w:t xml:space="preserve">described </w:t>
      </w:r>
      <w:r w:rsidR="004220BB">
        <w:rPr>
          <w:bCs/>
        </w:rPr>
        <w:t xml:space="preserve">durvalumab as an effective treatment resulting in benefits such as </w:t>
      </w:r>
      <w:r w:rsidR="00396A68">
        <w:rPr>
          <w:bCs/>
        </w:rPr>
        <w:t xml:space="preserve">a </w:t>
      </w:r>
      <w:r w:rsidR="004220BB">
        <w:rPr>
          <w:bCs/>
        </w:rPr>
        <w:t xml:space="preserve">reduction in tumour size, increased life </w:t>
      </w:r>
      <w:r w:rsidR="004220BB">
        <w:rPr>
          <w:bCs/>
        </w:rPr>
        <w:lastRenderedPageBreak/>
        <w:t>expectancy</w:t>
      </w:r>
      <w:r w:rsidR="00396A68">
        <w:rPr>
          <w:bCs/>
        </w:rPr>
        <w:t xml:space="preserve"> and improved quality of life. The comments noted side effects were mostly mild and included fatigue, nausea, diarrhoea and skin rash. The comments noted the cost burden associated with paying for treatment with durvalumab. The health professionals noted the poor prognosis of BTC and the need for additional treatment options. </w:t>
      </w:r>
    </w:p>
    <w:p w14:paraId="46962CC1" w14:textId="4F2554A7" w:rsidR="00BE18C5" w:rsidRDefault="007D11FF" w:rsidP="00BE18C5">
      <w:pPr>
        <w:pStyle w:val="3-BodyText"/>
      </w:pPr>
      <w:r>
        <w:t xml:space="preserve">The PBAC noted the Cholangiocarcinoma Foundation Australia, Rare Cancers Australia, Australasian Gastro Intestinal Trials Group Community Advisory Panel and PanCare Foundation were all strongly supportive of making durvalumab available for patients with BTC. The comments noted durvalumab improves survival and has an acceptable toxicity profile. The comments noted the importance of hope for patients with BTC. </w:t>
      </w:r>
      <w:r w:rsidR="009C6600" w:rsidRPr="009C6600">
        <w:t>Australasian Gastro Intestinal Trials Group Community Advisory Panel supported listing on the basis of access to an effective treatment for a cancer with low survival rates and discussed the current inequity of access to trials dependent on the willingness of clinician's participation and consumers ability to advocate for themselves for inclusion</w:t>
      </w:r>
      <w:r w:rsidR="009C6600">
        <w:t xml:space="preserve">. </w:t>
      </w:r>
      <w:r w:rsidR="009C6600" w:rsidRPr="009C6600">
        <w:t>PanCare presented the issues raised by their members affected by biliary cancer and their concern for more effective and sustainable treatment options. They highlighted the financial and treatment burden and the severity of the side-effects of chemotherapy that patients are prepared to undergo to gain additional survival benefits and argue that immunotherapy offers the potential for better quantity and quality of life.</w:t>
      </w:r>
    </w:p>
    <w:p w14:paraId="767C0AC7" w14:textId="7DA74380" w:rsidR="00BE18C5" w:rsidRDefault="00BE18C5" w:rsidP="00BE18C5">
      <w:pPr>
        <w:pStyle w:val="3-BodyText"/>
      </w:pPr>
      <w:r w:rsidRPr="00A74363">
        <w:rPr>
          <w:bCs/>
        </w:rPr>
        <w:t xml:space="preserve">The Medical Oncology Group of Australia (MOGA) also expressed its strong support for the </w:t>
      </w:r>
      <w:r>
        <w:rPr>
          <w:bCs/>
        </w:rPr>
        <w:t>durvalumab</w:t>
      </w:r>
      <w:r w:rsidRPr="00A74363">
        <w:rPr>
          <w:bCs/>
        </w:rPr>
        <w:t xml:space="preserve"> submission, categorising it as one of the therapies of “highest priority for PBS listing” on the basis of the </w:t>
      </w:r>
      <w:r>
        <w:rPr>
          <w:bCs/>
        </w:rPr>
        <w:t>TOPAZ-1</w:t>
      </w:r>
      <w:r w:rsidRPr="00A74363">
        <w:rPr>
          <w:bCs/>
        </w:rPr>
        <w:t xml:space="preserve"> trial. The PBAC noted that the MOGA presented a European Society for Medical Oncology Magnitude of Clinical Benefit Scale (ESMO-MCBS) </w:t>
      </w:r>
      <w:r w:rsidRPr="00525B39">
        <w:rPr>
          <w:bCs/>
        </w:rPr>
        <w:t xml:space="preserve">for </w:t>
      </w:r>
      <w:r>
        <w:rPr>
          <w:bCs/>
        </w:rPr>
        <w:t>durvalumab</w:t>
      </w:r>
      <w:r w:rsidRPr="00525B39">
        <w:rPr>
          <w:bCs/>
        </w:rPr>
        <w:t xml:space="preserve">, which was limited to </w:t>
      </w:r>
      <w:r>
        <w:rPr>
          <w:bCs/>
        </w:rPr>
        <w:t>4</w:t>
      </w:r>
      <w:r w:rsidRPr="00525B39">
        <w:rPr>
          <w:bCs/>
        </w:rPr>
        <w:t xml:space="preserve"> (out of a maximum of 5, where 5 and 4 represent the grades with substantial improvement)</w:t>
      </w:r>
      <w:r>
        <w:rPr>
          <w:rStyle w:val="FootnoteReference"/>
          <w:bCs/>
        </w:rPr>
        <w:footnoteReference w:id="7"/>
      </w:r>
      <w:r w:rsidRPr="00525B39">
        <w:rPr>
          <w:bCs/>
        </w:rPr>
        <w:t xml:space="preserve">, based on a comparison with </w:t>
      </w:r>
      <w:r>
        <w:rPr>
          <w:bCs/>
        </w:rPr>
        <w:t>GemCis</w:t>
      </w:r>
      <w:r w:rsidRPr="00525B39">
        <w:rPr>
          <w:bCs/>
        </w:rPr>
        <w:t xml:space="preserve">. </w:t>
      </w:r>
    </w:p>
    <w:p w14:paraId="0318ECE2" w14:textId="0105EECF" w:rsidR="00BA4874" w:rsidRPr="00BE18C5" w:rsidRDefault="00BA4874" w:rsidP="00BE18C5">
      <w:pPr>
        <w:pStyle w:val="4-SubsectionHeading"/>
        <w:rPr>
          <w:snapToGrid w:val="0"/>
        </w:rPr>
      </w:pPr>
      <w:r w:rsidRPr="00BE18C5">
        <w:rPr>
          <w:snapToGrid w:val="0"/>
        </w:rPr>
        <w:t>Clinical trials</w:t>
      </w:r>
      <w:bookmarkEnd w:id="14"/>
    </w:p>
    <w:p w14:paraId="6E445C30" w14:textId="726D58FA" w:rsidR="00BA4874" w:rsidRPr="00A95754" w:rsidRDefault="00BA4874" w:rsidP="00BA4874">
      <w:pPr>
        <w:pStyle w:val="3-BodyText"/>
        <w:rPr>
          <w:color w:val="0066FF"/>
        </w:rPr>
      </w:pPr>
      <w:r w:rsidRPr="00A95754">
        <w:rPr>
          <w:snapToGrid/>
          <w:lang w:val="en-US"/>
        </w:rPr>
        <w:t xml:space="preserve">The submission was based on one </w:t>
      </w:r>
      <w:r w:rsidR="00011BE3" w:rsidRPr="00A95754">
        <w:rPr>
          <w:snapToGrid/>
          <w:lang w:val="en-US"/>
        </w:rPr>
        <w:t>direct</w:t>
      </w:r>
      <w:r w:rsidRPr="00A95754">
        <w:rPr>
          <w:snapToGrid/>
          <w:lang w:val="en-US"/>
        </w:rPr>
        <w:t xml:space="preserve"> trial comparing durvalumab + GemCis to placebo + Gem</w:t>
      </w:r>
      <w:r w:rsidRPr="00A95754">
        <w:t>Cis</w:t>
      </w:r>
      <w:r w:rsidRPr="00A95754">
        <w:rPr>
          <w:snapToGrid/>
          <w:lang w:val="en-US"/>
        </w:rPr>
        <w:t xml:space="preserve"> (N=685), TOPAZ-1. Subgroup data were presented, noting that the study was not powered to detect differences across the subgroups. </w:t>
      </w:r>
      <w:r w:rsidR="00BF581C">
        <w:rPr>
          <w:snapToGrid/>
          <w:lang w:val="en-US"/>
        </w:rPr>
        <w:t xml:space="preserve">The PBAC noted 914 patients were screened and 685 patients were randomised to TOPAZ-1 with 23% of screened patients (214/914) not meeting inclusion criteria. </w:t>
      </w:r>
    </w:p>
    <w:p w14:paraId="4F917F38" w14:textId="7E9EB973" w:rsidR="00BA4874" w:rsidRDefault="00BA4874" w:rsidP="00BA4874">
      <w:pPr>
        <w:pStyle w:val="3-BodyText"/>
        <w:rPr>
          <w:snapToGrid/>
          <w:lang w:val="en-US"/>
        </w:rPr>
      </w:pPr>
      <w:r w:rsidRPr="00A95754">
        <w:rPr>
          <w:snapToGrid/>
          <w:lang w:val="en-US"/>
        </w:rPr>
        <w:t>Details of the trial presented in the submission are provided in</w:t>
      </w:r>
      <w:r w:rsidR="0025289C" w:rsidRPr="00A95754">
        <w:rPr>
          <w:snapToGrid/>
          <w:lang w:val="en-US"/>
        </w:rPr>
        <w:t xml:space="preserve"> </w:t>
      </w:r>
      <w:r w:rsidR="0025289C" w:rsidRPr="00A95754">
        <w:rPr>
          <w:snapToGrid/>
          <w:lang w:val="en-US"/>
        </w:rPr>
        <w:fldChar w:fldCharType="begin"/>
      </w:r>
      <w:r w:rsidR="0025289C" w:rsidRPr="00A95754">
        <w:rPr>
          <w:snapToGrid/>
          <w:lang w:val="en-US"/>
        </w:rPr>
        <w:instrText xml:space="preserve"> REF _Ref124181965 \h </w:instrText>
      </w:r>
      <w:r w:rsidR="004D2C5E" w:rsidRPr="00A95754">
        <w:rPr>
          <w:snapToGrid/>
          <w:lang w:val="en-US"/>
        </w:rPr>
        <w:instrText xml:space="preserve"> \* MERGEFORMAT </w:instrText>
      </w:r>
      <w:r w:rsidR="0025289C" w:rsidRPr="00A95754">
        <w:rPr>
          <w:snapToGrid/>
          <w:lang w:val="en-US"/>
        </w:rPr>
      </w:r>
      <w:r w:rsidR="0025289C" w:rsidRPr="00A95754">
        <w:rPr>
          <w:snapToGrid/>
          <w:lang w:val="en-US"/>
        </w:rPr>
        <w:fldChar w:fldCharType="separate"/>
      </w:r>
      <w:r w:rsidR="000178EC" w:rsidRPr="00171996">
        <w:t xml:space="preserve">Table </w:t>
      </w:r>
      <w:r w:rsidR="000178EC">
        <w:t>2</w:t>
      </w:r>
      <w:r w:rsidR="0025289C" w:rsidRPr="00A95754">
        <w:rPr>
          <w:snapToGrid/>
          <w:lang w:val="en-US"/>
        </w:rPr>
        <w:fldChar w:fldCharType="end"/>
      </w:r>
      <w:r w:rsidRPr="00A95754">
        <w:rPr>
          <w:snapToGrid/>
          <w:lang w:val="en-US"/>
        </w:rPr>
        <w:t xml:space="preserve">. </w:t>
      </w:r>
    </w:p>
    <w:p w14:paraId="1BCA79C3" w14:textId="240DB1F7" w:rsidR="00BA4874" w:rsidRPr="00171996" w:rsidRDefault="00BA4874" w:rsidP="00FF4B8C">
      <w:pPr>
        <w:pStyle w:val="TableFigureHeading"/>
        <w:pageBreakBefore/>
      </w:pPr>
      <w:bookmarkStart w:id="15" w:name="_Ref124181965"/>
      <w:r w:rsidRPr="00171996">
        <w:lastRenderedPageBreak/>
        <w:t xml:space="preserve">Table </w:t>
      </w:r>
      <w:fldSimple w:instr=" SEQ Table \* ARABIC ">
        <w:r w:rsidR="000178EC">
          <w:rPr>
            <w:noProof/>
          </w:rPr>
          <w:t>2</w:t>
        </w:r>
      </w:fldSimple>
      <w:bookmarkEnd w:id="15"/>
      <w:r w:rsidRPr="00171996">
        <w:t>: TOPAZ-1 and associated reports presented in the submission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230"/>
        <w:gridCol w:w="2555"/>
      </w:tblGrid>
      <w:tr w:rsidR="00BA4874" w:rsidRPr="00A95754" w14:paraId="611B8019" w14:textId="77777777" w:rsidTr="00F11AB4">
        <w:trPr>
          <w:tblHeader/>
        </w:trPr>
        <w:tc>
          <w:tcPr>
            <w:tcW w:w="683" w:type="pct"/>
            <w:vAlign w:val="center"/>
          </w:tcPr>
          <w:p w14:paraId="41ADEF54" w14:textId="77777777" w:rsidR="00BA4874" w:rsidRPr="00A95754" w:rsidRDefault="00BA4874" w:rsidP="00171996">
            <w:pPr>
              <w:pStyle w:val="In-tableHeading"/>
              <w:keepLines/>
            </w:pPr>
            <w:r w:rsidRPr="00A95754">
              <w:t>Trial ID</w:t>
            </w:r>
          </w:p>
        </w:tc>
        <w:tc>
          <w:tcPr>
            <w:tcW w:w="2900" w:type="pct"/>
            <w:vAlign w:val="center"/>
          </w:tcPr>
          <w:p w14:paraId="48C339EA" w14:textId="77777777" w:rsidR="00BA4874" w:rsidRPr="00A95754" w:rsidRDefault="00BA4874" w:rsidP="00171996">
            <w:pPr>
              <w:pStyle w:val="In-tableHeading"/>
              <w:keepLines/>
            </w:pPr>
            <w:r w:rsidRPr="00A95754">
              <w:t>Protocol title/ Publication title</w:t>
            </w:r>
          </w:p>
        </w:tc>
        <w:tc>
          <w:tcPr>
            <w:tcW w:w="1417" w:type="pct"/>
            <w:vAlign w:val="center"/>
          </w:tcPr>
          <w:p w14:paraId="04919C08" w14:textId="77777777" w:rsidR="00BA4874" w:rsidRPr="00A95754" w:rsidRDefault="00BA4874" w:rsidP="00171996">
            <w:pPr>
              <w:pStyle w:val="In-tableHeading"/>
              <w:keepLines/>
            </w:pPr>
            <w:r w:rsidRPr="00A95754">
              <w:t>Publication citation</w:t>
            </w:r>
          </w:p>
        </w:tc>
      </w:tr>
      <w:tr w:rsidR="00BA4874" w:rsidRPr="00A95754" w14:paraId="50CFF652" w14:textId="77777777" w:rsidTr="00F11AB4">
        <w:trPr>
          <w:trHeight w:val="76"/>
        </w:trPr>
        <w:tc>
          <w:tcPr>
            <w:tcW w:w="683" w:type="pct"/>
            <w:vMerge w:val="restart"/>
            <w:vAlign w:val="center"/>
          </w:tcPr>
          <w:p w14:paraId="6B03E57F" w14:textId="760727A1" w:rsidR="00BA4874" w:rsidRDefault="00BA4874" w:rsidP="00171996">
            <w:pPr>
              <w:pStyle w:val="TableText0"/>
              <w:keepLines/>
            </w:pPr>
            <w:r w:rsidRPr="00A95754">
              <w:t>TOPAZ-1</w:t>
            </w:r>
          </w:p>
          <w:p w14:paraId="0B8838BD" w14:textId="77777777" w:rsidR="003C0115" w:rsidRDefault="003C0115" w:rsidP="00171996">
            <w:pPr>
              <w:pStyle w:val="TableText0"/>
              <w:keepLines/>
            </w:pPr>
          </w:p>
          <w:p w14:paraId="0F882BDB" w14:textId="7637C13F" w:rsidR="003C0115" w:rsidRPr="00A95754" w:rsidRDefault="003C0115" w:rsidP="003C0115">
            <w:pPr>
              <w:pStyle w:val="TableText0"/>
              <w:keepLines/>
              <w:rPr>
                <w:lang w:eastAsia="en-US"/>
              </w:rPr>
            </w:pPr>
            <w:r>
              <w:rPr>
                <w:lang w:eastAsia="en-US"/>
              </w:rPr>
              <w:t>(</w:t>
            </w:r>
            <w:r w:rsidRPr="008D5FDE">
              <w:rPr>
                <w:lang w:eastAsia="en-US"/>
              </w:rPr>
              <w:t>NCT03875235)</w:t>
            </w:r>
          </w:p>
          <w:p w14:paraId="770E2AD3" w14:textId="733C4A86" w:rsidR="003C0115" w:rsidRPr="00A95754" w:rsidRDefault="003C0115" w:rsidP="00171996">
            <w:pPr>
              <w:pStyle w:val="TableText0"/>
              <w:keepLines/>
            </w:pPr>
          </w:p>
        </w:tc>
        <w:tc>
          <w:tcPr>
            <w:tcW w:w="2900" w:type="pct"/>
            <w:vAlign w:val="center"/>
          </w:tcPr>
          <w:p w14:paraId="758DE87F" w14:textId="77777777" w:rsidR="00BA4874" w:rsidRPr="00A95754" w:rsidRDefault="00BA4874" w:rsidP="00171996">
            <w:pPr>
              <w:pStyle w:val="TableText0"/>
              <w:keepLines/>
            </w:pPr>
            <w:r w:rsidRPr="00A95754">
              <w:t>A Phase III Randomised, Double-Blind, Placebo-Controlled, Multi-Regional, International Study of Durvalumab in Combination with Gemcitabine plus Cisplatin versus Placebo in Combination with Gemcitabine plus Cisplatin for Patients with First-Line Advanced Biliary Tract Cancers (TOPAZ-1)</w:t>
            </w:r>
          </w:p>
        </w:tc>
        <w:tc>
          <w:tcPr>
            <w:tcW w:w="1417" w:type="pct"/>
            <w:vAlign w:val="center"/>
          </w:tcPr>
          <w:p w14:paraId="601D361D" w14:textId="1655141C" w:rsidR="00BA4874" w:rsidRPr="00A95754" w:rsidRDefault="008D5FDE" w:rsidP="00171996">
            <w:pPr>
              <w:pStyle w:val="TableText0"/>
              <w:keepLines/>
            </w:pPr>
            <w:r>
              <w:t xml:space="preserve">Clinical Study Report, </w:t>
            </w:r>
            <w:r w:rsidR="00BA4874" w:rsidRPr="00A95754">
              <w:t>Feb 2022</w:t>
            </w:r>
          </w:p>
          <w:p w14:paraId="5BB1D89D" w14:textId="77777777" w:rsidR="00BA4874" w:rsidRPr="00A95754" w:rsidRDefault="00BA4874" w:rsidP="00171996">
            <w:pPr>
              <w:pStyle w:val="TableText0"/>
              <w:keepLines/>
            </w:pPr>
          </w:p>
        </w:tc>
      </w:tr>
      <w:tr w:rsidR="00BA4874" w:rsidRPr="00A95754" w14:paraId="3E48F29C" w14:textId="77777777" w:rsidTr="00F11AB4">
        <w:tc>
          <w:tcPr>
            <w:tcW w:w="683" w:type="pct"/>
            <w:vMerge/>
            <w:vAlign w:val="center"/>
          </w:tcPr>
          <w:p w14:paraId="55298839" w14:textId="77777777" w:rsidR="00BA4874" w:rsidRPr="00A95754" w:rsidRDefault="00BA4874" w:rsidP="00171996">
            <w:pPr>
              <w:pStyle w:val="TableText0"/>
              <w:keepLines/>
            </w:pPr>
          </w:p>
        </w:tc>
        <w:tc>
          <w:tcPr>
            <w:tcW w:w="2900" w:type="pct"/>
            <w:vAlign w:val="center"/>
          </w:tcPr>
          <w:p w14:paraId="355BC3C8" w14:textId="77777777" w:rsidR="00BA4874" w:rsidRPr="00A95754" w:rsidRDefault="00BA4874" w:rsidP="00171996">
            <w:pPr>
              <w:pStyle w:val="TableText0"/>
              <w:keepLines/>
            </w:pPr>
            <w:r w:rsidRPr="00A95754">
              <w:t>Oh et al. (2022) Durvalumab plus Gemcitabine and Cisplatin in Advanced Biliary Tract Cancer.</w:t>
            </w:r>
          </w:p>
        </w:tc>
        <w:tc>
          <w:tcPr>
            <w:tcW w:w="1417" w:type="pct"/>
            <w:vAlign w:val="center"/>
          </w:tcPr>
          <w:p w14:paraId="1C7297AA" w14:textId="77777777" w:rsidR="00BA4874" w:rsidRPr="00A95754" w:rsidRDefault="00BA4874" w:rsidP="00171996">
            <w:pPr>
              <w:pStyle w:val="TableText0"/>
              <w:keepLines/>
              <w:rPr>
                <w:szCs w:val="18"/>
              </w:rPr>
            </w:pPr>
            <w:r w:rsidRPr="00A95754">
              <w:rPr>
                <w:i/>
                <w:szCs w:val="18"/>
              </w:rPr>
              <w:t>NEJM Evid</w:t>
            </w:r>
            <w:r w:rsidRPr="00A95754">
              <w:rPr>
                <w:szCs w:val="18"/>
              </w:rPr>
              <w:t xml:space="preserve"> 2022; 1 (8)</w:t>
            </w:r>
          </w:p>
          <w:p w14:paraId="73311D96" w14:textId="77777777" w:rsidR="00BA4874" w:rsidRPr="00A95754" w:rsidRDefault="00BA4874" w:rsidP="00171996">
            <w:pPr>
              <w:pStyle w:val="TableText0"/>
              <w:keepLines/>
            </w:pPr>
          </w:p>
        </w:tc>
      </w:tr>
      <w:tr w:rsidR="00BA4874" w:rsidRPr="00A95754" w14:paraId="6634597E" w14:textId="77777777" w:rsidTr="00F11AB4">
        <w:tc>
          <w:tcPr>
            <w:tcW w:w="683" w:type="pct"/>
            <w:vMerge/>
            <w:vAlign w:val="center"/>
          </w:tcPr>
          <w:p w14:paraId="0F9032E7" w14:textId="77777777" w:rsidR="00BA4874" w:rsidRPr="00A95754" w:rsidRDefault="00BA4874" w:rsidP="00171996">
            <w:pPr>
              <w:pStyle w:val="TableText0"/>
              <w:keepLines/>
            </w:pPr>
          </w:p>
        </w:tc>
        <w:tc>
          <w:tcPr>
            <w:tcW w:w="2900" w:type="pct"/>
            <w:vAlign w:val="center"/>
          </w:tcPr>
          <w:p w14:paraId="29FD6E6F" w14:textId="77777777" w:rsidR="00BA4874" w:rsidRPr="00A95754" w:rsidRDefault="00BA4874" w:rsidP="00171996">
            <w:pPr>
              <w:pStyle w:val="TableText0"/>
              <w:keepLines/>
              <w:rPr>
                <w:szCs w:val="18"/>
              </w:rPr>
            </w:pPr>
            <w:r w:rsidRPr="00A95754">
              <w:t>Oh et al. A phase 3 randomised, double-blind, placebo-controlled study of durvalumab in combination with gemcitabine plus cisplatin (GemCis) in patients (pts) with advanced biliary tract cancer (BTC): TOPAZ-1</w:t>
            </w:r>
          </w:p>
        </w:tc>
        <w:tc>
          <w:tcPr>
            <w:tcW w:w="1417" w:type="pct"/>
            <w:vAlign w:val="center"/>
          </w:tcPr>
          <w:p w14:paraId="7A8259BC" w14:textId="77777777" w:rsidR="00BA4874" w:rsidRPr="00A95754" w:rsidRDefault="00BA4874" w:rsidP="00171996">
            <w:pPr>
              <w:pStyle w:val="TableText0"/>
              <w:keepLines/>
              <w:rPr>
                <w:szCs w:val="18"/>
              </w:rPr>
            </w:pPr>
            <w:r w:rsidRPr="00A95754">
              <w:rPr>
                <w:i/>
              </w:rPr>
              <w:t>Journal of Clinical Oncology</w:t>
            </w:r>
            <w:r w:rsidRPr="00A95754">
              <w:t xml:space="preserve"> 2022; 40 (4 Suppl).</w:t>
            </w:r>
          </w:p>
          <w:p w14:paraId="75B97116" w14:textId="77777777" w:rsidR="00BA4874" w:rsidRPr="00A95754" w:rsidRDefault="00BA4874" w:rsidP="00171996">
            <w:pPr>
              <w:pStyle w:val="TableText0"/>
              <w:keepLines/>
            </w:pPr>
          </w:p>
        </w:tc>
      </w:tr>
      <w:tr w:rsidR="00BA4874" w:rsidRPr="00A95754" w14:paraId="6946AF3E" w14:textId="77777777" w:rsidTr="00F11AB4">
        <w:tc>
          <w:tcPr>
            <w:tcW w:w="683" w:type="pct"/>
            <w:vMerge/>
            <w:vAlign w:val="center"/>
          </w:tcPr>
          <w:p w14:paraId="015A2466" w14:textId="77777777" w:rsidR="00BA4874" w:rsidRPr="00A95754" w:rsidRDefault="00BA4874" w:rsidP="00171996">
            <w:pPr>
              <w:pStyle w:val="TableText0"/>
              <w:keepLines/>
            </w:pPr>
          </w:p>
        </w:tc>
        <w:tc>
          <w:tcPr>
            <w:tcW w:w="2900" w:type="pct"/>
            <w:vAlign w:val="center"/>
          </w:tcPr>
          <w:p w14:paraId="7A330690" w14:textId="77777777" w:rsidR="00BA4874" w:rsidRPr="00A95754" w:rsidRDefault="00BA4874" w:rsidP="00171996">
            <w:pPr>
              <w:pStyle w:val="TableText0"/>
              <w:keepLines/>
            </w:pPr>
            <w:r w:rsidRPr="00A95754">
              <w:t>Oh et al. A phase 3, randomised, double-blind, placebo-controlled, international study of durvalumab in combination with gemcitabine plus cisplatin for patients with advanced biliary tract cancers: TOPAZ-1.</w:t>
            </w:r>
          </w:p>
        </w:tc>
        <w:tc>
          <w:tcPr>
            <w:tcW w:w="1417" w:type="pct"/>
            <w:vAlign w:val="center"/>
          </w:tcPr>
          <w:p w14:paraId="128FB448" w14:textId="77777777" w:rsidR="00BA4874" w:rsidRPr="00A95754" w:rsidRDefault="00BA4874" w:rsidP="00171996">
            <w:pPr>
              <w:pStyle w:val="TableText0"/>
              <w:keepLines/>
            </w:pPr>
            <w:r w:rsidRPr="00A95754">
              <w:rPr>
                <w:i/>
              </w:rPr>
              <w:t>Hepatology International</w:t>
            </w:r>
            <w:r w:rsidRPr="00A95754">
              <w:t xml:space="preserve"> 2020; 14: S296-297.</w:t>
            </w:r>
          </w:p>
          <w:p w14:paraId="2E03F7D0" w14:textId="77777777" w:rsidR="00BA4874" w:rsidRPr="00A95754" w:rsidRDefault="00BA4874" w:rsidP="00171996">
            <w:pPr>
              <w:pStyle w:val="TableText0"/>
              <w:keepLines/>
            </w:pPr>
          </w:p>
        </w:tc>
      </w:tr>
      <w:tr w:rsidR="00BA4874" w:rsidRPr="00A95754" w14:paraId="05002C4B" w14:textId="77777777" w:rsidTr="00F11AB4">
        <w:tc>
          <w:tcPr>
            <w:tcW w:w="683" w:type="pct"/>
            <w:vMerge/>
            <w:vAlign w:val="center"/>
          </w:tcPr>
          <w:p w14:paraId="57BDBEB4" w14:textId="77777777" w:rsidR="00BA4874" w:rsidRPr="00A95754" w:rsidRDefault="00BA4874" w:rsidP="00171996">
            <w:pPr>
              <w:pStyle w:val="TableText0"/>
              <w:keepLines/>
            </w:pPr>
          </w:p>
        </w:tc>
        <w:tc>
          <w:tcPr>
            <w:tcW w:w="2900" w:type="pct"/>
            <w:vAlign w:val="center"/>
          </w:tcPr>
          <w:p w14:paraId="2549EFC9" w14:textId="77777777" w:rsidR="00BA4874" w:rsidRPr="00A95754" w:rsidRDefault="00BA4874" w:rsidP="00171996">
            <w:pPr>
              <w:pStyle w:val="TableText0"/>
              <w:keepLines/>
              <w:rPr>
                <w:szCs w:val="18"/>
              </w:rPr>
            </w:pPr>
            <w:r w:rsidRPr="00A95754">
              <w:t>Oh et al. A phase III, randomised, double-blind, placebo-controlled, international study of durvalumab in combination with gemcitabine plus cisplatin for patients with advanced biliary tract cancers: TOPAZ-1.</w:t>
            </w:r>
          </w:p>
        </w:tc>
        <w:tc>
          <w:tcPr>
            <w:tcW w:w="1417" w:type="pct"/>
            <w:vAlign w:val="center"/>
          </w:tcPr>
          <w:p w14:paraId="2080B72E" w14:textId="77777777" w:rsidR="00BA4874" w:rsidRPr="00A95754" w:rsidRDefault="00BA4874" w:rsidP="00171996">
            <w:pPr>
              <w:pStyle w:val="TableText0"/>
              <w:keepLines/>
            </w:pPr>
            <w:r w:rsidRPr="00A95754">
              <w:rPr>
                <w:i/>
              </w:rPr>
              <w:t>Annals of Oncology</w:t>
            </w:r>
            <w:r w:rsidRPr="00A95754">
              <w:t xml:space="preserve"> 2019; 30: v319</w:t>
            </w:r>
          </w:p>
        </w:tc>
      </w:tr>
      <w:tr w:rsidR="00BA4874" w:rsidRPr="00A95754" w14:paraId="04F6861B" w14:textId="77777777" w:rsidTr="00F11AB4">
        <w:tc>
          <w:tcPr>
            <w:tcW w:w="683" w:type="pct"/>
            <w:vMerge/>
            <w:vAlign w:val="center"/>
          </w:tcPr>
          <w:p w14:paraId="72AFDEC8" w14:textId="77777777" w:rsidR="00BA4874" w:rsidRPr="00A95754" w:rsidRDefault="00BA4874" w:rsidP="00171996">
            <w:pPr>
              <w:pStyle w:val="TableText0"/>
              <w:keepLines/>
            </w:pPr>
          </w:p>
        </w:tc>
        <w:tc>
          <w:tcPr>
            <w:tcW w:w="2900" w:type="pct"/>
            <w:vAlign w:val="center"/>
          </w:tcPr>
          <w:p w14:paraId="60029EEF" w14:textId="77777777" w:rsidR="00BA4874" w:rsidRPr="00A95754" w:rsidRDefault="00BA4874" w:rsidP="00171996">
            <w:pPr>
              <w:pStyle w:val="TableText0"/>
              <w:keepLines/>
            </w:pPr>
            <w:r w:rsidRPr="00A95754">
              <w:t>Antonuzzo et al, 2022. Immune-mediated adverse event incidence, timing and association with ef</w:t>
            </w:r>
            <w:r w:rsidRPr="00A95754">
              <w:softHyphen/>
              <w:t>ficacy in the Phase 3 TOPAZ-1 study of durvalumab or placebo plus gemcitabine and cisplatin in advanced biliary tract cancer.</w:t>
            </w:r>
          </w:p>
        </w:tc>
        <w:tc>
          <w:tcPr>
            <w:tcW w:w="1417" w:type="pct"/>
            <w:vAlign w:val="center"/>
          </w:tcPr>
          <w:p w14:paraId="5F980F76" w14:textId="77777777" w:rsidR="00BA4874" w:rsidRPr="00A95754" w:rsidRDefault="00BA4874" w:rsidP="00171996">
            <w:pPr>
              <w:pStyle w:val="TableText0"/>
              <w:keepLines/>
            </w:pPr>
            <w:r w:rsidRPr="00A95754">
              <w:rPr>
                <w:i/>
              </w:rPr>
              <w:t>Annals of Oncology</w:t>
            </w:r>
            <w:r w:rsidRPr="00A95754">
              <w:t xml:space="preserve"> 2022; 33 (Supplement 7): S566-S567.</w:t>
            </w:r>
          </w:p>
          <w:p w14:paraId="67961D7F" w14:textId="77777777" w:rsidR="00BA4874" w:rsidRPr="00A95754" w:rsidRDefault="00BA4874" w:rsidP="00171996">
            <w:pPr>
              <w:pStyle w:val="TableText0"/>
              <w:keepLines/>
            </w:pPr>
          </w:p>
        </w:tc>
      </w:tr>
      <w:tr w:rsidR="00BA4874" w:rsidRPr="00A95754" w14:paraId="7E4AFECB" w14:textId="77777777" w:rsidTr="00F11AB4">
        <w:tc>
          <w:tcPr>
            <w:tcW w:w="683" w:type="pct"/>
            <w:vMerge/>
            <w:vAlign w:val="center"/>
          </w:tcPr>
          <w:p w14:paraId="00835BAE" w14:textId="77777777" w:rsidR="00BA4874" w:rsidRPr="00A95754" w:rsidRDefault="00BA4874" w:rsidP="00171996">
            <w:pPr>
              <w:pStyle w:val="TableText0"/>
              <w:keepLines/>
            </w:pPr>
          </w:p>
        </w:tc>
        <w:tc>
          <w:tcPr>
            <w:tcW w:w="2900" w:type="pct"/>
            <w:vAlign w:val="center"/>
          </w:tcPr>
          <w:p w14:paraId="4A60D995" w14:textId="77777777" w:rsidR="00BA4874" w:rsidRPr="00A95754" w:rsidRDefault="00BA4874" w:rsidP="00171996">
            <w:pPr>
              <w:pStyle w:val="TableText0"/>
              <w:keepLines/>
            </w:pPr>
            <w:r w:rsidRPr="00A95754">
              <w:t>He et al, 2022. Outcomes by primary tumour location in patients with advanced biliary tract cancer treated with durvalumab or placebo plus gemcitabine and cisplatin in the Phase 3 TOPAZ-1 study.</w:t>
            </w:r>
          </w:p>
        </w:tc>
        <w:tc>
          <w:tcPr>
            <w:tcW w:w="1417" w:type="pct"/>
            <w:vAlign w:val="center"/>
          </w:tcPr>
          <w:p w14:paraId="00880BE4" w14:textId="77777777" w:rsidR="00BA4874" w:rsidRPr="00A95754" w:rsidRDefault="00BA4874" w:rsidP="00171996">
            <w:pPr>
              <w:pStyle w:val="TableText0"/>
              <w:keepLines/>
            </w:pPr>
            <w:r w:rsidRPr="00A95754">
              <w:rPr>
                <w:i/>
              </w:rPr>
              <w:t>Annals of Oncology</w:t>
            </w:r>
            <w:r w:rsidRPr="00A95754">
              <w:t xml:space="preserve"> 2022; 33 (Supplement 4): S378.</w:t>
            </w:r>
          </w:p>
          <w:p w14:paraId="7E3CD1D6" w14:textId="77777777" w:rsidR="00BA4874" w:rsidRPr="00A95754" w:rsidRDefault="00BA4874" w:rsidP="00171996">
            <w:pPr>
              <w:pStyle w:val="TableText0"/>
              <w:keepLines/>
            </w:pPr>
          </w:p>
        </w:tc>
      </w:tr>
      <w:tr w:rsidR="00BA4874" w:rsidRPr="00A95754" w14:paraId="0C67A35F" w14:textId="77777777" w:rsidTr="00F11AB4">
        <w:tc>
          <w:tcPr>
            <w:tcW w:w="683" w:type="pct"/>
            <w:vMerge/>
            <w:vAlign w:val="center"/>
          </w:tcPr>
          <w:p w14:paraId="1E1DA776" w14:textId="77777777" w:rsidR="00BA4874" w:rsidRPr="00A95754" w:rsidRDefault="00BA4874" w:rsidP="00171996">
            <w:pPr>
              <w:pStyle w:val="TableText0"/>
              <w:keepLines/>
            </w:pPr>
          </w:p>
        </w:tc>
        <w:tc>
          <w:tcPr>
            <w:tcW w:w="2900" w:type="pct"/>
            <w:vAlign w:val="center"/>
          </w:tcPr>
          <w:p w14:paraId="72AE1B21" w14:textId="77777777" w:rsidR="00BA4874" w:rsidRPr="00A95754" w:rsidRDefault="00BA4874" w:rsidP="00171996">
            <w:pPr>
              <w:pStyle w:val="TableText0"/>
              <w:keepLines/>
            </w:pPr>
            <w:r w:rsidRPr="00A95754">
              <w:t>Oh et al, 2022. Updated overall survival from the Phase 3 TOPAZ-1 study of durvalumab or placebo plus gemcitabine and cisplatin in patients with advanced biliary tract cancer.</w:t>
            </w:r>
          </w:p>
        </w:tc>
        <w:tc>
          <w:tcPr>
            <w:tcW w:w="1417" w:type="pct"/>
            <w:vAlign w:val="center"/>
          </w:tcPr>
          <w:p w14:paraId="1C53A2D9" w14:textId="77777777" w:rsidR="00BA4874" w:rsidRPr="00A95754" w:rsidRDefault="00BA4874" w:rsidP="00171996">
            <w:pPr>
              <w:pStyle w:val="TableText0"/>
              <w:keepLines/>
              <w:rPr>
                <w:b/>
                <w:lang w:eastAsia="en-US"/>
              </w:rPr>
            </w:pPr>
            <w:r w:rsidRPr="00A95754">
              <w:rPr>
                <w:i/>
              </w:rPr>
              <w:t>Annals of Oncology</w:t>
            </w:r>
            <w:r w:rsidRPr="00A95754">
              <w:t xml:space="preserve"> 2022; 33 (Supplement 7): S565-S566. </w:t>
            </w:r>
          </w:p>
          <w:p w14:paraId="4F9B1B00" w14:textId="77777777" w:rsidR="00BA4874" w:rsidRPr="00A95754" w:rsidRDefault="00BA4874" w:rsidP="00171996">
            <w:pPr>
              <w:pStyle w:val="TableText0"/>
              <w:keepLines/>
            </w:pPr>
          </w:p>
        </w:tc>
      </w:tr>
      <w:tr w:rsidR="00BA4874" w:rsidRPr="00A95754" w14:paraId="40663D4A" w14:textId="77777777" w:rsidTr="00F11AB4">
        <w:tc>
          <w:tcPr>
            <w:tcW w:w="683" w:type="pct"/>
            <w:vMerge/>
            <w:vAlign w:val="center"/>
          </w:tcPr>
          <w:p w14:paraId="7EF33B37" w14:textId="77777777" w:rsidR="00BA4874" w:rsidRPr="00A95754" w:rsidRDefault="00BA4874" w:rsidP="00171996">
            <w:pPr>
              <w:pStyle w:val="TableText0"/>
              <w:keepLines/>
            </w:pPr>
          </w:p>
        </w:tc>
        <w:tc>
          <w:tcPr>
            <w:tcW w:w="2900" w:type="pct"/>
            <w:vAlign w:val="center"/>
          </w:tcPr>
          <w:p w14:paraId="5433A6AA" w14:textId="77777777" w:rsidR="00BA4874" w:rsidRPr="00A95754" w:rsidRDefault="00BA4874" w:rsidP="00171996">
            <w:pPr>
              <w:pStyle w:val="TableText0"/>
              <w:keepLines/>
            </w:pPr>
            <w:r w:rsidRPr="00A95754">
              <w:t>Burris et al. (2022) Patient-reported outcomes for the Phase 3 TOPAZ-1 study of durvalumab plus gemcitabine and cisplatin in advanced biliary tract cancer.</w:t>
            </w:r>
          </w:p>
        </w:tc>
        <w:tc>
          <w:tcPr>
            <w:tcW w:w="1417" w:type="pct"/>
            <w:vAlign w:val="center"/>
          </w:tcPr>
          <w:p w14:paraId="5C8DA0FF" w14:textId="77777777" w:rsidR="00BA4874" w:rsidRPr="00A95754" w:rsidRDefault="00BA4874" w:rsidP="00171996">
            <w:pPr>
              <w:pStyle w:val="TableText0"/>
              <w:keepLines/>
            </w:pPr>
            <w:r w:rsidRPr="00A95754">
              <w:rPr>
                <w:i/>
              </w:rPr>
              <w:t>Journal of Clinical Oncology</w:t>
            </w:r>
            <w:r w:rsidRPr="00A95754">
              <w:t> 2022 40:16_suppl, 4070</w:t>
            </w:r>
          </w:p>
        </w:tc>
      </w:tr>
      <w:tr w:rsidR="00BA4874" w:rsidRPr="00A95754" w14:paraId="50CB1EF3" w14:textId="77777777" w:rsidTr="00F11AB4">
        <w:tc>
          <w:tcPr>
            <w:tcW w:w="683" w:type="pct"/>
            <w:vMerge/>
            <w:vAlign w:val="center"/>
          </w:tcPr>
          <w:p w14:paraId="2D4A13E1" w14:textId="77777777" w:rsidR="00BA4874" w:rsidRPr="00A95754" w:rsidRDefault="00BA4874" w:rsidP="00171996">
            <w:pPr>
              <w:pStyle w:val="TableText0"/>
              <w:keepLines/>
            </w:pPr>
          </w:p>
        </w:tc>
        <w:tc>
          <w:tcPr>
            <w:tcW w:w="2900" w:type="pct"/>
            <w:vAlign w:val="center"/>
          </w:tcPr>
          <w:p w14:paraId="0DE969F8" w14:textId="77777777" w:rsidR="00BA4874" w:rsidRPr="00A95754" w:rsidRDefault="00BA4874" w:rsidP="00171996">
            <w:pPr>
              <w:pStyle w:val="TableText0"/>
              <w:keepLines/>
            </w:pPr>
            <w:r w:rsidRPr="00A95754">
              <w:rPr>
                <w:lang w:eastAsia="en-US"/>
              </w:rPr>
              <w:t>Vogel et al. (2022) Regional subgroup analysis of the Phase 3 TOPAZ-1 study of durvalumab plus gemcitabine and cisplatin in advanced biliary tract cancer.</w:t>
            </w:r>
          </w:p>
        </w:tc>
        <w:tc>
          <w:tcPr>
            <w:tcW w:w="1417" w:type="pct"/>
            <w:vAlign w:val="center"/>
          </w:tcPr>
          <w:p w14:paraId="4E9310A8" w14:textId="77777777" w:rsidR="00BA4874" w:rsidRPr="00A95754" w:rsidRDefault="00BA4874" w:rsidP="00171996">
            <w:pPr>
              <w:pStyle w:val="TableText0"/>
              <w:keepLines/>
              <w:rPr>
                <w:b/>
                <w:lang w:eastAsia="en-US"/>
              </w:rPr>
            </w:pPr>
            <w:r w:rsidRPr="00A95754">
              <w:rPr>
                <w:i/>
                <w:lang w:eastAsia="en-US"/>
              </w:rPr>
              <w:t>Journal of Clinical Oncology</w:t>
            </w:r>
            <w:r w:rsidRPr="00A95754">
              <w:rPr>
                <w:lang w:eastAsia="en-US"/>
              </w:rPr>
              <w:t> 2022 40:16_suppl, 4075</w:t>
            </w:r>
          </w:p>
          <w:p w14:paraId="7AF2D465" w14:textId="77777777" w:rsidR="00BA4874" w:rsidRPr="00A95754" w:rsidRDefault="00BA4874" w:rsidP="00171996">
            <w:pPr>
              <w:pStyle w:val="TableText0"/>
              <w:keepLines/>
            </w:pPr>
          </w:p>
        </w:tc>
      </w:tr>
      <w:tr w:rsidR="00BA4874" w:rsidRPr="00A95754" w14:paraId="7AEE4671" w14:textId="77777777" w:rsidTr="00F11AB4">
        <w:tc>
          <w:tcPr>
            <w:tcW w:w="683" w:type="pct"/>
            <w:vMerge/>
            <w:vAlign w:val="center"/>
          </w:tcPr>
          <w:p w14:paraId="1B6F3EA6" w14:textId="77777777" w:rsidR="00BA4874" w:rsidRPr="00A95754" w:rsidRDefault="00BA4874" w:rsidP="00171996">
            <w:pPr>
              <w:pStyle w:val="TableText0"/>
              <w:keepLines/>
            </w:pPr>
          </w:p>
        </w:tc>
        <w:tc>
          <w:tcPr>
            <w:tcW w:w="2900" w:type="pct"/>
            <w:vAlign w:val="center"/>
          </w:tcPr>
          <w:p w14:paraId="15C32F23" w14:textId="77777777" w:rsidR="00BA4874" w:rsidRPr="00A95754" w:rsidRDefault="00BA4874" w:rsidP="00171996">
            <w:pPr>
              <w:pStyle w:val="TableText0"/>
              <w:keepLines/>
            </w:pPr>
            <w:r w:rsidRPr="00A95754">
              <w:rPr>
                <w:lang w:eastAsia="en-US"/>
              </w:rPr>
              <w:t>Okusaka et al. (2022) Outcomes by disease status in patients with advanced biliary tract cancer treated with durvalumab plus gemcitabine and cisplatin or placebo plus gemcitabine and cisplatin in the Phase 3 TOPAZ-1 study.</w:t>
            </w:r>
          </w:p>
        </w:tc>
        <w:tc>
          <w:tcPr>
            <w:tcW w:w="1417" w:type="pct"/>
            <w:vAlign w:val="center"/>
          </w:tcPr>
          <w:p w14:paraId="7BF41A78" w14:textId="77777777" w:rsidR="00BA4874" w:rsidRPr="00A95754" w:rsidRDefault="00BA4874" w:rsidP="00171996">
            <w:pPr>
              <w:pStyle w:val="TableText0"/>
              <w:keepLines/>
              <w:rPr>
                <w:szCs w:val="18"/>
              </w:rPr>
            </w:pPr>
            <w:r w:rsidRPr="00A95754">
              <w:rPr>
                <w:i/>
                <w:lang w:eastAsia="en-US"/>
              </w:rPr>
              <w:t>Annals of Oncology</w:t>
            </w:r>
            <w:r w:rsidRPr="00A95754">
              <w:rPr>
                <w:lang w:eastAsia="en-US"/>
              </w:rPr>
              <w:t xml:space="preserve"> 2022; 33 (Supplement 4): S242.</w:t>
            </w:r>
          </w:p>
          <w:p w14:paraId="5EA855BE" w14:textId="77777777" w:rsidR="00BA4874" w:rsidRPr="00A95754" w:rsidRDefault="00BA4874" w:rsidP="00171996">
            <w:pPr>
              <w:pStyle w:val="TableText0"/>
              <w:keepLines/>
            </w:pPr>
          </w:p>
        </w:tc>
      </w:tr>
      <w:tr w:rsidR="00BA4874" w:rsidRPr="00A95754" w14:paraId="20D7B5CF" w14:textId="77777777" w:rsidTr="00F11AB4">
        <w:tc>
          <w:tcPr>
            <w:tcW w:w="683" w:type="pct"/>
            <w:vMerge/>
            <w:vAlign w:val="center"/>
          </w:tcPr>
          <w:p w14:paraId="221156E3" w14:textId="77777777" w:rsidR="00BA4874" w:rsidRPr="00A95754" w:rsidRDefault="00BA4874" w:rsidP="00171996">
            <w:pPr>
              <w:pStyle w:val="TableText0"/>
              <w:keepLines/>
            </w:pPr>
          </w:p>
        </w:tc>
        <w:tc>
          <w:tcPr>
            <w:tcW w:w="2900" w:type="pct"/>
            <w:vAlign w:val="center"/>
          </w:tcPr>
          <w:p w14:paraId="0E3F036E" w14:textId="77777777" w:rsidR="00BA4874" w:rsidRPr="00A95754" w:rsidRDefault="00BA4874" w:rsidP="00171996">
            <w:pPr>
              <w:pStyle w:val="TableText0"/>
              <w:keepLines/>
              <w:rPr>
                <w:b/>
                <w:lang w:eastAsia="en-US"/>
              </w:rPr>
            </w:pPr>
            <w:r w:rsidRPr="00A95754">
              <w:rPr>
                <w:lang w:eastAsia="en-US"/>
              </w:rPr>
              <w:t>He et al. (2022) Outcomes by primary tumour location in patients with advanced biliary tract cancer treated with durvalumab or placebo plus gemcitabine and cisplatin in the Phase 3 TOPAZ-1 study</w:t>
            </w:r>
          </w:p>
        </w:tc>
        <w:tc>
          <w:tcPr>
            <w:tcW w:w="1417" w:type="pct"/>
            <w:vAlign w:val="center"/>
          </w:tcPr>
          <w:p w14:paraId="227358F2" w14:textId="77777777" w:rsidR="00BA4874" w:rsidRPr="00A95754" w:rsidRDefault="00BA4874" w:rsidP="00171996">
            <w:pPr>
              <w:pStyle w:val="TableText0"/>
              <w:keepLines/>
              <w:rPr>
                <w:lang w:eastAsia="en-US"/>
              </w:rPr>
            </w:pPr>
            <w:r w:rsidRPr="00A95754">
              <w:rPr>
                <w:lang w:eastAsia="en-US"/>
              </w:rPr>
              <w:t>Oral presentation at 2022 ESMO World Congress on Gastrointestinal Cancer</w:t>
            </w:r>
          </w:p>
          <w:p w14:paraId="3E28086B" w14:textId="77777777" w:rsidR="00BA4874" w:rsidRPr="00A95754" w:rsidRDefault="00BA4874" w:rsidP="00171996">
            <w:pPr>
              <w:pStyle w:val="TableText0"/>
              <w:keepLines/>
            </w:pPr>
          </w:p>
        </w:tc>
      </w:tr>
    </w:tbl>
    <w:p w14:paraId="6D367333" w14:textId="77777777" w:rsidR="00BA4874" w:rsidRPr="00A95754" w:rsidRDefault="00BA4874" w:rsidP="00171996">
      <w:pPr>
        <w:pStyle w:val="TableFigureFooter"/>
        <w:rPr>
          <w:sz w:val="20"/>
        </w:rPr>
      </w:pPr>
      <w:r w:rsidRPr="00A95754">
        <w:t>Source: Table 2.5, pp 44-45 of the submission.</w:t>
      </w:r>
    </w:p>
    <w:p w14:paraId="5CEE503B" w14:textId="5EF88EDF" w:rsidR="00BA4874" w:rsidRPr="00C44D12" w:rsidRDefault="00BA4874" w:rsidP="00BA4874">
      <w:pPr>
        <w:pStyle w:val="3-BodyText"/>
        <w:rPr>
          <w:color w:val="0066FF"/>
        </w:rPr>
      </w:pPr>
      <w:r w:rsidRPr="00A95754">
        <w:t>The key features of TOPAZ-1 are summarised in</w:t>
      </w:r>
      <w:r w:rsidR="0025289C" w:rsidRPr="00A95754">
        <w:t xml:space="preserve"> </w:t>
      </w:r>
      <w:r w:rsidR="0025289C" w:rsidRPr="00A95754">
        <w:fldChar w:fldCharType="begin"/>
      </w:r>
      <w:r w:rsidR="0025289C" w:rsidRPr="00A95754">
        <w:instrText xml:space="preserve"> REF _Ref124181985 \h  \* MERGEFORMAT </w:instrText>
      </w:r>
      <w:r w:rsidR="0025289C" w:rsidRPr="00A95754">
        <w:fldChar w:fldCharType="separate"/>
      </w:r>
      <w:r w:rsidR="000178EC" w:rsidRPr="000178EC">
        <w:t>Table 3</w:t>
      </w:r>
      <w:r w:rsidR="0025289C" w:rsidRPr="00A95754">
        <w:fldChar w:fldCharType="end"/>
      </w:r>
      <w:r w:rsidRPr="00A95754">
        <w:t xml:space="preserve">. </w:t>
      </w:r>
      <w:r w:rsidRPr="00C44D12">
        <w:t>The risk of bias was determined to be low, and baseline characteristics were balanced between treatment arms.</w:t>
      </w:r>
    </w:p>
    <w:p w14:paraId="3D88C612" w14:textId="383812FB" w:rsidR="00BA4874" w:rsidRPr="00A95754" w:rsidRDefault="00BA4874" w:rsidP="003C043D">
      <w:pPr>
        <w:pStyle w:val="TableFigureHeading"/>
        <w:rPr>
          <w:rStyle w:val="CommentReference"/>
          <w:b/>
          <w:bCs w:val="0"/>
          <w:color w:val="000000" w:themeColor="text1"/>
        </w:rPr>
      </w:pPr>
      <w:bookmarkStart w:id="16" w:name="_Ref124181985"/>
      <w:r w:rsidRPr="00A95754">
        <w:rPr>
          <w:rStyle w:val="CommentReference"/>
          <w:b/>
          <w:bCs w:val="0"/>
          <w:color w:val="000000" w:themeColor="text1"/>
        </w:rPr>
        <w:lastRenderedPageBreak/>
        <w:t xml:space="preserve">Table </w:t>
      </w:r>
      <w:r w:rsidRPr="00A95754">
        <w:rPr>
          <w:rStyle w:val="CommentReference"/>
          <w:b/>
          <w:bCs w:val="0"/>
          <w:color w:val="000000" w:themeColor="text1"/>
        </w:rPr>
        <w:fldChar w:fldCharType="begin"/>
      </w:r>
      <w:r w:rsidRPr="00A95754">
        <w:rPr>
          <w:rStyle w:val="CommentReference"/>
          <w:b/>
          <w:bCs w:val="0"/>
          <w:color w:val="000000" w:themeColor="text1"/>
        </w:rPr>
        <w:instrText xml:space="preserve"> SEQ Table \* ARABIC </w:instrText>
      </w:r>
      <w:r w:rsidRPr="00A95754">
        <w:rPr>
          <w:rStyle w:val="CommentReference"/>
          <w:b/>
          <w:bCs w:val="0"/>
          <w:color w:val="000000" w:themeColor="text1"/>
        </w:rPr>
        <w:fldChar w:fldCharType="separate"/>
      </w:r>
      <w:r w:rsidR="000178EC">
        <w:rPr>
          <w:rStyle w:val="CommentReference"/>
          <w:b/>
          <w:bCs w:val="0"/>
          <w:noProof/>
          <w:color w:val="000000" w:themeColor="text1"/>
        </w:rPr>
        <w:t>3</w:t>
      </w:r>
      <w:r w:rsidRPr="00A95754">
        <w:rPr>
          <w:rStyle w:val="CommentReference"/>
          <w:b/>
          <w:bCs w:val="0"/>
          <w:color w:val="000000" w:themeColor="text1"/>
        </w:rPr>
        <w:fldChar w:fldCharType="end"/>
      </w:r>
      <w:bookmarkEnd w:id="16"/>
      <w:r w:rsidRPr="00A95754">
        <w:rPr>
          <w:rStyle w:val="CommentReference"/>
          <w:b/>
          <w:bCs w:val="0"/>
          <w:color w:val="000000" w:themeColor="text1"/>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BA4874" w:rsidRPr="00A95754" w14:paraId="46AEE225" w14:textId="77777777" w:rsidTr="00094E2F">
        <w:trPr>
          <w:cantSplit/>
          <w:tblHeader/>
        </w:trPr>
        <w:tc>
          <w:tcPr>
            <w:tcW w:w="713" w:type="pct"/>
            <w:shd w:val="clear" w:color="auto" w:fill="auto"/>
            <w:vAlign w:val="center"/>
          </w:tcPr>
          <w:p w14:paraId="432363D3" w14:textId="77777777" w:rsidR="00BA4874" w:rsidRPr="00A95754" w:rsidRDefault="00BA4874" w:rsidP="003C043D">
            <w:pPr>
              <w:pStyle w:val="In-tableHeading"/>
            </w:pPr>
            <w:r w:rsidRPr="00A95754">
              <w:t>Trial</w:t>
            </w:r>
          </w:p>
        </w:tc>
        <w:tc>
          <w:tcPr>
            <w:tcW w:w="466" w:type="pct"/>
            <w:shd w:val="clear" w:color="auto" w:fill="auto"/>
            <w:vAlign w:val="center"/>
          </w:tcPr>
          <w:p w14:paraId="3FB973D6" w14:textId="77777777" w:rsidR="00BA4874" w:rsidRPr="00A95754" w:rsidRDefault="00BA4874" w:rsidP="003C043D">
            <w:pPr>
              <w:pStyle w:val="In-tableHeading"/>
              <w:jc w:val="center"/>
            </w:pPr>
            <w:r w:rsidRPr="00A95754">
              <w:t>N</w:t>
            </w:r>
          </w:p>
        </w:tc>
        <w:tc>
          <w:tcPr>
            <w:tcW w:w="782" w:type="pct"/>
            <w:shd w:val="clear" w:color="auto" w:fill="auto"/>
            <w:vAlign w:val="center"/>
          </w:tcPr>
          <w:p w14:paraId="489DBEF2" w14:textId="77777777" w:rsidR="00BA4874" w:rsidRPr="00A95754" w:rsidRDefault="00BA4874" w:rsidP="003C043D">
            <w:pPr>
              <w:pStyle w:val="In-tableHeading"/>
              <w:jc w:val="center"/>
            </w:pPr>
            <w:r w:rsidRPr="00A95754">
              <w:t>Design/ duration</w:t>
            </w:r>
          </w:p>
        </w:tc>
        <w:tc>
          <w:tcPr>
            <w:tcW w:w="621" w:type="pct"/>
            <w:shd w:val="clear" w:color="auto" w:fill="auto"/>
            <w:vAlign w:val="center"/>
          </w:tcPr>
          <w:p w14:paraId="66B31A76" w14:textId="77777777" w:rsidR="00BA4874" w:rsidRPr="00A95754" w:rsidRDefault="00BA4874" w:rsidP="003C043D">
            <w:pPr>
              <w:pStyle w:val="In-tableHeading"/>
              <w:jc w:val="center"/>
            </w:pPr>
            <w:r w:rsidRPr="00A95754">
              <w:t>Risk of bias</w:t>
            </w:r>
          </w:p>
        </w:tc>
        <w:tc>
          <w:tcPr>
            <w:tcW w:w="857" w:type="pct"/>
            <w:shd w:val="clear" w:color="auto" w:fill="auto"/>
            <w:vAlign w:val="center"/>
          </w:tcPr>
          <w:p w14:paraId="000B04D3" w14:textId="77777777" w:rsidR="00BA4874" w:rsidRPr="00A95754" w:rsidRDefault="00BA4874" w:rsidP="003C043D">
            <w:pPr>
              <w:pStyle w:val="In-tableHeading"/>
              <w:jc w:val="center"/>
            </w:pPr>
            <w:r w:rsidRPr="00A95754">
              <w:t>Patient population</w:t>
            </w:r>
          </w:p>
        </w:tc>
        <w:tc>
          <w:tcPr>
            <w:tcW w:w="622" w:type="pct"/>
            <w:shd w:val="clear" w:color="auto" w:fill="auto"/>
            <w:vAlign w:val="center"/>
          </w:tcPr>
          <w:p w14:paraId="41C4D1F8" w14:textId="77777777" w:rsidR="00BA4874" w:rsidRPr="00A95754" w:rsidRDefault="00BA4874" w:rsidP="003C043D">
            <w:pPr>
              <w:pStyle w:val="In-tableHeading"/>
              <w:jc w:val="center"/>
            </w:pPr>
            <w:r w:rsidRPr="00A95754">
              <w:t>Outcomes</w:t>
            </w:r>
          </w:p>
        </w:tc>
        <w:tc>
          <w:tcPr>
            <w:tcW w:w="939" w:type="pct"/>
            <w:shd w:val="clear" w:color="auto" w:fill="auto"/>
            <w:vAlign w:val="center"/>
          </w:tcPr>
          <w:p w14:paraId="36B7DD3B" w14:textId="77777777" w:rsidR="00BA4874" w:rsidRPr="00A95754" w:rsidRDefault="00BA4874" w:rsidP="003C043D">
            <w:pPr>
              <w:pStyle w:val="In-tableHeading"/>
              <w:jc w:val="center"/>
            </w:pPr>
            <w:r w:rsidRPr="00A95754">
              <w:t>Use in modelled evaluation</w:t>
            </w:r>
          </w:p>
        </w:tc>
      </w:tr>
      <w:tr w:rsidR="00BA4874" w:rsidRPr="00A95754" w14:paraId="67A58B0A" w14:textId="77777777" w:rsidTr="00094E2F">
        <w:trPr>
          <w:cantSplit/>
        </w:trPr>
        <w:tc>
          <w:tcPr>
            <w:tcW w:w="5000" w:type="pct"/>
            <w:gridSpan w:val="7"/>
            <w:shd w:val="clear" w:color="auto" w:fill="auto"/>
            <w:vAlign w:val="center"/>
          </w:tcPr>
          <w:p w14:paraId="3E268ABF" w14:textId="77777777" w:rsidR="00BA4874" w:rsidRPr="00A95754" w:rsidRDefault="00BA4874" w:rsidP="003C043D">
            <w:pPr>
              <w:pStyle w:val="In-tableHeading"/>
            </w:pPr>
            <w:r w:rsidRPr="00A95754">
              <w:t>Durvalumab + GemCis vs placebo + GemCis</w:t>
            </w:r>
          </w:p>
        </w:tc>
      </w:tr>
      <w:tr w:rsidR="00BA4874" w:rsidRPr="00A95754" w14:paraId="1F04EA4D" w14:textId="77777777" w:rsidTr="00094E2F">
        <w:trPr>
          <w:cantSplit/>
        </w:trPr>
        <w:tc>
          <w:tcPr>
            <w:tcW w:w="713" w:type="pct"/>
            <w:shd w:val="clear" w:color="auto" w:fill="auto"/>
            <w:vAlign w:val="center"/>
          </w:tcPr>
          <w:p w14:paraId="54D3EDAD" w14:textId="77777777" w:rsidR="00BA4874" w:rsidRPr="00A95754" w:rsidRDefault="00BA4874" w:rsidP="003C043D">
            <w:pPr>
              <w:pStyle w:val="TableText0"/>
              <w:rPr>
                <w:lang w:val="en-US"/>
              </w:rPr>
            </w:pPr>
            <w:r w:rsidRPr="00A95754">
              <w:rPr>
                <w:lang w:val="en-US"/>
              </w:rPr>
              <w:t>TOPAZ-1</w:t>
            </w:r>
          </w:p>
        </w:tc>
        <w:tc>
          <w:tcPr>
            <w:tcW w:w="466" w:type="pct"/>
            <w:shd w:val="clear" w:color="auto" w:fill="auto"/>
            <w:vAlign w:val="center"/>
          </w:tcPr>
          <w:p w14:paraId="6151E707" w14:textId="77777777" w:rsidR="00BA4874" w:rsidRPr="00A95754" w:rsidRDefault="00BA4874" w:rsidP="003C043D">
            <w:pPr>
              <w:pStyle w:val="TableText0"/>
              <w:jc w:val="center"/>
              <w:rPr>
                <w:lang w:val="en-US"/>
              </w:rPr>
            </w:pPr>
            <w:r w:rsidRPr="00A95754">
              <w:rPr>
                <w:lang w:val="en-US"/>
              </w:rPr>
              <w:t>685</w:t>
            </w:r>
          </w:p>
        </w:tc>
        <w:tc>
          <w:tcPr>
            <w:tcW w:w="782" w:type="pct"/>
            <w:shd w:val="clear" w:color="auto" w:fill="auto"/>
            <w:vAlign w:val="center"/>
          </w:tcPr>
          <w:p w14:paraId="1E18E7F0" w14:textId="77777777" w:rsidR="00BA4874" w:rsidRPr="00A95754" w:rsidRDefault="00BA4874" w:rsidP="003C043D">
            <w:pPr>
              <w:pStyle w:val="TableText0"/>
              <w:jc w:val="center"/>
              <w:rPr>
                <w:lang w:val="en-US"/>
              </w:rPr>
            </w:pPr>
            <w:r w:rsidRPr="00A95754">
              <w:rPr>
                <w:lang w:val="en-US"/>
              </w:rPr>
              <w:t>R, MC, DB</w:t>
            </w:r>
          </w:p>
          <w:p w14:paraId="3C86A759" w14:textId="77777777" w:rsidR="00BA4874" w:rsidRPr="00A95754" w:rsidRDefault="00BA4874" w:rsidP="003C043D">
            <w:pPr>
              <w:pStyle w:val="TableText0"/>
              <w:jc w:val="center"/>
              <w:rPr>
                <w:vertAlign w:val="superscript"/>
                <w:lang w:val="en-US"/>
              </w:rPr>
            </w:pPr>
            <w:r w:rsidRPr="00A95754">
              <w:rPr>
                <w:lang w:val="en-US"/>
              </w:rPr>
              <w:t>23.4 mths</w:t>
            </w:r>
            <w:r w:rsidRPr="00A95754">
              <w:rPr>
                <w:vertAlign w:val="superscript"/>
                <w:lang w:val="en-US"/>
              </w:rPr>
              <w:t>a</w:t>
            </w:r>
          </w:p>
        </w:tc>
        <w:tc>
          <w:tcPr>
            <w:tcW w:w="621" w:type="pct"/>
            <w:shd w:val="clear" w:color="auto" w:fill="auto"/>
            <w:vAlign w:val="center"/>
          </w:tcPr>
          <w:p w14:paraId="14CECDE9" w14:textId="77777777" w:rsidR="00BA4874" w:rsidRPr="003C66C7" w:rsidRDefault="00BA4874" w:rsidP="003C043D">
            <w:pPr>
              <w:pStyle w:val="TableText0"/>
              <w:jc w:val="center"/>
              <w:rPr>
                <w:iCs/>
                <w:lang w:val="en-US"/>
              </w:rPr>
            </w:pPr>
            <w:r w:rsidRPr="003C66C7">
              <w:rPr>
                <w:iCs/>
                <w:lang w:val="en-US"/>
              </w:rPr>
              <w:t>Low</w:t>
            </w:r>
          </w:p>
        </w:tc>
        <w:tc>
          <w:tcPr>
            <w:tcW w:w="857" w:type="pct"/>
            <w:shd w:val="clear" w:color="auto" w:fill="auto"/>
            <w:vAlign w:val="center"/>
          </w:tcPr>
          <w:p w14:paraId="5CBE2F8C" w14:textId="77777777" w:rsidR="00BA4874" w:rsidRPr="00A95754" w:rsidRDefault="00BA4874" w:rsidP="003C043D">
            <w:pPr>
              <w:pStyle w:val="TableText0"/>
              <w:jc w:val="center"/>
              <w:rPr>
                <w:lang w:val="en-US"/>
              </w:rPr>
            </w:pPr>
            <w:r w:rsidRPr="00A95754">
              <w:rPr>
                <w:lang w:val="en-US"/>
              </w:rPr>
              <w:t>First-line advanced biliary tract cancers</w:t>
            </w:r>
          </w:p>
        </w:tc>
        <w:tc>
          <w:tcPr>
            <w:tcW w:w="622" w:type="pct"/>
            <w:shd w:val="clear" w:color="auto" w:fill="auto"/>
            <w:vAlign w:val="center"/>
          </w:tcPr>
          <w:p w14:paraId="0732E7C7" w14:textId="77777777" w:rsidR="00BA4874" w:rsidRPr="00A95754" w:rsidRDefault="00BA4874" w:rsidP="003C043D">
            <w:pPr>
              <w:pStyle w:val="TableText0"/>
              <w:jc w:val="center"/>
              <w:rPr>
                <w:lang w:val="en-US"/>
              </w:rPr>
            </w:pPr>
            <w:r w:rsidRPr="00A95754">
              <w:rPr>
                <w:lang w:val="en-US"/>
              </w:rPr>
              <w:t>Primary: OS</w:t>
            </w:r>
          </w:p>
          <w:p w14:paraId="46F26F92" w14:textId="77777777" w:rsidR="00BA4874" w:rsidRPr="00A95754" w:rsidRDefault="00BA4874" w:rsidP="003C043D">
            <w:pPr>
              <w:pStyle w:val="TableText0"/>
              <w:jc w:val="center"/>
              <w:rPr>
                <w:lang w:val="en-US"/>
              </w:rPr>
            </w:pPr>
            <w:r w:rsidRPr="00A95754">
              <w:rPr>
                <w:lang w:val="en-US"/>
              </w:rPr>
              <w:t>Secondary: PFS, ORR, DoR, PRO, safety</w:t>
            </w:r>
          </w:p>
        </w:tc>
        <w:tc>
          <w:tcPr>
            <w:tcW w:w="939" w:type="pct"/>
            <w:shd w:val="clear" w:color="auto" w:fill="auto"/>
            <w:vAlign w:val="center"/>
          </w:tcPr>
          <w:p w14:paraId="5DAF094E" w14:textId="77777777" w:rsidR="00BA4874" w:rsidRPr="00A95754" w:rsidRDefault="00BA4874" w:rsidP="003C043D">
            <w:pPr>
              <w:pStyle w:val="TableText0"/>
              <w:jc w:val="center"/>
              <w:rPr>
                <w:lang w:val="en-US"/>
              </w:rPr>
            </w:pPr>
            <w:r w:rsidRPr="00A95754">
              <w:rPr>
                <w:lang w:val="en-US"/>
              </w:rPr>
              <w:t>PFS, OS, Safety, PRO, TTD</w:t>
            </w:r>
          </w:p>
        </w:tc>
      </w:tr>
    </w:tbl>
    <w:p w14:paraId="1A9D5435" w14:textId="77777777" w:rsidR="00BA4874" w:rsidRPr="00A95754" w:rsidRDefault="00BA4874" w:rsidP="003C043D">
      <w:pPr>
        <w:pStyle w:val="TableFigureFooter"/>
        <w:keepNext/>
      </w:pPr>
      <w:r w:rsidRPr="00A95754">
        <w:t>Source: Table 2.17, pp 64-66 of the submission.</w:t>
      </w:r>
    </w:p>
    <w:p w14:paraId="20B42CA1" w14:textId="77777777" w:rsidR="00BA4874" w:rsidRPr="00A95754" w:rsidRDefault="00BA4874" w:rsidP="003C043D">
      <w:pPr>
        <w:pStyle w:val="TableFigureFooter"/>
        <w:keepNext/>
      </w:pPr>
      <w:r w:rsidRPr="00A95754">
        <w:t>DB = double blind; DoR = duration of response; GemCis = gemcitabine + cisplatin; MC = multi-centre; mths = months; ORR = objective response rate; OS = overall survival; PFS = progression-free survival; PRO = patient-reported outcomes (includes global health status and health-related quality of life measures); R = randomised; TTD = time to treatment discontinuation.</w:t>
      </w:r>
    </w:p>
    <w:p w14:paraId="3B20D8E2" w14:textId="77777777" w:rsidR="00BA4874" w:rsidRPr="00A95754" w:rsidRDefault="00BA4874" w:rsidP="00BA4874">
      <w:pPr>
        <w:pStyle w:val="TableFigureFooter"/>
        <w:rPr>
          <w:sz w:val="20"/>
        </w:rPr>
      </w:pPr>
      <w:r w:rsidRPr="00A95754">
        <w:rPr>
          <w:vertAlign w:val="superscript"/>
        </w:rPr>
        <w:t>a</w:t>
      </w:r>
      <w:r w:rsidRPr="00A95754">
        <w:t xml:space="preserve"> At the additional 6.5-month follow-up after interim analysis 2.</w:t>
      </w:r>
    </w:p>
    <w:p w14:paraId="1559B151" w14:textId="09FF2919" w:rsidR="00BF581C" w:rsidRDefault="00BF581C" w:rsidP="00BF581C">
      <w:pPr>
        <w:pStyle w:val="3-BodyText"/>
      </w:pPr>
      <w:bookmarkStart w:id="17" w:name="_Toc124925610"/>
      <w:r>
        <w:t>The PBAC noted the median age of patients in the study was 64 years, 49% had a performance status of 0 and all patients had adequate liver function (as defined by inclusion criteria w</w:t>
      </w:r>
      <w:r w:rsidR="008A5DEA">
        <w:t>hich</w:t>
      </w:r>
      <w:r>
        <w:t xml:space="preserve"> required bilirubin </w:t>
      </w:r>
      <w:r>
        <w:rPr>
          <w:rFonts w:cstheme="minorHAnsi"/>
        </w:rPr>
        <w:t>≤</w:t>
      </w:r>
      <w:r w:rsidR="007F02EB">
        <w:t> </w:t>
      </w:r>
      <w:r>
        <w:t xml:space="preserve">2.5 x upper limit of normal and ALT/ AST </w:t>
      </w:r>
      <w:r w:rsidR="007F02EB">
        <w:rPr>
          <w:rFonts w:cstheme="minorHAnsi"/>
        </w:rPr>
        <w:t>≤</w:t>
      </w:r>
      <w:r w:rsidR="007F02EB">
        <w:t> </w:t>
      </w:r>
      <w:r>
        <w:t>2.5 x upper limit of normal). The PBAC considered the population of patients in TOPAZ-1</w:t>
      </w:r>
      <w:r w:rsidR="00DF0F8B">
        <w:t xml:space="preserve"> is likely to be f</w:t>
      </w:r>
      <w:r>
        <w:t xml:space="preserve">itter than the PBS population. </w:t>
      </w:r>
    </w:p>
    <w:p w14:paraId="762D1902" w14:textId="12DF234B" w:rsidR="00BA4874" w:rsidRPr="00A95754" w:rsidRDefault="00BA4874" w:rsidP="00BA4874">
      <w:pPr>
        <w:pStyle w:val="4-SubsectionHeading"/>
      </w:pPr>
      <w:r w:rsidRPr="00A95754">
        <w:t>Comparative effectiveness</w:t>
      </w:r>
      <w:bookmarkEnd w:id="17"/>
    </w:p>
    <w:p w14:paraId="3B2569CC" w14:textId="2A3286F7" w:rsidR="00BA4874" w:rsidRPr="00A95754" w:rsidRDefault="00BA4874" w:rsidP="00BA4874">
      <w:pPr>
        <w:pStyle w:val="3-BodyText"/>
        <w:rPr>
          <w:color w:val="000000" w:themeColor="text1"/>
        </w:rPr>
      </w:pPr>
      <w:r w:rsidRPr="00A95754">
        <w:rPr>
          <w:color w:val="000000" w:themeColor="text1"/>
        </w:rPr>
        <w:t xml:space="preserve">The efficacy from TOPAZ-1 was presented based on analyses at two data cuts; the planned interim analysis 2 (IA-2; August 2021) which reported all outcomes, and an unplanned overall survival (OS) and safety update, performed </w:t>
      </w:r>
      <w:r w:rsidR="00011BE3" w:rsidRPr="00A95754">
        <w:rPr>
          <w:color w:val="000000" w:themeColor="text1"/>
        </w:rPr>
        <w:t xml:space="preserve">with an additional </w:t>
      </w:r>
      <w:r w:rsidRPr="00A95754">
        <w:rPr>
          <w:color w:val="000000" w:themeColor="text1"/>
        </w:rPr>
        <w:t>6.5</w:t>
      </w:r>
      <w:r w:rsidR="007F02EB">
        <w:rPr>
          <w:color w:val="000000" w:themeColor="text1"/>
        </w:rPr>
        <w:t> </w:t>
      </w:r>
      <w:r w:rsidRPr="00A95754">
        <w:rPr>
          <w:color w:val="000000" w:themeColor="text1"/>
        </w:rPr>
        <w:t xml:space="preserve">months </w:t>
      </w:r>
      <w:r w:rsidR="00011BE3" w:rsidRPr="00A95754">
        <w:rPr>
          <w:color w:val="000000" w:themeColor="text1"/>
        </w:rPr>
        <w:t>of follow-up</w:t>
      </w:r>
      <w:r w:rsidR="003C66C7">
        <w:rPr>
          <w:color w:val="000000" w:themeColor="text1"/>
        </w:rPr>
        <w:t xml:space="preserve"> (</w:t>
      </w:r>
      <w:r w:rsidR="003C66C7" w:rsidRPr="008D5FDE">
        <w:rPr>
          <w:color w:val="000000" w:themeColor="text1"/>
        </w:rPr>
        <w:t>February 2022)</w:t>
      </w:r>
      <w:r w:rsidRPr="008D5FDE">
        <w:rPr>
          <w:color w:val="000000" w:themeColor="text1"/>
        </w:rPr>
        <w:t>.</w:t>
      </w:r>
      <w:r w:rsidRPr="00A95754">
        <w:rPr>
          <w:color w:val="000000" w:themeColor="text1"/>
        </w:rPr>
        <w:t xml:space="preserve"> </w:t>
      </w:r>
      <w:r w:rsidRPr="00C44D12">
        <w:rPr>
          <w:color w:val="000000" w:themeColor="text1"/>
        </w:rPr>
        <w:t>The additional 6.5-month follow-up provided maturity to the</w:t>
      </w:r>
      <w:r w:rsidR="00375493" w:rsidRPr="00C44D12">
        <w:rPr>
          <w:color w:val="000000" w:themeColor="text1"/>
        </w:rPr>
        <w:t xml:space="preserve"> </w:t>
      </w:r>
      <w:r w:rsidRPr="00C44D12">
        <w:rPr>
          <w:color w:val="000000" w:themeColor="text1"/>
        </w:rPr>
        <w:t>OS results, but as it was not prespecified, p-values were not calculated and statistical significance not tested</w:t>
      </w:r>
      <w:r w:rsidRPr="00A95754">
        <w:rPr>
          <w:i/>
          <w:iCs/>
          <w:color w:val="000000" w:themeColor="text1"/>
        </w:rPr>
        <w:t>.</w:t>
      </w:r>
    </w:p>
    <w:p w14:paraId="25588B8E" w14:textId="5564165F" w:rsidR="00BA4874" w:rsidRPr="00A95754" w:rsidRDefault="00BA4874" w:rsidP="00BA4874">
      <w:pPr>
        <w:pStyle w:val="3-BodyText"/>
        <w:rPr>
          <w:color w:val="000000" w:themeColor="text1"/>
        </w:rPr>
      </w:pPr>
      <w:r w:rsidRPr="00A95754">
        <w:rPr>
          <w:color w:val="000000" w:themeColor="text1"/>
        </w:rPr>
        <w:t xml:space="preserve">The proportional hazards assumption was violated for the </w:t>
      </w:r>
      <w:r w:rsidR="00375493" w:rsidRPr="00A95754">
        <w:rPr>
          <w:color w:val="000000" w:themeColor="text1"/>
        </w:rPr>
        <w:t xml:space="preserve">primary outcome of OS and secondary </w:t>
      </w:r>
      <w:r w:rsidRPr="00A95754">
        <w:rPr>
          <w:color w:val="000000" w:themeColor="text1"/>
        </w:rPr>
        <w:t>outcome of PFS, as tested for by the log(-log(S)) versus log(time), Cox-Snell and Schoenfeld residuals present</w:t>
      </w:r>
      <w:r w:rsidR="00011BE3" w:rsidRPr="00A95754">
        <w:rPr>
          <w:color w:val="000000" w:themeColor="text1"/>
        </w:rPr>
        <w:t>ed</w:t>
      </w:r>
      <w:r w:rsidRPr="00A95754">
        <w:rPr>
          <w:color w:val="000000" w:themeColor="text1"/>
        </w:rPr>
        <w:t xml:space="preserve"> in the submission. </w:t>
      </w:r>
      <w:r w:rsidRPr="00C44D12">
        <w:rPr>
          <w:color w:val="000000" w:themeColor="text1"/>
        </w:rPr>
        <w:t>Therefore, the corresponding hazard ratios (HR), confidence intervals (CI) and p-values are potentially misleading and should be interpreted with caution. The submission provided landmark analyses at different time points which may represent the best way of interpreting PFS and OS efficacy data from TOPAZ-1</w:t>
      </w:r>
      <w:r w:rsidRPr="00A95754">
        <w:rPr>
          <w:i/>
          <w:iCs/>
          <w:color w:val="000000" w:themeColor="text1"/>
        </w:rPr>
        <w:t>.</w:t>
      </w:r>
      <w:r w:rsidRPr="00A95754">
        <w:rPr>
          <w:color w:val="000000" w:themeColor="text1"/>
        </w:rPr>
        <w:t xml:space="preserve"> </w:t>
      </w:r>
    </w:p>
    <w:p w14:paraId="1526A5B7" w14:textId="62F97178" w:rsidR="00BA4874" w:rsidRPr="00A95754" w:rsidRDefault="00BA4874" w:rsidP="00BA4874">
      <w:pPr>
        <w:pStyle w:val="3-BodyText"/>
        <w:rPr>
          <w:color w:val="000000" w:themeColor="text1"/>
        </w:rPr>
      </w:pPr>
      <w:r w:rsidRPr="00A95754">
        <w:rPr>
          <w:color w:val="000000" w:themeColor="text1"/>
        </w:rPr>
        <w:t>The OS results from both data-cuts, and the Kaplan-Meier plot of the most recent</w:t>
      </w:r>
      <w:r w:rsidR="006B08CD">
        <w:rPr>
          <w:color w:val="000000" w:themeColor="text1"/>
        </w:rPr>
        <w:t xml:space="preserve"> </w:t>
      </w:r>
      <w:r w:rsidRPr="00A95754">
        <w:rPr>
          <w:color w:val="000000" w:themeColor="text1"/>
        </w:rPr>
        <w:t>data</w:t>
      </w:r>
      <w:r w:rsidR="00E80529" w:rsidRPr="00A95754">
        <w:rPr>
          <w:color w:val="000000" w:themeColor="text1"/>
        </w:rPr>
        <w:t>-cut (February 2022)</w:t>
      </w:r>
      <w:r w:rsidRPr="00A95754">
        <w:rPr>
          <w:color w:val="000000" w:themeColor="text1"/>
        </w:rPr>
        <w:t xml:space="preserve">, are presented in </w:t>
      </w:r>
      <w:r w:rsidR="0025289C" w:rsidRPr="00A95754">
        <w:rPr>
          <w:color w:val="000000" w:themeColor="text1"/>
        </w:rPr>
        <w:fldChar w:fldCharType="begin"/>
      </w:r>
      <w:r w:rsidR="0025289C" w:rsidRPr="00A95754">
        <w:rPr>
          <w:color w:val="000000" w:themeColor="text1"/>
        </w:rPr>
        <w:instrText xml:space="preserve"> REF _Ref124182084 \h </w:instrText>
      </w:r>
      <w:r w:rsidR="004D2C5E" w:rsidRPr="00A95754">
        <w:rPr>
          <w:color w:val="000000" w:themeColor="text1"/>
        </w:rPr>
        <w:instrText xml:space="preserve"> \* MERGEFORMAT </w:instrText>
      </w:r>
      <w:r w:rsidR="0025289C" w:rsidRPr="00A95754">
        <w:rPr>
          <w:color w:val="000000" w:themeColor="text1"/>
        </w:rPr>
      </w:r>
      <w:r w:rsidR="0025289C" w:rsidRPr="00A95754">
        <w:rPr>
          <w:color w:val="000000" w:themeColor="text1"/>
        </w:rPr>
        <w:fldChar w:fldCharType="separate"/>
      </w:r>
      <w:r w:rsidR="000178EC" w:rsidRPr="00A95754">
        <w:t xml:space="preserve">Table </w:t>
      </w:r>
      <w:r w:rsidR="000178EC">
        <w:rPr>
          <w:noProof/>
        </w:rPr>
        <w:t>4</w:t>
      </w:r>
      <w:r w:rsidR="0025289C" w:rsidRPr="00A95754">
        <w:rPr>
          <w:color w:val="000000" w:themeColor="text1"/>
        </w:rPr>
        <w:fldChar w:fldCharType="end"/>
      </w:r>
      <w:r w:rsidR="0025289C" w:rsidRPr="00A95754">
        <w:rPr>
          <w:color w:val="000000" w:themeColor="text1"/>
        </w:rPr>
        <w:t xml:space="preserve"> </w:t>
      </w:r>
      <w:r w:rsidRPr="00A95754">
        <w:rPr>
          <w:color w:val="000000" w:themeColor="text1"/>
        </w:rPr>
        <w:t>and</w:t>
      </w:r>
      <w:r w:rsidR="0025289C" w:rsidRPr="00A95754">
        <w:rPr>
          <w:color w:val="000000" w:themeColor="text1"/>
        </w:rPr>
        <w:t xml:space="preserve"> </w:t>
      </w:r>
      <w:r w:rsidR="0025289C" w:rsidRPr="00A95754">
        <w:rPr>
          <w:color w:val="000000" w:themeColor="text1"/>
        </w:rPr>
        <w:fldChar w:fldCharType="begin"/>
      </w:r>
      <w:r w:rsidR="0025289C" w:rsidRPr="00A95754">
        <w:rPr>
          <w:color w:val="000000" w:themeColor="text1"/>
        </w:rPr>
        <w:instrText xml:space="preserve"> REF _Ref124182073 \h </w:instrText>
      </w:r>
      <w:r w:rsidR="004D2C5E" w:rsidRPr="00A95754">
        <w:rPr>
          <w:color w:val="000000" w:themeColor="text1"/>
        </w:rPr>
        <w:instrText xml:space="preserve"> \* MERGEFORMAT </w:instrText>
      </w:r>
      <w:r w:rsidR="0025289C" w:rsidRPr="00A95754">
        <w:rPr>
          <w:color w:val="000000" w:themeColor="text1"/>
        </w:rPr>
      </w:r>
      <w:r w:rsidR="0025289C" w:rsidRPr="00A95754">
        <w:rPr>
          <w:color w:val="000000" w:themeColor="text1"/>
        </w:rPr>
        <w:fldChar w:fldCharType="separate"/>
      </w:r>
      <w:r w:rsidR="000178EC" w:rsidRPr="00BD05AE">
        <w:t xml:space="preserve">Figure </w:t>
      </w:r>
      <w:r w:rsidR="000178EC">
        <w:rPr>
          <w:noProof/>
        </w:rPr>
        <w:t>1</w:t>
      </w:r>
      <w:r w:rsidR="0025289C" w:rsidRPr="00A95754">
        <w:rPr>
          <w:color w:val="000000" w:themeColor="text1"/>
        </w:rPr>
        <w:fldChar w:fldCharType="end"/>
      </w:r>
      <w:r w:rsidRPr="00A95754">
        <w:rPr>
          <w:color w:val="000000" w:themeColor="text1"/>
        </w:rPr>
        <w:t xml:space="preserve">, respectively. </w:t>
      </w:r>
    </w:p>
    <w:p w14:paraId="06B0214B" w14:textId="02567F2F" w:rsidR="00BA4874" w:rsidRPr="00A95754" w:rsidRDefault="00BA4874" w:rsidP="00BA4874">
      <w:pPr>
        <w:pStyle w:val="TableFigureHeading"/>
      </w:pPr>
      <w:bookmarkStart w:id="18" w:name="_Ref124182084"/>
      <w:r w:rsidRPr="00A95754">
        <w:lastRenderedPageBreak/>
        <w:t xml:space="preserve">Table </w:t>
      </w:r>
      <w:fldSimple w:instr=" SEQ Table \* ARABIC ">
        <w:r w:rsidR="000178EC">
          <w:rPr>
            <w:noProof/>
          </w:rPr>
          <w:t>4</w:t>
        </w:r>
      </w:fldSimple>
      <w:bookmarkEnd w:id="18"/>
      <w:r w:rsidRPr="00A95754">
        <w:t xml:space="preserve">: </w:t>
      </w:r>
      <w:r w:rsidRPr="00A95754">
        <w:rPr>
          <w:rStyle w:val="CommentReference"/>
          <w:b/>
          <w:szCs w:val="24"/>
        </w:rPr>
        <w:t xml:space="preserve">Overall survival, TOPAZ-1 FAS at IA-2 and additional 6.5-month follow-up </w:t>
      </w:r>
    </w:p>
    <w:tbl>
      <w:tblPr>
        <w:tblStyle w:val="TableGrid"/>
        <w:tblW w:w="5132" w:type="pct"/>
        <w:tblLook w:val="04A0" w:firstRow="1" w:lastRow="0" w:firstColumn="1" w:lastColumn="0" w:noHBand="0" w:noVBand="1"/>
      </w:tblPr>
      <w:tblGrid>
        <w:gridCol w:w="2423"/>
        <w:gridCol w:w="1731"/>
        <w:gridCol w:w="1744"/>
        <w:gridCol w:w="1660"/>
        <w:gridCol w:w="1697"/>
      </w:tblGrid>
      <w:tr w:rsidR="00BA4874" w:rsidRPr="00A95754" w14:paraId="22FC2029" w14:textId="77777777" w:rsidTr="00094E2F">
        <w:trPr>
          <w:tblHeader/>
        </w:trPr>
        <w:tc>
          <w:tcPr>
            <w:tcW w:w="1309" w:type="pct"/>
            <w:vMerge w:val="restart"/>
            <w:vAlign w:val="center"/>
          </w:tcPr>
          <w:p w14:paraId="2DF9FC7C" w14:textId="77777777" w:rsidR="00BA4874" w:rsidRPr="00A95754" w:rsidRDefault="00BA4874" w:rsidP="00094E2F">
            <w:pPr>
              <w:pStyle w:val="TableText0"/>
              <w:rPr>
                <w:b/>
                <w:bCs w:val="0"/>
                <w:szCs w:val="20"/>
              </w:rPr>
            </w:pPr>
          </w:p>
        </w:tc>
        <w:tc>
          <w:tcPr>
            <w:tcW w:w="1877" w:type="pct"/>
            <w:gridSpan w:val="2"/>
            <w:vAlign w:val="center"/>
          </w:tcPr>
          <w:p w14:paraId="6A57EA66" w14:textId="77777777" w:rsidR="00BA4874" w:rsidRPr="00A95754" w:rsidRDefault="00BA4874" w:rsidP="00094E2F">
            <w:pPr>
              <w:pStyle w:val="TableText0"/>
              <w:jc w:val="center"/>
              <w:rPr>
                <w:b/>
                <w:szCs w:val="20"/>
              </w:rPr>
            </w:pPr>
            <w:r w:rsidRPr="00A95754">
              <w:rPr>
                <w:b/>
                <w:szCs w:val="20"/>
              </w:rPr>
              <w:t>IA-2 (11 August 2021)</w:t>
            </w:r>
          </w:p>
        </w:tc>
        <w:tc>
          <w:tcPr>
            <w:tcW w:w="1814" w:type="pct"/>
            <w:gridSpan w:val="2"/>
            <w:vAlign w:val="center"/>
          </w:tcPr>
          <w:p w14:paraId="49C84497" w14:textId="0CDEFDF1" w:rsidR="00BA4874" w:rsidRPr="00A95754" w:rsidRDefault="00F03949" w:rsidP="00094E2F">
            <w:pPr>
              <w:pStyle w:val="TableText0"/>
              <w:jc w:val="center"/>
              <w:rPr>
                <w:b/>
                <w:bCs w:val="0"/>
                <w:szCs w:val="20"/>
              </w:rPr>
            </w:pPr>
            <w:r>
              <w:rPr>
                <w:b/>
                <w:szCs w:val="20"/>
              </w:rPr>
              <w:t xml:space="preserve">Additional </w:t>
            </w:r>
            <w:r w:rsidR="00BA4874" w:rsidRPr="00A95754">
              <w:rPr>
                <w:b/>
                <w:szCs w:val="20"/>
              </w:rPr>
              <w:t>6.5-month follow-up (25 February 2022)</w:t>
            </w:r>
          </w:p>
        </w:tc>
      </w:tr>
      <w:tr w:rsidR="00BA4874" w:rsidRPr="00A95754" w14:paraId="0BAD8AD2" w14:textId="77777777" w:rsidTr="00094E2F">
        <w:trPr>
          <w:tblHeader/>
        </w:trPr>
        <w:tc>
          <w:tcPr>
            <w:tcW w:w="1309" w:type="pct"/>
            <w:vMerge/>
            <w:vAlign w:val="center"/>
          </w:tcPr>
          <w:p w14:paraId="3D6A8D6D" w14:textId="77777777" w:rsidR="00BA4874" w:rsidRPr="00A95754" w:rsidRDefault="00BA4874" w:rsidP="00094E2F">
            <w:pPr>
              <w:pStyle w:val="TableText0"/>
              <w:rPr>
                <w:b/>
                <w:bCs w:val="0"/>
                <w:szCs w:val="20"/>
              </w:rPr>
            </w:pPr>
          </w:p>
        </w:tc>
        <w:tc>
          <w:tcPr>
            <w:tcW w:w="935" w:type="pct"/>
            <w:vAlign w:val="center"/>
          </w:tcPr>
          <w:p w14:paraId="3BC061D8" w14:textId="77777777" w:rsidR="00BA4874" w:rsidRPr="00A95754" w:rsidRDefault="00BA4874" w:rsidP="00094E2F">
            <w:pPr>
              <w:pStyle w:val="TableText0"/>
              <w:jc w:val="center"/>
              <w:rPr>
                <w:b/>
                <w:bCs w:val="0"/>
                <w:szCs w:val="20"/>
              </w:rPr>
            </w:pPr>
            <w:r w:rsidRPr="00A95754">
              <w:rPr>
                <w:b/>
                <w:szCs w:val="20"/>
              </w:rPr>
              <w:t>Durvalumab + GemCis (N=341)</w:t>
            </w:r>
          </w:p>
        </w:tc>
        <w:tc>
          <w:tcPr>
            <w:tcW w:w="942" w:type="pct"/>
            <w:vAlign w:val="center"/>
          </w:tcPr>
          <w:p w14:paraId="5E766DBD" w14:textId="77777777" w:rsidR="00BA4874" w:rsidRPr="00A95754" w:rsidRDefault="00BA4874" w:rsidP="00094E2F">
            <w:pPr>
              <w:pStyle w:val="TableText0"/>
              <w:jc w:val="center"/>
              <w:rPr>
                <w:b/>
                <w:szCs w:val="20"/>
              </w:rPr>
            </w:pPr>
            <w:r w:rsidRPr="00A95754">
              <w:rPr>
                <w:b/>
                <w:szCs w:val="20"/>
              </w:rPr>
              <w:t>Placebo + GemCis</w:t>
            </w:r>
          </w:p>
          <w:p w14:paraId="005CD670" w14:textId="77777777" w:rsidR="00BA4874" w:rsidRPr="00A95754" w:rsidRDefault="00BA4874" w:rsidP="00094E2F">
            <w:pPr>
              <w:pStyle w:val="TableText0"/>
              <w:jc w:val="center"/>
              <w:rPr>
                <w:b/>
                <w:bCs w:val="0"/>
                <w:szCs w:val="20"/>
              </w:rPr>
            </w:pPr>
            <w:r w:rsidRPr="00A95754">
              <w:rPr>
                <w:b/>
                <w:bCs w:val="0"/>
                <w:szCs w:val="20"/>
              </w:rPr>
              <w:t>(N=344)</w:t>
            </w:r>
          </w:p>
        </w:tc>
        <w:tc>
          <w:tcPr>
            <w:tcW w:w="897" w:type="pct"/>
            <w:vAlign w:val="center"/>
          </w:tcPr>
          <w:p w14:paraId="049B33F3" w14:textId="77777777" w:rsidR="00BA4874" w:rsidRPr="00A95754" w:rsidRDefault="00BA4874" w:rsidP="00094E2F">
            <w:pPr>
              <w:pStyle w:val="TableText0"/>
              <w:jc w:val="center"/>
              <w:rPr>
                <w:b/>
                <w:bCs w:val="0"/>
                <w:szCs w:val="20"/>
              </w:rPr>
            </w:pPr>
            <w:r w:rsidRPr="00A95754">
              <w:rPr>
                <w:b/>
                <w:szCs w:val="20"/>
              </w:rPr>
              <w:t>Durvalumab + GemCis (</w:t>
            </w:r>
            <w:r w:rsidRPr="00A95754">
              <w:rPr>
                <w:b/>
                <w:bCs w:val="0"/>
                <w:szCs w:val="20"/>
              </w:rPr>
              <w:t>N=</w:t>
            </w:r>
            <w:r w:rsidRPr="00A95754">
              <w:rPr>
                <w:b/>
                <w:szCs w:val="20"/>
              </w:rPr>
              <w:t>341)</w:t>
            </w:r>
          </w:p>
        </w:tc>
        <w:tc>
          <w:tcPr>
            <w:tcW w:w="917" w:type="pct"/>
            <w:vAlign w:val="center"/>
          </w:tcPr>
          <w:p w14:paraId="512499AA" w14:textId="77777777" w:rsidR="00BA4874" w:rsidRPr="00A95754" w:rsidRDefault="00BA4874" w:rsidP="00094E2F">
            <w:pPr>
              <w:pStyle w:val="TableText0"/>
              <w:jc w:val="center"/>
              <w:rPr>
                <w:b/>
                <w:szCs w:val="20"/>
              </w:rPr>
            </w:pPr>
            <w:r w:rsidRPr="00A95754">
              <w:rPr>
                <w:b/>
                <w:szCs w:val="20"/>
              </w:rPr>
              <w:t>Placebo + GemCis</w:t>
            </w:r>
          </w:p>
          <w:p w14:paraId="0427F34D" w14:textId="77777777" w:rsidR="00BA4874" w:rsidRPr="00A95754" w:rsidRDefault="00BA4874" w:rsidP="00094E2F">
            <w:pPr>
              <w:pStyle w:val="TableText0"/>
              <w:jc w:val="center"/>
              <w:rPr>
                <w:b/>
                <w:bCs w:val="0"/>
                <w:szCs w:val="20"/>
              </w:rPr>
            </w:pPr>
            <w:r w:rsidRPr="00A95754">
              <w:rPr>
                <w:b/>
                <w:bCs w:val="0"/>
                <w:szCs w:val="20"/>
              </w:rPr>
              <w:t>(N=344)</w:t>
            </w:r>
          </w:p>
        </w:tc>
      </w:tr>
      <w:tr w:rsidR="00BA4874" w:rsidRPr="00A95754" w14:paraId="4A089ADF" w14:textId="77777777" w:rsidTr="00094E2F">
        <w:trPr>
          <w:tblHeader/>
        </w:trPr>
        <w:tc>
          <w:tcPr>
            <w:tcW w:w="5000" w:type="pct"/>
            <w:gridSpan w:val="5"/>
            <w:vAlign w:val="center"/>
          </w:tcPr>
          <w:p w14:paraId="1BB35676" w14:textId="77777777" w:rsidR="00BA4874" w:rsidRPr="00A95754" w:rsidRDefault="00BA4874" w:rsidP="00094E2F">
            <w:pPr>
              <w:pStyle w:val="In-tableHeading"/>
              <w:rPr>
                <w:bCs/>
              </w:rPr>
            </w:pPr>
            <w:r w:rsidRPr="00A95754">
              <w:t>Primary outcome: overall survival</w:t>
            </w:r>
          </w:p>
        </w:tc>
      </w:tr>
      <w:tr w:rsidR="00BA4874" w:rsidRPr="00A95754" w14:paraId="3DBF6590" w14:textId="77777777" w:rsidTr="00094E2F">
        <w:tc>
          <w:tcPr>
            <w:tcW w:w="1309" w:type="pct"/>
          </w:tcPr>
          <w:p w14:paraId="472A4B15" w14:textId="77777777" w:rsidR="00BA4874" w:rsidRPr="00A95754" w:rsidRDefault="00BA4874" w:rsidP="00094E2F">
            <w:pPr>
              <w:pStyle w:val="TableText0"/>
              <w:rPr>
                <w:szCs w:val="20"/>
              </w:rPr>
            </w:pPr>
            <w:r w:rsidRPr="00A95754">
              <w:rPr>
                <w:szCs w:val="20"/>
              </w:rPr>
              <w:t>Median duration of follow-up (months)</w:t>
            </w:r>
          </w:p>
        </w:tc>
        <w:tc>
          <w:tcPr>
            <w:tcW w:w="935" w:type="pct"/>
            <w:vAlign w:val="center"/>
          </w:tcPr>
          <w:p w14:paraId="3C8F37F3" w14:textId="77777777" w:rsidR="00BA4874" w:rsidRPr="00A95754" w:rsidRDefault="00BA4874" w:rsidP="00094E2F">
            <w:pPr>
              <w:pStyle w:val="TableText0"/>
              <w:jc w:val="center"/>
              <w:rPr>
                <w:szCs w:val="20"/>
              </w:rPr>
            </w:pPr>
            <w:r w:rsidRPr="00A95754">
              <w:rPr>
                <w:szCs w:val="20"/>
              </w:rPr>
              <w:t>16.8</w:t>
            </w:r>
          </w:p>
        </w:tc>
        <w:tc>
          <w:tcPr>
            <w:tcW w:w="942" w:type="pct"/>
            <w:vAlign w:val="center"/>
          </w:tcPr>
          <w:p w14:paraId="5D623E84" w14:textId="77777777" w:rsidR="00BA4874" w:rsidRPr="00A95754" w:rsidRDefault="00BA4874" w:rsidP="00094E2F">
            <w:pPr>
              <w:pStyle w:val="TableText0"/>
              <w:jc w:val="center"/>
              <w:rPr>
                <w:szCs w:val="20"/>
              </w:rPr>
            </w:pPr>
            <w:r w:rsidRPr="00A95754">
              <w:rPr>
                <w:szCs w:val="20"/>
              </w:rPr>
              <w:t>15.9</w:t>
            </w:r>
          </w:p>
        </w:tc>
        <w:tc>
          <w:tcPr>
            <w:tcW w:w="897" w:type="pct"/>
            <w:vAlign w:val="center"/>
          </w:tcPr>
          <w:p w14:paraId="1D05349B" w14:textId="77777777" w:rsidR="00BA4874" w:rsidRPr="00A95754" w:rsidRDefault="00BA4874" w:rsidP="00094E2F">
            <w:pPr>
              <w:pStyle w:val="TableText0"/>
              <w:jc w:val="center"/>
              <w:rPr>
                <w:szCs w:val="20"/>
              </w:rPr>
            </w:pPr>
            <w:r w:rsidRPr="00A95754">
              <w:rPr>
                <w:szCs w:val="20"/>
              </w:rPr>
              <w:t>23.4</w:t>
            </w:r>
          </w:p>
        </w:tc>
        <w:tc>
          <w:tcPr>
            <w:tcW w:w="917" w:type="pct"/>
            <w:vAlign w:val="center"/>
          </w:tcPr>
          <w:p w14:paraId="6BBFF24D" w14:textId="77777777" w:rsidR="00BA4874" w:rsidRPr="00A95754" w:rsidRDefault="00BA4874" w:rsidP="00094E2F">
            <w:pPr>
              <w:pStyle w:val="TableText0"/>
              <w:jc w:val="center"/>
              <w:rPr>
                <w:szCs w:val="20"/>
              </w:rPr>
            </w:pPr>
            <w:r w:rsidRPr="00A95754">
              <w:rPr>
                <w:szCs w:val="20"/>
              </w:rPr>
              <w:t>22.4</w:t>
            </w:r>
          </w:p>
        </w:tc>
      </w:tr>
      <w:tr w:rsidR="00BA4874" w:rsidRPr="00A95754" w14:paraId="3F1AF2AB" w14:textId="77777777" w:rsidTr="00094E2F">
        <w:tc>
          <w:tcPr>
            <w:tcW w:w="1309" w:type="pct"/>
          </w:tcPr>
          <w:p w14:paraId="72A82D3C" w14:textId="77777777" w:rsidR="00BA4874" w:rsidRPr="00BD05AE" w:rsidRDefault="00BA4874" w:rsidP="00094E2F">
            <w:pPr>
              <w:pStyle w:val="TableText0"/>
              <w:rPr>
                <w:szCs w:val="20"/>
              </w:rPr>
            </w:pPr>
            <w:r w:rsidRPr="00BD05AE">
              <w:rPr>
                <w:szCs w:val="20"/>
              </w:rPr>
              <w:t xml:space="preserve">Deaths, n (%) </w:t>
            </w:r>
          </w:p>
        </w:tc>
        <w:tc>
          <w:tcPr>
            <w:tcW w:w="935" w:type="pct"/>
            <w:vAlign w:val="center"/>
          </w:tcPr>
          <w:p w14:paraId="38DC5487" w14:textId="77777777" w:rsidR="00BA4874" w:rsidRPr="00BD05AE" w:rsidRDefault="00BA4874" w:rsidP="00094E2F">
            <w:pPr>
              <w:pStyle w:val="TableText0"/>
              <w:jc w:val="center"/>
              <w:rPr>
                <w:szCs w:val="20"/>
              </w:rPr>
            </w:pPr>
            <w:r w:rsidRPr="00BD05AE">
              <w:rPr>
                <w:szCs w:val="20"/>
              </w:rPr>
              <w:t>198 (58.1)</w:t>
            </w:r>
          </w:p>
        </w:tc>
        <w:tc>
          <w:tcPr>
            <w:tcW w:w="942" w:type="pct"/>
            <w:vAlign w:val="center"/>
          </w:tcPr>
          <w:p w14:paraId="77A39116" w14:textId="77777777" w:rsidR="00BA4874" w:rsidRPr="00BD05AE" w:rsidRDefault="00BA4874" w:rsidP="00094E2F">
            <w:pPr>
              <w:pStyle w:val="TableText0"/>
              <w:jc w:val="center"/>
              <w:rPr>
                <w:szCs w:val="20"/>
              </w:rPr>
            </w:pPr>
            <w:r w:rsidRPr="00BD05AE">
              <w:rPr>
                <w:szCs w:val="20"/>
              </w:rPr>
              <w:t>226 (65.7)</w:t>
            </w:r>
          </w:p>
        </w:tc>
        <w:tc>
          <w:tcPr>
            <w:tcW w:w="897" w:type="pct"/>
            <w:vAlign w:val="center"/>
          </w:tcPr>
          <w:p w14:paraId="5901F539" w14:textId="77777777" w:rsidR="00BA4874" w:rsidRPr="00BD05AE" w:rsidRDefault="00BA4874" w:rsidP="00094E2F">
            <w:pPr>
              <w:pStyle w:val="TableText0"/>
              <w:jc w:val="center"/>
              <w:rPr>
                <w:szCs w:val="20"/>
              </w:rPr>
            </w:pPr>
            <w:r w:rsidRPr="00BD05AE">
              <w:rPr>
                <w:szCs w:val="20"/>
              </w:rPr>
              <w:t>248 (72.7)</w:t>
            </w:r>
          </w:p>
        </w:tc>
        <w:tc>
          <w:tcPr>
            <w:tcW w:w="917" w:type="pct"/>
            <w:vAlign w:val="center"/>
          </w:tcPr>
          <w:p w14:paraId="3B296BD7" w14:textId="77777777" w:rsidR="00BA4874" w:rsidRPr="00BD05AE" w:rsidRDefault="00BA4874" w:rsidP="00094E2F">
            <w:pPr>
              <w:pStyle w:val="TableText0"/>
              <w:jc w:val="center"/>
              <w:rPr>
                <w:szCs w:val="20"/>
              </w:rPr>
            </w:pPr>
            <w:r w:rsidRPr="00BD05AE">
              <w:rPr>
                <w:szCs w:val="20"/>
              </w:rPr>
              <w:t>279 (81.1)</w:t>
            </w:r>
          </w:p>
        </w:tc>
      </w:tr>
      <w:tr w:rsidR="00BA4874" w:rsidRPr="00A95754" w14:paraId="4DD0736E" w14:textId="77777777" w:rsidTr="00094E2F">
        <w:tc>
          <w:tcPr>
            <w:tcW w:w="1309" w:type="pct"/>
          </w:tcPr>
          <w:p w14:paraId="07DC629D" w14:textId="77777777" w:rsidR="00BA4874" w:rsidRPr="00BD05AE" w:rsidRDefault="00BA4874" w:rsidP="00094E2F">
            <w:pPr>
              <w:pStyle w:val="TableText0"/>
              <w:rPr>
                <w:szCs w:val="20"/>
              </w:rPr>
            </w:pPr>
            <w:r w:rsidRPr="00BD05AE">
              <w:rPr>
                <w:szCs w:val="20"/>
              </w:rPr>
              <w:t>Censored patients n (%)</w:t>
            </w:r>
          </w:p>
        </w:tc>
        <w:tc>
          <w:tcPr>
            <w:tcW w:w="935" w:type="pct"/>
            <w:vAlign w:val="center"/>
          </w:tcPr>
          <w:p w14:paraId="2CBFE85E" w14:textId="1268F176" w:rsidR="00BA4874" w:rsidRPr="00BD05AE" w:rsidRDefault="00BA4874" w:rsidP="00094E2F">
            <w:pPr>
              <w:pStyle w:val="TableText0"/>
              <w:jc w:val="center"/>
              <w:rPr>
                <w:szCs w:val="20"/>
              </w:rPr>
            </w:pPr>
            <w:r w:rsidRPr="00BD05AE">
              <w:rPr>
                <w:szCs w:val="20"/>
              </w:rPr>
              <w:t>143 (41.9)</w:t>
            </w:r>
          </w:p>
        </w:tc>
        <w:tc>
          <w:tcPr>
            <w:tcW w:w="942" w:type="pct"/>
            <w:vAlign w:val="center"/>
          </w:tcPr>
          <w:p w14:paraId="594234FD" w14:textId="5F040632" w:rsidR="00BA4874" w:rsidRPr="00BD05AE" w:rsidRDefault="00BA4874" w:rsidP="00094E2F">
            <w:pPr>
              <w:pStyle w:val="TableText0"/>
              <w:jc w:val="center"/>
              <w:rPr>
                <w:szCs w:val="20"/>
              </w:rPr>
            </w:pPr>
            <w:r w:rsidRPr="00BD05AE">
              <w:rPr>
                <w:szCs w:val="20"/>
              </w:rPr>
              <w:t>118 (34.6)</w:t>
            </w:r>
          </w:p>
        </w:tc>
        <w:tc>
          <w:tcPr>
            <w:tcW w:w="897" w:type="pct"/>
            <w:vAlign w:val="center"/>
          </w:tcPr>
          <w:p w14:paraId="5BF7BBC1" w14:textId="77777777" w:rsidR="00BA4874" w:rsidRPr="00BD05AE" w:rsidRDefault="00BA4874" w:rsidP="00094E2F">
            <w:pPr>
              <w:pStyle w:val="TableText0"/>
              <w:jc w:val="center"/>
              <w:rPr>
                <w:szCs w:val="20"/>
              </w:rPr>
            </w:pPr>
            <w:r w:rsidRPr="00BD05AE">
              <w:rPr>
                <w:szCs w:val="20"/>
              </w:rPr>
              <w:t>93 (27.3)</w:t>
            </w:r>
          </w:p>
        </w:tc>
        <w:tc>
          <w:tcPr>
            <w:tcW w:w="917" w:type="pct"/>
            <w:vAlign w:val="center"/>
          </w:tcPr>
          <w:p w14:paraId="49EABFE4" w14:textId="386E8D32" w:rsidR="00BA4874" w:rsidRPr="00BD05AE" w:rsidRDefault="00BA4874" w:rsidP="00094E2F">
            <w:pPr>
              <w:pStyle w:val="TableText0"/>
              <w:jc w:val="center"/>
              <w:rPr>
                <w:szCs w:val="20"/>
              </w:rPr>
            </w:pPr>
            <w:r w:rsidRPr="00BD05AE">
              <w:rPr>
                <w:szCs w:val="20"/>
              </w:rPr>
              <w:t>65 (18.9)</w:t>
            </w:r>
          </w:p>
        </w:tc>
      </w:tr>
      <w:tr w:rsidR="00BA4874" w:rsidRPr="00A95754" w14:paraId="34F8F032" w14:textId="77777777" w:rsidTr="00094E2F">
        <w:tc>
          <w:tcPr>
            <w:tcW w:w="1309" w:type="pct"/>
          </w:tcPr>
          <w:p w14:paraId="50E9287D" w14:textId="77777777" w:rsidR="00BA4874" w:rsidRPr="00BD05AE" w:rsidRDefault="00BA4874" w:rsidP="00094E2F">
            <w:pPr>
              <w:pStyle w:val="TableText0"/>
              <w:rPr>
                <w:szCs w:val="20"/>
                <w:vertAlign w:val="superscript"/>
                <w:lang w:val="es-CL"/>
              </w:rPr>
            </w:pPr>
            <w:r w:rsidRPr="00BD05AE">
              <w:rPr>
                <w:szCs w:val="20"/>
                <w:lang w:val="es-CL"/>
              </w:rPr>
              <w:t>Median OS (</w:t>
            </w:r>
            <w:r w:rsidRPr="00BD05AE">
              <w:rPr>
                <w:szCs w:val="20"/>
              </w:rPr>
              <w:t>months</w:t>
            </w:r>
            <w:r w:rsidRPr="00BD05AE">
              <w:rPr>
                <w:szCs w:val="20"/>
                <w:lang w:val="es-CL"/>
              </w:rPr>
              <w:t xml:space="preserve">) (95% CI) </w:t>
            </w:r>
          </w:p>
        </w:tc>
        <w:tc>
          <w:tcPr>
            <w:tcW w:w="935" w:type="pct"/>
            <w:vAlign w:val="center"/>
          </w:tcPr>
          <w:p w14:paraId="1BC321F9" w14:textId="77777777" w:rsidR="00BA4874" w:rsidRPr="00BD05AE" w:rsidRDefault="00BA4874" w:rsidP="00094E2F">
            <w:pPr>
              <w:pStyle w:val="TableText0"/>
              <w:jc w:val="center"/>
              <w:rPr>
                <w:szCs w:val="20"/>
              </w:rPr>
            </w:pPr>
            <w:r w:rsidRPr="00BD05AE">
              <w:rPr>
                <w:szCs w:val="20"/>
              </w:rPr>
              <w:t>12.8 (11.1, 14.0)</w:t>
            </w:r>
          </w:p>
        </w:tc>
        <w:tc>
          <w:tcPr>
            <w:tcW w:w="942" w:type="pct"/>
            <w:vAlign w:val="center"/>
          </w:tcPr>
          <w:p w14:paraId="27FB09C7" w14:textId="77777777" w:rsidR="00BA4874" w:rsidRPr="00BD05AE" w:rsidRDefault="00BA4874" w:rsidP="00094E2F">
            <w:pPr>
              <w:pStyle w:val="TableText0"/>
              <w:jc w:val="center"/>
              <w:rPr>
                <w:szCs w:val="20"/>
              </w:rPr>
            </w:pPr>
            <w:r w:rsidRPr="00BD05AE">
              <w:rPr>
                <w:szCs w:val="20"/>
              </w:rPr>
              <w:t>11.5 (10.1, 12.5)</w:t>
            </w:r>
          </w:p>
        </w:tc>
        <w:tc>
          <w:tcPr>
            <w:tcW w:w="897" w:type="pct"/>
            <w:vAlign w:val="center"/>
          </w:tcPr>
          <w:p w14:paraId="64B2D33C" w14:textId="77777777" w:rsidR="00BA4874" w:rsidRPr="00BD05AE" w:rsidRDefault="00BA4874" w:rsidP="00094E2F">
            <w:pPr>
              <w:pStyle w:val="TableText0"/>
              <w:jc w:val="center"/>
              <w:rPr>
                <w:szCs w:val="20"/>
              </w:rPr>
            </w:pPr>
            <w:r w:rsidRPr="00BD05AE">
              <w:rPr>
                <w:szCs w:val="20"/>
              </w:rPr>
              <w:t>12.9 (11.6, 14.1)</w:t>
            </w:r>
          </w:p>
        </w:tc>
        <w:tc>
          <w:tcPr>
            <w:tcW w:w="917" w:type="pct"/>
            <w:vAlign w:val="center"/>
          </w:tcPr>
          <w:p w14:paraId="3B5E8AA0" w14:textId="77777777" w:rsidR="00BA4874" w:rsidRPr="00BD05AE" w:rsidRDefault="00BA4874" w:rsidP="00094E2F">
            <w:pPr>
              <w:pStyle w:val="TableText0"/>
              <w:jc w:val="center"/>
              <w:rPr>
                <w:szCs w:val="20"/>
              </w:rPr>
            </w:pPr>
            <w:r w:rsidRPr="00BD05AE">
              <w:rPr>
                <w:szCs w:val="20"/>
              </w:rPr>
              <w:t>11.3 (10.1, 12.5)</w:t>
            </w:r>
          </w:p>
        </w:tc>
      </w:tr>
      <w:tr w:rsidR="00BA4874" w:rsidRPr="00A95754" w14:paraId="7D0F7075" w14:textId="77777777" w:rsidTr="00094E2F">
        <w:tc>
          <w:tcPr>
            <w:tcW w:w="1309" w:type="pct"/>
          </w:tcPr>
          <w:p w14:paraId="4D23805C" w14:textId="77777777" w:rsidR="00BA4874" w:rsidRPr="00BD05AE" w:rsidRDefault="00BA4874" w:rsidP="00094E2F">
            <w:pPr>
              <w:pStyle w:val="TableText0"/>
              <w:rPr>
                <w:szCs w:val="20"/>
              </w:rPr>
            </w:pPr>
            <w:r w:rsidRPr="00BD05AE">
              <w:rPr>
                <w:szCs w:val="20"/>
              </w:rPr>
              <w:t xml:space="preserve">Hazard ratio (95% CI) </w:t>
            </w:r>
          </w:p>
          <w:p w14:paraId="66002D39" w14:textId="77777777" w:rsidR="00BA4874" w:rsidRPr="00BD05AE" w:rsidRDefault="00BA4874" w:rsidP="00094E2F">
            <w:pPr>
              <w:pStyle w:val="TableText0"/>
              <w:rPr>
                <w:szCs w:val="20"/>
                <w:vertAlign w:val="superscript"/>
              </w:rPr>
            </w:pPr>
            <w:r w:rsidRPr="00BD05AE">
              <w:rPr>
                <w:szCs w:val="20"/>
              </w:rPr>
              <w:t>2-sided p-value</w:t>
            </w:r>
            <w:r w:rsidRPr="00BD05AE">
              <w:rPr>
                <w:szCs w:val="20"/>
                <w:vertAlign w:val="superscript"/>
              </w:rPr>
              <w:t>a</w:t>
            </w:r>
            <w:r w:rsidRPr="00BD05AE">
              <w:rPr>
                <w:szCs w:val="20"/>
              </w:rPr>
              <w:t xml:space="preserve"> </w:t>
            </w:r>
          </w:p>
        </w:tc>
        <w:tc>
          <w:tcPr>
            <w:tcW w:w="1877" w:type="pct"/>
            <w:gridSpan w:val="2"/>
            <w:vAlign w:val="center"/>
          </w:tcPr>
          <w:p w14:paraId="2FD3E1D0" w14:textId="77777777" w:rsidR="00BA4874" w:rsidRPr="00BD05AE" w:rsidRDefault="00BA4874" w:rsidP="00094E2F">
            <w:pPr>
              <w:pStyle w:val="TableText0"/>
              <w:jc w:val="center"/>
              <w:rPr>
                <w:b/>
                <w:bCs w:val="0"/>
                <w:szCs w:val="20"/>
              </w:rPr>
            </w:pPr>
            <w:r w:rsidRPr="00BD05AE">
              <w:rPr>
                <w:b/>
                <w:szCs w:val="20"/>
              </w:rPr>
              <w:t>0.80 (0.66, 0.97)</w:t>
            </w:r>
          </w:p>
          <w:p w14:paraId="6E8AB6EF" w14:textId="77777777" w:rsidR="00BA4874" w:rsidRPr="00BD05AE" w:rsidRDefault="00BA4874" w:rsidP="00094E2F">
            <w:pPr>
              <w:pStyle w:val="TableText0"/>
              <w:jc w:val="center"/>
              <w:rPr>
                <w:b/>
                <w:bCs w:val="0"/>
                <w:szCs w:val="20"/>
              </w:rPr>
            </w:pPr>
            <w:r w:rsidRPr="00BD05AE">
              <w:rPr>
                <w:b/>
                <w:szCs w:val="20"/>
              </w:rPr>
              <w:t>0.021</w:t>
            </w:r>
          </w:p>
        </w:tc>
        <w:tc>
          <w:tcPr>
            <w:tcW w:w="1814" w:type="pct"/>
            <w:gridSpan w:val="2"/>
            <w:vAlign w:val="center"/>
          </w:tcPr>
          <w:p w14:paraId="5A98EEE0" w14:textId="77777777" w:rsidR="00BA4874" w:rsidRPr="00BD05AE" w:rsidRDefault="00BA4874" w:rsidP="00094E2F">
            <w:pPr>
              <w:pStyle w:val="TableText0"/>
              <w:jc w:val="center"/>
              <w:rPr>
                <w:bCs w:val="0"/>
                <w:szCs w:val="20"/>
              </w:rPr>
            </w:pPr>
            <w:r w:rsidRPr="00BD05AE">
              <w:rPr>
                <w:szCs w:val="20"/>
              </w:rPr>
              <w:t>0.76 (0.64, 0.91)</w:t>
            </w:r>
          </w:p>
          <w:p w14:paraId="3810F18D" w14:textId="77777777" w:rsidR="00BA4874" w:rsidRPr="00BD05AE" w:rsidRDefault="00BA4874" w:rsidP="00094E2F">
            <w:pPr>
              <w:pStyle w:val="TableText0"/>
              <w:jc w:val="center"/>
              <w:rPr>
                <w:b/>
                <w:bCs w:val="0"/>
                <w:i/>
                <w:iCs/>
                <w:szCs w:val="20"/>
              </w:rPr>
            </w:pPr>
            <w:r w:rsidRPr="00BD05AE">
              <w:rPr>
                <w:i/>
                <w:iCs/>
                <w:szCs w:val="20"/>
              </w:rPr>
              <w:t>NR</w:t>
            </w:r>
          </w:p>
        </w:tc>
      </w:tr>
      <w:tr w:rsidR="00BA4874" w:rsidRPr="00A95754" w14:paraId="054CB887" w14:textId="77777777" w:rsidTr="00094E2F">
        <w:tc>
          <w:tcPr>
            <w:tcW w:w="1309" w:type="pct"/>
          </w:tcPr>
          <w:p w14:paraId="545A2839" w14:textId="77777777" w:rsidR="00BA4874" w:rsidRPr="00BD05AE" w:rsidRDefault="00BA4874" w:rsidP="00094E2F">
            <w:pPr>
              <w:pStyle w:val="TableText0"/>
              <w:rPr>
                <w:szCs w:val="20"/>
              </w:rPr>
            </w:pPr>
            <w:r w:rsidRPr="00BD05AE">
              <w:rPr>
                <w:szCs w:val="20"/>
              </w:rPr>
              <w:t>Survival rate at 12 months (%) (95% CI)</w:t>
            </w:r>
            <w:r w:rsidRPr="00BD05AE">
              <w:rPr>
                <w:szCs w:val="20"/>
                <w:vertAlign w:val="superscript"/>
              </w:rPr>
              <w:t xml:space="preserve"> </w:t>
            </w:r>
          </w:p>
        </w:tc>
        <w:tc>
          <w:tcPr>
            <w:tcW w:w="935" w:type="pct"/>
            <w:vAlign w:val="center"/>
          </w:tcPr>
          <w:p w14:paraId="21C5E5F4" w14:textId="77777777" w:rsidR="00BA4874" w:rsidRPr="00BD05AE" w:rsidRDefault="00BA4874" w:rsidP="00094E2F">
            <w:pPr>
              <w:pStyle w:val="TableText0"/>
              <w:jc w:val="center"/>
              <w:rPr>
                <w:szCs w:val="20"/>
              </w:rPr>
            </w:pPr>
            <w:r w:rsidRPr="00BD05AE">
              <w:rPr>
                <w:szCs w:val="20"/>
              </w:rPr>
              <w:t>54.1 (48.4, 59.4)</w:t>
            </w:r>
          </w:p>
        </w:tc>
        <w:tc>
          <w:tcPr>
            <w:tcW w:w="942" w:type="pct"/>
            <w:vAlign w:val="center"/>
          </w:tcPr>
          <w:p w14:paraId="401393EA" w14:textId="77777777" w:rsidR="00BA4874" w:rsidRPr="00BD05AE" w:rsidRDefault="00BA4874" w:rsidP="00094E2F">
            <w:pPr>
              <w:pStyle w:val="TableText0"/>
              <w:jc w:val="center"/>
              <w:rPr>
                <w:szCs w:val="20"/>
              </w:rPr>
            </w:pPr>
            <w:r w:rsidRPr="00BD05AE">
              <w:rPr>
                <w:szCs w:val="20"/>
              </w:rPr>
              <w:t>48.0 (42.4, 53.4)</w:t>
            </w:r>
          </w:p>
        </w:tc>
        <w:tc>
          <w:tcPr>
            <w:tcW w:w="897" w:type="pct"/>
            <w:vAlign w:val="center"/>
          </w:tcPr>
          <w:p w14:paraId="4A1E3C6B" w14:textId="77777777" w:rsidR="00BA4874" w:rsidRPr="00BD05AE" w:rsidRDefault="00BA4874" w:rsidP="00094E2F">
            <w:pPr>
              <w:pStyle w:val="TableText0"/>
              <w:jc w:val="center"/>
              <w:rPr>
                <w:szCs w:val="20"/>
              </w:rPr>
            </w:pPr>
            <w:r w:rsidRPr="00BD05AE">
              <w:rPr>
                <w:szCs w:val="20"/>
              </w:rPr>
              <w:t>54.3 (48.8, 59.4)</w:t>
            </w:r>
          </w:p>
        </w:tc>
        <w:tc>
          <w:tcPr>
            <w:tcW w:w="917" w:type="pct"/>
            <w:vAlign w:val="center"/>
          </w:tcPr>
          <w:p w14:paraId="0500A87F" w14:textId="77777777" w:rsidR="00BA4874" w:rsidRPr="00BD05AE" w:rsidRDefault="00BA4874" w:rsidP="00094E2F">
            <w:pPr>
              <w:pStyle w:val="TableText0"/>
              <w:jc w:val="center"/>
              <w:rPr>
                <w:szCs w:val="20"/>
              </w:rPr>
            </w:pPr>
            <w:r w:rsidRPr="00BD05AE">
              <w:rPr>
                <w:szCs w:val="20"/>
              </w:rPr>
              <w:t>47.1 (41.7, 52.3)</w:t>
            </w:r>
          </w:p>
        </w:tc>
      </w:tr>
      <w:tr w:rsidR="00BA4874" w:rsidRPr="00A95754" w14:paraId="156655D0" w14:textId="77777777" w:rsidTr="00094E2F">
        <w:tc>
          <w:tcPr>
            <w:tcW w:w="1309" w:type="pct"/>
          </w:tcPr>
          <w:p w14:paraId="6B4FC2D8" w14:textId="77777777" w:rsidR="00BA4874" w:rsidRPr="00BD05AE" w:rsidRDefault="00BA4874" w:rsidP="00094E2F">
            <w:pPr>
              <w:pStyle w:val="TableText0"/>
              <w:rPr>
                <w:szCs w:val="20"/>
              </w:rPr>
            </w:pPr>
            <w:r w:rsidRPr="00BD05AE">
              <w:rPr>
                <w:szCs w:val="20"/>
              </w:rPr>
              <w:t>Survival rate at 18 months (%) (95% CI)</w:t>
            </w:r>
            <w:r w:rsidRPr="00BD05AE">
              <w:rPr>
                <w:szCs w:val="20"/>
                <w:vertAlign w:val="superscript"/>
              </w:rPr>
              <w:t xml:space="preserve"> </w:t>
            </w:r>
          </w:p>
        </w:tc>
        <w:tc>
          <w:tcPr>
            <w:tcW w:w="935" w:type="pct"/>
            <w:vAlign w:val="center"/>
          </w:tcPr>
          <w:p w14:paraId="6DF2D453" w14:textId="77777777" w:rsidR="00BA4874" w:rsidRPr="00BD05AE" w:rsidRDefault="00BA4874" w:rsidP="00094E2F">
            <w:pPr>
              <w:pStyle w:val="TableText0"/>
              <w:jc w:val="center"/>
              <w:rPr>
                <w:szCs w:val="20"/>
              </w:rPr>
            </w:pPr>
            <w:r w:rsidRPr="00BD05AE">
              <w:rPr>
                <w:szCs w:val="20"/>
              </w:rPr>
              <w:t>35.1 (29.1, 41.2)</w:t>
            </w:r>
          </w:p>
        </w:tc>
        <w:tc>
          <w:tcPr>
            <w:tcW w:w="942" w:type="pct"/>
            <w:vAlign w:val="center"/>
          </w:tcPr>
          <w:p w14:paraId="17C857BC" w14:textId="77777777" w:rsidR="00BA4874" w:rsidRPr="00BD05AE" w:rsidRDefault="00BA4874" w:rsidP="00094E2F">
            <w:pPr>
              <w:pStyle w:val="TableText0"/>
              <w:jc w:val="center"/>
              <w:rPr>
                <w:szCs w:val="20"/>
              </w:rPr>
            </w:pPr>
            <w:r w:rsidRPr="00BD05AE">
              <w:rPr>
                <w:szCs w:val="20"/>
              </w:rPr>
              <w:t>25.6 (19.9, 31.7)</w:t>
            </w:r>
          </w:p>
        </w:tc>
        <w:tc>
          <w:tcPr>
            <w:tcW w:w="897" w:type="pct"/>
            <w:vAlign w:val="center"/>
          </w:tcPr>
          <w:p w14:paraId="7BDA8A34" w14:textId="77777777" w:rsidR="00BA4874" w:rsidRPr="00BD05AE" w:rsidRDefault="00BA4874" w:rsidP="00094E2F">
            <w:pPr>
              <w:pStyle w:val="TableText0"/>
              <w:jc w:val="center"/>
              <w:rPr>
                <w:szCs w:val="20"/>
              </w:rPr>
            </w:pPr>
            <w:r w:rsidRPr="00BD05AE">
              <w:rPr>
                <w:szCs w:val="20"/>
              </w:rPr>
              <w:t>34.8 (29.6, 40.0)</w:t>
            </w:r>
          </w:p>
        </w:tc>
        <w:tc>
          <w:tcPr>
            <w:tcW w:w="917" w:type="pct"/>
            <w:vAlign w:val="center"/>
          </w:tcPr>
          <w:p w14:paraId="09F4F4F7" w14:textId="77777777" w:rsidR="00BA4874" w:rsidRPr="00BD05AE" w:rsidRDefault="00BA4874" w:rsidP="00094E2F">
            <w:pPr>
              <w:pStyle w:val="TableText0"/>
              <w:jc w:val="center"/>
              <w:rPr>
                <w:szCs w:val="20"/>
              </w:rPr>
            </w:pPr>
            <w:r w:rsidRPr="00BD05AE">
              <w:rPr>
                <w:szCs w:val="20"/>
              </w:rPr>
              <w:t>24.1 (19.6, 28.9)</w:t>
            </w:r>
          </w:p>
        </w:tc>
      </w:tr>
      <w:tr w:rsidR="00BA4874" w:rsidRPr="00A95754" w14:paraId="6DA2D52B" w14:textId="77777777" w:rsidTr="00094E2F">
        <w:tc>
          <w:tcPr>
            <w:tcW w:w="1309" w:type="pct"/>
          </w:tcPr>
          <w:p w14:paraId="11F6DB3E" w14:textId="77777777" w:rsidR="00BA4874" w:rsidRPr="00A95754" w:rsidRDefault="00BA4874" w:rsidP="00094E2F">
            <w:pPr>
              <w:pStyle w:val="TableText0"/>
              <w:rPr>
                <w:szCs w:val="20"/>
              </w:rPr>
            </w:pPr>
            <w:r w:rsidRPr="00A95754">
              <w:rPr>
                <w:szCs w:val="20"/>
              </w:rPr>
              <w:t>Survival rate at 24 months (%) (95% CI)</w:t>
            </w:r>
            <w:r w:rsidRPr="00A95754">
              <w:rPr>
                <w:szCs w:val="20"/>
                <w:vertAlign w:val="superscript"/>
              </w:rPr>
              <w:t xml:space="preserve"> </w:t>
            </w:r>
          </w:p>
        </w:tc>
        <w:tc>
          <w:tcPr>
            <w:tcW w:w="935" w:type="pct"/>
            <w:vAlign w:val="center"/>
          </w:tcPr>
          <w:p w14:paraId="4645825C" w14:textId="77777777" w:rsidR="00BA4874" w:rsidRPr="00A95754" w:rsidRDefault="00BA4874" w:rsidP="00094E2F">
            <w:pPr>
              <w:pStyle w:val="TableText0"/>
              <w:jc w:val="center"/>
              <w:rPr>
                <w:szCs w:val="20"/>
              </w:rPr>
            </w:pPr>
            <w:r w:rsidRPr="00A95754">
              <w:rPr>
                <w:szCs w:val="20"/>
              </w:rPr>
              <w:t>24.9 (17.9, 32.5)</w:t>
            </w:r>
          </w:p>
        </w:tc>
        <w:tc>
          <w:tcPr>
            <w:tcW w:w="942" w:type="pct"/>
            <w:vAlign w:val="center"/>
          </w:tcPr>
          <w:p w14:paraId="73A6DD09" w14:textId="77777777" w:rsidR="00BA4874" w:rsidRPr="00A95754" w:rsidRDefault="00BA4874" w:rsidP="00094E2F">
            <w:pPr>
              <w:pStyle w:val="TableText0"/>
              <w:jc w:val="center"/>
              <w:rPr>
                <w:szCs w:val="20"/>
              </w:rPr>
            </w:pPr>
            <w:r w:rsidRPr="00A95754">
              <w:rPr>
                <w:szCs w:val="20"/>
              </w:rPr>
              <w:t>10.4 (4.7, 18.8)</w:t>
            </w:r>
          </w:p>
        </w:tc>
        <w:tc>
          <w:tcPr>
            <w:tcW w:w="897" w:type="pct"/>
            <w:vAlign w:val="center"/>
          </w:tcPr>
          <w:p w14:paraId="637A8566" w14:textId="77777777" w:rsidR="00BA4874" w:rsidRPr="00A95754" w:rsidRDefault="00BA4874" w:rsidP="00094E2F">
            <w:pPr>
              <w:pStyle w:val="TableText0"/>
              <w:jc w:val="center"/>
              <w:rPr>
                <w:szCs w:val="20"/>
              </w:rPr>
            </w:pPr>
            <w:r w:rsidRPr="00A95754">
              <w:rPr>
                <w:szCs w:val="20"/>
              </w:rPr>
              <w:t>23.6 (18.7, 28.9)</w:t>
            </w:r>
          </w:p>
        </w:tc>
        <w:tc>
          <w:tcPr>
            <w:tcW w:w="917" w:type="pct"/>
            <w:vAlign w:val="center"/>
          </w:tcPr>
          <w:p w14:paraId="6E5C7FE1" w14:textId="77777777" w:rsidR="00BA4874" w:rsidRPr="00A95754" w:rsidRDefault="00BA4874" w:rsidP="00094E2F">
            <w:pPr>
              <w:pStyle w:val="TableText0"/>
              <w:jc w:val="center"/>
              <w:rPr>
                <w:szCs w:val="20"/>
              </w:rPr>
            </w:pPr>
            <w:r w:rsidRPr="00A95754">
              <w:rPr>
                <w:szCs w:val="20"/>
              </w:rPr>
              <w:t>11.5 (7.6, 16.2)</w:t>
            </w:r>
          </w:p>
        </w:tc>
      </w:tr>
    </w:tbl>
    <w:p w14:paraId="48FFAA5F" w14:textId="1BF26038" w:rsidR="006A5A2A" w:rsidRPr="00A95754" w:rsidRDefault="00BA4874" w:rsidP="006A5A2A">
      <w:pPr>
        <w:pStyle w:val="TableFigureFooter"/>
      </w:pPr>
      <w:r w:rsidRPr="00A95754">
        <w:t xml:space="preserve">Source: Table 2.19, p </w:t>
      </w:r>
      <w:r w:rsidR="006A5A2A" w:rsidRPr="00A95754">
        <w:t>70-71</w:t>
      </w:r>
      <w:r w:rsidRPr="00A95754">
        <w:t xml:space="preserve"> of the submission.</w:t>
      </w:r>
    </w:p>
    <w:p w14:paraId="1AD8CB55" w14:textId="560DBC0D" w:rsidR="00BA4874" w:rsidRPr="00A95754" w:rsidRDefault="00BA4874" w:rsidP="006A5A2A">
      <w:pPr>
        <w:pStyle w:val="TableFigureFooter"/>
      </w:pPr>
      <w:r w:rsidRPr="00A95754">
        <w:t xml:space="preserve">CI = confidence interval; FAS = full analyses set, defined as all randomised patients and analysed on an intention-to-treat basis; GemCis = gemcitabine + cisplatin; </w:t>
      </w:r>
      <w:r w:rsidR="006A5A2A" w:rsidRPr="00A95754">
        <w:t xml:space="preserve">IA = interim analysis; </w:t>
      </w:r>
      <w:r w:rsidRPr="00A95754">
        <w:t xml:space="preserve">N = number of patients in treatment group; n = number of patients in a category; </w:t>
      </w:r>
      <w:r w:rsidR="006A5A2A" w:rsidRPr="00A95754">
        <w:t xml:space="preserve">NR = not reported; </w:t>
      </w:r>
      <w:r w:rsidRPr="00A95754">
        <w:t>OS = overall survival.</w:t>
      </w:r>
    </w:p>
    <w:p w14:paraId="09FD4756" w14:textId="77777777" w:rsidR="00BA4874" w:rsidRPr="00A95754" w:rsidRDefault="00BA4874" w:rsidP="006A5A2A">
      <w:pPr>
        <w:pStyle w:val="TableFigureFooter"/>
      </w:pPr>
      <w:r w:rsidRPr="00A95754">
        <w:rPr>
          <w:vertAlign w:val="superscript"/>
        </w:rPr>
        <w:t xml:space="preserve">a </w:t>
      </w:r>
      <w:r w:rsidRPr="00A95754">
        <w:t>The analysis was performed using a stratified log-rank test, tested at the 0.03 significance level.</w:t>
      </w:r>
    </w:p>
    <w:p w14:paraId="54A65E58" w14:textId="77777777" w:rsidR="00BA4874" w:rsidRPr="00A95754" w:rsidRDefault="00BA4874" w:rsidP="006A5A2A">
      <w:pPr>
        <w:pStyle w:val="TableFigureFooter"/>
      </w:pPr>
      <w:r w:rsidRPr="00A95754">
        <w:t>Bold indicates statistically significant differences. Hazard ratio and 95% confidence interval at the 6.5-month follow-up are nominal only.</w:t>
      </w:r>
    </w:p>
    <w:p w14:paraId="0D7E4757" w14:textId="3D7DAA6A" w:rsidR="00BA4874" w:rsidRPr="00BD05AE" w:rsidRDefault="00BA4874" w:rsidP="00BA4874">
      <w:pPr>
        <w:pStyle w:val="TableFigureHeading"/>
      </w:pPr>
      <w:bookmarkStart w:id="19" w:name="_Ref124182073"/>
      <w:r w:rsidRPr="00BD05AE">
        <w:t xml:space="preserve">Figure </w:t>
      </w:r>
      <w:fldSimple w:instr=" SEQ Figure \* ARABIC ">
        <w:r w:rsidR="000178EC">
          <w:rPr>
            <w:noProof/>
          </w:rPr>
          <w:t>1</w:t>
        </w:r>
      </w:fldSimple>
      <w:bookmarkEnd w:id="19"/>
      <w:r w:rsidRPr="00BD05AE">
        <w:t>: Kaplan-Meier plot of overall survival, TOPAZ-1 FAS, additional 6.5-month follow-up (data cut-off 25 Feb 2022)</w:t>
      </w:r>
    </w:p>
    <w:p w14:paraId="40838143" w14:textId="1232F1D0" w:rsidR="00BA4874" w:rsidRPr="00BD05AE" w:rsidRDefault="00BA4874" w:rsidP="00BA4874">
      <w:pPr>
        <w:pStyle w:val="TableFigureFooter"/>
        <w:rPr>
          <w:rStyle w:val="TableFigureFooterChar"/>
          <w:snapToGrid w:val="0"/>
        </w:rPr>
      </w:pPr>
      <w:r w:rsidRPr="00BD05AE">
        <w:rPr>
          <w:rFonts w:ascii="Calibri" w:eastAsia="Calibri" w:hAnsi="Calibri"/>
          <w:noProof/>
        </w:rPr>
        <w:drawing>
          <wp:inline distT="0" distB="0" distL="0" distR="0" wp14:anchorId="4642C568" wp14:editId="3CD28056">
            <wp:extent cx="5638800" cy="3277587"/>
            <wp:effectExtent l="19050" t="19050" r="19050" b="18415"/>
            <wp:docPr id="32" name="Picture 32" descr="Figure 1: Kaplan-Meier plot of overall survival, TOPAZ-1 FAS, additional 6.5-month follow-up (data cut-off 25 Feb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Figure 1: Kaplan-Meier plot of overall survival, TOPAZ-1 FAS, additional 6.5-month follow-up (data cut-off 25 Feb 2022)"/>
                    <pic:cNvPicPr/>
                  </pic:nvPicPr>
                  <pic:blipFill>
                    <a:blip r:embed="rId8" cstate="email">
                      <a:extLst>
                        <a:ext uri="{28A0092B-C50C-407E-A947-70E740481C1C}">
                          <a14:useLocalDpi xmlns:a14="http://schemas.microsoft.com/office/drawing/2010/main"/>
                        </a:ext>
                      </a:extLst>
                    </a:blip>
                    <a:stretch>
                      <a:fillRect/>
                    </a:stretch>
                  </pic:blipFill>
                  <pic:spPr>
                    <a:xfrm>
                      <a:off x="0" y="0"/>
                      <a:ext cx="5654358" cy="3286630"/>
                    </a:xfrm>
                    <a:prstGeom prst="rect">
                      <a:avLst/>
                    </a:prstGeom>
                    <a:ln>
                      <a:solidFill>
                        <a:schemeClr val="tx1"/>
                      </a:solidFill>
                    </a:ln>
                  </pic:spPr>
                </pic:pic>
              </a:graphicData>
            </a:graphic>
          </wp:inline>
        </w:drawing>
      </w:r>
      <w:r w:rsidRPr="00BD05AE">
        <w:rPr>
          <w:rStyle w:val="TableFigureFooterChar"/>
          <w:snapToGrid w:val="0"/>
        </w:rPr>
        <w:t>Source: Figure 2.9, p</w:t>
      </w:r>
      <w:r w:rsidR="006A5A2A" w:rsidRPr="00BD05AE">
        <w:rPr>
          <w:rStyle w:val="TableFigureFooterChar"/>
          <w:snapToGrid w:val="0"/>
        </w:rPr>
        <w:t>72</w:t>
      </w:r>
      <w:r w:rsidRPr="00BD05AE">
        <w:rPr>
          <w:rStyle w:val="TableFigureFooterChar"/>
          <w:snapToGrid w:val="0"/>
        </w:rPr>
        <w:t xml:space="preserve"> of the submission.</w:t>
      </w:r>
    </w:p>
    <w:p w14:paraId="1002CB13" w14:textId="77777777" w:rsidR="00BA4874" w:rsidRPr="00BD05AE" w:rsidRDefault="00BA4874" w:rsidP="00BA4874">
      <w:pPr>
        <w:pStyle w:val="TableFigureFooter"/>
        <w:rPr>
          <w:rStyle w:val="TableFigureFooterChar"/>
          <w:snapToGrid w:val="0"/>
        </w:rPr>
      </w:pPr>
      <w:r w:rsidRPr="00BD05AE">
        <w:rPr>
          <w:rStyle w:val="TableFigureFooterChar"/>
          <w:snapToGrid w:val="0"/>
        </w:rPr>
        <w:t>CI = confidence interval, Cis = cisplatin; CSR = clinical study report; Durva = durvalumab; FAS = full analyses set; Gem = gemcitabine; HR = hazard ratio; OS = overall survival.</w:t>
      </w:r>
    </w:p>
    <w:p w14:paraId="56354250" w14:textId="77777777" w:rsidR="00BA4874" w:rsidRPr="00BD05AE" w:rsidRDefault="00BA4874" w:rsidP="00BA4874">
      <w:pPr>
        <w:pStyle w:val="TableFigureFooter"/>
        <w:rPr>
          <w:rStyle w:val="TableFigureFooterChar"/>
          <w:snapToGrid w:val="0"/>
        </w:rPr>
      </w:pPr>
      <w:r w:rsidRPr="00BD05AE">
        <w:rPr>
          <w:rStyle w:val="TableFigureFooterChar"/>
          <w:snapToGrid w:val="0"/>
        </w:rPr>
        <w:t xml:space="preserve">FAS was defined as all randomised patients and analysed on an intention-to-treat basis </w:t>
      </w:r>
    </w:p>
    <w:p w14:paraId="543DC98F" w14:textId="77777777" w:rsidR="00BA4874" w:rsidRPr="00A95754" w:rsidRDefault="00BA4874" w:rsidP="00BA4874">
      <w:pPr>
        <w:pStyle w:val="TableFigureFooter"/>
        <w:rPr>
          <w:rStyle w:val="TableFigureFooterChar"/>
          <w:snapToGrid w:val="0"/>
        </w:rPr>
      </w:pPr>
      <w:r w:rsidRPr="00BD05AE">
        <w:rPr>
          <w:rStyle w:val="TableFigureFooterChar"/>
          <w:snapToGrid w:val="0"/>
        </w:rPr>
        <w:t>Hazard ratio and 95% confidence interval are nominal only.</w:t>
      </w:r>
    </w:p>
    <w:p w14:paraId="0949B0AB" w14:textId="33B8660F" w:rsidR="00BA4874" w:rsidRPr="00BD05AE" w:rsidRDefault="00BA4874" w:rsidP="00094E2F">
      <w:pPr>
        <w:pStyle w:val="3-BodyText"/>
        <w:rPr>
          <w:color w:val="000000" w:themeColor="text1"/>
        </w:rPr>
      </w:pPr>
      <w:r w:rsidRPr="00BD05AE">
        <w:rPr>
          <w:color w:val="000000" w:themeColor="text1"/>
        </w:rPr>
        <w:lastRenderedPageBreak/>
        <w:t xml:space="preserve">At </w:t>
      </w:r>
      <w:r w:rsidR="00F03949" w:rsidRPr="00BD05AE">
        <w:rPr>
          <w:color w:val="000000" w:themeColor="text1"/>
        </w:rPr>
        <w:t xml:space="preserve">18 months, 34.8% of patients were alive in the durvalumab + GemCis compared to 24.1% in the </w:t>
      </w:r>
      <w:r w:rsidR="008176D5" w:rsidRPr="00BD05AE">
        <w:rPr>
          <w:color w:val="000000" w:themeColor="text1"/>
        </w:rPr>
        <w:t xml:space="preserve">placebo + </w:t>
      </w:r>
      <w:r w:rsidR="00F03949" w:rsidRPr="00BD05AE">
        <w:rPr>
          <w:color w:val="000000" w:themeColor="text1"/>
        </w:rPr>
        <w:t xml:space="preserve">GemCis arm. At </w:t>
      </w:r>
      <w:r w:rsidRPr="00BD05AE">
        <w:rPr>
          <w:color w:val="000000" w:themeColor="text1"/>
        </w:rPr>
        <w:t xml:space="preserve">24 months, approximately twice as many patients were alive in the </w:t>
      </w:r>
      <w:r w:rsidR="00F03949" w:rsidRPr="00BD05AE">
        <w:rPr>
          <w:color w:val="000000" w:themeColor="text1"/>
        </w:rPr>
        <w:t xml:space="preserve">durvalumab + </w:t>
      </w:r>
      <w:r w:rsidRPr="00BD05AE">
        <w:rPr>
          <w:color w:val="000000" w:themeColor="text1"/>
        </w:rPr>
        <w:t>GemCis arm compared to the</w:t>
      </w:r>
      <w:r w:rsidR="00F03949" w:rsidRPr="00BD05AE">
        <w:rPr>
          <w:color w:val="000000" w:themeColor="text1"/>
        </w:rPr>
        <w:t xml:space="preserve"> </w:t>
      </w:r>
      <w:r w:rsidR="008176D5" w:rsidRPr="00BD05AE">
        <w:rPr>
          <w:color w:val="000000" w:themeColor="text1"/>
        </w:rPr>
        <w:t xml:space="preserve">placebo + </w:t>
      </w:r>
      <w:r w:rsidR="00F03949" w:rsidRPr="00BD05AE">
        <w:rPr>
          <w:color w:val="000000" w:themeColor="text1"/>
        </w:rPr>
        <w:t>GemCis</w:t>
      </w:r>
      <w:r w:rsidRPr="00BD05AE">
        <w:rPr>
          <w:color w:val="000000" w:themeColor="text1"/>
        </w:rPr>
        <w:t xml:space="preserve"> arm (23.6% vs 11.5% respectively). </w:t>
      </w:r>
    </w:p>
    <w:p w14:paraId="4B80CDA8" w14:textId="4A32EB3B" w:rsidR="00375493" w:rsidRPr="00A95754" w:rsidRDefault="00375493" w:rsidP="00375493">
      <w:pPr>
        <w:pStyle w:val="3-BodyText"/>
        <w:rPr>
          <w:color w:val="000000" w:themeColor="text1"/>
        </w:rPr>
      </w:pPr>
      <w:bookmarkStart w:id="20" w:name="_Hlk124161902"/>
      <w:r w:rsidRPr="00A95754">
        <w:rPr>
          <w:color w:val="000000" w:themeColor="text1"/>
        </w:rPr>
        <w:t xml:space="preserve">PFS was tested at IA-2, at which time data were mature and showed a statistically significant benefit of durvalumab + GemCis over placebo + GemCis. </w:t>
      </w:r>
      <w:r w:rsidR="008176D5">
        <w:rPr>
          <w:color w:val="000000" w:themeColor="text1"/>
        </w:rPr>
        <w:t xml:space="preserve">PFS, </w:t>
      </w:r>
      <w:r w:rsidRPr="00A95754">
        <w:rPr>
          <w:color w:val="000000" w:themeColor="text1"/>
        </w:rPr>
        <w:t>objective response rate (ORR) and duration of response (DoR) are presented in</w:t>
      </w:r>
      <w:r w:rsidR="00D841E5">
        <w:rPr>
          <w:color w:val="000000" w:themeColor="text1"/>
        </w:rPr>
        <w:t xml:space="preserve"> </w:t>
      </w:r>
      <w:r w:rsidR="00D841E5">
        <w:rPr>
          <w:color w:val="000000" w:themeColor="text1"/>
        </w:rPr>
        <w:fldChar w:fldCharType="begin"/>
      </w:r>
      <w:r w:rsidR="00D841E5">
        <w:rPr>
          <w:color w:val="000000" w:themeColor="text1"/>
        </w:rPr>
        <w:instrText xml:space="preserve"> REF _Ref124427549 \h </w:instrText>
      </w:r>
      <w:r w:rsidR="00D841E5">
        <w:rPr>
          <w:color w:val="000000" w:themeColor="text1"/>
        </w:rPr>
      </w:r>
      <w:r w:rsidR="00D841E5">
        <w:rPr>
          <w:color w:val="000000" w:themeColor="text1"/>
        </w:rPr>
        <w:fldChar w:fldCharType="separate"/>
      </w:r>
      <w:r w:rsidR="000178EC" w:rsidRPr="00A95754">
        <w:t xml:space="preserve">Table </w:t>
      </w:r>
      <w:r w:rsidR="000178EC">
        <w:rPr>
          <w:noProof/>
        </w:rPr>
        <w:t>5</w:t>
      </w:r>
      <w:r w:rsidR="00D841E5">
        <w:rPr>
          <w:color w:val="000000" w:themeColor="text1"/>
        </w:rPr>
        <w:fldChar w:fldCharType="end"/>
      </w:r>
      <w:r w:rsidR="00D841E5">
        <w:rPr>
          <w:color w:val="000000" w:themeColor="text1"/>
        </w:rPr>
        <w:t>,</w:t>
      </w:r>
      <w:r w:rsidR="00DB7D33" w:rsidRPr="00A95754">
        <w:rPr>
          <w:color w:val="000000" w:themeColor="text1"/>
        </w:rPr>
        <w:t xml:space="preserve"> </w:t>
      </w:r>
      <w:r w:rsidR="00DB7D33" w:rsidRPr="00A95754">
        <w:rPr>
          <w:color w:val="000000" w:themeColor="text1"/>
        </w:rPr>
        <w:fldChar w:fldCharType="begin"/>
      </w:r>
      <w:r w:rsidR="00DB7D33" w:rsidRPr="00A95754">
        <w:rPr>
          <w:color w:val="000000" w:themeColor="text1"/>
        </w:rPr>
        <w:instrText xml:space="preserve"> REF _Ref124427584 \h </w:instrText>
      </w:r>
      <w:r w:rsidR="00A95754">
        <w:rPr>
          <w:color w:val="000000" w:themeColor="text1"/>
        </w:rPr>
        <w:instrText xml:space="preserve"> \* MERGEFORMAT </w:instrText>
      </w:r>
      <w:r w:rsidR="00DB7D33" w:rsidRPr="00A95754">
        <w:rPr>
          <w:color w:val="000000" w:themeColor="text1"/>
        </w:rPr>
      </w:r>
      <w:r w:rsidR="00DB7D33" w:rsidRPr="00A95754">
        <w:rPr>
          <w:color w:val="000000" w:themeColor="text1"/>
        </w:rPr>
        <w:fldChar w:fldCharType="separate"/>
      </w:r>
      <w:r w:rsidR="000178EC" w:rsidRPr="00A95754">
        <w:t xml:space="preserve">Figure </w:t>
      </w:r>
      <w:r w:rsidR="000178EC">
        <w:rPr>
          <w:noProof/>
        </w:rPr>
        <w:t>2</w:t>
      </w:r>
      <w:r w:rsidR="00DB7D33" w:rsidRPr="00A95754">
        <w:rPr>
          <w:color w:val="000000" w:themeColor="text1"/>
        </w:rPr>
        <w:fldChar w:fldCharType="end"/>
      </w:r>
      <w:r w:rsidR="00DB7D33" w:rsidRPr="00A95754">
        <w:rPr>
          <w:color w:val="000000" w:themeColor="text1"/>
        </w:rPr>
        <w:t xml:space="preserve"> and </w:t>
      </w:r>
      <w:r w:rsidR="00DB7D33" w:rsidRPr="00A95754">
        <w:rPr>
          <w:color w:val="000000" w:themeColor="text1"/>
        </w:rPr>
        <w:fldChar w:fldCharType="begin"/>
      </w:r>
      <w:r w:rsidR="00DB7D33" w:rsidRPr="00A95754">
        <w:rPr>
          <w:color w:val="000000" w:themeColor="text1"/>
        </w:rPr>
        <w:instrText xml:space="preserve"> REF _Ref124427591 \h </w:instrText>
      </w:r>
      <w:r w:rsidR="00A95754">
        <w:rPr>
          <w:color w:val="000000" w:themeColor="text1"/>
        </w:rPr>
        <w:instrText xml:space="preserve"> \* MERGEFORMAT </w:instrText>
      </w:r>
      <w:r w:rsidR="00DB7D33" w:rsidRPr="00A95754">
        <w:rPr>
          <w:color w:val="000000" w:themeColor="text1"/>
        </w:rPr>
      </w:r>
      <w:r w:rsidR="00DB7D33" w:rsidRPr="00A95754">
        <w:rPr>
          <w:color w:val="000000" w:themeColor="text1"/>
        </w:rPr>
        <w:fldChar w:fldCharType="separate"/>
      </w:r>
      <w:r w:rsidR="000178EC" w:rsidRPr="00A95754">
        <w:t xml:space="preserve">Figure </w:t>
      </w:r>
      <w:r w:rsidR="000178EC">
        <w:rPr>
          <w:noProof/>
        </w:rPr>
        <w:t>3</w:t>
      </w:r>
      <w:r w:rsidR="00DB7D33" w:rsidRPr="00A95754">
        <w:rPr>
          <w:color w:val="000000" w:themeColor="text1"/>
        </w:rPr>
        <w:fldChar w:fldCharType="end"/>
      </w:r>
      <w:r w:rsidRPr="00A95754">
        <w:rPr>
          <w:color w:val="000000" w:themeColor="text1"/>
        </w:rPr>
        <w:t>.</w:t>
      </w:r>
    </w:p>
    <w:p w14:paraId="275E8A83" w14:textId="4C51A691" w:rsidR="00375493" w:rsidRPr="00A95754" w:rsidRDefault="00375493" w:rsidP="003C67AB">
      <w:pPr>
        <w:pStyle w:val="TableFigureHeading"/>
        <w:keepLines/>
        <w:widowControl w:val="0"/>
        <w:rPr>
          <w:rStyle w:val="CommentReference"/>
        </w:rPr>
      </w:pPr>
      <w:bookmarkStart w:id="21" w:name="_Ref124427549"/>
      <w:r w:rsidRPr="00A95754">
        <w:t xml:space="preserve">Table </w:t>
      </w:r>
      <w:fldSimple w:instr=" SEQ Table \* ARABIC ">
        <w:r w:rsidR="000178EC">
          <w:rPr>
            <w:noProof/>
          </w:rPr>
          <w:t>5</w:t>
        </w:r>
      </w:fldSimple>
      <w:bookmarkEnd w:id="21"/>
      <w:r w:rsidRPr="00A95754">
        <w:t xml:space="preserve">: </w:t>
      </w:r>
      <w:r w:rsidRPr="00A95754">
        <w:rPr>
          <w:rStyle w:val="CommentReference"/>
          <w:b/>
          <w:szCs w:val="24"/>
        </w:rPr>
        <w:t xml:space="preserve">PFS, ORR and DoR, TOPAZ-1 FAS at </w:t>
      </w:r>
      <w:r w:rsidRPr="00A95754">
        <w:t>IA-2 (data cut-off 11 Aug 2021)</w:t>
      </w:r>
    </w:p>
    <w:tbl>
      <w:tblPr>
        <w:tblStyle w:val="TableGrid"/>
        <w:tblpPr w:leftFromText="181" w:rightFromText="181" w:vertAnchor="text" w:tblpY="1"/>
        <w:tblOverlap w:val="never"/>
        <w:tblW w:w="4947" w:type="pct"/>
        <w:tblLayout w:type="fixed"/>
        <w:tblLook w:val="04A0" w:firstRow="1" w:lastRow="0" w:firstColumn="1" w:lastColumn="0" w:noHBand="0" w:noVBand="1"/>
      </w:tblPr>
      <w:tblGrid>
        <w:gridCol w:w="5240"/>
        <w:gridCol w:w="1702"/>
        <w:gridCol w:w="1979"/>
      </w:tblGrid>
      <w:tr w:rsidR="00375493" w:rsidRPr="00A95754" w14:paraId="43C3EA08" w14:textId="77777777" w:rsidTr="00071DA7">
        <w:trPr>
          <w:trHeight w:val="176"/>
          <w:tblHeader/>
        </w:trPr>
        <w:tc>
          <w:tcPr>
            <w:tcW w:w="2937" w:type="pct"/>
            <w:vAlign w:val="center"/>
          </w:tcPr>
          <w:p w14:paraId="70F49BB4" w14:textId="77777777" w:rsidR="00375493" w:rsidRPr="00A95754" w:rsidRDefault="00375493" w:rsidP="00071DA7">
            <w:pPr>
              <w:pStyle w:val="In-tableHeading"/>
              <w:keepLines/>
              <w:widowControl w:val="0"/>
            </w:pPr>
          </w:p>
        </w:tc>
        <w:tc>
          <w:tcPr>
            <w:tcW w:w="954" w:type="pct"/>
            <w:vAlign w:val="center"/>
          </w:tcPr>
          <w:p w14:paraId="7306399B" w14:textId="77777777" w:rsidR="00375493" w:rsidRPr="00A95754" w:rsidRDefault="00375493" w:rsidP="00071DA7">
            <w:pPr>
              <w:pStyle w:val="In-tableHeading"/>
              <w:keepLines/>
              <w:widowControl w:val="0"/>
            </w:pPr>
            <w:r w:rsidRPr="00A95754">
              <w:t>Durvalumab + GemCis (N=341)</w:t>
            </w:r>
          </w:p>
        </w:tc>
        <w:tc>
          <w:tcPr>
            <w:tcW w:w="1109" w:type="pct"/>
            <w:vAlign w:val="center"/>
          </w:tcPr>
          <w:p w14:paraId="50DCDAD4" w14:textId="77777777" w:rsidR="00375493" w:rsidRPr="00A95754" w:rsidRDefault="00375493" w:rsidP="00071DA7">
            <w:pPr>
              <w:pStyle w:val="In-tableHeading"/>
              <w:keepLines/>
              <w:widowControl w:val="0"/>
            </w:pPr>
            <w:r w:rsidRPr="00A95754">
              <w:t>Placebo + GemCis (N=341)</w:t>
            </w:r>
          </w:p>
        </w:tc>
      </w:tr>
      <w:tr w:rsidR="00375493" w:rsidRPr="00A95754" w14:paraId="72953315" w14:textId="77777777" w:rsidTr="00071DA7">
        <w:trPr>
          <w:trHeight w:val="176"/>
          <w:tblHeader/>
        </w:trPr>
        <w:tc>
          <w:tcPr>
            <w:tcW w:w="5000" w:type="pct"/>
            <w:gridSpan w:val="3"/>
            <w:vAlign w:val="center"/>
          </w:tcPr>
          <w:p w14:paraId="4DF607C7" w14:textId="77777777" w:rsidR="00375493" w:rsidRPr="00A95754" w:rsidRDefault="00375493" w:rsidP="00071DA7">
            <w:pPr>
              <w:pStyle w:val="In-tableHeading"/>
              <w:keepLines/>
              <w:widowControl w:val="0"/>
            </w:pPr>
            <w:r w:rsidRPr="00A95754">
              <w:t>Progression-free survival</w:t>
            </w:r>
          </w:p>
        </w:tc>
      </w:tr>
      <w:tr w:rsidR="00375493" w:rsidRPr="00A95754" w14:paraId="74A79187" w14:textId="77777777" w:rsidTr="00071DA7">
        <w:trPr>
          <w:trHeight w:val="176"/>
        </w:trPr>
        <w:tc>
          <w:tcPr>
            <w:tcW w:w="2937" w:type="pct"/>
            <w:vAlign w:val="center"/>
          </w:tcPr>
          <w:p w14:paraId="60D5AC01" w14:textId="77777777" w:rsidR="00375493" w:rsidRPr="00A95754" w:rsidRDefault="00375493" w:rsidP="00071DA7">
            <w:pPr>
              <w:pStyle w:val="TableText0"/>
              <w:keepLines/>
              <w:widowControl w:val="0"/>
              <w:contextualSpacing/>
              <w:rPr>
                <w:szCs w:val="20"/>
              </w:rPr>
            </w:pPr>
            <w:r w:rsidRPr="00A95754">
              <w:t>Total events, n (%)</w:t>
            </w:r>
          </w:p>
        </w:tc>
        <w:tc>
          <w:tcPr>
            <w:tcW w:w="954" w:type="pct"/>
            <w:vAlign w:val="center"/>
          </w:tcPr>
          <w:p w14:paraId="00349A7A" w14:textId="77777777" w:rsidR="00375493" w:rsidRPr="00A95754" w:rsidRDefault="00375493" w:rsidP="00071DA7">
            <w:pPr>
              <w:pStyle w:val="TableText0"/>
              <w:keepLines/>
              <w:widowControl w:val="0"/>
              <w:contextualSpacing/>
              <w:jc w:val="center"/>
              <w:rPr>
                <w:szCs w:val="20"/>
              </w:rPr>
            </w:pPr>
            <w:r w:rsidRPr="00A95754">
              <w:t>276 (80.9)</w:t>
            </w:r>
          </w:p>
        </w:tc>
        <w:tc>
          <w:tcPr>
            <w:tcW w:w="1109" w:type="pct"/>
            <w:vAlign w:val="center"/>
          </w:tcPr>
          <w:p w14:paraId="7D16F450" w14:textId="77777777" w:rsidR="00375493" w:rsidRPr="00A95754" w:rsidRDefault="00375493" w:rsidP="00071DA7">
            <w:pPr>
              <w:pStyle w:val="TableText0"/>
              <w:keepLines/>
              <w:widowControl w:val="0"/>
              <w:contextualSpacing/>
              <w:jc w:val="center"/>
              <w:rPr>
                <w:szCs w:val="20"/>
              </w:rPr>
            </w:pPr>
            <w:r w:rsidRPr="00A95754">
              <w:t>297(86.3)</w:t>
            </w:r>
          </w:p>
        </w:tc>
      </w:tr>
      <w:tr w:rsidR="00375493" w:rsidRPr="00A95754" w14:paraId="746F88BF" w14:textId="77777777" w:rsidTr="00071DA7">
        <w:trPr>
          <w:trHeight w:val="176"/>
        </w:trPr>
        <w:tc>
          <w:tcPr>
            <w:tcW w:w="2937" w:type="pct"/>
            <w:vAlign w:val="center"/>
          </w:tcPr>
          <w:p w14:paraId="5B86E8FE" w14:textId="77777777" w:rsidR="00375493" w:rsidRPr="00A95754" w:rsidRDefault="00375493" w:rsidP="00071DA7">
            <w:pPr>
              <w:pStyle w:val="TableText0"/>
              <w:keepLines/>
              <w:widowControl w:val="0"/>
              <w:contextualSpacing/>
            </w:pPr>
            <w:r w:rsidRPr="00A95754">
              <w:t>Censored patients n (%)</w:t>
            </w:r>
          </w:p>
        </w:tc>
        <w:tc>
          <w:tcPr>
            <w:tcW w:w="954" w:type="pct"/>
            <w:vAlign w:val="center"/>
          </w:tcPr>
          <w:p w14:paraId="61A54957" w14:textId="77777777" w:rsidR="00375493" w:rsidRPr="00A42724" w:rsidRDefault="00375493" w:rsidP="00071DA7">
            <w:pPr>
              <w:pStyle w:val="TableText0"/>
              <w:keepLines/>
              <w:widowControl w:val="0"/>
              <w:contextualSpacing/>
              <w:jc w:val="center"/>
            </w:pPr>
            <w:r w:rsidRPr="00A42724">
              <w:t>65 (19.1)</w:t>
            </w:r>
          </w:p>
        </w:tc>
        <w:tc>
          <w:tcPr>
            <w:tcW w:w="1109" w:type="pct"/>
            <w:vAlign w:val="center"/>
          </w:tcPr>
          <w:p w14:paraId="1CFB6C1E" w14:textId="77777777" w:rsidR="00375493" w:rsidRPr="00A42724" w:rsidRDefault="00375493" w:rsidP="00071DA7">
            <w:pPr>
              <w:pStyle w:val="TableText0"/>
              <w:keepLines/>
              <w:widowControl w:val="0"/>
              <w:contextualSpacing/>
              <w:jc w:val="center"/>
            </w:pPr>
            <w:r w:rsidRPr="00A42724">
              <w:t>47 (13.7)</w:t>
            </w:r>
          </w:p>
        </w:tc>
      </w:tr>
      <w:tr w:rsidR="00375493" w:rsidRPr="00A95754" w14:paraId="7A6DE09C" w14:textId="77777777" w:rsidTr="00071DA7">
        <w:trPr>
          <w:trHeight w:val="176"/>
        </w:trPr>
        <w:tc>
          <w:tcPr>
            <w:tcW w:w="2937" w:type="pct"/>
            <w:vAlign w:val="center"/>
          </w:tcPr>
          <w:p w14:paraId="75DDFD05" w14:textId="77777777" w:rsidR="00375493" w:rsidRPr="00A95754" w:rsidRDefault="00375493" w:rsidP="00071DA7">
            <w:pPr>
              <w:pStyle w:val="TableText0"/>
              <w:keepLines/>
              <w:widowControl w:val="0"/>
              <w:contextualSpacing/>
              <w:rPr>
                <w:szCs w:val="20"/>
              </w:rPr>
            </w:pPr>
            <w:r w:rsidRPr="00A95754">
              <w:rPr>
                <w:szCs w:val="20"/>
              </w:rPr>
              <w:t>Median PFS (months) (95% CI)</w:t>
            </w:r>
          </w:p>
        </w:tc>
        <w:tc>
          <w:tcPr>
            <w:tcW w:w="954" w:type="pct"/>
            <w:vAlign w:val="center"/>
          </w:tcPr>
          <w:p w14:paraId="6040AFE9" w14:textId="77777777" w:rsidR="00375493" w:rsidRPr="00A95754" w:rsidRDefault="00375493" w:rsidP="00071DA7">
            <w:pPr>
              <w:pStyle w:val="TableText0"/>
              <w:keepLines/>
              <w:widowControl w:val="0"/>
              <w:contextualSpacing/>
              <w:jc w:val="center"/>
              <w:rPr>
                <w:bCs w:val="0"/>
                <w:szCs w:val="20"/>
              </w:rPr>
            </w:pPr>
            <w:r w:rsidRPr="00A95754">
              <w:rPr>
                <w:szCs w:val="20"/>
              </w:rPr>
              <w:t>7.2 (6.7, 7.4)</w:t>
            </w:r>
          </w:p>
        </w:tc>
        <w:tc>
          <w:tcPr>
            <w:tcW w:w="1109" w:type="pct"/>
            <w:vAlign w:val="center"/>
          </w:tcPr>
          <w:p w14:paraId="2CA96AAB" w14:textId="77777777" w:rsidR="00375493" w:rsidRPr="00A95754" w:rsidRDefault="00375493" w:rsidP="00071DA7">
            <w:pPr>
              <w:pStyle w:val="TableText0"/>
              <w:keepLines/>
              <w:widowControl w:val="0"/>
              <w:contextualSpacing/>
              <w:jc w:val="center"/>
              <w:rPr>
                <w:bCs w:val="0"/>
                <w:szCs w:val="20"/>
              </w:rPr>
            </w:pPr>
            <w:r w:rsidRPr="00A95754">
              <w:rPr>
                <w:szCs w:val="20"/>
              </w:rPr>
              <w:t>5.7 (5.6, 6.7)</w:t>
            </w:r>
          </w:p>
        </w:tc>
      </w:tr>
      <w:tr w:rsidR="00375493" w:rsidRPr="00A95754" w14:paraId="7AE9CB18" w14:textId="77777777" w:rsidTr="00071DA7">
        <w:trPr>
          <w:trHeight w:val="176"/>
        </w:trPr>
        <w:tc>
          <w:tcPr>
            <w:tcW w:w="2937" w:type="pct"/>
            <w:vAlign w:val="center"/>
          </w:tcPr>
          <w:p w14:paraId="644EAD3E" w14:textId="77777777" w:rsidR="00375493" w:rsidRPr="00A95754" w:rsidRDefault="00375493" w:rsidP="00071DA7">
            <w:pPr>
              <w:pStyle w:val="TableText0"/>
              <w:keepLines/>
              <w:widowControl w:val="0"/>
              <w:contextualSpacing/>
              <w:rPr>
                <w:szCs w:val="20"/>
                <w:vertAlign w:val="superscript"/>
              </w:rPr>
            </w:pPr>
            <w:r w:rsidRPr="00A95754">
              <w:rPr>
                <w:szCs w:val="20"/>
              </w:rPr>
              <w:t>Hazard ratio (95% CI)</w:t>
            </w:r>
          </w:p>
          <w:p w14:paraId="39590502" w14:textId="77777777" w:rsidR="00375493" w:rsidRPr="00A95754" w:rsidRDefault="00375493" w:rsidP="00071DA7">
            <w:pPr>
              <w:pStyle w:val="TableText0"/>
              <w:keepLines/>
              <w:widowControl w:val="0"/>
              <w:contextualSpacing/>
              <w:rPr>
                <w:szCs w:val="20"/>
              </w:rPr>
            </w:pPr>
            <w:r w:rsidRPr="00A95754">
              <w:rPr>
                <w:szCs w:val="20"/>
              </w:rPr>
              <w:t>2-sided p-value</w:t>
            </w:r>
          </w:p>
        </w:tc>
        <w:tc>
          <w:tcPr>
            <w:tcW w:w="2063" w:type="pct"/>
            <w:gridSpan w:val="2"/>
            <w:vAlign w:val="center"/>
          </w:tcPr>
          <w:p w14:paraId="2721DD45" w14:textId="77777777" w:rsidR="00375493" w:rsidRPr="00A95754" w:rsidRDefault="00375493" w:rsidP="00071DA7">
            <w:pPr>
              <w:pStyle w:val="TableText0"/>
              <w:keepLines/>
              <w:widowControl w:val="0"/>
              <w:contextualSpacing/>
              <w:jc w:val="center"/>
              <w:rPr>
                <w:b/>
                <w:bCs w:val="0"/>
                <w:szCs w:val="20"/>
              </w:rPr>
            </w:pPr>
            <w:r w:rsidRPr="00A95754">
              <w:rPr>
                <w:b/>
                <w:szCs w:val="20"/>
              </w:rPr>
              <w:t>0.75 (0.63, 0.89)</w:t>
            </w:r>
          </w:p>
          <w:p w14:paraId="593254BD" w14:textId="77777777" w:rsidR="00375493" w:rsidRPr="00A95754" w:rsidRDefault="00375493" w:rsidP="00071DA7">
            <w:pPr>
              <w:pStyle w:val="TableText0"/>
              <w:keepLines/>
              <w:widowControl w:val="0"/>
              <w:contextualSpacing/>
              <w:jc w:val="center"/>
              <w:rPr>
                <w:szCs w:val="20"/>
              </w:rPr>
            </w:pPr>
            <w:r w:rsidRPr="00A95754">
              <w:rPr>
                <w:b/>
                <w:szCs w:val="20"/>
              </w:rPr>
              <w:t>0.001</w:t>
            </w:r>
          </w:p>
        </w:tc>
      </w:tr>
      <w:tr w:rsidR="00375493" w:rsidRPr="00A95754" w14:paraId="6E74D906" w14:textId="77777777" w:rsidTr="00071DA7">
        <w:trPr>
          <w:trHeight w:hRule="exact" w:val="283"/>
        </w:trPr>
        <w:tc>
          <w:tcPr>
            <w:tcW w:w="2937" w:type="pct"/>
            <w:vAlign w:val="center"/>
          </w:tcPr>
          <w:p w14:paraId="76216242" w14:textId="77777777" w:rsidR="00375493" w:rsidRPr="00071DA7" w:rsidRDefault="00375493" w:rsidP="00071DA7">
            <w:pPr>
              <w:pStyle w:val="TableText0"/>
              <w:keepLines/>
              <w:widowControl w:val="0"/>
              <w:contextualSpacing/>
              <w:rPr>
                <w:szCs w:val="20"/>
              </w:rPr>
            </w:pPr>
            <w:r w:rsidRPr="00071DA7">
              <w:rPr>
                <w:szCs w:val="20"/>
              </w:rPr>
              <w:t>PFS rate at 6.5-months (%) (95% CI)</w:t>
            </w:r>
          </w:p>
        </w:tc>
        <w:tc>
          <w:tcPr>
            <w:tcW w:w="954" w:type="pct"/>
            <w:shd w:val="clear" w:color="auto" w:fill="auto"/>
            <w:vAlign w:val="center"/>
          </w:tcPr>
          <w:p w14:paraId="79C378A2" w14:textId="77777777" w:rsidR="00375493" w:rsidRPr="00071DA7" w:rsidRDefault="00375493" w:rsidP="00071DA7">
            <w:pPr>
              <w:pStyle w:val="TableText0"/>
              <w:keepLines/>
              <w:widowControl w:val="0"/>
              <w:contextualSpacing/>
              <w:jc w:val="center"/>
              <w:rPr>
                <w:szCs w:val="20"/>
              </w:rPr>
            </w:pPr>
            <w:r w:rsidRPr="00071DA7">
              <w:rPr>
                <w:szCs w:val="20"/>
              </w:rPr>
              <w:t>58.3 (52.8, 63.4)</w:t>
            </w:r>
          </w:p>
        </w:tc>
        <w:tc>
          <w:tcPr>
            <w:tcW w:w="1109" w:type="pct"/>
            <w:shd w:val="clear" w:color="auto" w:fill="auto"/>
            <w:vAlign w:val="center"/>
          </w:tcPr>
          <w:p w14:paraId="5AF7C607" w14:textId="77777777" w:rsidR="00375493" w:rsidRPr="00071DA7" w:rsidRDefault="00375493" w:rsidP="00071DA7">
            <w:pPr>
              <w:pStyle w:val="TableText0"/>
              <w:keepLines/>
              <w:widowControl w:val="0"/>
              <w:contextualSpacing/>
              <w:jc w:val="center"/>
              <w:rPr>
                <w:szCs w:val="20"/>
              </w:rPr>
            </w:pPr>
            <w:r w:rsidRPr="00071DA7">
              <w:rPr>
                <w:szCs w:val="20"/>
              </w:rPr>
              <w:t>47.2 (41.6, 52.5)</w:t>
            </w:r>
          </w:p>
        </w:tc>
      </w:tr>
      <w:tr w:rsidR="00375493" w:rsidRPr="00A95754" w14:paraId="575D4995" w14:textId="77777777" w:rsidTr="00071DA7">
        <w:trPr>
          <w:trHeight w:hRule="exact" w:val="283"/>
        </w:trPr>
        <w:tc>
          <w:tcPr>
            <w:tcW w:w="2937" w:type="pct"/>
            <w:vAlign w:val="center"/>
          </w:tcPr>
          <w:p w14:paraId="13B6BD42" w14:textId="77777777" w:rsidR="00375493" w:rsidRPr="00071DA7" w:rsidRDefault="00375493" w:rsidP="00071DA7">
            <w:pPr>
              <w:pStyle w:val="TableText0"/>
              <w:keepLines/>
              <w:widowControl w:val="0"/>
              <w:contextualSpacing/>
              <w:rPr>
                <w:szCs w:val="20"/>
              </w:rPr>
            </w:pPr>
            <w:r w:rsidRPr="00071DA7">
              <w:rPr>
                <w:szCs w:val="20"/>
              </w:rPr>
              <w:t>PFS rate at 9 months (%) (95% CI)</w:t>
            </w:r>
          </w:p>
        </w:tc>
        <w:tc>
          <w:tcPr>
            <w:tcW w:w="954" w:type="pct"/>
            <w:shd w:val="clear" w:color="auto" w:fill="auto"/>
            <w:vAlign w:val="center"/>
          </w:tcPr>
          <w:p w14:paraId="64874D0A" w14:textId="77777777" w:rsidR="00375493" w:rsidRPr="00071DA7" w:rsidRDefault="00375493" w:rsidP="00071DA7">
            <w:pPr>
              <w:pStyle w:val="TableText0"/>
              <w:keepLines/>
              <w:widowControl w:val="0"/>
              <w:contextualSpacing/>
              <w:jc w:val="center"/>
              <w:rPr>
                <w:szCs w:val="20"/>
              </w:rPr>
            </w:pPr>
            <w:r w:rsidRPr="00071DA7">
              <w:rPr>
                <w:szCs w:val="20"/>
              </w:rPr>
              <w:t>34.8 (29.6, 40.0)</w:t>
            </w:r>
          </w:p>
        </w:tc>
        <w:tc>
          <w:tcPr>
            <w:tcW w:w="1109" w:type="pct"/>
            <w:shd w:val="clear" w:color="auto" w:fill="auto"/>
            <w:vAlign w:val="center"/>
          </w:tcPr>
          <w:p w14:paraId="35A35E16" w14:textId="77777777" w:rsidR="00375493" w:rsidRPr="00071DA7" w:rsidRDefault="00375493" w:rsidP="00071DA7">
            <w:pPr>
              <w:pStyle w:val="TableText0"/>
              <w:keepLines/>
              <w:widowControl w:val="0"/>
              <w:contextualSpacing/>
              <w:jc w:val="center"/>
              <w:rPr>
                <w:szCs w:val="20"/>
              </w:rPr>
            </w:pPr>
            <w:r w:rsidRPr="00071DA7">
              <w:rPr>
                <w:szCs w:val="20"/>
              </w:rPr>
              <w:t>24.6 (20.0, 29.5)</w:t>
            </w:r>
          </w:p>
        </w:tc>
      </w:tr>
      <w:tr w:rsidR="00375493" w:rsidRPr="00A95754" w14:paraId="1348AD87" w14:textId="77777777" w:rsidTr="00071DA7">
        <w:trPr>
          <w:trHeight w:hRule="exact" w:val="283"/>
        </w:trPr>
        <w:tc>
          <w:tcPr>
            <w:tcW w:w="2937" w:type="pct"/>
            <w:vAlign w:val="center"/>
          </w:tcPr>
          <w:p w14:paraId="30DCBFEF" w14:textId="77777777" w:rsidR="00375493" w:rsidRPr="00071DA7" w:rsidRDefault="00375493" w:rsidP="00071DA7">
            <w:pPr>
              <w:pStyle w:val="TableText0"/>
              <w:keepLines/>
              <w:widowControl w:val="0"/>
              <w:contextualSpacing/>
              <w:rPr>
                <w:szCs w:val="20"/>
              </w:rPr>
            </w:pPr>
            <w:r w:rsidRPr="00071DA7">
              <w:rPr>
                <w:szCs w:val="20"/>
              </w:rPr>
              <w:t>PFS rate at 12 months (%) (95% CI)</w:t>
            </w:r>
          </w:p>
        </w:tc>
        <w:tc>
          <w:tcPr>
            <w:tcW w:w="954" w:type="pct"/>
            <w:shd w:val="clear" w:color="auto" w:fill="auto"/>
            <w:vAlign w:val="center"/>
          </w:tcPr>
          <w:p w14:paraId="1FBBEF65" w14:textId="77777777" w:rsidR="00375493" w:rsidRPr="00071DA7" w:rsidRDefault="00375493" w:rsidP="00071DA7">
            <w:pPr>
              <w:pStyle w:val="TableText0"/>
              <w:keepLines/>
              <w:widowControl w:val="0"/>
              <w:contextualSpacing/>
              <w:jc w:val="center"/>
              <w:rPr>
                <w:szCs w:val="20"/>
              </w:rPr>
            </w:pPr>
            <w:r w:rsidRPr="00071DA7">
              <w:rPr>
                <w:szCs w:val="20"/>
              </w:rPr>
              <w:t>16.0 (12.0, 20.6)</w:t>
            </w:r>
          </w:p>
        </w:tc>
        <w:tc>
          <w:tcPr>
            <w:tcW w:w="1109" w:type="pct"/>
            <w:shd w:val="clear" w:color="auto" w:fill="auto"/>
            <w:vAlign w:val="center"/>
          </w:tcPr>
          <w:p w14:paraId="07DBB8AE" w14:textId="77777777" w:rsidR="00375493" w:rsidRPr="00071DA7" w:rsidRDefault="00375493" w:rsidP="00071DA7">
            <w:pPr>
              <w:pStyle w:val="TableText0"/>
              <w:keepLines/>
              <w:widowControl w:val="0"/>
              <w:contextualSpacing/>
              <w:jc w:val="center"/>
              <w:rPr>
                <w:szCs w:val="20"/>
              </w:rPr>
            </w:pPr>
            <w:r w:rsidRPr="00071DA7">
              <w:rPr>
                <w:szCs w:val="20"/>
              </w:rPr>
              <w:t>6.6 (4.1, 9.9)</w:t>
            </w:r>
          </w:p>
        </w:tc>
      </w:tr>
      <w:tr w:rsidR="00375493" w:rsidRPr="00A95754" w14:paraId="36C6FB6A" w14:textId="77777777" w:rsidTr="00071DA7">
        <w:trPr>
          <w:trHeight w:val="176"/>
        </w:trPr>
        <w:tc>
          <w:tcPr>
            <w:tcW w:w="5000" w:type="pct"/>
            <w:gridSpan w:val="3"/>
            <w:vAlign w:val="center"/>
          </w:tcPr>
          <w:p w14:paraId="6635BE00" w14:textId="77777777" w:rsidR="00375493" w:rsidRPr="00A95754" w:rsidRDefault="00375493" w:rsidP="00071DA7">
            <w:pPr>
              <w:pStyle w:val="TableText0"/>
              <w:keepLines/>
              <w:widowControl w:val="0"/>
              <w:contextualSpacing/>
              <w:rPr>
                <w:b/>
                <w:bCs w:val="0"/>
                <w:szCs w:val="20"/>
                <w:vertAlign w:val="superscript"/>
              </w:rPr>
            </w:pPr>
            <w:r w:rsidRPr="00A95754">
              <w:rPr>
                <w:b/>
                <w:bCs w:val="0"/>
                <w:szCs w:val="20"/>
              </w:rPr>
              <w:t>Objective response rate</w:t>
            </w:r>
            <w:r w:rsidRPr="00A95754">
              <w:rPr>
                <w:b/>
                <w:bCs w:val="0"/>
                <w:szCs w:val="20"/>
                <w:vertAlign w:val="superscript"/>
              </w:rPr>
              <w:t>a</w:t>
            </w:r>
          </w:p>
        </w:tc>
      </w:tr>
      <w:tr w:rsidR="00375493" w:rsidRPr="00A95754" w14:paraId="6173420D" w14:textId="77777777" w:rsidTr="00071DA7">
        <w:trPr>
          <w:trHeight w:hRule="exact" w:val="737"/>
        </w:trPr>
        <w:tc>
          <w:tcPr>
            <w:tcW w:w="2937" w:type="pct"/>
            <w:vAlign w:val="center"/>
          </w:tcPr>
          <w:p w14:paraId="0AA7DD30" w14:textId="77777777" w:rsidR="00375493" w:rsidRPr="00A95754" w:rsidRDefault="00375493" w:rsidP="00071DA7">
            <w:pPr>
              <w:pStyle w:val="Paragraph"/>
              <w:keepNext/>
              <w:keepLines/>
              <w:widowControl w:val="0"/>
              <w:spacing w:after="0" w:line="240" w:lineRule="auto"/>
              <w:contextualSpacing/>
              <w:rPr>
                <w:rFonts w:ascii="Arial Narrow" w:hAnsi="Arial Narrow"/>
                <w:sz w:val="20"/>
                <w:vertAlign w:val="superscript"/>
              </w:rPr>
            </w:pPr>
            <w:r w:rsidRPr="00A95754">
              <w:rPr>
                <w:rFonts w:ascii="Arial Narrow" w:hAnsi="Arial Narrow"/>
                <w:sz w:val="20"/>
              </w:rPr>
              <w:t>Patients with a response, n, (%)</w:t>
            </w:r>
            <w:r w:rsidRPr="00A95754">
              <w:rPr>
                <w:rFonts w:ascii="Arial Narrow" w:hAnsi="Arial Narrow"/>
                <w:sz w:val="20"/>
                <w:vertAlign w:val="superscript"/>
              </w:rPr>
              <w:t>b</w:t>
            </w:r>
          </w:p>
          <w:p w14:paraId="64DD3F72" w14:textId="77777777" w:rsidR="00375493" w:rsidRPr="00A95754" w:rsidRDefault="00375493" w:rsidP="00071DA7">
            <w:pPr>
              <w:pStyle w:val="Paragraph"/>
              <w:keepNext/>
              <w:keepLines/>
              <w:widowControl w:val="0"/>
              <w:numPr>
                <w:ilvl w:val="0"/>
                <w:numId w:val="13"/>
              </w:numPr>
              <w:spacing w:after="0" w:line="240" w:lineRule="auto"/>
              <w:contextualSpacing/>
              <w:rPr>
                <w:rFonts w:ascii="Arial Narrow" w:hAnsi="Arial Narrow"/>
                <w:sz w:val="20"/>
              </w:rPr>
            </w:pPr>
            <w:r w:rsidRPr="00A95754">
              <w:rPr>
                <w:rFonts w:ascii="Arial Narrow" w:hAnsi="Arial Narrow"/>
                <w:sz w:val="20"/>
              </w:rPr>
              <w:t>Complete response (CR)</w:t>
            </w:r>
          </w:p>
          <w:p w14:paraId="16D7DD6C" w14:textId="77777777" w:rsidR="00375493" w:rsidRPr="00A95754" w:rsidRDefault="00375493" w:rsidP="00071DA7">
            <w:pPr>
              <w:pStyle w:val="Paragraph"/>
              <w:keepNext/>
              <w:keepLines/>
              <w:widowControl w:val="0"/>
              <w:numPr>
                <w:ilvl w:val="0"/>
                <w:numId w:val="13"/>
              </w:numPr>
              <w:spacing w:after="0" w:line="240" w:lineRule="auto"/>
              <w:contextualSpacing/>
              <w:rPr>
                <w:rFonts w:ascii="Arial Narrow" w:hAnsi="Arial Narrow"/>
                <w:sz w:val="20"/>
              </w:rPr>
            </w:pPr>
            <w:r w:rsidRPr="00A95754">
              <w:rPr>
                <w:rFonts w:ascii="Arial Narrow" w:hAnsi="Arial Narrow"/>
                <w:sz w:val="20"/>
              </w:rPr>
              <w:t>Partial response (PR)</w:t>
            </w:r>
          </w:p>
        </w:tc>
        <w:tc>
          <w:tcPr>
            <w:tcW w:w="954" w:type="pct"/>
          </w:tcPr>
          <w:p w14:paraId="72562603" w14:textId="77777777" w:rsidR="00375493" w:rsidRPr="00A95754" w:rsidRDefault="00375493" w:rsidP="00071DA7">
            <w:pPr>
              <w:pStyle w:val="TableText0"/>
              <w:keepLines/>
              <w:widowControl w:val="0"/>
              <w:contextualSpacing/>
              <w:jc w:val="center"/>
            </w:pPr>
            <w:r w:rsidRPr="00A95754">
              <w:t>91 (26.7)</w:t>
            </w:r>
            <w:r w:rsidRPr="00A95754">
              <w:br/>
              <w:t>7 (2.1)</w:t>
            </w:r>
          </w:p>
          <w:p w14:paraId="6DFD409E" w14:textId="77777777" w:rsidR="00375493" w:rsidRPr="00A95754" w:rsidRDefault="00375493" w:rsidP="00071DA7">
            <w:pPr>
              <w:pStyle w:val="TableText0"/>
              <w:keepLines/>
              <w:widowControl w:val="0"/>
              <w:contextualSpacing/>
              <w:jc w:val="center"/>
            </w:pPr>
            <w:r w:rsidRPr="00A95754">
              <w:t>84 (24.6)</w:t>
            </w:r>
          </w:p>
        </w:tc>
        <w:tc>
          <w:tcPr>
            <w:tcW w:w="1109" w:type="pct"/>
          </w:tcPr>
          <w:p w14:paraId="27A4CD3C" w14:textId="77777777" w:rsidR="00375493" w:rsidRPr="00A95754" w:rsidRDefault="00375493" w:rsidP="00071DA7">
            <w:pPr>
              <w:pStyle w:val="TableText0"/>
              <w:keepLines/>
              <w:widowControl w:val="0"/>
              <w:contextualSpacing/>
              <w:jc w:val="center"/>
              <w:rPr>
                <w:szCs w:val="20"/>
              </w:rPr>
            </w:pPr>
            <w:r w:rsidRPr="00A95754">
              <w:rPr>
                <w:szCs w:val="20"/>
              </w:rPr>
              <w:t>64 (18.7)</w:t>
            </w:r>
          </w:p>
          <w:p w14:paraId="7862368F" w14:textId="77777777" w:rsidR="00375493" w:rsidRPr="00A95754" w:rsidRDefault="00375493" w:rsidP="00071DA7">
            <w:pPr>
              <w:pStyle w:val="TableText0"/>
              <w:keepLines/>
              <w:widowControl w:val="0"/>
              <w:contextualSpacing/>
              <w:jc w:val="center"/>
              <w:rPr>
                <w:szCs w:val="20"/>
              </w:rPr>
            </w:pPr>
            <w:r w:rsidRPr="00A95754">
              <w:rPr>
                <w:szCs w:val="20"/>
              </w:rPr>
              <w:t>2 (0.6)</w:t>
            </w:r>
          </w:p>
          <w:p w14:paraId="6AD3FBE4" w14:textId="77777777" w:rsidR="00375493" w:rsidRPr="00A95754" w:rsidRDefault="00375493" w:rsidP="00071DA7">
            <w:pPr>
              <w:pStyle w:val="TableText0"/>
              <w:keepLines/>
              <w:widowControl w:val="0"/>
              <w:contextualSpacing/>
              <w:jc w:val="center"/>
              <w:rPr>
                <w:szCs w:val="20"/>
              </w:rPr>
            </w:pPr>
            <w:r w:rsidRPr="00A95754">
              <w:rPr>
                <w:szCs w:val="20"/>
              </w:rPr>
              <w:t>62 (18.1)</w:t>
            </w:r>
          </w:p>
        </w:tc>
      </w:tr>
      <w:tr w:rsidR="00375493" w:rsidRPr="00A95754" w14:paraId="0B844398" w14:textId="77777777" w:rsidTr="00071DA7">
        <w:trPr>
          <w:trHeight w:hRule="exact" w:val="478"/>
        </w:trPr>
        <w:tc>
          <w:tcPr>
            <w:tcW w:w="2937" w:type="pct"/>
            <w:vAlign w:val="center"/>
          </w:tcPr>
          <w:p w14:paraId="1DB9E00A" w14:textId="77777777" w:rsidR="00375493" w:rsidRPr="00A95754" w:rsidRDefault="00375493" w:rsidP="00071DA7">
            <w:pPr>
              <w:pStyle w:val="Paragraph"/>
              <w:keepNext/>
              <w:keepLines/>
              <w:widowControl w:val="0"/>
              <w:spacing w:after="0" w:line="240" w:lineRule="auto"/>
              <w:contextualSpacing/>
              <w:rPr>
                <w:rFonts w:ascii="Arial Narrow" w:hAnsi="Arial Narrow"/>
                <w:sz w:val="20"/>
              </w:rPr>
            </w:pPr>
            <w:r w:rsidRPr="00A95754">
              <w:rPr>
                <w:rFonts w:ascii="Arial Narrow" w:hAnsi="Arial Narrow"/>
                <w:sz w:val="20"/>
              </w:rPr>
              <w:t>Odds ratio (95% CI)</w:t>
            </w:r>
            <w:r w:rsidRPr="00A95754">
              <w:rPr>
                <w:rFonts w:ascii="Arial Narrow" w:hAnsi="Arial Narrow"/>
                <w:sz w:val="20"/>
                <w:vertAlign w:val="superscript"/>
              </w:rPr>
              <w:t>c</w:t>
            </w:r>
          </w:p>
          <w:p w14:paraId="7ED4A803" w14:textId="77777777" w:rsidR="00375493" w:rsidRPr="00A95754" w:rsidRDefault="00375493" w:rsidP="00071DA7">
            <w:pPr>
              <w:pStyle w:val="Paragraph"/>
              <w:keepNext/>
              <w:keepLines/>
              <w:widowControl w:val="0"/>
              <w:spacing w:after="0" w:line="240" w:lineRule="auto"/>
              <w:contextualSpacing/>
              <w:rPr>
                <w:rFonts w:ascii="Arial Narrow" w:hAnsi="Arial Narrow"/>
                <w:sz w:val="20"/>
              </w:rPr>
            </w:pPr>
            <w:r w:rsidRPr="00A95754">
              <w:rPr>
                <w:rFonts w:ascii="Arial Narrow" w:hAnsi="Arial Narrow"/>
                <w:sz w:val="20"/>
              </w:rPr>
              <w:t>2-sided p-value</w:t>
            </w:r>
          </w:p>
        </w:tc>
        <w:tc>
          <w:tcPr>
            <w:tcW w:w="2063" w:type="pct"/>
            <w:gridSpan w:val="2"/>
          </w:tcPr>
          <w:p w14:paraId="3F3E66C3" w14:textId="77777777" w:rsidR="00375493" w:rsidRPr="00A95754" w:rsidRDefault="00375493" w:rsidP="00071DA7">
            <w:pPr>
              <w:pStyle w:val="TableText0"/>
              <w:keepLines/>
              <w:widowControl w:val="0"/>
              <w:contextualSpacing/>
              <w:jc w:val="center"/>
              <w:rPr>
                <w:b/>
                <w:bCs w:val="0"/>
                <w:szCs w:val="20"/>
              </w:rPr>
            </w:pPr>
            <w:r w:rsidRPr="00A95754">
              <w:rPr>
                <w:b/>
                <w:bCs w:val="0"/>
                <w:szCs w:val="20"/>
              </w:rPr>
              <w:t>1.60 (1.11, 2.31)</w:t>
            </w:r>
          </w:p>
          <w:p w14:paraId="57F9216D" w14:textId="77777777" w:rsidR="00375493" w:rsidRPr="00A95754" w:rsidRDefault="00375493" w:rsidP="00071DA7">
            <w:pPr>
              <w:pStyle w:val="TableText0"/>
              <w:keepLines/>
              <w:widowControl w:val="0"/>
              <w:contextualSpacing/>
              <w:jc w:val="center"/>
              <w:rPr>
                <w:szCs w:val="20"/>
              </w:rPr>
            </w:pPr>
            <w:r w:rsidRPr="00A95754">
              <w:rPr>
                <w:b/>
                <w:bCs w:val="0"/>
                <w:szCs w:val="20"/>
              </w:rPr>
              <w:t>0.011</w:t>
            </w:r>
          </w:p>
        </w:tc>
      </w:tr>
      <w:tr w:rsidR="00375493" w:rsidRPr="00A95754" w14:paraId="67F7F106" w14:textId="77777777" w:rsidTr="00071DA7">
        <w:trPr>
          <w:trHeight w:hRule="exact" w:val="283"/>
        </w:trPr>
        <w:tc>
          <w:tcPr>
            <w:tcW w:w="5000" w:type="pct"/>
            <w:gridSpan w:val="3"/>
            <w:vAlign w:val="center"/>
          </w:tcPr>
          <w:p w14:paraId="6C21CE65" w14:textId="77777777" w:rsidR="00375493" w:rsidRPr="00A95754" w:rsidRDefault="00375493" w:rsidP="00071DA7">
            <w:pPr>
              <w:pStyle w:val="In-tableHeading"/>
              <w:keepLines/>
              <w:widowControl w:val="0"/>
              <w:contextualSpacing/>
              <w:rPr>
                <w:bCs/>
              </w:rPr>
            </w:pPr>
            <w:r w:rsidRPr="00A95754">
              <w:t>Duration of response</w:t>
            </w:r>
          </w:p>
        </w:tc>
      </w:tr>
      <w:tr w:rsidR="00375493" w:rsidRPr="00A95754" w14:paraId="1CAAEF65" w14:textId="77777777" w:rsidTr="00071DA7">
        <w:trPr>
          <w:trHeight w:hRule="exact" w:val="276"/>
        </w:trPr>
        <w:tc>
          <w:tcPr>
            <w:tcW w:w="2937" w:type="pct"/>
          </w:tcPr>
          <w:p w14:paraId="2DE66898" w14:textId="77777777" w:rsidR="00375493" w:rsidRPr="00A95754" w:rsidRDefault="00375493" w:rsidP="00071DA7">
            <w:pPr>
              <w:pStyle w:val="TableText0"/>
              <w:keepLines/>
              <w:widowControl w:val="0"/>
              <w:contextualSpacing/>
            </w:pPr>
            <w:r w:rsidRPr="00A95754">
              <w:t>Number of responders who subsequently progressed or died, n (%)</w:t>
            </w:r>
          </w:p>
        </w:tc>
        <w:tc>
          <w:tcPr>
            <w:tcW w:w="954" w:type="pct"/>
          </w:tcPr>
          <w:p w14:paraId="7B475AE5" w14:textId="77777777" w:rsidR="00375493" w:rsidRPr="00FA20C2" w:rsidRDefault="00375493" w:rsidP="00071DA7">
            <w:pPr>
              <w:pStyle w:val="TableText0"/>
              <w:keepLines/>
              <w:widowControl w:val="0"/>
              <w:contextualSpacing/>
              <w:jc w:val="center"/>
            </w:pPr>
            <w:r w:rsidRPr="00FA20C2">
              <w:t>60 (65.9)</w:t>
            </w:r>
          </w:p>
        </w:tc>
        <w:tc>
          <w:tcPr>
            <w:tcW w:w="1109" w:type="pct"/>
          </w:tcPr>
          <w:p w14:paraId="7B76EE8F" w14:textId="77777777" w:rsidR="00375493" w:rsidRPr="00FA20C2" w:rsidRDefault="00375493" w:rsidP="00071DA7">
            <w:pPr>
              <w:pStyle w:val="TableText0"/>
              <w:keepLines/>
              <w:widowControl w:val="0"/>
              <w:contextualSpacing/>
              <w:jc w:val="center"/>
            </w:pPr>
            <w:r w:rsidRPr="00FA20C2">
              <w:t>51 (79.7)</w:t>
            </w:r>
          </w:p>
        </w:tc>
      </w:tr>
      <w:tr w:rsidR="00375493" w:rsidRPr="00A95754" w14:paraId="5006AE99" w14:textId="77777777" w:rsidTr="00071DA7">
        <w:trPr>
          <w:trHeight w:hRule="exact" w:val="737"/>
        </w:trPr>
        <w:tc>
          <w:tcPr>
            <w:tcW w:w="2937" w:type="pct"/>
          </w:tcPr>
          <w:p w14:paraId="64AEAA84" w14:textId="77777777" w:rsidR="00375493" w:rsidRPr="00A95754" w:rsidRDefault="00375493" w:rsidP="00071DA7">
            <w:pPr>
              <w:pStyle w:val="TableText0"/>
              <w:keepLines/>
              <w:widowControl w:val="0"/>
              <w:contextualSpacing/>
              <w:rPr>
                <w:vertAlign w:val="superscript"/>
              </w:rPr>
            </w:pPr>
            <w:r w:rsidRPr="00A95754">
              <w:t>Duration of response from onset of response (months)</w:t>
            </w:r>
            <w:r w:rsidRPr="00A95754">
              <w:rPr>
                <w:vertAlign w:val="superscript"/>
              </w:rPr>
              <w:t>d,e</w:t>
            </w:r>
          </w:p>
          <w:p w14:paraId="1BD065F8" w14:textId="77777777" w:rsidR="00375493" w:rsidRPr="00A95754" w:rsidRDefault="00375493" w:rsidP="00071DA7">
            <w:pPr>
              <w:pStyle w:val="TableText0"/>
              <w:keepLines/>
              <w:widowControl w:val="0"/>
              <w:contextualSpacing/>
            </w:pPr>
            <w:r w:rsidRPr="00A95754">
              <w:t>Median (95% CI)</w:t>
            </w:r>
          </w:p>
          <w:p w14:paraId="24E490AB" w14:textId="77777777" w:rsidR="00375493" w:rsidRPr="00A95754" w:rsidRDefault="00375493" w:rsidP="00071DA7">
            <w:pPr>
              <w:pStyle w:val="TableText0"/>
              <w:keepLines/>
              <w:widowControl w:val="0"/>
              <w:contextualSpacing/>
            </w:pPr>
            <w:r w:rsidRPr="00A95754">
              <w:t>25th percentile, 75th percentile</w:t>
            </w:r>
          </w:p>
        </w:tc>
        <w:tc>
          <w:tcPr>
            <w:tcW w:w="954" w:type="pct"/>
          </w:tcPr>
          <w:p w14:paraId="6F8EC516" w14:textId="77777777" w:rsidR="00375493" w:rsidRPr="00FA20C2" w:rsidRDefault="00375493" w:rsidP="00071DA7">
            <w:pPr>
              <w:pStyle w:val="TableText0"/>
              <w:keepLines/>
              <w:widowControl w:val="0"/>
              <w:contextualSpacing/>
              <w:jc w:val="center"/>
            </w:pPr>
          </w:p>
          <w:p w14:paraId="532BDC72" w14:textId="77777777" w:rsidR="00375493" w:rsidRPr="00FA20C2" w:rsidRDefault="00375493" w:rsidP="00071DA7">
            <w:pPr>
              <w:pStyle w:val="TableText0"/>
              <w:keepLines/>
              <w:widowControl w:val="0"/>
              <w:contextualSpacing/>
              <w:jc w:val="center"/>
            </w:pPr>
            <w:r w:rsidRPr="00FA20C2">
              <w:t>6.4 (5.9, 8.1)</w:t>
            </w:r>
          </w:p>
          <w:p w14:paraId="54B4DA34" w14:textId="77777777" w:rsidR="00375493" w:rsidRPr="00FA20C2" w:rsidRDefault="00375493" w:rsidP="00071DA7">
            <w:pPr>
              <w:pStyle w:val="TableText0"/>
              <w:keepLines/>
              <w:widowControl w:val="0"/>
              <w:contextualSpacing/>
              <w:jc w:val="center"/>
            </w:pPr>
            <w:r w:rsidRPr="00FA20C2">
              <w:t>4.6, 17.2</w:t>
            </w:r>
          </w:p>
        </w:tc>
        <w:tc>
          <w:tcPr>
            <w:tcW w:w="1109" w:type="pct"/>
          </w:tcPr>
          <w:p w14:paraId="3923E019" w14:textId="77777777" w:rsidR="00375493" w:rsidRPr="00FA20C2" w:rsidRDefault="00375493" w:rsidP="00071DA7">
            <w:pPr>
              <w:pStyle w:val="TableText0"/>
              <w:keepLines/>
              <w:widowControl w:val="0"/>
              <w:contextualSpacing/>
              <w:jc w:val="center"/>
            </w:pPr>
          </w:p>
          <w:p w14:paraId="3058E571" w14:textId="77777777" w:rsidR="00375493" w:rsidRPr="00FA20C2" w:rsidRDefault="00375493" w:rsidP="00071DA7">
            <w:pPr>
              <w:pStyle w:val="TableText0"/>
              <w:keepLines/>
              <w:widowControl w:val="0"/>
              <w:contextualSpacing/>
              <w:jc w:val="center"/>
            </w:pPr>
            <w:r w:rsidRPr="00FA20C2">
              <w:t>6.2 (4.4, 7.3)</w:t>
            </w:r>
          </w:p>
          <w:p w14:paraId="5D66E908" w14:textId="77777777" w:rsidR="00375493" w:rsidRPr="00FA20C2" w:rsidRDefault="00375493" w:rsidP="00071DA7">
            <w:pPr>
              <w:pStyle w:val="TableText0"/>
              <w:keepLines/>
              <w:widowControl w:val="0"/>
              <w:contextualSpacing/>
              <w:jc w:val="center"/>
            </w:pPr>
            <w:r w:rsidRPr="00FA20C2">
              <w:t>3.8, 9.0</w:t>
            </w:r>
          </w:p>
        </w:tc>
      </w:tr>
    </w:tbl>
    <w:p w14:paraId="2B65037E" w14:textId="77777777" w:rsidR="00375493" w:rsidRPr="00A95754" w:rsidRDefault="00375493" w:rsidP="00375493">
      <w:pPr>
        <w:pStyle w:val="TableFigureFooter"/>
        <w:keepLines/>
        <w:widowControl w:val="0"/>
        <w:jc w:val="left"/>
      </w:pPr>
      <w:r w:rsidRPr="00A95754">
        <w:t>Source: Table 2.20 p74, Table 2.21, pp 91-92 and Table 2.24, p 97 of the submission.</w:t>
      </w:r>
    </w:p>
    <w:p w14:paraId="5D43BF6E" w14:textId="77777777" w:rsidR="00375493" w:rsidRPr="00A95754" w:rsidRDefault="00375493" w:rsidP="00375493">
      <w:pPr>
        <w:pStyle w:val="TableFigureFooter"/>
        <w:keepLines/>
        <w:widowControl w:val="0"/>
        <w:jc w:val="left"/>
      </w:pPr>
      <w:r w:rsidRPr="00A95754">
        <w:t>CI = confidence interval; CR = complete response; DoR = duration of response; FAS = full analyses set, defined as all randomised patients and analysed on an intention-to-treat basis; GemCis = gemcitabine + cisplatin; HR = hazard ratio; n = number of participants reporting data; ORR = objective response rate; PFS = progression free survival; PR = partial response.</w:t>
      </w:r>
    </w:p>
    <w:p w14:paraId="0B13C3D1" w14:textId="77777777" w:rsidR="00375493" w:rsidRPr="00A95754" w:rsidRDefault="00375493" w:rsidP="00375493">
      <w:pPr>
        <w:pStyle w:val="TableFigureFooter"/>
        <w:keepLines/>
        <w:widowControl w:val="0"/>
        <w:jc w:val="left"/>
      </w:pPr>
      <w:r w:rsidRPr="00A95754">
        <w:rPr>
          <w:vertAlign w:val="superscript"/>
        </w:rPr>
        <w:t>a</w:t>
      </w:r>
      <w:r w:rsidRPr="00A95754">
        <w:t xml:space="preserve"> The analysis was performed using a stratified Cochran-Mantel-Haenszel test with factors for disease status and tumour location (per interactive voice response system).</w:t>
      </w:r>
    </w:p>
    <w:p w14:paraId="104BEF23" w14:textId="77777777" w:rsidR="00375493" w:rsidRPr="00A95754" w:rsidRDefault="00375493" w:rsidP="00375493">
      <w:pPr>
        <w:pStyle w:val="TableFigureFooter"/>
        <w:keepLines/>
        <w:widowControl w:val="0"/>
        <w:jc w:val="left"/>
        <w:rPr>
          <w:szCs w:val="18"/>
          <w:lang w:eastAsia="en-US"/>
        </w:rPr>
      </w:pPr>
      <w:r w:rsidRPr="00A95754">
        <w:rPr>
          <w:szCs w:val="18"/>
          <w:vertAlign w:val="superscript"/>
          <w:lang w:eastAsia="en-US"/>
        </w:rPr>
        <w:t xml:space="preserve">b </w:t>
      </w:r>
      <w:r w:rsidRPr="00A95754">
        <w:rPr>
          <w:szCs w:val="18"/>
          <w:lang w:eastAsia="en-US"/>
        </w:rPr>
        <w:t>Responses included confirmed complete or partial response per Investigator according to RECIST 1.1. Does not include patients who discontinued randomised treatment without progression or received a subsequent anti-cancer therapy and then responded.</w:t>
      </w:r>
    </w:p>
    <w:p w14:paraId="4C21CCC2" w14:textId="77777777" w:rsidR="00375493" w:rsidRPr="00A95754" w:rsidRDefault="00375493" w:rsidP="00375493">
      <w:pPr>
        <w:pStyle w:val="TableFigureFooter"/>
        <w:keepLines/>
        <w:widowControl w:val="0"/>
        <w:jc w:val="left"/>
        <w:rPr>
          <w:szCs w:val="18"/>
          <w:lang w:eastAsia="en-US"/>
        </w:rPr>
      </w:pPr>
      <w:r w:rsidRPr="00A95754">
        <w:rPr>
          <w:szCs w:val="18"/>
          <w:vertAlign w:val="superscript"/>
          <w:lang w:eastAsia="en-US"/>
        </w:rPr>
        <w:t>c</w:t>
      </w:r>
      <w:r w:rsidRPr="00A95754">
        <w:rPr>
          <w:szCs w:val="18"/>
          <w:lang w:eastAsia="en-US"/>
        </w:rPr>
        <w:t xml:space="preserve"> An odds ratio &gt; 1 favours D + Gem/Cis.</w:t>
      </w:r>
    </w:p>
    <w:p w14:paraId="47B90D69" w14:textId="77777777" w:rsidR="00375493" w:rsidRPr="00A95754" w:rsidRDefault="00375493" w:rsidP="00375493">
      <w:pPr>
        <w:pStyle w:val="TableFigureFooter"/>
        <w:keepLines/>
        <w:widowControl w:val="0"/>
        <w:jc w:val="left"/>
        <w:rPr>
          <w:szCs w:val="18"/>
          <w:lang w:eastAsia="en-US"/>
        </w:rPr>
      </w:pPr>
      <w:r w:rsidRPr="00A95754">
        <w:rPr>
          <w:szCs w:val="18"/>
          <w:vertAlign w:val="superscript"/>
          <w:lang w:eastAsia="en-US"/>
        </w:rPr>
        <w:t>d</w:t>
      </w:r>
      <w:r w:rsidRPr="00A95754">
        <w:rPr>
          <w:szCs w:val="18"/>
          <w:lang w:eastAsia="en-US"/>
        </w:rPr>
        <w:t xml:space="preserve"> Duration of response is the time from the first documentation of CR/PR until the date of progression, death, or the last evaluable RECIST assessment.</w:t>
      </w:r>
    </w:p>
    <w:p w14:paraId="2144544E" w14:textId="77777777" w:rsidR="00375493" w:rsidRPr="00A95754" w:rsidRDefault="00375493" w:rsidP="00375493">
      <w:pPr>
        <w:pStyle w:val="TableFigureFooter"/>
        <w:keepLines/>
        <w:widowControl w:val="0"/>
        <w:jc w:val="left"/>
        <w:rPr>
          <w:szCs w:val="18"/>
          <w:lang w:eastAsia="en-US"/>
        </w:rPr>
      </w:pPr>
      <w:r w:rsidRPr="00A95754">
        <w:rPr>
          <w:szCs w:val="18"/>
          <w:vertAlign w:val="superscript"/>
          <w:lang w:eastAsia="en-US"/>
        </w:rPr>
        <w:t>e</w:t>
      </w:r>
      <w:r w:rsidRPr="00A95754">
        <w:rPr>
          <w:szCs w:val="18"/>
          <w:lang w:eastAsia="en-US"/>
        </w:rPr>
        <w:t xml:space="preserve"> Calculated using the Kaplan-Meier technique.</w:t>
      </w:r>
    </w:p>
    <w:p w14:paraId="55630209" w14:textId="77777777" w:rsidR="00375493" w:rsidRPr="00A95754" w:rsidRDefault="00375493" w:rsidP="00375493">
      <w:pPr>
        <w:pStyle w:val="TableFigureFooter"/>
        <w:keepLines/>
        <w:widowControl w:val="0"/>
        <w:jc w:val="left"/>
      </w:pPr>
      <w:r w:rsidRPr="00A95754">
        <w:t xml:space="preserve">Bold indicates statistically significant differences. </w:t>
      </w:r>
    </w:p>
    <w:p w14:paraId="5251FAF8" w14:textId="4F6DA28D" w:rsidR="00375493" w:rsidRPr="00A95754" w:rsidRDefault="00375493" w:rsidP="00375493">
      <w:pPr>
        <w:pStyle w:val="TableFigureHeading"/>
        <w:widowControl w:val="0"/>
        <w:rPr>
          <w:rStyle w:val="CommentReference"/>
          <w:b/>
          <w:szCs w:val="24"/>
        </w:rPr>
      </w:pPr>
      <w:bookmarkStart w:id="22" w:name="_Ref124427584"/>
      <w:r w:rsidRPr="00A95754">
        <w:lastRenderedPageBreak/>
        <w:t xml:space="preserve">Figure </w:t>
      </w:r>
      <w:fldSimple w:instr=" SEQ Figure \* ARABIC ">
        <w:r w:rsidR="000178EC">
          <w:rPr>
            <w:noProof/>
          </w:rPr>
          <w:t>2</w:t>
        </w:r>
      </w:fldSimple>
      <w:bookmarkEnd w:id="22"/>
      <w:r w:rsidRPr="00A95754">
        <w:t xml:space="preserve">: Kaplan-Meier plot of progression free survival, TOPAZ-1 FAS, </w:t>
      </w:r>
      <w:r w:rsidRPr="00A95754">
        <w:rPr>
          <w:rStyle w:val="CommentReference"/>
          <w:b/>
          <w:szCs w:val="24"/>
        </w:rPr>
        <w:t>IA-2 (</w:t>
      </w:r>
      <w:r w:rsidRPr="00A95754">
        <w:t xml:space="preserve">data cut-off </w:t>
      </w:r>
      <w:r w:rsidRPr="00A95754">
        <w:rPr>
          <w:rStyle w:val="CommentReference"/>
          <w:b/>
          <w:szCs w:val="24"/>
        </w:rPr>
        <w:t>11 Aug 2021)</w:t>
      </w:r>
    </w:p>
    <w:p w14:paraId="2E15E4EB" w14:textId="77777777" w:rsidR="00375493" w:rsidRPr="00A95754" w:rsidRDefault="00375493" w:rsidP="00375493">
      <w:pPr>
        <w:pStyle w:val="FooterTableFigure"/>
        <w:jc w:val="left"/>
      </w:pPr>
      <w:r w:rsidRPr="00A95754">
        <w:rPr>
          <w:noProof/>
        </w:rPr>
        <w:drawing>
          <wp:inline distT="0" distB="0" distL="0" distR="0" wp14:anchorId="3804CC8E" wp14:editId="517E59F1">
            <wp:extent cx="5732145" cy="3522980"/>
            <wp:effectExtent l="0" t="0" r="1905" b="1270"/>
            <wp:docPr id="2" name="Picture 2" descr="Figure 2: Kaplan-Meier plot of progression free survival, TOPAZ-1 FAS, IA-2 (data cut-off 11 Aug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Kaplan-Meier plot of progression free survival, TOPAZ-1 FAS, IA-2 (data cut-off 11 Aug 2021)"/>
                    <pic:cNvPicPr/>
                  </pic:nvPicPr>
                  <pic:blipFill>
                    <a:blip r:embed="rId9" cstate="email">
                      <a:extLst>
                        <a:ext uri="{28A0092B-C50C-407E-A947-70E740481C1C}">
                          <a14:useLocalDpi xmlns:a14="http://schemas.microsoft.com/office/drawing/2010/main"/>
                        </a:ext>
                      </a:extLst>
                    </a:blip>
                    <a:stretch>
                      <a:fillRect/>
                    </a:stretch>
                  </pic:blipFill>
                  <pic:spPr>
                    <a:xfrm>
                      <a:off x="0" y="0"/>
                      <a:ext cx="5732145" cy="3522980"/>
                    </a:xfrm>
                    <a:prstGeom prst="rect">
                      <a:avLst/>
                    </a:prstGeom>
                  </pic:spPr>
                </pic:pic>
              </a:graphicData>
            </a:graphic>
          </wp:inline>
        </w:drawing>
      </w:r>
      <w:r w:rsidRPr="00A95754">
        <w:rPr>
          <w:rStyle w:val="TableFigureFooterChar"/>
        </w:rPr>
        <w:t xml:space="preserve">Source: Figure 2.11, p75 of the submission. </w:t>
      </w:r>
      <w:r w:rsidRPr="00A95754">
        <w:rPr>
          <w:rStyle w:val="TableFigureFooterChar"/>
        </w:rPr>
        <w:br/>
        <w:t>CI = confidence</w:t>
      </w:r>
      <w:r w:rsidRPr="00A95754">
        <w:t xml:space="preserve"> interval; GemCis = gemcitabine + cisplatin; HR = hazard ratio; IA = interim analysis; PFS = progression free survival.</w:t>
      </w:r>
    </w:p>
    <w:p w14:paraId="18FBE9A2" w14:textId="31DFA7EF" w:rsidR="00375493" w:rsidRPr="00A95754" w:rsidRDefault="00375493" w:rsidP="00375493">
      <w:pPr>
        <w:pStyle w:val="TableFigureHeading"/>
      </w:pPr>
      <w:bookmarkStart w:id="23" w:name="_Ref124427591"/>
      <w:r w:rsidRPr="00A95754">
        <w:t xml:space="preserve">Figure </w:t>
      </w:r>
      <w:fldSimple w:instr=" SEQ Figure \* ARABIC ">
        <w:r w:rsidR="000178EC">
          <w:rPr>
            <w:noProof/>
          </w:rPr>
          <w:t>3</w:t>
        </w:r>
      </w:fldSimple>
      <w:bookmarkEnd w:id="23"/>
      <w:r w:rsidRPr="00A95754">
        <w:t>: Kaplan-Meier plot of duration of response, TOPAZ-1 patients with an objective response, IA-2 (data cut-off 11 Aug 2021)</w:t>
      </w:r>
    </w:p>
    <w:p w14:paraId="133EB2A9" w14:textId="77777777" w:rsidR="00375493" w:rsidRPr="00A95754" w:rsidRDefault="00375493" w:rsidP="00375493">
      <w:pPr>
        <w:pStyle w:val="3-BodyText"/>
        <w:numPr>
          <w:ilvl w:val="0"/>
          <w:numId w:val="0"/>
        </w:numPr>
        <w:jc w:val="left"/>
        <w:rPr>
          <w:color w:val="000000" w:themeColor="text1"/>
        </w:rPr>
      </w:pPr>
      <w:r w:rsidRPr="00A95754">
        <w:rPr>
          <w:noProof/>
        </w:rPr>
        <w:drawing>
          <wp:inline distT="0" distB="0" distL="0" distR="0" wp14:anchorId="417E93A2" wp14:editId="6D01BA5D">
            <wp:extent cx="5624044" cy="2990850"/>
            <wp:effectExtent l="19050" t="19050" r="15240" b="19050"/>
            <wp:docPr id="4" name="Picture 4" descr="Figure 3: Kaplan-Meier plot of duration of response, TOPAZ-1 patients with an objective response, IA-2 (data cut-off 11 Aug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Kaplan-Meier plot of duration of response, TOPAZ-1 patients with an objective response, IA-2 (data cut-off 11 Aug 2021)"/>
                    <pic:cNvPicPr/>
                  </pic:nvPicPr>
                  <pic:blipFill>
                    <a:blip r:embed="rId10" cstate="email">
                      <a:extLst>
                        <a:ext uri="{28A0092B-C50C-407E-A947-70E740481C1C}">
                          <a14:useLocalDpi xmlns:a14="http://schemas.microsoft.com/office/drawing/2010/main"/>
                        </a:ext>
                      </a:extLst>
                    </a:blip>
                    <a:stretch>
                      <a:fillRect/>
                    </a:stretch>
                  </pic:blipFill>
                  <pic:spPr>
                    <a:xfrm>
                      <a:off x="0" y="0"/>
                      <a:ext cx="5626980" cy="2992411"/>
                    </a:xfrm>
                    <a:prstGeom prst="rect">
                      <a:avLst/>
                    </a:prstGeom>
                    <a:ln>
                      <a:solidFill>
                        <a:schemeClr val="tx1"/>
                      </a:solidFill>
                    </a:ln>
                  </pic:spPr>
                </pic:pic>
              </a:graphicData>
            </a:graphic>
          </wp:inline>
        </w:drawing>
      </w:r>
      <w:r w:rsidRPr="00A95754">
        <w:rPr>
          <w:color w:val="000000" w:themeColor="text1"/>
        </w:rPr>
        <w:br/>
      </w:r>
      <w:r w:rsidRPr="00A95754">
        <w:rPr>
          <w:rStyle w:val="TableFigureFooterChar"/>
        </w:rPr>
        <w:t>Source: Figure 2.17, p 82 of the submission.</w:t>
      </w:r>
      <w:r w:rsidRPr="00A95754">
        <w:rPr>
          <w:rStyle w:val="TableFigureFooterChar"/>
        </w:rPr>
        <w:br/>
        <w:t>DoR = duration of response; FAS = full analysis set; GemCis = gemcitabine + cisplatin; IA = interim analysis; mo = months.</w:t>
      </w:r>
      <w:r w:rsidRPr="00A95754">
        <w:rPr>
          <w:rStyle w:val="TableFigureFooterChar"/>
        </w:rPr>
        <w:br/>
      </w:r>
      <w:r w:rsidRPr="00A95754">
        <w:rPr>
          <w:rStyle w:val="TableFigureFooterChar"/>
          <w:vertAlign w:val="superscript"/>
        </w:rPr>
        <w:t>‡</w:t>
      </w:r>
      <w:r w:rsidRPr="00A95754">
        <w:rPr>
          <w:rStyle w:val="TableFigureFooterChar"/>
        </w:rPr>
        <w:t xml:space="preserve"> Analysis of DoR was based on patients in the full analysis set who had an objective response (RECIST 1.1, per investigator) and measurable disease at baseline.</w:t>
      </w:r>
    </w:p>
    <w:p w14:paraId="6758C9D2" w14:textId="0A7E1A25" w:rsidR="00375493" w:rsidRPr="00A95754" w:rsidRDefault="00375493" w:rsidP="00375493">
      <w:pPr>
        <w:pStyle w:val="3-BodyText"/>
        <w:rPr>
          <w:color w:val="000000" w:themeColor="text1"/>
        </w:rPr>
      </w:pPr>
      <w:r w:rsidRPr="00A95754">
        <w:lastRenderedPageBreak/>
        <w:t>The submission stated that the results from the IA-2 analysis showed a statistically significant, clinically meaningful, and sustained improvement in PFS.</w:t>
      </w:r>
      <w:r w:rsidRPr="00A95754">
        <w:rPr>
          <w:i/>
          <w:iCs/>
          <w:color w:val="000000" w:themeColor="text1"/>
        </w:rPr>
        <w:t xml:space="preserve"> </w:t>
      </w:r>
      <w:r w:rsidRPr="00C44D12">
        <w:rPr>
          <w:color w:val="000000" w:themeColor="text1"/>
        </w:rPr>
        <w:t>The landmark analyses show improved PFS rates in the durvalumab + GemCis arm compared to placebo + GemCis, with a consistent difference of approximately ten percentage points</w:t>
      </w:r>
      <w:r w:rsidR="008176D5">
        <w:rPr>
          <w:color w:val="000000" w:themeColor="text1"/>
        </w:rPr>
        <w:t xml:space="preserve"> at 6.5 months, 9 months and 12 months</w:t>
      </w:r>
      <w:r w:rsidRPr="00C44D12">
        <w:rPr>
          <w:color w:val="000000" w:themeColor="text1"/>
        </w:rPr>
        <w:t>.</w:t>
      </w:r>
      <w:r w:rsidRPr="00A95754">
        <w:rPr>
          <w:i/>
          <w:iCs/>
          <w:color w:val="000000" w:themeColor="text1"/>
        </w:rPr>
        <w:t xml:space="preserve"> </w:t>
      </w:r>
    </w:p>
    <w:p w14:paraId="5443619E" w14:textId="04071159" w:rsidR="00375493" w:rsidRPr="00A95754" w:rsidRDefault="00375493" w:rsidP="00375493">
      <w:pPr>
        <w:pStyle w:val="3-BodyText"/>
        <w:rPr>
          <w:color w:val="000000" w:themeColor="text1"/>
        </w:rPr>
      </w:pPr>
      <w:r w:rsidRPr="00C44D12">
        <w:rPr>
          <w:color w:val="000000" w:themeColor="text1"/>
        </w:rPr>
        <w:t xml:space="preserve">The ORR and DoR also favoured the durvalumab + GemCis arm, with an enduring DoR </w:t>
      </w:r>
      <w:r w:rsidRPr="00C44D12">
        <w:t xml:space="preserve">up to and beyond </w:t>
      </w:r>
      <w:r w:rsidR="00197428" w:rsidRPr="00C44D12">
        <w:t>12</w:t>
      </w:r>
      <w:r w:rsidR="00A23630" w:rsidRPr="00C44D12">
        <w:t xml:space="preserve"> </w:t>
      </w:r>
      <w:r w:rsidRPr="00C44D12">
        <w:t>months</w:t>
      </w:r>
      <w:r w:rsidRPr="00C44D12">
        <w:rPr>
          <w:color w:val="000000" w:themeColor="text1"/>
        </w:rPr>
        <w:t xml:space="preserve"> observed in approximately </w:t>
      </w:r>
      <w:r w:rsidR="00A23630" w:rsidRPr="00C44D12">
        <w:t>26</w:t>
      </w:r>
      <w:r w:rsidR="00197428" w:rsidRPr="00C44D12">
        <w:t>%</w:t>
      </w:r>
      <w:r w:rsidR="00A23630" w:rsidRPr="00C44D12">
        <w:t xml:space="preserve"> </w:t>
      </w:r>
      <w:r w:rsidRPr="00C44D12">
        <w:t xml:space="preserve">to </w:t>
      </w:r>
      <w:r w:rsidR="00A23630" w:rsidRPr="00C44D12">
        <w:t>33</w:t>
      </w:r>
      <w:r w:rsidRPr="00C44D12">
        <w:t xml:space="preserve">% </w:t>
      </w:r>
      <w:r w:rsidRPr="00C44D12">
        <w:rPr>
          <w:color w:val="000000" w:themeColor="text1"/>
        </w:rPr>
        <w:t>of patients</w:t>
      </w:r>
      <w:r w:rsidR="00197428" w:rsidRPr="00C44D12">
        <w:rPr>
          <w:color w:val="000000" w:themeColor="text1"/>
        </w:rPr>
        <w:t xml:space="preserve"> (</w:t>
      </w:r>
      <w:r w:rsidR="006C2D6F" w:rsidRPr="00C44D12">
        <w:rPr>
          <w:color w:val="000000" w:themeColor="text1"/>
        </w:rPr>
        <w:fldChar w:fldCharType="begin"/>
      </w:r>
      <w:r w:rsidR="006C2D6F" w:rsidRPr="00C44D12">
        <w:rPr>
          <w:color w:val="000000" w:themeColor="text1"/>
        </w:rPr>
        <w:instrText xml:space="preserve"> REF _Ref124427591 \h </w:instrText>
      </w:r>
      <w:r w:rsidR="00A95754" w:rsidRPr="00C44D12">
        <w:rPr>
          <w:color w:val="000000" w:themeColor="text1"/>
        </w:rPr>
        <w:instrText xml:space="preserve"> \* MERGEFORMAT </w:instrText>
      </w:r>
      <w:r w:rsidR="006C2D6F" w:rsidRPr="00C44D12">
        <w:rPr>
          <w:color w:val="000000" w:themeColor="text1"/>
        </w:rPr>
      </w:r>
      <w:r w:rsidR="006C2D6F" w:rsidRPr="00C44D12">
        <w:rPr>
          <w:color w:val="000000" w:themeColor="text1"/>
        </w:rPr>
        <w:fldChar w:fldCharType="separate"/>
      </w:r>
      <w:r w:rsidR="000178EC" w:rsidRPr="00A95754">
        <w:t xml:space="preserve">Figure </w:t>
      </w:r>
      <w:r w:rsidR="000178EC">
        <w:rPr>
          <w:noProof/>
        </w:rPr>
        <w:t>3</w:t>
      </w:r>
      <w:r w:rsidR="006C2D6F" w:rsidRPr="00C44D12">
        <w:rPr>
          <w:color w:val="000000" w:themeColor="text1"/>
        </w:rPr>
        <w:fldChar w:fldCharType="end"/>
      </w:r>
      <w:r w:rsidR="006C2D6F" w:rsidRPr="00C44D12">
        <w:rPr>
          <w:color w:val="000000" w:themeColor="text1"/>
        </w:rPr>
        <w:t>)</w:t>
      </w:r>
      <w:r w:rsidRPr="00C44D12">
        <w:rPr>
          <w:color w:val="000000" w:themeColor="text1"/>
        </w:rPr>
        <w:t>, noting the low number of patients at risk in either arm beyond 15 months</w:t>
      </w:r>
      <w:r w:rsidRPr="00A95754">
        <w:rPr>
          <w:i/>
          <w:iCs/>
          <w:color w:val="000000" w:themeColor="text1"/>
        </w:rPr>
        <w:t xml:space="preserve">. </w:t>
      </w:r>
    </w:p>
    <w:p w14:paraId="2CDC6208" w14:textId="04F8014F" w:rsidR="00BA4874" w:rsidRPr="00BF581C" w:rsidRDefault="00BA4874" w:rsidP="00BA4874">
      <w:pPr>
        <w:pStyle w:val="3-BodyText"/>
      </w:pPr>
      <w:r w:rsidRPr="00A95754">
        <w:t>Health related quality of life (HRQoL) measurements were similar between treatment arms, with a trend for improved quality of life scores in the durvalumab + GemCis arm, as measured by the European Organisation for Research and Treatment of Cancer 30-Item Cancer Quality of Life Questionnaire (EORTC QLQ-C30) and 21-Item Cholangiocarcinoma and Gallbladder Cancer Quality of Life Questionnaire (QLQ-BIL21)</w:t>
      </w:r>
      <w:r w:rsidR="008A5DEA">
        <w:t xml:space="preserve"> (</w:t>
      </w:r>
      <w:r w:rsidR="008A5DEA">
        <w:fldChar w:fldCharType="begin"/>
      </w:r>
      <w:r w:rsidR="008A5DEA">
        <w:instrText xml:space="preserve"> REF _Ref132283426 \h </w:instrText>
      </w:r>
      <w:r w:rsidR="008A5DEA">
        <w:fldChar w:fldCharType="separate"/>
      </w:r>
      <w:r w:rsidR="000178EC" w:rsidRPr="00A95754">
        <w:t xml:space="preserve">Figure </w:t>
      </w:r>
      <w:r w:rsidR="000178EC">
        <w:rPr>
          <w:b/>
          <w:bCs/>
          <w:noProof/>
        </w:rPr>
        <w:t>4</w:t>
      </w:r>
      <w:r w:rsidR="008A5DEA">
        <w:fldChar w:fldCharType="end"/>
      </w:r>
      <w:r w:rsidR="008A5DEA">
        <w:t>)</w:t>
      </w:r>
      <w:r w:rsidRPr="00A95754">
        <w:t xml:space="preserve">. </w:t>
      </w:r>
      <w:r w:rsidRPr="00C44D12">
        <w:t>A mean change of ≥10 points from baseline in the EORTC QLQ-C30, which represents clinically meaningful difference, was not achieved for either arm in TOPAZ-1. Overall, all instruments used to measure HRQoL showed that durvalumab + GemCis is not associated with a detriment in QoL compared to placebo + GemCis.</w:t>
      </w:r>
      <w:r w:rsidRPr="00A95754">
        <w:rPr>
          <w:iCs/>
        </w:rPr>
        <w:t xml:space="preserve"> The impact of treatment and disease state on health state utility was assessed using the EuroQoL 5-dimension, 5 level health state utility index (EQ-5D-5L); the change from baseline in ED-5D-5L and EQ-VAS score was similar over time for durvalumab + GemCis and placebo + GemCis treatment arms.</w:t>
      </w:r>
      <w:r w:rsidRPr="00A95754">
        <w:rPr>
          <w:rFonts w:ascii="Times New Roman" w:hAnsi="Times New Roman" w:cs="Times New Roman"/>
        </w:rPr>
        <w:t xml:space="preserve"> </w:t>
      </w:r>
      <w:bookmarkEnd w:id="20"/>
    </w:p>
    <w:p w14:paraId="41F04BCC" w14:textId="657355ED" w:rsidR="00BF581C" w:rsidRPr="00BF581C" w:rsidRDefault="00BF581C" w:rsidP="007F02EB">
      <w:pPr>
        <w:pStyle w:val="TableFigureHeading"/>
      </w:pPr>
      <w:bookmarkStart w:id="24" w:name="_Ref132283426"/>
      <w:r w:rsidRPr="00A95754">
        <w:t xml:space="preserve">Figure </w:t>
      </w:r>
      <w:r>
        <w:rPr>
          <w:b w:val="0"/>
        </w:rPr>
        <w:fldChar w:fldCharType="begin"/>
      </w:r>
      <w:r>
        <w:rPr>
          <w:b w:val="0"/>
          <w:bCs w:val="0"/>
        </w:rPr>
        <w:instrText xml:space="preserve"> SEQ Figure \* ARABIC </w:instrText>
      </w:r>
      <w:r>
        <w:rPr>
          <w:b w:val="0"/>
        </w:rPr>
        <w:fldChar w:fldCharType="separate"/>
      </w:r>
      <w:r w:rsidR="000178EC">
        <w:rPr>
          <w:b w:val="0"/>
          <w:bCs w:val="0"/>
          <w:noProof/>
        </w:rPr>
        <w:t>4</w:t>
      </w:r>
      <w:r>
        <w:rPr>
          <w:b w:val="0"/>
        </w:rPr>
        <w:fldChar w:fldCharType="end"/>
      </w:r>
      <w:bookmarkEnd w:id="24"/>
      <w:r w:rsidRPr="00A95754">
        <w:t xml:space="preserve">: </w:t>
      </w:r>
      <w:r w:rsidRPr="00BF581C">
        <w:t xml:space="preserve">Adjusted mean change from baseline scores (95% CI) averaged over all visits for </w:t>
      </w:r>
      <w:r>
        <w:t>(A)</w:t>
      </w:r>
      <w:r w:rsidRPr="00BF581C">
        <w:t xml:space="preserve"> GHS/QoL and </w:t>
      </w:r>
      <w:r>
        <w:t xml:space="preserve">(B) </w:t>
      </w:r>
      <w:r w:rsidRPr="00BF581C">
        <w:t>EORTC QLQ-C30</w:t>
      </w:r>
      <w:r>
        <w:t xml:space="preserve"> symptom scales</w:t>
      </w:r>
    </w:p>
    <w:p w14:paraId="6D9C411B" w14:textId="611BD7DC" w:rsidR="00BF581C" w:rsidRDefault="00BF581C" w:rsidP="00BF581C">
      <w:pPr>
        <w:pStyle w:val="3-BodyText"/>
        <w:numPr>
          <w:ilvl w:val="0"/>
          <w:numId w:val="0"/>
        </w:numPr>
        <w:rPr>
          <w:rFonts w:ascii="Times New Roman" w:hAnsi="Times New Roman" w:cs="Times New Roman"/>
        </w:rPr>
      </w:pPr>
      <w:r w:rsidRPr="00BF581C">
        <w:rPr>
          <w:rFonts w:ascii="Times New Roman" w:hAnsi="Times New Roman" w:cs="Times New Roman"/>
          <w:noProof/>
        </w:rPr>
        <w:drawing>
          <wp:inline distT="0" distB="0" distL="0" distR="0" wp14:anchorId="601B928B" wp14:editId="7E4F05D6">
            <wp:extent cx="5732145" cy="1986280"/>
            <wp:effectExtent l="0" t="0" r="1905" b="0"/>
            <wp:docPr id="8" name="Picture 8" descr="Figure 4: Adjusted mean change from baseline scores (95% CI) averaged over all visits for (A) GHS/QoL and (B) EORTC QLQ-C30 symptom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4: Adjusted mean change from baseline scores (95% CI) averaged over all visits for (A) GHS/QoL and (B) EORTC QLQ-C30 symptom scales"/>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5732145" cy="1986280"/>
                    </a:xfrm>
                    <a:prstGeom prst="rect">
                      <a:avLst/>
                    </a:prstGeom>
                    <a:noFill/>
                    <a:ln>
                      <a:noFill/>
                    </a:ln>
                  </pic:spPr>
                </pic:pic>
              </a:graphicData>
            </a:graphic>
          </wp:inline>
        </w:drawing>
      </w:r>
    </w:p>
    <w:p w14:paraId="28F392CA" w14:textId="1B2E35A8" w:rsidR="00BF581C" w:rsidRPr="007A03DF" w:rsidRDefault="00BF581C" w:rsidP="00BF581C">
      <w:pPr>
        <w:pStyle w:val="3-BodyText"/>
        <w:numPr>
          <w:ilvl w:val="0"/>
          <w:numId w:val="0"/>
        </w:numPr>
      </w:pPr>
      <w:r w:rsidRPr="00BF581C">
        <w:rPr>
          <w:rFonts w:ascii="Arial Narrow" w:hAnsi="Arial Narrow" w:cs="Times New Roman"/>
          <w:sz w:val="18"/>
          <w:szCs w:val="18"/>
        </w:rPr>
        <w:t>Source: Figure 2, Burris 2022</w:t>
      </w:r>
      <w:r>
        <w:rPr>
          <w:rFonts w:ascii="Arial Narrow" w:hAnsi="Arial Narrow" w:cs="Times New Roman"/>
          <w:sz w:val="18"/>
          <w:szCs w:val="18"/>
        </w:rPr>
        <w:t xml:space="preserve">, presented at ASCO </w:t>
      </w:r>
    </w:p>
    <w:p w14:paraId="3E610C1D" w14:textId="587CFD6D" w:rsidR="007B1090" w:rsidRPr="006847D3" w:rsidRDefault="007A03DF" w:rsidP="006847D3">
      <w:pPr>
        <w:pStyle w:val="3-BodyText"/>
        <w:rPr>
          <w:b/>
          <w:bCs/>
          <w:color w:val="000000" w:themeColor="text1"/>
        </w:rPr>
      </w:pPr>
      <w:r w:rsidRPr="008176D5">
        <w:t xml:space="preserve">The ESC considered the OS benefit for durvalumab was modest but noted the </w:t>
      </w:r>
      <w:r w:rsidR="007C67CE" w:rsidRPr="008176D5">
        <w:t>poor prognosis and clinical need</w:t>
      </w:r>
      <w:r w:rsidRPr="008176D5">
        <w:t xml:space="preserve"> for effective treatments for this condition. </w:t>
      </w:r>
    </w:p>
    <w:p w14:paraId="605F36E0" w14:textId="1FC75DAA" w:rsidR="00BA4874" w:rsidRPr="00A95754" w:rsidRDefault="00BA4874" w:rsidP="006847D3">
      <w:pPr>
        <w:pStyle w:val="3-BodyText"/>
        <w:keepNext/>
        <w:numPr>
          <w:ilvl w:val="0"/>
          <w:numId w:val="0"/>
        </w:numPr>
        <w:rPr>
          <w:b/>
          <w:bCs/>
          <w:color w:val="000000" w:themeColor="text1"/>
        </w:rPr>
      </w:pPr>
      <w:r w:rsidRPr="00A95754">
        <w:rPr>
          <w:b/>
          <w:bCs/>
          <w:color w:val="000000" w:themeColor="text1"/>
        </w:rPr>
        <w:lastRenderedPageBreak/>
        <w:t>Subgroup analyses</w:t>
      </w:r>
    </w:p>
    <w:p w14:paraId="23A918A6" w14:textId="168B1868" w:rsidR="00BA4874" w:rsidRPr="00C44D12" w:rsidRDefault="00BA4874" w:rsidP="00BA4874">
      <w:pPr>
        <w:pStyle w:val="3-BodyText"/>
        <w:rPr>
          <w:color w:val="000000" w:themeColor="text1"/>
        </w:rPr>
      </w:pPr>
      <w:r w:rsidRPr="00C44D12">
        <w:rPr>
          <w:color w:val="000000" w:themeColor="text1"/>
        </w:rPr>
        <w:t>In BTC there are currently no predictive biomarkers to select which patients may preferentially benefit from durvalumab treatment</w:t>
      </w:r>
      <w:r w:rsidR="0038698B">
        <w:rPr>
          <w:color w:val="000000" w:themeColor="text1"/>
        </w:rPr>
        <w:t>.</w:t>
      </w:r>
      <w:r w:rsidRPr="00C44D12">
        <w:rPr>
          <w:rStyle w:val="FootnoteReference"/>
          <w:color w:val="000000" w:themeColor="text1"/>
        </w:rPr>
        <w:footnoteReference w:id="8"/>
      </w:r>
      <w:r w:rsidRPr="00C44D12">
        <w:rPr>
          <w:color w:val="000000" w:themeColor="text1"/>
        </w:rPr>
        <w:t xml:space="preserve"> Pre-specified subgroup analyses show consistent effects across subgroups </w:t>
      </w:r>
      <w:r w:rsidR="0038698B" w:rsidRPr="00B96260">
        <w:rPr>
          <w:color w:val="000000" w:themeColor="text1"/>
        </w:rPr>
        <w:t xml:space="preserve">(including PD-L1 tumour area positivity score &lt;1% and </w:t>
      </w:r>
      <w:r w:rsidR="0038698B" w:rsidRPr="00B96260">
        <w:rPr>
          <w:rFonts w:cstheme="minorHAnsi"/>
          <w:color w:val="000000" w:themeColor="text1"/>
        </w:rPr>
        <w:t>≥</w:t>
      </w:r>
      <w:r w:rsidR="0038698B" w:rsidRPr="00B96260">
        <w:rPr>
          <w:color w:val="000000" w:themeColor="text1"/>
        </w:rPr>
        <w:t>1%)</w:t>
      </w:r>
      <w:r w:rsidR="0038698B">
        <w:rPr>
          <w:color w:val="000000" w:themeColor="text1"/>
        </w:rPr>
        <w:t xml:space="preserve"> </w:t>
      </w:r>
      <w:r w:rsidRPr="00C44D12">
        <w:rPr>
          <w:color w:val="000000" w:themeColor="text1"/>
        </w:rPr>
        <w:t>with no significant differences</w:t>
      </w:r>
      <w:r w:rsidR="0038698B">
        <w:rPr>
          <w:color w:val="000000" w:themeColor="text1"/>
        </w:rPr>
        <w:t xml:space="preserve"> (</w:t>
      </w:r>
      <w:r w:rsidR="0038698B">
        <w:rPr>
          <w:color w:val="000000" w:themeColor="text1"/>
        </w:rPr>
        <w:fldChar w:fldCharType="begin"/>
      </w:r>
      <w:r w:rsidR="0038698B">
        <w:rPr>
          <w:color w:val="000000" w:themeColor="text1"/>
        </w:rPr>
        <w:instrText xml:space="preserve"> REF _Ref124182151 \h </w:instrText>
      </w:r>
      <w:r w:rsidR="0038698B">
        <w:rPr>
          <w:color w:val="000000" w:themeColor="text1"/>
        </w:rPr>
      </w:r>
      <w:r w:rsidR="0038698B">
        <w:rPr>
          <w:color w:val="000000" w:themeColor="text1"/>
        </w:rPr>
        <w:fldChar w:fldCharType="separate"/>
      </w:r>
      <w:r w:rsidR="000178EC" w:rsidRPr="00A95754">
        <w:t xml:space="preserve">Figure </w:t>
      </w:r>
      <w:r w:rsidR="000178EC">
        <w:rPr>
          <w:noProof/>
        </w:rPr>
        <w:t>5</w:t>
      </w:r>
      <w:r w:rsidR="0038698B">
        <w:rPr>
          <w:color w:val="000000" w:themeColor="text1"/>
        </w:rPr>
        <w:fldChar w:fldCharType="end"/>
      </w:r>
      <w:r w:rsidR="0038698B">
        <w:rPr>
          <w:color w:val="000000" w:themeColor="text1"/>
        </w:rPr>
        <w:t xml:space="preserve"> and </w:t>
      </w:r>
      <w:r w:rsidR="0038698B">
        <w:rPr>
          <w:color w:val="000000" w:themeColor="text1"/>
        </w:rPr>
        <w:fldChar w:fldCharType="begin"/>
      </w:r>
      <w:r w:rsidR="0038698B">
        <w:rPr>
          <w:color w:val="000000" w:themeColor="text1"/>
        </w:rPr>
        <w:instrText xml:space="preserve"> REF _Ref124182135 \h </w:instrText>
      </w:r>
      <w:r w:rsidR="0038698B">
        <w:rPr>
          <w:color w:val="000000" w:themeColor="text1"/>
        </w:rPr>
      </w:r>
      <w:r w:rsidR="0038698B">
        <w:rPr>
          <w:color w:val="000000" w:themeColor="text1"/>
        </w:rPr>
        <w:fldChar w:fldCharType="separate"/>
      </w:r>
      <w:r w:rsidR="000178EC" w:rsidRPr="00A95754">
        <w:t xml:space="preserve">Figure </w:t>
      </w:r>
      <w:r w:rsidR="000178EC">
        <w:rPr>
          <w:noProof/>
        </w:rPr>
        <w:t>6</w:t>
      </w:r>
      <w:r w:rsidR="0038698B">
        <w:rPr>
          <w:color w:val="000000" w:themeColor="text1"/>
        </w:rPr>
        <w:fldChar w:fldCharType="end"/>
      </w:r>
      <w:r w:rsidR="001F14FC">
        <w:rPr>
          <w:color w:val="000000" w:themeColor="text1"/>
        </w:rPr>
        <w:t>)</w:t>
      </w:r>
      <w:r w:rsidR="0038698B">
        <w:rPr>
          <w:color w:val="000000" w:themeColor="text1"/>
        </w:rPr>
        <w:t>.</w:t>
      </w:r>
      <w:r w:rsidRPr="00C44D12">
        <w:rPr>
          <w:color w:val="000000" w:themeColor="text1"/>
        </w:rPr>
        <w:t xml:space="preserve"> </w:t>
      </w:r>
    </w:p>
    <w:p w14:paraId="29235154" w14:textId="527595FE" w:rsidR="00BA4874" w:rsidRPr="00A95754" w:rsidRDefault="00BA4874" w:rsidP="00BA4874">
      <w:pPr>
        <w:pStyle w:val="TableFigureHeading"/>
      </w:pPr>
      <w:bookmarkStart w:id="25" w:name="_Ref124182151"/>
      <w:r w:rsidRPr="00A95754">
        <w:t xml:space="preserve">Figure </w:t>
      </w:r>
      <w:fldSimple w:instr=" SEQ Figure \* ARABIC ">
        <w:r w:rsidR="000178EC">
          <w:rPr>
            <w:noProof/>
          </w:rPr>
          <w:t>5</w:t>
        </w:r>
      </w:fldSimple>
      <w:bookmarkEnd w:id="25"/>
      <w:r w:rsidRPr="00A95754">
        <w:t>: Forest plot of progression-free survival by subgroups, TOPAZ-1 FAS, IA-2 (data cut-off11 Aug 2021)</w:t>
      </w:r>
    </w:p>
    <w:p w14:paraId="4AF3BFC2" w14:textId="2FB9C131" w:rsidR="00BA4874" w:rsidRPr="00A95754" w:rsidRDefault="00BA4874" w:rsidP="00BA4874">
      <w:pPr>
        <w:pStyle w:val="3-BodyText"/>
        <w:numPr>
          <w:ilvl w:val="0"/>
          <w:numId w:val="0"/>
        </w:numPr>
        <w:jc w:val="left"/>
        <w:rPr>
          <w:color w:val="0066FF"/>
        </w:rPr>
      </w:pPr>
      <w:r w:rsidRPr="00A95754">
        <w:rPr>
          <w:noProof/>
        </w:rPr>
        <w:drawing>
          <wp:inline distT="0" distB="0" distL="0" distR="0" wp14:anchorId="1AFF02D2" wp14:editId="3BC7C1A1">
            <wp:extent cx="5731158" cy="3433834"/>
            <wp:effectExtent l="19050" t="19050" r="22225" b="14605"/>
            <wp:docPr id="34" name="Picture 34" descr="Figure 5: Forest plot of progression-free survival by subgroups, TOPAZ-1 FAS, IA-2 (data cut-off11 Aug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Figure 5: Forest plot of progression-free survival by subgroups, TOPAZ-1 FAS, IA-2 (data cut-off11 Aug 2021)"/>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5737166" cy="3437433"/>
                    </a:xfrm>
                    <a:prstGeom prst="rect">
                      <a:avLst/>
                    </a:prstGeom>
                    <a:noFill/>
                    <a:ln>
                      <a:solidFill>
                        <a:schemeClr val="tx1"/>
                      </a:solidFill>
                    </a:ln>
                  </pic:spPr>
                </pic:pic>
              </a:graphicData>
            </a:graphic>
          </wp:inline>
        </w:drawing>
      </w:r>
      <w:r w:rsidRPr="00A95754">
        <w:rPr>
          <w:color w:val="0066FF"/>
        </w:rPr>
        <w:br/>
      </w:r>
      <w:r w:rsidRPr="00A95754">
        <w:rPr>
          <w:rStyle w:val="TableFigureFooterChar"/>
        </w:rPr>
        <w:t>Source: Figure 2.12, p</w:t>
      </w:r>
      <w:r w:rsidR="006A5A2A" w:rsidRPr="00A95754">
        <w:rPr>
          <w:rStyle w:val="TableFigureFooterChar"/>
        </w:rPr>
        <w:t>76</w:t>
      </w:r>
      <w:r w:rsidRPr="00A95754">
        <w:rPr>
          <w:rStyle w:val="TableFigureFooterChar"/>
        </w:rPr>
        <w:t xml:space="preserve"> of the submission.</w:t>
      </w:r>
      <w:r w:rsidRPr="00A95754">
        <w:rPr>
          <w:rStyle w:val="TableFigureFooterChar"/>
        </w:rPr>
        <w:br/>
        <w:t>CI = confidence interval; Cis = cisplatin; eCRF = electronic case report form; ECOG = Eastern Cooperative Oncology Group; FAS = full analyses set, defined as all randomised patients and analysed on an intention-to-treat basis; Gem = gemcitabine; IVRS = interactive voice response system; PD-L1 = programmed cell death ligand-1; PS = performance status; TAP = tumour area positivity</w:t>
      </w:r>
      <w:r w:rsidR="006A5A2A" w:rsidRPr="00A95754">
        <w:rPr>
          <w:rStyle w:val="TableFigureFooterChar"/>
        </w:rPr>
        <w:t>; yr = year</w:t>
      </w:r>
      <w:r w:rsidRPr="00A95754">
        <w:rPr>
          <w:rStyle w:val="TableFigureFooterChar"/>
        </w:rPr>
        <w:t>.</w:t>
      </w:r>
      <w:r w:rsidRPr="00A95754">
        <w:rPr>
          <w:rStyle w:val="TableFigureFooterChar"/>
        </w:rPr>
        <w:br/>
        <w:t>The overall analysis was performed using a stratified Cox proportional hazards model, adjusting for disease status (initially unresectable or recurrent) and primary tumour location (intrahepatic cholangiocarcinoma, extrahepatic cholangiocarcinoma or gallbladder cancer) from IVRS. Profile likelihood methods were used to calculate CIs. Estimates for all subgroup categories were from an unstratified Cox model with treatment as the only covariate. Stratification subgroups are from the eCRF.</w:t>
      </w:r>
    </w:p>
    <w:p w14:paraId="041050D1" w14:textId="77777777" w:rsidR="00BA4874" w:rsidRPr="00A95754" w:rsidRDefault="00BA4874" w:rsidP="00BA4874">
      <w:pPr>
        <w:pStyle w:val="3-BodyText"/>
        <w:numPr>
          <w:ilvl w:val="0"/>
          <w:numId w:val="0"/>
        </w:numPr>
        <w:rPr>
          <w:color w:val="000000" w:themeColor="text1"/>
        </w:rPr>
      </w:pPr>
    </w:p>
    <w:p w14:paraId="00F92584" w14:textId="3C29FCAF" w:rsidR="00BA4874" w:rsidRPr="00A95754" w:rsidRDefault="00BA4874" w:rsidP="00BA4874">
      <w:pPr>
        <w:pStyle w:val="TableFigureHeading"/>
      </w:pPr>
      <w:bookmarkStart w:id="26" w:name="_Ref124182135"/>
      <w:r w:rsidRPr="00A95754">
        <w:lastRenderedPageBreak/>
        <w:t xml:space="preserve">Figure </w:t>
      </w:r>
      <w:fldSimple w:instr=" SEQ Figure \* ARABIC ">
        <w:r w:rsidR="000178EC">
          <w:rPr>
            <w:noProof/>
          </w:rPr>
          <w:t>6</w:t>
        </w:r>
      </w:fldSimple>
      <w:bookmarkEnd w:id="26"/>
      <w:r w:rsidRPr="00A95754">
        <w:t>: Forest plot of overall survival by subgroups, TOPAZ-1 FAS, IA-2 (data cut-off 11 Aug 2021)</w:t>
      </w:r>
    </w:p>
    <w:p w14:paraId="24176B53" w14:textId="77777777" w:rsidR="006A5A2A" w:rsidRPr="00A95754" w:rsidRDefault="00BA4874" w:rsidP="006A5A2A">
      <w:pPr>
        <w:pStyle w:val="TableFigureFooter"/>
        <w:rPr>
          <w:rStyle w:val="TableFigureFooterChar"/>
        </w:rPr>
      </w:pPr>
      <w:r w:rsidRPr="00A95754">
        <w:rPr>
          <w:noProof/>
        </w:rPr>
        <w:drawing>
          <wp:inline distT="0" distB="0" distL="0" distR="0" wp14:anchorId="7C9B09C3" wp14:editId="30C2EC34">
            <wp:extent cx="5731493" cy="3276884"/>
            <wp:effectExtent l="19050" t="19050" r="22225" b="19050"/>
            <wp:docPr id="35" name="Picture 35" descr="Figure 6: Forest plot of overall survival by subgroups, TOPAZ-1 FAS, IA-2 (data cut-off 11 Aug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igure 6: Forest plot of overall survival by subgroups, TOPAZ-1 FAS, IA-2 (data cut-off 11 Aug 2021)"/>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5738961" cy="3281154"/>
                    </a:xfrm>
                    <a:prstGeom prst="rect">
                      <a:avLst/>
                    </a:prstGeom>
                    <a:noFill/>
                    <a:ln>
                      <a:solidFill>
                        <a:schemeClr val="tx1"/>
                      </a:solidFill>
                    </a:ln>
                  </pic:spPr>
                </pic:pic>
              </a:graphicData>
            </a:graphic>
          </wp:inline>
        </w:drawing>
      </w:r>
      <w:r w:rsidRPr="00A95754">
        <w:rPr>
          <w:rStyle w:val="TableFigureFooterChar"/>
        </w:rPr>
        <w:t>Source: Figure 2.10, p</w:t>
      </w:r>
      <w:r w:rsidR="006A5A2A" w:rsidRPr="00A95754">
        <w:rPr>
          <w:rStyle w:val="TableFigureFooterChar"/>
        </w:rPr>
        <w:t>73</w:t>
      </w:r>
      <w:r w:rsidRPr="00A95754">
        <w:rPr>
          <w:rStyle w:val="TableFigureFooterChar"/>
        </w:rPr>
        <w:t xml:space="preserve"> of the submission.</w:t>
      </w:r>
    </w:p>
    <w:p w14:paraId="7120E648" w14:textId="0CCE5754" w:rsidR="00BA4874" w:rsidRPr="00A95754" w:rsidRDefault="006A5A2A" w:rsidP="006A5A2A">
      <w:pPr>
        <w:pStyle w:val="TableFigureFooter"/>
        <w:rPr>
          <w:rStyle w:val="TableFigureFooterChar"/>
        </w:rPr>
      </w:pPr>
      <w:r w:rsidRPr="00A95754">
        <w:rPr>
          <w:rStyle w:val="TableFigureFooterChar"/>
        </w:rPr>
        <w:t>CI = confidence interval; Cis = cisplatin; eCRF = electronic case report form; ECOG = Eastern Cooperative Oncology Group; FAS = full analyses set, defined as all randomised patients and analysed on an intention-to-treat basis; Gem = gemcitabine; IVRS = interactive voice response system; PD-L1 = programmed cell death ligand-1; PS = performance status; TAP = tumour area positivity; yr = year</w:t>
      </w:r>
      <w:r w:rsidR="00BA4874" w:rsidRPr="00A95754">
        <w:rPr>
          <w:rStyle w:val="TableFigureFooterChar"/>
        </w:rPr>
        <w:t xml:space="preserve">. </w:t>
      </w:r>
      <w:r w:rsidR="00BA4874" w:rsidRPr="00A95754">
        <w:rPr>
          <w:rStyle w:val="TableFigureFooterChar"/>
        </w:rPr>
        <w:br/>
        <w:t>The overall analysis was performed using a stratified Cox proportional hazards model, adjusting for disease status (initially unresectable or recurrent) and primary tumour location (intrahepatic cholangiocarcinoma, extrahepatic cholangiocarcinoma or gallbladder cancer) from IVRS. Profile likelihood methods were used to calculate CIs. Estimates for all subgroup categories were from an unstratified Cox model with treatment as the only covariate. Stratification subgroups are from the eCRF.</w:t>
      </w:r>
    </w:p>
    <w:p w14:paraId="32626FBD" w14:textId="77777777" w:rsidR="00BA4874" w:rsidRPr="00A95754" w:rsidRDefault="00BA4874" w:rsidP="00522555">
      <w:pPr>
        <w:pStyle w:val="4-SubsectionHeading"/>
      </w:pPr>
      <w:bookmarkStart w:id="27" w:name="_Toc124925611"/>
      <w:r w:rsidRPr="00A95754">
        <w:t>Comparative harms</w:t>
      </w:r>
      <w:bookmarkEnd w:id="27"/>
    </w:p>
    <w:p w14:paraId="05658127" w14:textId="576C35C3" w:rsidR="00BA4874" w:rsidRDefault="00BA4874" w:rsidP="00FC09A8">
      <w:pPr>
        <w:pStyle w:val="3-BodyText"/>
      </w:pPr>
      <w:r w:rsidRPr="00A95754">
        <w:t xml:space="preserve">The safety analysis set of TOPAZ-1 comprised all patients who received at least one dose of study treatment; updated safety data from the additional 6.5-month follow-up (data cut-off 25 February 2022) are presented. </w:t>
      </w:r>
      <w:r w:rsidRPr="00C44D12">
        <w:t>Generally, the durvalumab + GemCis arm demonstrated a similar safety profile to the placebo + GemCis arm, as described in</w:t>
      </w:r>
      <w:r w:rsidR="00FC09A8">
        <w:t xml:space="preserve"> </w:t>
      </w:r>
      <w:r w:rsidR="00FC09A8">
        <w:fldChar w:fldCharType="begin"/>
      </w:r>
      <w:r w:rsidR="00FC09A8">
        <w:instrText xml:space="preserve"> REF _Ref124182241 \h </w:instrText>
      </w:r>
      <w:r w:rsidR="00FC09A8">
        <w:fldChar w:fldCharType="separate"/>
      </w:r>
      <w:r w:rsidR="000178EC" w:rsidRPr="00171996">
        <w:t xml:space="preserve">Table </w:t>
      </w:r>
      <w:r w:rsidR="000178EC">
        <w:rPr>
          <w:noProof/>
        </w:rPr>
        <w:t>6</w:t>
      </w:r>
      <w:r w:rsidR="00FC09A8">
        <w:fldChar w:fldCharType="end"/>
      </w:r>
      <w:r w:rsidRPr="00C44D12">
        <w:t xml:space="preserve">. </w:t>
      </w:r>
    </w:p>
    <w:p w14:paraId="3D816755" w14:textId="2865FA87" w:rsidR="00FC09A8" w:rsidRDefault="00FC09A8">
      <w:pPr>
        <w:jc w:val="left"/>
        <w:rPr>
          <w:rFonts w:asciiTheme="minorHAnsi" w:hAnsiTheme="minorHAnsi"/>
          <w:snapToGrid w:val="0"/>
        </w:rPr>
      </w:pPr>
      <w:r>
        <w:br w:type="page"/>
      </w:r>
    </w:p>
    <w:p w14:paraId="22186054" w14:textId="20C4C8EE" w:rsidR="00BA4874" w:rsidRPr="00171996" w:rsidRDefault="00BA4874" w:rsidP="00125404">
      <w:pPr>
        <w:pStyle w:val="TableFigureHeading"/>
        <w:keepLines/>
        <w:contextualSpacing/>
      </w:pPr>
      <w:bookmarkStart w:id="28" w:name="_Ref124182241"/>
      <w:r w:rsidRPr="00171996">
        <w:lastRenderedPageBreak/>
        <w:t xml:space="preserve">Table </w:t>
      </w:r>
      <w:fldSimple w:instr=" SEQ Table \* ARABIC ">
        <w:r w:rsidR="000178EC">
          <w:rPr>
            <w:noProof/>
          </w:rPr>
          <w:t>6</w:t>
        </w:r>
      </w:fldSimple>
      <w:bookmarkEnd w:id="28"/>
      <w:r w:rsidRPr="00171996">
        <w:t>: Overview of adverse events and deaths, TOPAZ-1 safety analysis set, 6.5-month follow-up (data cut-off 25 Feb 2022)</w:t>
      </w:r>
    </w:p>
    <w:tbl>
      <w:tblPr>
        <w:tblpPr w:leftFromText="180" w:rightFromText="180" w:vertAnchor="text" w:horzAnchor="margin" w:tblpY="9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1"/>
        <w:gridCol w:w="1276"/>
        <w:gridCol w:w="1559"/>
        <w:gridCol w:w="1276"/>
        <w:gridCol w:w="1417"/>
      </w:tblGrid>
      <w:tr w:rsidR="00BA4874" w:rsidRPr="00A95754" w14:paraId="47BEBE72" w14:textId="77777777" w:rsidTr="00171996">
        <w:trPr>
          <w:cantSplit/>
          <w:trHeight w:val="20"/>
        </w:trPr>
        <w:tc>
          <w:tcPr>
            <w:tcW w:w="3681" w:type="dxa"/>
            <w:vMerge w:val="restart"/>
            <w:tcBorders>
              <w:top w:val="single" w:sz="4" w:space="0" w:color="000000"/>
              <w:left w:val="single" w:sz="4" w:space="0" w:color="000000"/>
              <w:right w:val="single" w:sz="4" w:space="0" w:color="000000"/>
            </w:tcBorders>
            <w:shd w:val="clear" w:color="auto" w:fill="auto"/>
          </w:tcPr>
          <w:p w14:paraId="1C3441F9" w14:textId="77777777" w:rsidR="00BA4874" w:rsidRPr="00A95754" w:rsidRDefault="00BA4874" w:rsidP="00FC09A8">
            <w:pPr>
              <w:pStyle w:val="In-tableHeading"/>
              <w:keepLines/>
              <w:contextualSpacing/>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Pr>
          <w:p w14:paraId="1BD39D90" w14:textId="77777777" w:rsidR="00BA4874" w:rsidRPr="00A95754" w:rsidRDefault="00BA4874" w:rsidP="00FC09A8">
            <w:pPr>
              <w:pStyle w:val="In-tableHeading"/>
              <w:keepLines/>
              <w:contextualSpacing/>
            </w:pPr>
            <w:r w:rsidRPr="00A95754">
              <w:t>Number</w:t>
            </w:r>
            <w:r w:rsidRPr="00A95754">
              <w:rPr>
                <w:spacing w:val="-4"/>
              </w:rPr>
              <w:t xml:space="preserve"> </w:t>
            </w:r>
            <w:r w:rsidRPr="00A95754">
              <w:t>(%)</w:t>
            </w:r>
            <w:r w:rsidRPr="00A95754">
              <w:rPr>
                <w:spacing w:val="-3"/>
              </w:rPr>
              <w:t xml:space="preserve"> </w:t>
            </w:r>
            <w:r w:rsidRPr="00A95754">
              <w:t>of</w:t>
            </w:r>
            <w:r w:rsidRPr="00A95754">
              <w:rPr>
                <w:spacing w:val="-4"/>
              </w:rPr>
              <w:t xml:space="preserve"> </w:t>
            </w:r>
            <w:r w:rsidRPr="00A95754">
              <w:t>patients</w:t>
            </w:r>
            <w:r w:rsidRPr="00A95754">
              <w:rPr>
                <w:spacing w:val="-10"/>
                <w:vertAlign w:val="superscript"/>
              </w:rPr>
              <w:t>a</w:t>
            </w:r>
          </w:p>
        </w:tc>
        <w:tc>
          <w:tcPr>
            <w:tcW w:w="1417" w:type="dxa"/>
            <w:tcBorders>
              <w:top w:val="single" w:sz="4" w:space="0" w:color="000000"/>
              <w:left w:val="single" w:sz="4" w:space="0" w:color="000000"/>
              <w:bottom w:val="single" w:sz="4" w:space="0" w:color="000000"/>
              <w:right w:val="single" w:sz="4" w:space="0" w:color="000000"/>
            </w:tcBorders>
          </w:tcPr>
          <w:p w14:paraId="20506851" w14:textId="77777777" w:rsidR="00BA4874" w:rsidRPr="00A95754" w:rsidRDefault="00BA4874" w:rsidP="00FC09A8">
            <w:pPr>
              <w:pStyle w:val="In-tableHeading"/>
              <w:keepLines/>
              <w:contextualSpacing/>
            </w:pPr>
          </w:p>
        </w:tc>
      </w:tr>
      <w:tr w:rsidR="00BA4874" w:rsidRPr="00A95754" w14:paraId="3BE10A67" w14:textId="77777777" w:rsidTr="00171996">
        <w:trPr>
          <w:cantSplit/>
          <w:trHeight w:val="20"/>
        </w:trPr>
        <w:tc>
          <w:tcPr>
            <w:tcW w:w="3681" w:type="dxa"/>
            <w:vMerge/>
            <w:tcBorders>
              <w:left w:val="single" w:sz="4" w:space="0" w:color="000000"/>
              <w:right w:val="single" w:sz="4" w:space="0" w:color="000000"/>
            </w:tcBorders>
            <w:shd w:val="clear" w:color="auto" w:fill="auto"/>
          </w:tcPr>
          <w:p w14:paraId="7B9CFF24" w14:textId="77777777" w:rsidR="00BA4874" w:rsidRPr="00A95754" w:rsidRDefault="00BA4874" w:rsidP="00FC09A8">
            <w:pPr>
              <w:pStyle w:val="In-tableHeading"/>
              <w:keepLines/>
              <w:contextualSpacing/>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F4FF37" w14:textId="77777777" w:rsidR="00BA4874" w:rsidRPr="00A95754" w:rsidRDefault="00BA4874" w:rsidP="00FC09A8">
            <w:pPr>
              <w:pStyle w:val="In-tableHeading"/>
              <w:keepLines/>
              <w:contextualSpacing/>
            </w:pPr>
            <w:r w:rsidRPr="00A95754">
              <w:t>D</w:t>
            </w:r>
            <w:r w:rsidRPr="00A95754">
              <w:rPr>
                <w:spacing w:val="-12"/>
              </w:rPr>
              <w:t xml:space="preserve"> </w:t>
            </w:r>
            <w:r w:rsidRPr="00A95754">
              <w:t>+</w:t>
            </w:r>
            <w:r w:rsidRPr="00A95754">
              <w:rPr>
                <w:spacing w:val="-11"/>
              </w:rPr>
              <w:t xml:space="preserve"> </w:t>
            </w:r>
            <w:r w:rsidRPr="00A95754">
              <w:t>GemCis</w:t>
            </w:r>
          </w:p>
          <w:p w14:paraId="61EFB3A0" w14:textId="77777777" w:rsidR="00BA4874" w:rsidRPr="00A95754" w:rsidRDefault="00BA4874" w:rsidP="00FC09A8">
            <w:pPr>
              <w:pStyle w:val="In-tableHeading"/>
              <w:keepLines/>
              <w:contextualSpacing/>
            </w:pPr>
            <w:r w:rsidRPr="00A95754">
              <w:t>(N = 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CAE860" w14:textId="77777777" w:rsidR="00BA4874" w:rsidRPr="00A95754" w:rsidRDefault="00BA4874" w:rsidP="00FC09A8">
            <w:pPr>
              <w:pStyle w:val="In-tableHeading"/>
              <w:keepLines/>
              <w:contextualSpacing/>
            </w:pPr>
            <w:r w:rsidRPr="00A95754">
              <w:t>Placebo</w:t>
            </w:r>
            <w:r w:rsidRPr="00A95754">
              <w:rPr>
                <w:spacing w:val="-12"/>
              </w:rPr>
              <w:t xml:space="preserve"> </w:t>
            </w:r>
            <w:r w:rsidRPr="00A95754">
              <w:t>+</w:t>
            </w:r>
            <w:r w:rsidRPr="00A95754">
              <w:rPr>
                <w:spacing w:val="-11"/>
              </w:rPr>
              <w:t xml:space="preserve"> </w:t>
            </w:r>
            <w:r w:rsidRPr="00A95754">
              <w:t>GemCis</w:t>
            </w:r>
          </w:p>
          <w:p w14:paraId="5A419040" w14:textId="77777777" w:rsidR="00BA4874" w:rsidRPr="00A95754" w:rsidRDefault="00BA4874" w:rsidP="00FC09A8">
            <w:pPr>
              <w:pStyle w:val="In-tableHeading"/>
              <w:keepLines/>
              <w:contextualSpacing/>
            </w:pPr>
            <w:r w:rsidRPr="00A95754">
              <w:t>(N = 342)</w:t>
            </w:r>
          </w:p>
        </w:tc>
        <w:tc>
          <w:tcPr>
            <w:tcW w:w="1276" w:type="dxa"/>
            <w:tcBorders>
              <w:top w:val="single" w:sz="4" w:space="0" w:color="000000"/>
              <w:left w:val="single" w:sz="4" w:space="0" w:color="000000"/>
              <w:bottom w:val="single" w:sz="4" w:space="0" w:color="000000"/>
              <w:right w:val="single" w:sz="4" w:space="0" w:color="000000"/>
            </w:tcBorders>
          </w:tcPr>
          <w:p w14:paraId="2047DE3D" w14:textId="77777777" w:rsidR="00BA4874" w:rsidRPr="00BD3BF8" w:rsidRDefault="00BA4874" w:rsidP="00FC09A8">
            <w:pPr>
              <w:pStyle w:val="In-tableHeading"/>
              <w:keepLines/>
              <w:contextualSpacing/>
            </w:pPr>
            <w:r w:rsidRPr="00BD3BF8">
              <w:t>RR (95% CI)</w:t>
            </w:r>
            <w:r w:rsidRPr="00BD3BF8">
              <w:rPr>
                <w:vertAlign w:val="superscript"/>
              </w:rPr>
              <w:t>e</w:t>
            </w:r>
          </w:p>
        </w:tc>
        <w:tc>
          <w:tcPr>
            <w:tcW w:w="1417" w:type="dxa"/>
            <w:tcBorders>
              <w:top w:val="single" w:sz="4" w:space="0" w:color="000000"/>
              <w:left w:val="single" w:sz="4" w:space="0" w:color="000000"/>
              <w:bottom w:val="single" w:sz="4" w:space="0" w:color="000000"/>
              <w:right w:val="single" w:sz="4" w:space="0" w:color="000000"/>
            </w:tcBorders>
          </w:tcPr>
          <w:p w14:paraId="00258EB9" w14:textId="77777777" w:rsidR="00BA4874" w:rsidRPr="00BD3BF8" w:rsidRDefault="00BA4874" w:rsidP="00FC09A8">
            <w:pPr>
              <w:pStyle w:val="In-tableHeading"/>
              <w:keepLines/>
              <w:contextualSpacing/>
            </w:pPr>
            <w:r w:rsidRPr="00BD3BF8">
              <w:t>RD (95% CI)</w:t>
            </w:r>
            <w:r w:rsidRPr="00BD3BF8">
              <w:rPr>
                <w:vertAlign w:val="superscript"/>
              </w:rPr>
              <w:t>e</w:t>
            </w:r>
          </w:p>
        </w:tc>
      </w:tr>
      <w:tr w:rsidR="00BA4874" w:rsidRPr="00A95754" w14:paraId="2DE05218"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tcPr>
          <w:p w14:paraId="4358D7ED" w14:textId="77777777" w:rsidR="00BA4874" w:rsidRPr="00A95754" w:rsidRDefault="00BA4874" w:rsidP="00FC09A8">
            <w:pPr>
              <w:pStyle w:val="TableText0"/>
              <w:keepLines/>
              <w:contextualSpacing/>
              <w:rPr>
                <w:vertAlign w:val="superscript"/>
              </w:rPr>
            </w:pPr>
            <w:r w:rsidRPr="00A95754">
              <w:t>Median duration of exposure (months) (min, max)</w:t>
            </w:r>
            <w:r w:rsidRPr="00A95754">
              <w:rPr>
                <w:vertAlign w:val="superscript"/>
              </w:rPr>
              <w:t>b</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8467" w14:textId="77777777" w:rsidR="00BA4874" w:rsidRPr="00BD05AE" w:rsidRDefault="00BA4874" w:rsidP="00FC09A8">
            <w:pPr>
              <w:pStyle w:val="TableText0"/>
              <w:keepLines/>
              <w:contextualSpacing/>
            </w:pPr>
            <w:r w:rsidRPr="00BD05AE">
              <w:t>7.33 (0.1, 31.0)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2D13" w14:textId="77777777" w:rsidR="00BA4874" w:rsidRPr="00BD05AE" w:rsidRDefault="00BA4874" w:rsidP="00FC09A8">
            <w:pPr>
              <w:pStyle w:val="TableText0"/>
              <w:keepLines/>
              <w:contextualSpacing/>
            </w:pPr>
            <w:r w:rsidRPr="00BD05AE">
              <w:t>5.77 (0.2, 26.6)</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1FA96" w14:textId="77777777" w:rsidR="00BA4874" w:rsidRPr="00BD05AE" w:rsidRDefault="00BA4874" w:rsidP="00FC09A8">
            <w:pPr>
              <w:pStyle w:val="TableText0"/>
              <w:keepLines/>
              <w:contextualSpacing/>
            </w:pPr>
          </w:p>
        </w:tc>
        <w:tc>
          <w:tcPr>
            <w:tcW w:w="1417" w:type="dxa"/>
            <w:tcBorders>
              <w:top w:val="single" w:sz="4" w:space="0" w:color="000000"/>
              <w:left w:val="single" w:sz="4" w:space="0" w:color="000000"/>
              <w:bottom w:val="single" w:sz="4" w:space="0" w:color="000000"/>
              <w:right w:val="single" w:sz="4" w:space="0" w:color="000000"/>
            </w:tcBorders>
          </w:tcPr>
          <w:p w14:paraId="66F7074F" w14:textId="77777777" w:rsidR="00BA4874" w:rsidRPr="00BD05AE" w:rsidRDefault="00BA4874" w:rsidP="00FC09A8">
            <w:pPr>
              <w:pStyle w:val="TableText0"/>
              <w:keepLines/>
              <w:contextualSpacing/>
            </w:pPr>
          </w:p>
        </w:tc>
      </w:tr>
      <w:tr w:rsidR="00BA4874" w:rsidRPr="00A95754" w14:paraId="471740E8"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11BA35BE" w14:textId="77777777" w:rsidR="00BA4874" w:rsidRPr="00A95754" w:rsidRDefault="00BA4874" w:rsidP="00FC09A8">
            <w:pPr>
              <w:pStyle w:val="TableText0"/>
              <w:keepLines/>
              <w:contextualSpacing/>
            </w:pPr>
            <w:r w:rsidRPr="00A95754">
              <w:t>Any</w:t>
            </w:r>
            <w:r w:rsidRPr="00A95754">
              <w:rPr>
                <w:spacing w:val="-2"/>
              </w:rPr>
              <w:t xml:space="preserve"> </w:t>
            </w:r>
            <w:r w:rsidRPr="00A95754">
              <w:rPr>
                <w:spacing w:val="-5"/>
              </w:rPr>
              <w:t>AE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C7764" w14:textId="77777777" w:rsidR="00BA4874" w:rsidRPr="00BD05AE" w:rsidRDefault="00BA4874" w:rsidP="00FC09A8">
            <w:pPr>
              <w:pStyle w:val="TableText0"/>
              <w:keepLines/>
              <w:contextualSpacing/>
            </w:pPr>
            <w:r w:rsidRPr="00BD05AE">
              <w:t>336</w:t>
            </w:r>
            <w:r w:rsidRPr="00BD05AE">
              <w:rPr>
                <w:spacing w:val="-1"/>
              </w:rPr>
              <w:t xml:space="preserve"> </w:t>
            </w:r>
            <w:r w:rsidRPr="00BD05AE">
              <w:rPr>
                <w:spacing w:val="-2"/>
              </w:rPr>
              <w:t>(99.4)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D081B" w14:textId="77777777" w:rsidR="00BA4874" w:rsidRPr="00BD05AE" w:rsidRDefault="00BA4874" w:rsidP="00FC09A8">
            <w:pPr>
              <w:pStyle w:val="TableText0"/>
              <w:keepLines/>
              <w:contextualSpacing/>
            </w:pPr>
            <w:r w:rsidRPr="00BD05AE">
              <w:t>338</w:t>
            </w:r>
            <w:r w:rsidRPr="00BD05AE">
              <w:rPr>
                <w:spacing w:val="-1"/>
              </w:rPr>
              <w:t xml:space="preserve"> </w:t>
            </w:r>
            <w:r w:rsidRPr="00BD05AE">
              <w:rPr>
                <w:spacing w:val="-2"/>
              </w:rPr>
              <w:t>(98.8)</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C9FF2" w14:textId="77777777" w:rsidR="00BA4874" w:rsidRPr="00BD05AE" w:rsidRDefault="00BA4874" w:rsidP="00FC09A8">
            <w:pPr>
              <w:pStyle w:val="TableText0"/>
              <w:keepLines/>
              <w:contextualSpacing/>
            </w:pPr>
            <w:r w:rsidRPr="00BD05AE">
              <w:t>1.01 (0.99, 1.02)</w:t>
            </w:r>
          </w:p>
        </w:tc>
        <w:tc>
          <w:tcPr>
            <w:tcW w:w="1417" w:type="dxa"/>
            <w:tcBorders>
              <w:top w:val="single" w:sz="4" w:space="0" w:color="000000"/>
              <w:left w:val="single" w:sz="4" w:space="0" w:color="000000"/>
              <w:bottom w:val="single" w:sz="4" w:space="0" w:color="000000"/>
              <w:right w:val="single" w:sz="4" w:space="0" w:color="000000"/>
            </w:tcBorders>
            <w:vAlign w:val="center"/>
          </w:tcPr>
          <w:p w14:paraId="6DF0B9DD" w14:textId="77777777" w:rsidR="00BA4874" w:rsidRPr="00BD05AE" w:rsidRDefault="00BA4874" w:rsidP="00FC09A8">
            <w:pPr>
              <w:pStyle w:val="TableText0"/>
              <w:keepLines/>
              <w:contextualSpacing/>
            </w:pPr>
            <w:r w:rsidRPr="00BD05AE">
              <w:t>0.01 (-0.01, 0.02)</w:t>
            </w:r>
          </w:p>
        </w:tc>
      </w:tr>
      <w:tr w:rsidR="00BA4874" w:rsidRPr="00A95754" w14:paraId="192CDC0E"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6221D43A" w14:textId="77777777" w:rsidR="00BA4874" w:rsidRPr="00A95754" w:rsidRDefault="00BA4874" w:rsidP="00FC09A8">
            <w:pPr>
              <w:pStyle w:val="TableText0"/>
              <w:keepLines/>
              <w:contextualSpacing/>
            </w:pPr>
            <w:r w:rsidRPr="00A95754">
              <w:t xml:space="preserve">    Possibly</w:t>
            </w:r>
            <w:r w:rsidRPr="00A95754">
              <w:rPr>
                <w:spacing w:val="-10"/>
              </w:rPr>
              <w:t xml:space="preserve"> </w:t>
            </w:r>
            <w:r w:rsidRPr="00A95754">
              <w:t>related</w:t>
            </w:r>
            <w:r w:rsidRPr="00A95754">
              <w:rPr>
                <w:spacing w:val="-10"/>
              </w:rPr>
              <w:t xml:space="preserve"> </w:t>
            </w:r>
            <w:r w:rsidRPr="00A95754">
              <w:t>to</w:t>
            </w:r>
            <w:r w:rsidRPr="00A95754">
              <w:rPr>
                <w:spacing w:val="-10"/>
              </w:rPr>
              <w:t xml:space="preserve"> </w:t>
            </w:r>
            <w:r w:rsidRPr="00A95754">
              <w:t>any</w:t>
            </w:r>
            <w:r w:rsidRPr="00A95754">
              <w:rPr>
                <w:spacing w:val="-10"/>
              </w:rPr>
              <w:t xml:space="preserve"> </w:t>
            </w:r>
            <w:r w:rsidRPr="00A95754">
              <w:t>study medication</w:t>
            </w:r>
            <w:r w:rsidRPr="00A95754">
              <w:rPr>
                <w:vertAlign w:val="superscript"/>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7AE01" w14:textId="77777777" w:rsidR="00BA4874" w:rsidRPr="00BD05AE" w:rsidRDefault="00BA4874" w:rsidP="00FC09A8">
            <w:pPr>
              <w:pStyle w:val="TableText0"/>
              <w:keepLines/>
              <w:contextualSpacing/>
            </w:pPr>
            <w:r w:rsidRPr="00BD05AE">
              <w:t>314</w:t>
            </w:r>
            <w:r w:rsidRPr="00BD05AE">
              <w:rPr>
                <w:spacing w:val="-1"/>
              </w:rPr>
              <w:t xml:space="preserve"> </w:t>
            </w:r>
            <w:r w:rsidRPr="00BD05AE">
              <w:rPr>
                <w:spacing w:val="-2"/>
              </w:rPr>
              <w:t>(92.9)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B3CA5" w14:textId="77777777" w:rsidR="00BA4874" w:rsidRPr="00BD05AE" w:rsidRDefault="00BA4874" w:rsidP="00FC09A8">
            <w:pPr>
              <w:pStyle w:val="TableText0"/>
              <w:keepLines/>
              <w:contextualSpacing/>
            </w:pPr>
            <w:r w:rsidRPr="00BD05AE">
              <w:t>308</w:t>
            </w:r>
            <w:r w:rsidRPr="00BD05AE">
              <w:rPr>
                <w:spacing w:val="-1"/>
              </w:rPr>
              <w:t xml:space="preserve"> </w:t>
            </w:r>
            <w:r w:rsidRPr="00BD05AE">
              <w:rPr>
                <w:spacing w:val="-2"/>
              </w:rPr>
              <w:t>(90.1)</w:t>
            </w:r>
          </w:p>
        </w:tc>
        <w:tc>
          <w:tcPr>
            <w:tcW w:w="1276" w:type="dxa"/>
            <w:tcBorders>
              <w:top w:val="single" w:sz="4" w:space="0" w:color="000000"/>
              <w:left w:val="single" w:sz="4" w:space="0" w:color="000000"/>
              <w:bottom w:val="single" w:sz="4" w:space="0" w:color="000000"/>
              <w:right w:val="single" w:sz="4" w:space="0" w:color="000000"/>
            </w:tcBorders>
            <w:vAlign w:val="center"/>
          </w:tcPr>
          <w:p w14:paraId="0A926F72" w14:textId="77777777" w:rsidR="00BA4874" w:rsidRPr="00BD05AE" w:rsidRDefault="00BA4874" w:rsidP="00FC09A8">
            <w:pPr>
              <w:pStyle w:val="TableText0"/>
              <w:keepLines/>
              <w:contextualSpacing/>
            </w:pPr>
            <w:r w:rsidRPr="00BD05AE">
              <w:t>1.03 (0.99, 1.08)</w:t>
            </w:r>
          </w:p>
        </w:tc>
        <w:tc>
          <w:tcPr>
            <w:tcW w:w="1417" w:type="dxa"/>
            <w:tcBorders>
              <w:top w:val="single" w:sz="4" w:space="0" w:color="000000"/>
              <w:left w:val="single" w:sz="4" w:space="0" w:color="000000"/>
              <w:bottom w:val="single" w:sz="4" w:space="0" w:color="000000"/>
              <w:right w:val="single" w:sz="4" w:space="0" w:color="000000"/>
            </w:tcBorders>
          </w:tcPr>
          <w:p w14:paraId="2ECA124D" w14:textId="77777777" w:rsidR="00BA4874" w:rsidRPr="00BD05AE" w:rsidRDefault="00BA4874" w:rsidP="00FC09A8">
            <w:pPr>
              <w:pStyle w:val="TableText0"/>
              <w:keepLines/>
              <w:contextualSpacing/>
            </w:pPr>
            <w:r w:rsidRPr="00BD05AE">
              <w:t>0.03 (-0.02, 0.07)</w:t>
            </w:r>
          </w:p>
        </w:tc>
      </w:tr>
      <w:tr w:rsidR="00BA4874" w:rsidRPr="00A95754" w14:paraId="7D495CF3"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6902D4E2" w14:textId="77777777" w:rsidR="00BA4874" w:rsidRPr="00A95754" w:rsidRDefault="00BA4874" w:rsidP="00FC09A8">
            <w:pPr>
              <w:pStyle w:val="TableText0"/>
              <w:keepLines/>
              <w:contextualSpacing/>
            </w:pPr>
            <w:r w:rsidRPr="00A95754">
              <w:t>Any</w:t>
            </w:r>
            <w:r w:rsidRPr="00A95754">
              <w:rPr>
                <w:spacing w:val="-8"/>
              </w:rPr>
              <w:t xml:space="preserve"> </w:t>
            </w:r>
            <w:r w:rsidRPr="00A95754">
              <w:t>AE</w:t>
            </w:r>
            <w:r w:rsidRPr="00A95754">
              <w:rPr>
                <w:spacing w:val="-11"/>
              </w:rPr>
              <w:t xml:space="preserve"> </w:t>
            </w:r>
            <w:r w:rsidRPr="00A95754">
              <w:t>of</w:t>
            </w:r>
            <w:r w:rsidRPr="00A95754">
              <w:rPr>
                <w:spacing w:val="-8"/>
              </w:rPr>
              <w:t xml:space="preserve"> </w:t>
            </w:r>
            <w:r w:rsidRPr="00A95754">
              <w:t>maximum</w:t>
            </w:r>
            <w:r w:rsidRPr="00A95754">
              <w:rPr>
                <w:spacing w:val="-10"/>
              </w:rPr>
              <w:t xml:space="preserve"> </w:t>
            </w:r>
            <w:r w:rsidRPr="00A95754">
              <w:t>CTCAE Grade 3 or 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DCD1A" w14:textId="77777777" w:rsidR="00BA4874" w:rsidRPr="00BD05AE" w:rsidRDefault="00BA4874" w:rsidP="00FC09A8">
            <w:pPr>
              <w:pStyle w:val="TableText0"/>
              <w:keepLines/>
              <w:contextualSpacing/>
            </w:pPr>
            <w:r w:rsidRPr="00BD05AE">
              <w:t>250</w:t>
            </w:r>
            <w:r w:rsidRPr="00BD05AE">
              <w:rPr>
                <w:spacing w:val="-1"/>
              </w:rPr>
              <w:t xml:space="preserve"> </w:t>
            </w:r>
            <w:r w:rsidRPr="00BD05AE">
              <w:rPr>
                <w:spacing w:val="-2"/>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A2209C" w14:textId="77777777" w:rsidR="00BA4874" w:rsidRPr="00BD05AE" w:rsidRDefault="00BA4874" w:rsidP="00FC09A8">
            <w:pPr>
              <w:pStyle w:val="TableText0"/>
              <w:keepLines/>
              <w:contextualSpacing/>
            </w:pPr>
            <w:r w:rsidRPr="00BD05AE">
              <w:t>257</w:t>
            </w:r>
            <w:r w:rsidRPr="00BD05AE">
              <w:rPr>
                <w:spacing w:val="-1"/>
              </w:rPr>
              <w:t xml:space="preserve"> </w:t>
            </w:r>
            <w:r w:rsidRPr="00BD05AE">
              <w:rPr>
                <w:spacing w:val="-2"/>
              </w:rPr>
              <w:t>(75.1)</w:t>
            </w:r>
          </w:p>
        </w:tc>
        <w:tc>
          <w:tcPr>
            <w:tcW w:w="1276" w:type="dxa"/>
            <w:tcBorders>
              <w:top w:val="single" w:sz="4" w:space="0" w:color="000000"/>
              <w:left w:val="single" w:sz="4" w:space="0" w:color="000000"/>
              <w:bottom w:val="single" w:sz="4" w:space="0" w:color="000000"/>
              <w:right w:val="single" w:sz="4" w:space="0" w:color="000000"/>
            </w:tcBorders>
            <w:vAlign w:val="center"/>
          </w:tcPr>
          <w:p w14:paraId="40C9C30F" w14:textId="77777777" w:rsidR="00BA4874" w:rsidRPr="00BD05AE" w:rsidRDefault="00BA4874" w:rsidP="00FC09A8">
            <w:pPr>
              <w:pStyle w:val="TableText0"/>
              <w:keepLines/>
              <w:contextualSpacing/>
            </w:pPr>
            <w:r w:rsidRPr="00BD05AE">
              <w:t>0.98 (0.90, 1.07)</w:t>
            </w:r>
          </w:p>
        </w:tc>
        <w:tc>
          <w:tcPr>
            <w:tcW w:w="1417" w:type="dxa"/>
            <w:tcBorders>
              <w:top w:val="single" w:sz="4" w:space="0" w:color="000000"/>
              <w:left w:val="single" w:sz="4" w:space="0" w:color="000000"/>
              <w:bottom w:val="single" w:sz="4" w:space="0" w:color="000000"/>
              <w:right w:val="single" w:sz="4" w:space="0" w:color="000000"/>
            </w:tcBorders>
          </w:tcPr>
          <w:p w14:paraId="174CEDBE" w14:textId="77777777" w:rsidR="00BA4874" w:rsidRPr="00BD05AE" w:rsidRDefault="00BA4874" w:rsidP="00FC09A8">
            <w:pPr>
              <w:pStyle w:val="TableText0"/>
              <w:keepLines/>
              <w:contextualSpacing/>
            </w:pPr>
            <w:r w:rsidRPr="00BD05AE">
              <w:t>-0.01 (-0.08, 0.05)</w:t>
            </w:r>
          </w:p>
        </w:tc>
      </w:tr>
      <w:tr w:rsidR="00BA4874" w:rsidRPr="00A95754" w14:paraId="3BA9FFC9"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027FC8B2" w14:textId="77777777" w:rsidR="00BA4874" w:rsidRPr="00A95754" w:rsidRDefault="00BA4874" w:rsidP="00FC09A8">
            <w:pPr>
              <w:pStyle w:val="TableText0"/>
              <w:keepLines/>
              <w:contextualSpacing/>
            </w:pPr>
            <w:r w:rsidRPr="00A95754">
              <w:t xml:space="preserve">    Possibly</w:t>
            </w:r>
            <w:r w:rsidRPr="00A95754">
              <w:rPr>
                <w:spacing w:val="-10"/>
              </w:rPr>
              <w:t xml:space="preserve"> </w:t>
            </w:r>
            <w:r w:rsidRPr="00A95754">
              <w:t>related</w:t>
            </w:r>
            <w:r w:rsidRPr="00A95754">
              <w:rPr>
                <w:spacing w:val="-10"/>
              </w:rPr>
              <w:t xml:space="preserve"> </w:t>
            </w:r>
            <w:r w:rsidRPr="00A95754">
              <w:t>to</w:t>
            </w:r>
            <w:r w:rsidRPr="00A95754">
              <w:rPr>
                <w:spacing w:val="-10"/>
              </w:rPr>
              <w:t xml:space="preserve"> </w:t>
            </w:r>
            <w:r w:rsidRPr="00A95754">
              <w:t>any</w:t>
            </w:r>
            <w:r w:rsidRPr="00A95754">
              <w:rPr>
                <w:spacing w:val="-10"/>
              </w:rPr>
              <w:t xml:space="preserve"> </w:t>
            </w:r>
            <w:r w:rsidRPr="00A95754">
              <w:t>study medication</w:t>
            </w:r>
            <w:r w:rsidRPr="00A95754">
              <w:rPr>
                <w:vertAlign w:val="superscript"/>
              </w:rPr>
              <w:t>c,</w:t>
            </w:r>
            <w:r w:rsidRPr="00A95754">
              <w:t xml:space="preserve"> </w:t>
            </w:r>
            <w:r w:rsidRPr="00A95754">
              <w:rPr>
                <w:vertAlign w:val="superscript"/>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431639" w14:textId="77777777" w:rsidR="00BA4874" w:rsidRPr="00BD05AE" w:rsidRDefault="00BA4874" w:rsidP="00FC09A8">
            <w:pPr>
              <w:pStyle w:val="TableText0"/>
              <w:keepLines/>
              <w:contextualSpacing/>
            </w:pPr>
            <w:r w:rsidRPr="00BD05AE">
              <w:t>206</w:t>
            </w:r>
            <w:r w:rsidRPr="00BD05AE">
              <w:rPr>
                <w:spacing w:val="-1"/>
              </w:rPr>
              <w:t xml:space="preserve"> </w:t>
            </w:r>
            <w:r w:rsidRPr="00BD05AE">
              <w:rPr>
                <w:spacing w:val="-2"/>
              </w:rPr>
              <w:t>(60.9)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88670" w14:textId="77777777" w:rsidR="00BA4874" w:rsidRPr="00BD05AE" w:rsidRDefault="00BA4874" w:rsidP="00FC09A8">
            <w:pPr>
              <w:pStyle w:val="TableText0"/>
              <w:keepLines/>
              <w:contextualSpacing/>
            </w:pPr>
            <w:r w:rsidRPr="00BD05AE">
              <w:t>217</w:t>
            </w:r>
            <w:r w:rsidRPr="00BD05AE">
              <w:rPr>
                <w:spacing w:val="-1"/>
              </w:rPr>
              <w:t xml:space="preserve"> </w:t>
            </w:r>
            <w:r w:rsidRPr="00BD05AE">
              <w:rPr>
                <w:spacing w:val="-2"/>
              </w:rPr>
              <w:t>(63.5)</w:t>
            </w:r>
          </w:p>
        </w:tc>
        <w:tc>
          <w:tcPr>
            <w:tcW w:w="1276" w:type="dxa"/>
            <w:tcBorders>
              <w:top w:val="single" w:sz="4" w:space="0" w:color="000000"/>
              <w:left w:val="single" w:sz="4" w:space="0" w:color="000000"/>
              <w:bottom w:val="single" w:sz="4" w:space="0" w:color="000000"/>
              <w:right w:val="single" w:sz="4" w:space="0" w:color="000000"/>
            </w:tcBorders>
            <w:vAlign w:val="center"/>
          </w:tcPr>
          <w:p w14:paraId="5D0A5FA9" w14:textId="77777777" w:rsidR="00BA4874" w:rsidRPr="00BD05AE" w:rsidRDefault="00BA4874" w:rsidP="00FC09A8">
            <w:pPr>
              <w:pStyle w:val="TableText0"/>
              <w:keepLines/>
              <w:contextualSpacing/>
            </w:pPr>
            <w:r w:rsidRPr="00BD05AE">
              <w:t>0.96 (0.85, 1.08)</w:t>
            </w:r>
          </w:p>
        </w:tc>
        <w:tc>
          <w:tcPr>
            <w:tcW w:w="1417" w:type="dxa"/>
            <w:tcBorders>
              <w:top w:val="single" w:sz="4" w:space="0" w:color="000000"/>
              <w:left w:val="single" w:sz="4" w:space="0" w:color="000000"/>
              <w:bottom w:val="single" w:sz="4" w:space="0" w:color="000000"/>
              <w:right w:val="single" w:sz="4" w:space="0" w:color="000000"/>
            </w:tcBorders>
          </w:tcPr>
          <w:p w14:paraId="7204C297" w14:textId="77777777" w:rsidR="00BA4874" w:rsidRPr="00BD05AE" w:rsidRDefault="00BA4874" w:rsidP="00FC09A8">
            <w:pPr>
              <w:pStyle w:val="TableText0"/>
              <w:keepLines/>
              <w:contextualSpacing/>
            </w:pPr>
            <w:r w:rsidRPr="00BD05AE">
              <w:t>-0.03 (-0.10, 0.05)</w:t>
            </w:r>
          </w:p>
        </w:tc>
      </w:tr>
      <w:tr w:rsidR="00BA4874" w:rsidRPr="00A95754" w14:paraId="6D625148"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03C68F46" w14:textId="77777777" w:rsidR="00BA4874" w:rsidRPr="00A95754" w:rsidRDefault="00BA4874" w:rsidP="00FC09A8">
            <w:pPr>
              <w:pStyle w:val="TableText0"/>
              <w:keepLines/>
              <w:contextualSpacing/>
            </w:pPr>
            <w:r w:rsidRPr="00A95754">
              <w:t>Any</w:t>
            </w:r>
            <w:r w:rsidRPr="00A95754">
              <w:rPr>
                <w:spacing w:val="-1"/>
              </w:rPr>
              <w:t xml:space="preserve"> </w:t>
            </w:r>
            <w:r w:rsidRPr="00A95754">
              <w:t>AE</w:t>
            </w:r>
            <w:r w:rsidRPr="00A95754">
              <w:rPr>
                <w:spacing w:val="-2"/>
              </w:rPr>
              <w:t xml:space="preserve"> </w:t>
            </w:r>
            <w:r w:rsidRPr="00A95754">
              <w:t>with</w:t>
            </w:r>
            <w:r w:rsidRPr="00A95754">
              <w:rPr>
                <w:spacing w:val="-3"/>
              </w:rPr>
              <w:t xml:space="preserve"> </w:t>
            </w:r>
            <w:r w:rsidRPr="00A95754">
              <w:t>outcome</w:t>
            </w:r>
            <w:r w:rsidRPr="00A95754">
              <w:rPr>
                <w:spacing w:val="-3"/>
              </w:rPr>
              <w:t xml:space="preserve"> </w:t>
            </w:r>
            <w:r w:rsidRPr="00A95754">
              <w:t>of</w:t>
            </w:r>
            <w:r w:rsidRPr="00A95754">
              <w:rPr>
                <w:spacing w:val="-1"/>
              </w:rPr>
              <w:t xml:space="preserve"> </w:t>
            </w:r>
            <w:r w:rsidRPr="00A95754">
              <w:rPr>
                <w:spacing w:val="-4"/>
              </w:rPr>
              <w:t>death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32E51" w14:textId="77777777" w:rsidR="00BA4874" w:rsidRPr="00BD05AE" w:rsidRDefault="00BA4874" w:rsidP="00FC09A8">
            <w:pPr>
              <w:pStyle w:val="TableText0"/>
              <w:keepLines/>
              <w:contextualSpacing/>
            </w:pPr>
            <w:r w:rsidRPr="00BD05AE">
              <w:t>13</w:t>
            </w:r>
            <w:r w:rsidRPr="00BD05AE">
              <w:rPr>
                <w:spacing w:val="2"/>
              </w:rPr>
              <w:t xml:space="preserve"> </w:t>
            </w:r>
            <w:r w:rsidRPr="00BD05AE">
              <w:rPr>
                <w:spacing w:val="-2"/>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C4DAFB" w14:textId="77777777" w:rsidR="00BA4874" w:rsidRPr="00BD05AE" w:rsidRDefault="00BA4874" w:rsidP="00FC09A8">
            <w:pPr>
              <w:pStyle w:val="TableText0"/>
              <w:keepLines/>
              <w:contextualSpacing/>
            </w:pPr>
            <w:r w:rsidRPr="00BD05AE">
              <w:t>14</w:t>
            </w:r>
            <w:r w:rsidRPr="00BD05AE">
              <w:rPr>
                <w:spacing w:val="2"/>
              </w:rPr>
              <w:t xml:space="preserve"> </w:t>
            </w:r>
            <w:r w:rsidRPr="00BD05AE">
              <w:rPr>
                <w:spacing w:val="-2"/>
              </w:rPr>
              <w:t>(4.1)</w:t>
            </w:r>
          </w:p>
        </w:tc>
        <w:tc>
          <w:tcPr>
            <w:tcW w:w="1276" w:type="dxa"/>
            <w:tcBorders>
              <w:top w:val="single" w:sz="4" w:space="0" w:color="000000"/>
              <w:left w:val="single" w:sz="4" w:space="0" w:color="000000"/>
              <w:bottom w:val="single" w:sz="4" w:space="0" w:color="000000"/>
              <w:right w:val="single" w:sz="4" w:space="0" w:color="000000"/>
            </w:tcBorders>
            <w:vAlign w:val="center"/>
          </w:tcPr>
          <w:p w14:paraId="2F1184E9" w14:textId="77777777" w:rsidR="00BA4874" w:rsidRPr="00BD05AE" w:rsidRDefault="00BA4874" w:rsidP="00FC09A8">
            <w:pPr>
              <w:pStyle w:val="TableText0"/>
              <w:keepLines/>
              <w:contextualSpacing/>
            </w:pPr>
            <w:r w:rsidRPr="00BD05AE">
              <w:t>0.94 (0.45, 1.97)</w:t>
            </w:r>
          </w:p>
        </w:tc>
        <w:tc>
          <w:tcPr>
            <w:tcW w:w="1417" w:type="dxa"/>
            <w:tcBorders>
              <w:top w:val="single" w:sz="4" w:space="0" w:color="000000"/>
              <w:left w:val="single" w:sz="4" w:space="0" w:color="000000"/>
              <w:bottom w:val="single" w:sz="4" w:space="0" w:color="000000"/>
              <w:right w:val="single" w:sz="4" w:space="0" w:color="000000"/>
            </w:tcBorders>
          </w:tcPr>
          <w:p w14:paraId="4E249B30" w14:textId="77777777" w:rsidR="00BA4874" w:rsidRPr="00BD05AE" w:rsidRDefault="00BA4874" w:rsidP="00FC09A8">
            <w:pPr>
              <w:pStyle w:val="TableText0"/>
              <w:keepLines/>
              <w:contextualSpacing/>
            </w:pPr>
            <w:r w:rsidRPr="00BD05AE">
              <w:t>-0.00 (-0.03, 0.03)</w:t>
            </w:r>
          </w:p>
        </w:tc>
      </w:tr>
      <w:tr w:rsidR="00BA4874" w:rsidRPr="00A95754" w14:paraId="1D7E83F9"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6FD536FB" w14:textId="77777777" w:rsidR="00BA4874" w:rsidRPr="00A95754" w:rsidRDefault="00BA4874" w:rsidP="00FC09A8">
            <w:pPr>
              <w:pStyle w:val="TableText0"/>
              <w:keepLines/>
              <w:contextualSpacing/>
            </w:pPr>
            <w:r w:rsidRPr="00A95754">
              <w:t xml:space="preserve">    Possibly</w:t>
            </w:r>
            <w:r w:rsidRPr="00A95754">
              <w:rPr>
                <w:spacing w:val="-10"/>
              </w:rPr>
              <w:t xml:space="preserve"> </w:t>
            </w:r>
            <w:r w:rsidRPr="00A95754">
              <w:t>related</w:t>
            </w:r>
            <w:r w:rsidRPr="00A95754">
              <w:rPr>
                <w:spacing w:val="-10"/>
              </w:rPr>
              <w:t xml:space="preserve"> </w:t>
            </w:r>
            <w:r w:rsidRPr="00A95754">
              <w:t>to</w:t>
            </w:r>
            <w:r w:rsidRPr="00A95754">
              <w:rPr>
                <w:spacing w:val="-10"/>
              </w:rPr>
              <w:t xml:space="preserve"> </w:t>
            </w:r>
            <w:r w:rsidRPr="00A95754">
              <w:t>any</w:t>
            </w:r>
            <w:r w:rsidRPr="00A95754">
              <w:rPr>
                <w:spacing w:val="-10"/>
              </w:rPr>
              <w:t xml:space="preserve"> </w:t>
            </w:r>
            <w:r w:rsidRPr="00A95754">
              <w:t>study medication</w:t>
            </w:r>
            <w:r w:rsidRPr="00A95754">
              <w:rPr>
                <w:vertAlign w:val="superscript"/>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6E3" w14:textId="77777777" w:rsidR="00BA4874" w:rsidRPr="00BD05AE" w:rsidRDefault="00BA4874" w:rsidP="00FC09A8">
            <w:pPr>
              <w:pStyle w:val="TableText0"/>
              <w:keepLines/>
              <w:contextualSpacing/>
            </w:pPr>
            <w:r w:rsidRPr="00BD05AE">
              <w:t>2</w:t>
            </w:r>
            <w:r w:rsidRPr="00BD05AE">
              <w:rPr>
                <w:spacing w:val="1"/>
              </w:rPr>
              <w:t xml:space="preserve"> </w:t>
            </w:r>
            <w:r w:rsidRPr="00BD05AE">
              <w:rPr>
                <w:spacing w:val="-2"/>
              </w:rPr>
              <w:t>(0.6)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59E7A" w14:textId="77777777" w:rsidR="00BA4874" w:rsidRPr="00BD05AE" w:rsidRDefault="00BA4874" w:rsidP="00FC09A8">
            <w:pPr>
              <w:pStyle w:val="TableText0"/>
              <w:keepLines/>
              <w:contextualSpacing/>
            </w:pPr>
            <w:r w:rsidRPr="00BD05AE">
              <w:t>1</w:t>
            </w:r>
            <w:r w:rsidRPr="00BD05AE">
              <w:rPr>
                <w:spacing w:val="1"/>
              </w:rPr>
              <w:t xml:space="preserve"> </w:t>
            </w:r>
            <w:r w:rsidRPr="00BD05AE">
              <w:rPr>
                <w:spacing w:val="-2"/>
              </w:rPr>
              <w:t>(0.3)</w:t>
            </w:r>
          </w:p>
        </w:tc>
        <w:tc>
          <w:tcPr>
            <w:tcW w:w="1276" w:type="dxa"/>
            <w:tcBorders>
              <w:top w:val="single" w:sz="4" w:space="0" w:color="000000"/>
              <w:left w:val="single" w:sz="4" w:space="0" w:color="000000"/>
              <w:bottom w:val="single" w:sz="4" w:space="0" w:color="000000"/>
              <w:right w:val="single" w:sz="4" w:space="0" w:color="000000"/>
            </w:tcBorders>
            <w:vAlign w:val="center"/>
          </w:tcPr>
          <w:p w14:paraId="557D5309" w14:textId="77777777" w:rsidR="00BA4874" w:rsidRPr="00BD05AE" w:rsidRDefault="00BA4874" w:rsidP="00FC09A8">
            <w:pPr>
              <w:pStyle w:val="TableText0"/>
              <w:keepLines/>
              <w:contextualSpacing/>
            </w:pPr>
            <w:r w:rsidRPr="00BD05AE">
              <w:t>2.02 (0.18, 22.2)</w:t>
            </w:r>
          </w:p>
        </w:tc>
        <w:tc>
          <w:tcPr>
            <w:tcW w:w="1417" w:type="dxa"/>
            <w:tcBorders>
              <w:top w:val="single" w:sz="4" w:space="0" w:color="000000"/>
              <w:left w:val="single" w:sz="4" w:space="0" w:color="000000"/>
              <w:bottom w:val="single" w:sz="4" w:space="0" w:color="000000"/>
              <w:right w:val="single" w:sz="4" w:space="0" w:color="000000"/>
            </w:tcBorders>
          </w:tcPr>
          <w:p w14:paraId="43E75A43" w14:textId="77777777" w:rsidR="00BA4874" w:rsidRPr="00BD05AE" w:rsidRDefault="00BA4874" w:rsidP="00FC09A8">
            <w:pPr>
              <w:pStyle w:val="TableText0"/>
              <w:keepLines/>
              <w:contextualSpacing/>
            </w:pPr>
            <w:r w:rsidRPr="00BD05AE">
              <w:t>0.00 (-0.01, 0.01)</w:t>
            </w:r>
          </w:p>
        </w:tc>
      </w:tr>
      <w:tr w:rsidR="00BA4874" w:rsidRPr="00A95754" w14:paraId="4068AD34"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1999B3D0" w14:textId="77777777" w:rsidR="00BA4874" w:rsidRPr="00A95754" w:rsidRDefault="00BA4874" w:rsidP="00FC09A8">
            <w:pPr>
              <w:pStyle w:val="TableText0"/>
              <w:keepLines/>
              <w:contextualSpacing/>
            </w:pPr>
            <w:r w:rsidRPr="00A95754">
              <w:t>Any</w:t>
            </w:r>
            <w:r w:rsidRPr="00A95754">
              <w:rPr>
                <w:spacing w:val="-9"/>
              </w:rPr>
              <w:t xml:space="preserve"> </w:t>
            </w:r>
            <w:r w:rsidRPr="00A95754">
              <w:t>SAE</w:t>
            </w:r>
            <w:r w:rsidRPr="00A95754">
              <w:rPr>
                <w:spacing w:val="-11"/>
              </w:rPr>
              <w:t xml:space="preserve"> </w:t>
            </w:r>
            <w:r w:rsidRPr="00A95754">
              <w:t>(including</w:t>
            </w:r>
            <w:r w:rsidRPr="00A95754">
              <w:rPr>
                <w:spacing w:val="-10"/>
              </w:rPr>
              <w:t xml:space="preserve"> </w:t>
            </w:r>
            <w:r w:rsidRPr="00A95754">
              <w:t>AEs</w:t>
            </w:r>
            <w:r w:rsidRPr="00A95754">
              <w:rPr>
                <w:spacing w:val="-9"/>
              </w:rPr>
              <w:t xml:space="preserve"> </w:t>
            </w:r>
            <w:r w:rsidRPr="00A95754">
              <w:t>with outcome of death)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3E990" w14:textId="77777777" w:rsidR="00BA4874" w:rsidRPr="00BD05AE" w:rsidRDefault="00BA4874" w:rsidP="00FC09A8">
            <w:pPr>
              <w:pStyle w:val="TableText0"/>
              <w:keepLines/>
              <w:contextualSpacing/>
            </w:pPr>
            <w:r w:rsidRPr="00BD05AE">
              <w:t>161</w:t>
            </w:r>
            <w:r w:rsidRPr="00BD05AE">
              <w:rPr>
                <w:spacing w:val="-1"/>
              </w:rPr>
              <w:t xml:space="preserve"> </w:t>
            </w:r>
            <w:r w:rsidRPr="00BD05AE">
              <w:rPr>
                <w:spacing w:val="-2"/>
              </w:rPr>
              <w:t>(47.6)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3F93B" w14:textId="77777777" w:rsidR="00BA4874" w:rsidRPr="00BD05AE" w:rsidRDefault="00BA4874" w:rsidP="00FC09A8">
            <w:pPr>
              <w:pStyle w:val="TableText0"/>
              <w:keepLines/>
              <w:contextualSpacing/>
            </w:pPr>
            <w:r w:rsidRPr="00BD05AE">
              <w:t>151</w:t>
            </w:r>
            <w:r w:rsidRPr="00BD05AE">
              <w:rPr>
                <w:spacing w:val="-1"/>
              </w:rPr>
              <w:t xml:space="preserve"> </w:t>
            </w:r>
            <w:r w:rsidRPr="00BD05AE">
              <w:rPr>
                <w:spacing w:val="-2"/>
              </w:rPr>
              <w:t>(44.2)</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CFD97" w14:textId="77777777" w:rsidR="00BA4874" w:rsidRPr="00BD05AE" w:rsidRDefault="00BA4874" w:rsidP="00FC09A8">
            <w:pPr>
              <w:pStyle w:val="TableText0"/>
              <w:keepLines/>
              <w:contextualSpacing/>
            </w:pPr>
            <w:r w:rsidRPr="00BD05AE">
              <w:t>1.08 (0.92, 1.27)</w:t>
            </w:r>
          </w:p>
        </w:tc>
        <w:tc>
          <w:tcPr>
            <w:tcW w:w="1417" w:type="dxa"/>
            <w:tcBorders>
              <w:top w:val="single" w:sz="4" w:space="0" w:color="000000"/>
              <w:left w:val="single" w:sz="4" w:space="0" w:color="000000"/>
              <w:bottom w:val="single" w:sz="4" w:space="0" w:color="000000"/>
              <w:right w:val="single" w:sz="4" w:space="0" w:color="000000"/>
            </w:tcBorders>
          </w:tcPr>
          <w:p w14:paraId="2A094354" w14:textId="77777777" w:rsidR="00BA4874" w:rsidRPr="00BD05AE" w:rsidRDefault="00BA4874" w:rsidP="00FC09A8">
            <w:pPr>
              <w:pStyle w:val="TableText0"/>
              <w:keepLines/>
              <w:contextualSpacing/>
            </w:pPr>
            <w:r w:rsidRPr="00BD05AE">
              <w:t>0.03 (-0.04, 0.11)</w:t>
            </w:r>
          </w:p>
        </w:tc>
      </w:tr>
      <w:tr w:rsidR="00BA4874" w:rsidRPr="00A95754" w14:paraId="514BE444"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0AC98CDE" w14:textId="77777777" w:rsidR="00BA4874" w:rsidRPr="00A95754" w:rsidRDefault="00BA4874" w:rsidP="00FC09A8">
            <w:pPr>
              <w:pStyle w:val="TableText0"/>
              <w:keepLines/>
              <w:contextualSpacing/>
            </w:pPr>
            <w:r w:rsidRPr="00A95754">
              <w:t xml:space="preserve">    Possibly</w:t>
            </w:r>
            <w:r w:rsidRPr="00A95754">
              <w:rPr>
                <w:spacing w:val="-10"/>
              </w:rPr>
              <w:t xml:space="preserve"> </w:t>
            </w:r>
            <w:r w:rsidRPr="00A95754">
              <w:t>related</w:t>
            </w:r>
            <w:r w:rsidRPr="00A95754">
              <w:rPr>
                <w:spacing w:val="-10"/>
              </w:rPr>
              <w:t xml:space="preserve"> </w:t>
            </w:r>
            <w:r w:rsidRPr="00A95754">
              <w:t>to</w:t>
            </w:r>
            <w:r w:rsidRPr="00A95754">
              <w:rPr>
                <w:spacing w:val="-10"/>
              </w:rPr>
              <w:t xml:space="preserve"> </w:t>
            </w:r>
            <w:r w:rsidRPr="00A95754">
              <w:t>any</w:t>
            </w:r>
            <w:r w:rsidRPr="00A95754">
              <w:rPr>
                <w:spacing w:val="-10"/>
              </w:rPr>
              <w:t xml:space="preserve"> </w:t>
            </w:r>
            <w:r w:rsidRPr="00A95754">
              <w:t>study medication</w:t>
            </w:r>
            <w:r w:rsidRPr="00A95754">
              <w:rPr>
                <w:vertAlign w:val="superscript"/>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DE67B" w14:textId="77777777" w:rsidR="00BA4874" w:rsidRPr="00BD05AE" w:rsidRDefault="00BA4874" w:rsidP="00FC09A8">
            <w:pPr>
              <w:pStyle w:val="TableText0"/>
              <w:keepLines/>
              <w:contextualSpacing/>
            </w:pPr>
            <w:r w:rsidRPr="00BD05AE">
              <w:t>52</w:t>
            </w:r>
            <w:r w:rsidRPr="00BD05AE">
              <w:rPr>
                <w:spacing w:val="2"/>
              </w:rPr>
              <w:t xml:space="preserve"> </w:t>
            </w:r>
            <w:r w:rsidRPr="00BD05AE">
              <w:rPr>
                <w:spacing w:val="-2"/>
              </w:rPr>
              <w:t>(15.4)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FE19E" w14:textId="77777777" w:rsidR="00BA4874" w:rsidRPr="00BD05AE" w:rsidRDefault="00BA4874" w:rsidP="00FC09A8">
            <w:pPr>
              <w:pStyle w:val="TableText0"/>
              <w:keepLines/>
              <w:contextualSpacing/>
            </w:pPr>
            <w:r w:rsidRPr="00BD05AE">
              <w:t>59</w:t>
            </w:r>
            <w:r w:rsidRPr="00BD05AE">
              <w:rPr>
                <w:spacing w:val="2"/>
              </w:rPr>
              <w:t xml:space="preserve"> </w:t>
            </w:r>
            <w:r w:rsidRPr="00BD05AE">
              <w:rPr>
                <w:spacing w:val="-2"/>
              </w:rPr>
              <w:t>(17.3)</w:t>
            </w:r>
          </w:p>
        </w:tc>
        <w:tc>
          <w:tcPr>
            <w:tcW w:w="1276" w:type="dxa"/>
            <w:tcBorders>
              <w:top w:val="single" w:sz="4" w:space="0" w:color="000000"/>
              <w:left w:val="single" w:sz="4" w:space="0" w:color="000000"/>
              <w:bottom w:val="single" w:sz="4" w:space="0" w:color="000000"/>
              <w:right w:val="single" w:sz="4" w:space="0" w:color="000000"/>
            </w:tcBorders>
            <w:vAlign w:val="center"/>
          </w:tcPr>
          <w:p w14:paraId="75AF1149" w14:textId="77777777" w:rsidR="00BA4874" w:rsidRPr="00BD05AE" w:rsidRDefault="00BA4874" w:rsidP="00FC09A8">
            <w:pPr>
              <w:pStyle w:val="TableText0"/>
              <w:keepLines/>
              <w:contextualSpacing/>
            </w:pPr>
            <w:r w:rsidRPr="00BD05AE">
              <w:t>0.89 (0.63, 1.25)</w:t>
            </w:r>
          </w:p>
        </w:tc>
        <w:tc>
          <w:tcPr>
            <w:tcW w:w="1417" w:type="dxa"/>
            <w:tcBorders>
              <w:top w:val="single" w:sz="4" w:space="0" w:color="000000"/>
              <w:left w:val="single" w:sz="4" w:space="0" w:color="000000"/>
              <w:bottom w:val="single" w:sz="4" w:space="0" w:color="000000"/>
              <w:right w:val="single" w:sz="4" w:space="0" w:color="000000"/>
            </w:tcBorders>
          </w:tcPr>
          <w:p w14:paraId="583701C6" w14:textId="77777777" w:rsidR="00BA4874" w:rsidRPr="00BD05AE" w:rsidRDefault="00BA4874" w:rsidP="00FC09A8">
            <w:pPr>
              <w:pStyle w:val="TableText0"/>
              <w:keepLines/>
              <w:contextualSpacing/>
            </w:pPr>
            <w:r w:rsidRPr="00BD05AE">
              <w:t>-0.02 (-0.07, 0.04)</w:t>
            </w:r>
          </w:p>
        </w:tc>
      </w:tr>
      <w:tr w:rsidR="00BA4874" w:rsidRPr="00A95754" w14:paraId="3F3687E9" w14:textId="77777777" w:rsidTr="00171996">
        <w:trPr>
          <w:cantSplit/>
          <w:trHeight w:val="20"/>
        </w:trPr>
        <w:tc>
          <w:tcPr>
            <w:tcW w:w="651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780EEA6" w14:textId="77777777" w:rsidR="00BA4874" w:rsidRPr="00BD05AE" w:rsidRDefault="00BA4874" w:rsidP="00FC09A8">
            <w:pPr>
              <w:pStyle w:val="TableText0"/>
              <w:keepLines/>
              <w:contextualSpacing/>
            </w:pPr>
            <w:r w:rsidRPr="00BD05AE">
              <w:t>Any</w:t>
            </w:r>
            <w:r w:rsidRPr="00BD05AE">
              <w:rPr>
                <w:spacing w:val="-2"/>
              </w:rPr>
              <w:t xml:space="preserve"> </w:t>
            </w:r>
            <w:r w:rsidRPr="00BD05AE">
              <w:t>AE</w:t>
            </w:r>
            <w:r w:rsidRPr="00BD05AE">
              <w:rPr>
                <w:spacing w:val="-5"/>
              </w:rPr>
              <w:t xml:space="preserve"> </w:t>
            </w:r>
            <w:r w:rsidRPr="00BD05AE">
              <w:t>leading</w:t>
            </w:r>
            <w:r w:rsidRPr="00BD05AE">
              <w:rPr>
                <w:spacing w:val="-1"/>
              </w:rPr>
              <w:t xml:space="preserve"> </w:t>
            </w:r>
            <w:r w:rsidRPr="00BD05AE">
              <w:t>to</w:t>
            </w:r>
            <w:r w:rsidRPr="00BD05AE">
              <w:rPr>
                <w:spacing w:val="-4"/>
              </w:rPr>
              <w:t xml:space="preserve"> </w:t>
            </w:r>
            <w:r w:rsidRPr="00BD05AE">
              <w:t>discontinuation</w:t>
            </w:r>
            <w:r w:rsidRPr="00BD05AE">
              <w:rPr>
                <w:spacing w:val="-1"/>
              </w:rPr>
              <w:t xml:space="preserve"> </w:t>
            </w:r>
            <w:r w:rsidRPr="00BD05AE">
              <w:t>of</w:t>
            </w:r>
            <w:r w:rsidRPr="00BD05AE">
              <w:rPr>
                <w:spacing w:val="-5"/>
              </w:rPr>
              <w:t xml:space="preserve"> </w:t>
            </w:r>
            <w:r w:rsidRPr="00BD05AE">
              <w:t>study</w:t>
            </w:r>
            <w:r w:rsidRPr="00BD05AE">
              <w:rPr>
                <w:spacing w:val="-1"/>
              </w:rPr>
              <w:t xml:space="preserve"> </w:t>
            </w:r>
            <w:r w:rsidRPr="00BD05AE">
              <w:rPr>
                <w:spacing w:val="-2"/>
              </w:rPr>
              <w:t>treatment</w:t>
            </w:r>
          </w:p>
        </w:tc>
        <w:tc>
          <w:tcPr>
            <w:tcW w:w="1276" w:type="dxa"/>
            <w:tcBorders>
              <w:top w:val="single" w:sz="4" w:space="0" w:color="000000"/>
              <w:left w:val="single" w:sz="4" w:space="0" w:color="000000"/>
              <w:bottom w:val="single" w:sz="4" w:space="0" w:color="000000"/>
              <w:right w:val="single" w:sz="4" w:space="0" w:color="000000"/>
            </w:tcBorders>
          </w:tcPr>
          <w:p w14:paraId="5850505D" w14:textId="77777777" w:rsidR="00BA4874" w:rsidRPr="00BD05AE" w:rsidRDefault="00BA4874" w:rsidP="00FC09A8">
            <w:pPr>
              <w:pStyle w:val="TableText0"/>
              <w:keepLines/>
              <w:contextualSpacing/>
            </w:pPr>
          </w:p>
        </w:tc>
        <w:tc>
          <w:tcPr>
            <w:tcW w:w="1417" w:type="dxa"/>
            <w:tcBorders>
              <w:top w:val="single" w:sz="4" w:space="0" w:color="000000"/>
              <w:left w:val="single" w:sz="4" w:space="0" w:color="000000"/>
              <w:bottom w:val="single" w:sz="4" w:space="0" w:color="000000"/>
              <w:right w:val="single" w:sz="4" w:space="0" w:color="000000"/>
            </w:tcBorders>
          </w:tcPr>
          <w:p w14:paraId="1C27D581" w14:textId="77777777" w:rsidR="00BA4874" w:rsidRPr="00BD05AE" w:rsidRDefault="00BA4874" w:rsidP="00FC09A8">
            <w:pPr>
              <w:pStyle w:val="TableText0"/>
              <w:keepLines/>
              <w:contextualSpacing/>
            </w:pPr>
          </w:p>
        </w:tc>
      </w:tr>
      <w:tr w:rsidR="00BA4874" w:rsidRPr="00A95754" w14:paraId="44FF40C3"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2A08CB84" w14:textId="77777777" w:rsidR="00BA4874" w:rsidRPr="00A95754" w:rsidRDefault="00BA4874" w:rsidP="00FC09A8">
            <w:pPr>
              <w:pStyle w:val="TableText0"/>
              <w:keepLines/>
              <w:contextualSpacing/>
            </w:pPr>
            <w:r w:rsidRPr="00A95754">
              <w:rPr>
                <w:spacing w:val="-5"/>
              </w:rPr>
              <w:t xml:space="preserve">    Any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744093" w14:textId="77777777" w:rsidR="00BA4874" w:rsidRPr="00BD05AE" w:rsidRDefault="00BA4874" w:rsidP="00FC09A8">
            <w:pPr>
              <w:pStyle w:val="TableText0"/>
              <w:keepLines/>
              <w:contextualSpacing/>
            </w:pPr>
            <w:r w:rsidRPr="00BD05AE">
              <w:t>43</w:t>
            </w:r>
            <w:r w:rsidRPr="00BD05AE">
              <w:rPr>
                <w:spacing w:val="2"/>
              </w:rPr>
              <w:t xml:space="preserve"> </w:t>
            </w:r>
            <w:r w:rsidRPr="00BD05AE">
              <w:rPr>
                <w:spacing w:val="-2"/>
              </w:rPr>
              <w:t>(12.7)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E1507" w14:textId="77777777" w:rsidR="00BA4874" w:rsidRPr="00BD05AE" w:rsidRDefault="00BA4874" w:rsidP="00FC09A8">
            <w:pPr>
              <w:pStyle w:val="TableText0"/>
              <w:keepLines/>
              <w:contextualSpacing/>
            </w:pPr>
            <w:r w:rsidRPr="00BD05AE">
              <w:t>52</w:t>
            </w:r>
            <w:r w:rsidRPr="00BD05AE">
              <w:rPr>
                <w:spacing w:val="2"/>
              </w:rPr>
              <w:t xml:space="preserve"> </w:t>
            </w:r>
            <w:r w:rsidRPr="00BD05AE">
              <w:rPr>
                <w:spacing w:val="-2"/>
              </w:rPr>
              <w:t>(15.2)</w:t>
            </w:r>
          </w:p>
        </w:tc>
        <w:tc>
          <w:tcPr>
            <w:tcW w:w="1276" w:type="dxa"/>
            <w:tcBorders>
              <w:top w:val="single" w:sz="4" w:space="0" w:color="000000"/>
              <w:left w:val="single" w:sz="4" w:space="0" w:color="000000"/>
              <w:bottom w:val="single" w:sz="4" w:space="0" w:color="000000"/>
              <w:right w:val="single" w:sz="4" w:space="0" w:color="000000"/>
            </w:tcBorders>
            <w:vAlign w:val="center"/>
          </w:tcPr>
          <w:p w14:paraId="2ED98E47" w14:textId="77777777" w:rsidR="00BA4874" w:rsidRPr="00BD05AE" w:rsidRDefault="00BA4874" w:rsidP="00FC09A8">
            <w:pPr>
              <w:pStyle w:val="TableText0"/>
              <w:keepLines/>
              <w:contextualSpacing/>
            </w:pPr>
            <w:r w:rsidRPr="00BD05AE">
              <w:t>0.84 (0.58, 1.22)</w:t>
            </w:r>
          </w:p>
        </w:tc>
        <w:tc>
          <w:tcPr>
            <w:tcW w:w="1417" w:type="dxa"/>
            <w:tcBorders>
              <w:top w:val="single" w:sz="4" w:space="0" w:color="000000"/>
              <w:left w:val="single" w:sz="4" w:space="0" w:color="000000"/>
              <w:bottom w:val="single" w:sz="4" w:space="0" w:color="000000"/>
              <w:right w:val="single" w:sz="4" w:space="0" w:color="000000"/>
            </w:tcBorders>
          </w:tcPr>
          <w:p w14:paraId="6B340060" w14:textId="77777777" w:rsidR="00BA4874" w:rsidRPr="00BD05AE" w:rsidRDefault="00BA4874" w:rsidP="00FC09A8">
            <w:pPr>
              <w:pStyle w:val="TableText0"/>
              <w:keepLines/>
              <w:contextualSpacing/>
            </w:pPr>
            <w:r w:rsidRPr="00BD05AE">
              <w:t>-0.02 (-0.08, 0.03)</w:t>
            </w:r>
          </w:p>
        </w:tc>
      </w:tr>
      <w:tr w:rsidR="00BA4874" w:rsidRPr="00A95754" w14:paraId="67EE715D"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0F64433F" w14:textId="77777777" w:rsidR="00BA4874" w:rsidRPr="00A95754" w:rsidRDefault="00BA4874" w:rsidP="00FC09A8">
            <w:pPr>
              <w:pStyle w:val="TableText0"/>
              <w:keepLines/>
              <w:contextualSpacing/>
            </w:pPr>
            <w:r w:rsidRPr="00A95754">
              <w:t xml:space="preserve">    Durvalumab</w:t>
            </w:r>
            <w:r w:rsidRPr="00A95754">
              <w:rPr>
                <w:spacing w:val="-7"/>
              </w:rPr>
              <w:t xml:space="preserve"> </w:t>
            </w:r>
            <w:r w:rsidRPr="00A95754">
              <w:t>or</w:t>
            </w:r>
            <w:r w:rsidRPr="00A95754">
              <w:rPr>
                <w:spacing w:val="-8"/>
              </w:rPr>
              <w:t xml:space="preserve"> </w:t>
            </w:r>
            <w:r w:rsidRPr="00A95754">
              <w:rPr>
                <w:spacing w:val="-2"/>
              </w:rPr>
              <w:t>placebo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48987" w14:textId="77777777" w:rsidR="00BA4874" w:rsidRPr="00BD05AE" w:rsidRDefault="00BA4874" w:rsidP="00FC09A8">
            <w:pPr>
              <w:pStyle w:val="TableText0"/>
              <w:keepLines/>
              <w:contextualSpacing/>
            </w:pPr>
            <w:r w:rsidRPr="00BD05AE">
              <w:t>20</w:t>
            </w:r>
            <w:r w:rsidRPr="00BD05AE">
              <w:rPr>
                <w:spacing w:val="2"/>
              </w:rPr>
              <w:t xml:space="preserve"> </w:t>
            </w:r>
            <w:r w:rsidRPr="00BD05AE">
              <w:rPr>
                <w:spacing w:val="-2"/>
              </w:rPr>
              <w:t>(5.9)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CB803" w14:textId="77777777" w:rsidR="00BA4874" w:rsidRPr="00BD05AE" w:rsidRDefault="00BA4874" w:rsidP="00FC09A8">
            <w:pPr>
              <w:pStyle w:val="TableText0"/>
              <w:keepLines/>
              <w:contextualSpacing/>
            </w:pPr>
            <w:r w:rsidRPr="00BD05AE">
              <w:t>18</w:t>
            </w:r>
            <w:r w:rsidRPr="00BD05AE">
              <w:rPr>
                <w:spacing w:val="2"/>
              </w:rPr>
              <w:t xml:space="preserve"> </w:t>
            </w:r>
            <w:r w:rsidRPr="00BD05AE">
              <w:rPr>
                <w:spacing w:val="-2"/>
              </w:rPr>
              <w:t>(5.3)</w:t>
            </w:r>
          </w:p>
        </w:tc>
        <w:tc>
          <w:tcPr>
            <w:tcW w:w="1276" w:type="dxa"/>
            <w:tcBorders>
              <w:top w:val="single" w:sz="4" w:space="0" w:color="000000"/>
              <w:left w:val="single" w:sz="4" w:space="0" w:color="000000"/>
              <w:bottom w:val="single" w:sz="4" w:space="0" w:color="000000"/>
              <w:right w:val="single" w:sz="4" w:space="0" w:color="000000"/>
            </w:tcBorders>
            <w:vAlign w:val="center"/>
          </w:tcPr>
          <w:p w14:paraId="29BC3F3B" w14:textId="77777777" w:rsidR="00BA4874" w:rsidRPr="00BD05AE" w:rsidRDefault="00BA4874" w:rsidP="00FC09A8">
            <w:pPr>
              <w:pStyle w:val="TableText0"/>
              <w:keepLines/>
              <w:contextualSpacing/>
            </w:pPr>
            <w:r w:rsidRPr="00BD05AE">
              <w:t>1.12 (0.61, 2.09)</w:t>
            </w:r>
          </w:p>
        </w:tc>
        <w:tc>
          <w:tcPr>
            <w:tcW w:w="1417" w:type="dxa"/>
            <w:tcBorders>
              <w:top w:val="single" w:sz="4" w:space="0" w:color="000000"/>
              <w:left w:val="single" w:sz="4" w:space="0" w:color="000000"/>
              <w:bottom w:val="single" w:sz="4" w:space="0" w:color="000000"/>
              <w:right w:val="single" w:sz="4" w:space="0" w:color="000000"/>
            </w:tcBorders>
          </w:tcPr>
          <w:p w14:paraId="35D282BE" w14:textId="77777777" w:rsidR="00BA4874" w:rsidRPr="00BD05AE" w:rsidRDefault="00BA4874" w:rsidP="00FC09A8">
            <w:pPr>
              <w:pStyle w:val="TableText0"/>
              <w:keepLines/>
              <w:contextualSpacing/>
            </w:pPr>
            <w:r w:rsidRPr="00BD05AE">
              <w:t>0.01 (-0.03, 0.04)</w:t>
            </w:r>
          </w:p>
        </w:tc>
      </w:tr>
      <w:tr w:rsidR="00BA4874" w:rsidRPr="00A95754" w14:paraId="7CA3E123"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417FDB6B" w14:textId="77777777" w:rsidR="00BA4874" w:rsidRPr="00A95754" w:rsidRDefault="00BA4874" w:rsidP="00FC09A8">
            <w:pPr>
              <w:pStyle w:val="TableText0"/>
              <w:keepLines/>
              <w:contextualSpacing/>
            </w:pPr>
            <w:r w:rsidRPr="00A95754">
              <w:t xml:space="preserve">    Gem</w:t>
            </w:r>
            <w:r w:rsidRPr="00A95754">
              <w:rPr>
                <w:spacing w:val="-2"/>
              </w:rPr>
              <w:t xml:space="preserve"> </w:t>
            </w:r>
            <w:r w:rsidRPr="00A95754">
              <w:t>and/or</w:t>
            </w:r>
            <w:r w:rsidRPr="00A95754">
              <w:rPr>
                <w:spacing w:val="-1"/>
              </w:rPr>
              <w:t xml:space="preserve"> </w:t>
            </w:r>
            <w:r w:rsidRPr="00A95754">
              <w:rPr>
                <w:spacing w:val="-5"/>
              </w:rPr>
              <w:t>Cis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18185" w14:textId="77777777" w:rsidR="00BA4874" w:rsidRPr="00BD05AE" w:rsidRDefault="00BA4874" w:rsidP="00FC09A8">
            <w:pPr>
              <w:pStyle w:val="TableText0"/>
              <w:keepLines/>
              <w:contextualSpacing/>
            </w:pPr>
            <w:r w:rsidRPr="00BD05AE">
              <w:t>42</w:t>
            </w:r>
            <w:r w:rsidRPr="00BD05AE">
              <w:rPr>
                <w:spacing w:val="2"/>
              </w:rPr>
              <w:t xml:space="preserve"> </w:t>
            </w:r>
            <w:r w:rsidRPr="00BD05AE">
              <w:rPr>
                <w:spacing w:val="-2"/>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2A980" w14:textId="77777777" w:rsidR="00BA4874" w:rsidRPr="00BD05AE" w:rsidRDefault="00BA4874" w:rsidP="00FC09A8">
            <w:pPr>
              <w:pStyle w:val="TableText0"/>
              <w:keepLines/>
              <w:contextualSpacing/>
            </w:pPr>
            <w:r w:rsidRPr="00BD05AE">
              <w:t>47</w:t>
            </w:r>
            <w:r w:rsidRPr="00BD05AE">
              <w:rPr>
                <w:spacing w:val="2"/>
              </w:rPr>
              <w:t xml:space="preserve"> </w:t>
            </w:r>
            <w:r w:rsidRPr="00BD05AE">
              <w:rPr>
                <w:spacing w:val="-2"/>
              </w:rPr>
              <w:t>(13.7)</w:t>
            </w:r>
          </w:p>
        </w:tc>
        <w:tc>
          <w:tcPr>
            <w:tcW w:w="1276" w:type="dxa"/>
            <w:tcBorders>
              <w:top w:val="single" w:sz="4" w:space="0" w:color="000000"/>
              <w:left w:val="single" w:sz="4" w:space="0" w:color="000000"/>
              <w:bottom w:val="single" w:sz="4" w:space="0" w:color="000000"/>
              <w:right w:val="single" w:sz="4" w:space="0" w:color="000000"/>
            </w:tcBorders>
            <w:vAlign w:val="center"/>
          </w:tcPr>
          <w:p w14:paraId="364D79B4" w14:textId="77777777" w:rsidR="00BA4874" w:rsidRPr="00BD05AE" w:rsidRDefault="00BA4874" w:rsidP="00FC09A8">
            <w:pPr>
              <w:pStyle w:val="TableText0"/>
              <w:keepLines/>
              <w:contextualSpacing/>
            </w:pPr>
            <w:r w:rsidRPr="00BD05AE">
              <w:t>0.90 (0.61, 1.33)</w:t>
            </w:r>
          </w:p>
        </w:tc>
        <w:tc>
          <w:tcPr>
            <w:tcW w:w="1417" w:type="dxa"/>
            <w:tcBorders>
              <w:top w:val="single" w:sz="4" w:space="0" w:color="000000"/>
              <w:left w:val="single" w:sz="4" w:space="0" w:color="000000"/>
              <w:bottom w:val="single" w:sz="4" w:space="0" w:color="000000"/>
              <w:right w:val="single" w:sz="4" w:space="0" w:color="000000"/>
            </w:tcBorders>
          </w:tcPr>
          <w:p w14:paraId="5542BEF0" w14:textId="77777777" w:rsidR="00BA4874" w:rsidRPr="00BD05AE" w:rsidRDefault="00BA4874" w:rsidP="00FC09A8">
            <w:pPr>
              <w:pStyle w:val="TableText0"/>
              <w:keepLines/>
              <w:contextualSpacing/>
            </w:pPr>
            <w:r w:rsidRPr="00BD05AE">
              <w:t>-0.01 (-0.06, 0.04)</w:t>
            </w:r>
          </w:p>
        </w:tc>
      </w:tr>
      <w:tr w:rsidR="00BA4874" w:rsidRPr="00A95754" w14:paraId="2FBDE427"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360107C2" w14:textId="77777777" w:rsidR="00BA4874" w:rsidRPr="00A95754" w:rsidRDefault="00BA4874" w:rsidP="00FC09A8">
            <w:pPr>
              <w:pStyle w:val="TableText0"/>
              <w:keepLines/>
              <w:contextualSpacing/>
            </w:pPr>
            <w:r w:rsidRPr="00A95754">
              <w:t xml:space="preserve">        Possibly</w:t>
            </w:r>
            <w:r w:rsidRPr="00A95754">
              <w:rPr>
                <w:spacing w:val="-10"/>
              </w:rPr>
              <w:t xml:space="preserve"> </w:t>
            </w:r>
            <w:r w:rsidRPr="00A95754">
              <w:t>related</w:t>
            </w:r>
            <w:r w:rsidRPr="00A95754">
              <w:rPr>
                <w:spacing w:val="-10"/>
              </w:rPr>
              <w:t xml:space="preserve"> </w:t>
            </w:r>
            <w:r w:rsidRPr="00A95754">
              <w:t>to</w:t>
            </w:r>
            <w:r w:rsidRPr="00A95754">
              <w:rPr>
                <w:spacing w:val="-10"/>
              </w:rPr>
              <w:t xml:space="preserve"> </w:t>
            </w:r>
            <w:r w:rsidRPr="00A95754">
              <w:t>any</w:t>
            </w:r>
            <w:r w:rsidRPr="00A95754">
              <w:rPr>
                <w:spacing w:val="-10"/>
              </w:rPr>
              <w:t xml:space="preserve"> </w:t>
            </w:r>
            <w:r w:rsidRPr="00A95754">
              <w:t>study medication</w:t>
            </w:r>
            <w:r w:rsidRPr="00A95754">
              <w:rPr>
                <w:vertAlign w:val="superscript"/>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363AF" w14:textId="77777777" w:rsidR="00BA4874" w:rsidRPr="00BD05AE" w:rsidRDefault="00BA4874" w:rsidP="00FC09A8">
            <w:pPr>
              <w:pStyle w:val="TableText0"/>
              <w:keepLines/>
              <w:contextualSpacing/>
            </w:pPr>
            <w:r w:rsidRPr="00BD05AE">
              <w:t>30</w:t>
            </w:r>
            <w:r w:rsidRPr="00BD05AE">
              <w:rPr>
                <w:spacing w:val="2"/>
              </w:rPr>
              <w:t xml:space="preserve"> </w:t>
            </w:r>
            <w:r w:rsidRPr="00BD05AE">
              <w:rPr>
                <w:spacing w:val="-2"/>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411FC" w14:textId="77777777" w:rsidR="00BA4874" w:rsidRPr="00BD05AE" w:rsidRDefault="00BA4874" w:rsidP="00FC09A8">
            <w:pPr>
              <w:pStyle w:val="TableText0"/>
              <w:keepLines/>
              <w:contextualSpacing/>
            </w:pPr>
            <w:r w:rsidRPr="00BD05AE">
              <w:t>39</w:t>
            </w:r>
            <w:r w:rsidRPr="00BD05AE">
              <w:rPr>
                <w:spacing w:val="2"/>
              </w:rPr>
              <w:t xml:space="preserve"> </w:t>
            </w:r>
            <w:r w:rsidRPr="00BD05AE">
              <w:rPr>
                <w:spacing w:val="-2"/>
              </w:rPr>
              <w:t>(11.4)</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A91E" w14:textId="77777777" w:rsidR="00BA4874" w:rsidRPr="00BD05AE" w:rsidRDefault="00BA4874" w:rsidP="00FC09A8">
            <w:pPr>
              <w:pStyle w:val="TableText0"/>
              <w:keepLines/>
              <w:contextualSpacing/>
            </w:pPr>
            <w:r w:rsidRPr="00BD05AE">
              <w:t>0.78 (0.50, 1.22)</w:t>
            </w:r>
          </w:p>
        </w:tc>
        <w:tc>
          <w:tcPr>
            <w:tcW w:w="1417" w:type="dxa"/>
            <w:tcBorders>
              <w:top w:val="single" w:sz="4" w:space="0" w:color="000000"/>
              <w:left w:val="single" w:sz="4" w:space="0" w:color="000000"/>
              <w:bottom w:val="single" w:sz="4" w:space="0" w:color="000000"/>
              <w:right w:val="single" w:sz="4" w:space="0" w:color="000000"/>
            </w:tcBorders>
          </w:tcPr>
          <w:p w14:paraId="31EEC30F" w14:textId="77777777" w:rsidR="00BA4874" w:rsidRPr="00BD05AE" w:rsidRDefault="00BA4874" w:rsidP="00FC09A8">
            <w:pPr>
              <w:pStyle w:val="TableText0"/>
              <w:keepLines/>
              <w:contextualSpacing/>
            </w:pPr>
            <w:r w:rsidRPr="00BD05AE">
              <w:t>-0.03 (-0.07, 0.02)</w:t>
            </w:r>
          </w:p>
        </w:tc>
      </w:tr>
      <w:tr w:rsidR="00BA4874" w:rsidRPr="00A95754" w14:paraId="728AF77B" w14:textId="77777777" w:rsidTr="00171996">
        <w:trPr>
          <w:cantSplit/>
          <w:trHeight w:val="20"/>
        </w:trPr>
        <w:tc>
          <w:tcPr>
            <w:tcW w:w="651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2E66D82" w14:textId="77777777" w:rsidR="00BA4874" w:rsidRPr="00BD05AE" w:rsidRDefault="00BA4874" w:rsidP="00FC09A8">
            <w:pPr>
              <w:pStyle w:val="TableText0"/>
              <w:keepLines/>
              <w:contextualSpacing/>
            </w:pPr>
            <w:r w:rsidRPr="00BD05AE">
              <w:t>Any</w:t>
            </w:r>
            <w:r w:rsidRPr="00BD05AE">
              <w:rPr>
                <w:spacing w:val="-1"/>
              </w:rPr>
              <w:t xml:space="preserve"> </w:t>
            </w:r>
            <w:r w:rsidRPr="00BD05AE">
              <w:t>AE</w:t>
            </w:r>
            <w:r w:rsidRPr="00BD05AE">
              <w:rPr>
                <w:spacing w:val="-3"/>
              </w:rPr>
              <w:t xml:space="preserve"> </w:t>
            </w:r>
            <w:r w:rsidRPr="00BD05AE">
              <w:t>leading</w:t>
            </w:r>
            <w:r w:rsidRPr="00BD05AE">
              <w:rPr>
                <w:spacing w:val="-1"/>
              </w:rPr>
              <w:t xml:space="preserve"> </w:t>
            </w:r>
            <w:r w:rsidRPr="00BD05AE">
              <w:t>to</w:t>
            </w:r>
            <w:r w:rsidRPr="00BD05AE">
              <w:rPr>
                <w:spacing w:val="-2"/>
              </w:rPr>
              <w:t xml:space="preserve"> </w:t>
            </w:r>
            <w:r w:rsidRPr="00BD05AE">
              <w:t>dose</w:t>
            </w:r>
            <w:r w:rsidRPr="00BD05AE">
              <w:rPr>
                <w:spacing w:val="-3"/>
              </w:rPr>
              <w:t xml:space="preserve"> </w:t>
            </w:r>
            <w:r w:rsidRPr="00BD05AE">
              <w:t>interruption/delay or</w:t>
            </w:r>
            <w:r w:rsidRPr="00BD05AE">
              <w:rPr>
                <w:spacing w:val="-4"/>
              </w:rPr>
              <w:t xml:space="preserve"> </w:t>
            </w:r>
            <w:r w:rsidRPr="00BD05AE">
              <w:rPr>
                <w:spacing w:val="-2"/>
              </w:rPr>
              <w:t>reduction</w:t>
            </w:r>
          </w:p>
        </w:tc>
        <w:tc>
          <w:tcPr>
            <w:tcW w:w="1276" w:type="dxa"/>
            <w:tcBorders>
              <w:top w:val="single" w:sz="4" w:space="0" w:color="000000"/>
              <w:left w:val="single" w:sz="4" w:space="0" w:color="000000"/>
              <w:bottom w:val="single" w:sz="4" w:space="0" w:color="000000"/>
              <w:right w:val="single" w:sz="4" w:space="0" w:color="000000"/>
            </w:tcBorders>
          </w:tcPr>
          <w:p w14:paraId="7D03D6AF" w14:textId="77777777" w:rsidR="00BA4874" w:rsidRPr="00BD05AE" w:rsidRDefault="00BA4874" w:rsidP="00FC09A8">
            <w:pPr>
              <w:pStyle w:val="TableText0"/>
              <w:keepLines/>
              <w:contextualSpacing/>
            </w:pPr>
          </w:p>
        </w:tc>
        <w:tc>
          <w:tcPr>
            <w:tcW w:w="1417" w:type="dxa"/>
            <w:tcBorders>
              <w:top w:val="single" w:sz="4" w:space="0" w:color="000000"/>
              <w:left w:val="single" w:sz="4" w:space="0" w:color="000000"/>
              <w:bottom w:val="single" w:sz="4" w:space="0" w:color="000000"/>
              <w:right w:val="single" w:sz="4" w:space="0" w:color="000000"/>
            </w:tcBorders>
          </w:tcPr>
          <w:p w14:paraId="174FFC33" w14:textId="77777777" w:rsidR="00BA4874" w:rsidRPr="00BD05AE" w:rsidRDefault="00BA4874" w:rsidP="00FC09A8">
            <w:pPr>
              <w:pStyle w:val="TableText0"/>
              <w:keepLines/>
              <w:contextualSpacing/>
            </w:pPr>
          </w:p>
        </w:tc>
      </w:tr>
      <w:tr w:rsidR="00BA4874" w:rsidRPr="00A95754" w14:paraId="600AC705"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58452A69" w14:textId="77777777" w:rsidR="00BA4874" w:rsidRPr="00A95754" w:rsidRDefault="00BA4874" w:rsidP="00FC09A8">
            <w:pPr>
              <w:pStyle w:val="TableText0"/>
              <w:keepLines/>
              <w:contextualSpacing/>
            </w:pPr>
            <w:r w:rsidRPr="00A95754">
              <w:rPr>
                <w:spacing w:val="-5"/>
              </w:rPr>
              <w:t xml:space="preserve">    Any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8DA61" w14:textId="77777777" w:rsidR="00BA4874" w:rsidRPr="00BD05AE" w:rsidRDefault="00BA4874" w:rsidP="00FC09A8">
            <w:pPr>
              <w:pStyle w:val="TableText0"/>
              <w:keepLines/>
              <w:contextualSpacing/>
            </w:pPr>
            <w:r w:rsidRPr="00BD05AE">
              <w:t>225</w:t>
            </w:r>
            <w:r w:rsidRPr="00BD05AE">
              <w:rPr>
                <w:spacing w:val="-1"/>
              </w:rPr>
              <w:t xml:space="preserve"> </w:t>
            </w:r>
            <w:r w:rsidRPr="00BD05AE">
              <w:rPr>
                <w:spacing w:val="-2"/>
              </w:rPr>
              <w:t>(66.6)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5EAC14" w14:textId="77777777" w:rsidR="00BA4874" w:rsidRPr="00BD05AE" w:rsidRDefault="00BA4874" w:rsidP="00FC09A8">
            <w:pPr>
              <w:pStyle w:val="TableText0"/>
              <w:keepLines/>
              <w:contextualSpacing/>
            </w:pPr>
            <w:r w:rsidRPr="00BD05AE">
              <w:t>244</w:t>
            </w:r>
            <w:r w:rsidRPr="00BD05AE">
              <w:rPr>
                <w:spacing w:val="-1"/>
              </w:rPr>
              <w:t xml:space="preserve"> </w:t>
            </w:r>
            <w:r w:rsidRPr="00BD05AE">
              <w:rPr>
                <w:spacing w:val="-2"/>
              </w:rPr>
              <w:t>(71.3)</w:t>
            </w:r>
          </w:p>
        </w:tc>
        <w:tc>
          <w:tcPr>
            <w:tcW w:w="1276" w:type="dxa"/>
            <w:tcBorders>
              <w:top w:val="single" w:sz="4" w:space="0" w:color="000000"/>
              <w:left w:val="single" w:sz="4" w:space="0" w:color="000000"/>
              <w:bottom w:val="single" w:sz="4" w:space="0" w:color="000000"/>
              <w:right w:val="single" w:sz="4" w:space="0" w:color="000000"/>
            </w:tcBorders>
            <w:vAlign w:val="center"/>
          </w:tcPr>
          <w:p w14:paraId="35FC6A63" w14:textId="77777777" w:rsidR="00BA4874" w:rsidRPr="00BD05AE" w:rsidRDefault="00BA4874" w:rsidP="00FC09A8">
            <w:pPr>
              <w:pStyle w:val="TableText0"/>
              <w:keepLines/>
              <w:contextualSpacing/>
            </w:pPr>
            <w:r w:rsidRPr="00BD05AE">
              <w:t>0.93 (0.84, 1.03)</w:t>
            </w:r>
          </w:p>
        </w:tc>
        <w:tc>
          <w:tcPr>
            <w:tcW w:w="1417" w:type="dxa"/>
            <w:tcBorders>
              <w:top w:val="single" w:sz="4" w:space="0" w:color="000000"/>
              <w:left w:val="single" w:sz="4" w:space="0" w:color="000000"/>
              <w:bottom w:val="single" w:sz="4" w:space="0" w:color="000000"/>
              <w:right w:val="single" w:sz="4" w:space="0" w:color="000000"/>
            </w:tcBorders>
          </w:tcPr>
          <w:p w14:paraId="2F8A19C1" w14:textId="77777777" w:rsidR="00BA4874" w:rsidRPr="00BD05AE" w:rsidRDefault="00BA4874" w:rsidP="00FC09A8">
            <w:pPr>
              <w:pStyle w:val="TableText0"/>
              <w:keepLines/>
              <w:contextualSpacing/>
            </w:pPr>
            <w:r w:rsidRPr="00BD05AE">
              <w:t>-0.05 (-0.12, 0.02)</w:t>
            </w:r>
          </w:p>
        </w:tc>
      </w:tr>
      <w:tr w:rsidR="00BA4874" w:rsidRPr="00A95754" w14:paraId="2BFD00FD"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1881F6B7" w14:textId="77777777" w:rsidR="00BA4874" w:rsidRPr="00A95754" w:rsidRDefault="00BA4874" w:rsidP="00FC09A8">
            <w:pPr>
              <w:pStyle w:val="TableText0"/>
              <w:keepLines/>
              <w:contextualSpacing/>
            </w:pPr>
            <w:r w:rsidRPr="00A95754">
              <w:t xml:space="preserve">    Durvalumab</w:t>
            </w:r>
            <w:r w:rsidRPr="00A95754">
              <w:rPr>
                <w:spacing w:val="-7"/>
              </w:rPr>
              <w:t xml:space="preserve"> </w:t>
            </w:r>
            <w:r w:rsidRPr="00A95754">
              <w:t>or</w:t>
            </w:r>
            <w:r w:rsidRPr="00A95754">
              <w:rPr>
                <w:spacing w:val="-8"/>
              </w:rPr>
              <w:t xml:space="preserve"> </w:t>
            </w:r>
            <w:r w:rsidRPr="00A95754">
              <w:rPr>
                <w:spacing w:val="-2"/>
              </w:rPr>
              <w:t>placebo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29389" w14:textId="77777777" w:rsidR="00BA4874" w:rsidRPr="00BD05AE" w:rsidRDefault="00BA4874" w:rsidP="00FC09A8">
            <w:pPr>
              <w:pStyle w:val="TableText0"/>
              <w:keepLines/>
              <w:contextualSpacing/>
            </w:pPr>
            <w:r w:rsidRPr="00BD05AE">
              <w:t>127</w:t>
            </w:r>
            <w:r w:rsidRPr="00BD05AE">
              <w:rPr>
                <w:spacing w:val="-1"/>
              </w:rPr>
              <w:t xml:space="preserve"> </w:t>
            </w:r>
            <w:r w:rsidRPr="00BD05AE">
              <w:rPr>
                <w:spacing w:val="-2"/>
              </w:rPr>
              <w:t>(37.6)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2CC6E" w14:textId="77777777" w:rsidR="00BA4874" w:rsidRPr="00BD05AE" w:rsidRDefault="00BA4874" w:rsidP="00FC09A8">
            <w:pPr>
              <w:pStyle w:val="TableText0"/>
              <w:keepLines/>
              <w:contextualSpacing/>
            </w:pPr>
            <w:r w:rsidRPr="00BD05AE">
              <w:t>120</w:t>
            </w:r>
            <w:r w:rsidRPr="00BD05AE">
              <w:rPr>
                <w:spacing w:val="-1"/>
              </w:rPr>
              <w:t xml:space="preserve"> </w:t>
            </w:r>
            <w:r w:rsidRPr="00BD05AE">
              <w:rPr>
                <w:spacing w:val="-2"/>
              </w:rPr>
              <w:t>(35.1)</w:t>
            </w:r>
          </w:p>
        </w:tc>
        <w:tc>
          <w:tcPr>
            <w:tcW w:w="1276" w:type="dxa"/>
            <w:tcBorders>
              <w:top w:val="single" w:sz="4" w:space="0" w:color="000000"/>
              <w:left w:val="single" w:sz="4" w:space="0" w:color="000000"/>
              <w:bottom w:val="single" w:sz="4" w:space="0" w:color="000000"/>
              <w:right w:val="single" w:sz="4" w:space="0" w:color="000000"/>
            </w:tcBorders>
            <w:vAlign w:val="center"/>
          </w:tcPr>
          <w:p w14:paraId="3CA973C0" w14:textId="77777777" w:rsidR="00BA4874" w:rsidRPr="00BD05AE" w:rsidRDefault="00BA4874" w:rsidP="00FC09A8">
            <w:pPr>
              <w:pStyle w:val="TableText0"/>
              <w:keepLines/>
              <w:contextualSpacing/>
            </w:pPr>
            <w:r w:rsidRPr="00BD05AE">
              <w:t>1.07 (0.88, 1.31)</w:t>
            </w:r>
          </w:p>
        </w:tc>
        <w:tc>
          <w:tcPr>
            <w:tcW w:w="1417" w:type="dxa"/>
            <w:tcBorders>
              <w:top w:val="single" w:sz="4" w:space="0" w:color="000000"/>
              <w:left w:val="single" w:sz="4" w:space="0" w:color="000000"/>
              <w:bottom w:val="single" w:sz="4" w:space="0" w:color="000000"/>
              <w:right w:val="single" w:sz="4" w:space="0" w:color="000000"/>
            </w:tcBorders>
          </w:tcPr>
          <w:p w14:paraId="4BCA53C8" w14:textId="77777777" w:rsidR="00BA4874" w:rsidRPr="00BD05AE" w:rsidRDefault="00BA4874" w:rsidP="00FC09A8">
            <w:pPr>
              <w:pStyle w:val="TableText0"/>
              <w:keepLines/>
              <w:contextualSpacing/>
            </w:pPr>
            <w:r w:rsidRPr="00BD05AE">
              <w:t>0.03 (-0.05, 0.10)</w:t>
            </w:r>
          </w:p>
        </w:tc>
      </w:tr>
      <w:tr w:rsidR="00BA4874" w:rsidRPr="00A95754" w14:paraId="6954A517" w14:textId="77777777" w:rsidTr="00171996">
        <w:trPr>
          <w:cantSplit/>
          <w:trHeight w:val="20"/>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241BC1E1" w14:textId="77777777" w:rsidR="00BA4874" w:rsidRPr="00A95754" w:rsidRDefault="00BA4874" w:rsidP="00FC09A8">
            <w:pPr>
              <w:pStyle w:val="TableText0"/>
              <w:keepLines/>
              <w:contextualSpacing/>
            </w:pPr>
            <w:r w:rsidRPr="00A95754">
              <w:t xml:space="preserve">    Gem</w:t>
            </w:r>
            <w:r w:rsidRPr="00A95754">
              <w:rPr>
                <w:spacing w:val="-2"/>
              </w:rPr>
              <w:t xml:space="preserve"> </w:t>
            </w:r>
            <w:r w:rsidRPr="00A95754">
              <w:t>and/or</w:t>
            </w:r>
            <w:r w:rsidRPr="00A95754">
              <w:rPr>
                <w:spacing w:val="-1"/>
              </w:rPr>
              <w:t xml:space="preserve"> </w:t>
            </w:r>
            <w:r w:rsidRPr="00A95754">
              <w:rPr>
                <w:spacing w:val="-5"/>
              </w:rPr>
              <w:t>Cis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91A7" w14:textId="77777777" w:rsidR="00BA4874" w:rsidRPr="00BD05AE" w:rsidRDefault="00BA4874" w:rsidP="00FC09A8">
            <w:pPr>
              <w:pStyle w:val="TableText0"/>
              <w:keepLines/>
              <w:contextualSpacing/>
            </w:pPr>
            <w:r w:rsidRPr="00BD05AE">
              <w:t>213</w:t>
            </w:r>
            <w:r w:rsidRPr="00BD05AE">
              <w:rPr>
                <w:spacing w:val="-1"/>
              </w:rPr>
              <w:t xml:space="preserve"> </w:t>
            </w:r>
            <w:r w:rsidRPr="00BD05AE">
              <w:rPr>
                <w:spacing w:val="-2"/>
              </w:rPr>
              <w:t>(63.0)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5A75C" w14:textId="77777777" w:rsidR="00BA4874" w:rsidRPr="00BD05AE" w:rsidRDefault="00BA4874" w:rsidP="00FC09A8">
            <w:pPr>
              <w:pStyle w:val="TableText0"/>
              <w:keepLines/>
              <w:contextualSpacing/>
            </w:pPr>
            <w:r w:rsidRPr="00BD05AE">
              <w:t>239</w:t>
            </w:r>
            <w:r w:rsidRPr="00BD05AE">
              <w:rPr>
                <w:spacing w:val="-1"/>
              </w:rPr>
              <w:t xml:space="preserve"> </w:t>
            </w:r>
            <w:r w:rsidRPr="00BD05AE">
              <w:rPr>
                <w:spacing w:val="-2"/>
              </w:rPr>
              <w:t>(69.9)</w:t>
            </w:r>
          </w:p>
        </w:tc>
        <w:tc>
          <w:tcPr>
            <w:tcW w:w="1276" w:type="dxa"/>
            <w:tcBorders>
              <w:top w:val="single" w:sz="4" w:space="0" w:color="000000"/>
              <w:left w:val="single" w:sz="4" w:space="0" w:color="000000"/>
              <w:bottom w:val="single" w:sz="4" w:space="0" w:color="000000"/>
              <w:right w:val="single" w:sz="4" w:space="0" w:color="000000"/>
            </w:tcBorders>
            <w:vAlign w:val="center"/>
          </w:tcPr>
          <w:p w14:paraId="40723948" w14:textId="77777777" w:rsidR="00BA4874" w:rsidRPr="00BD05AE" w:rsidRDefault="00BA4874" w:rsidP="00FC09A8">
            <w:pPr>
              <w:pStyle w:val="TableText0"/>
              <w:keepLines/>
              <w:contextualSpacing/>
            </w:pPr>
            <w:r w:rsidRPr="00BD05AE">
              <w:t>0.90 (0.81, 1.00)</w:t>
            </w:r>
          </w:p>
        </w:tc>
        <w:tc>
          <w:tcPr>
            <w:tcW w:w="1417" w:type="dxa"/>
            <w:tcBorders>
              <w:top w:val="single" w:sz="4" w:space="0" w:color="000000"/>
              <w:left w:val="single" w:sz="4" w:space="0" w:color="000000"/>
              <w:bottom w:val="single" w:sz="4" w:space="0" w:color="000000"/>
              <w:right w:val="single" w:sz="4" w:space="0" w:color="000000"/>
            </w:tcBorders>
          </w:tcPr>
          <w:p w14:paraId="790C5638" w14:textId="77777777" w:rsidR="00BA4874" w:rsidRPr="00BD05AE" w:rsidRDefault="00BA4874" w:rsidP="00FC09A8">
            <w:pPr>
              <w:pStyle w:val="TableText0"/>
              <w:keepLines/>
              <w:contextualSpacing/>
            </w:pPr>
            <w:r w:rsidRPr="00BD05AE">
              <w:t>-0.07 (-0.14, 0.00)</w:t>
            </w:r>
          </w:p>
        </w:tc>
      </w:tr>
    </w:tbl>
    <w:p w14:paraId="6F4E6235" w14:textId="66DB5982" w:rsidR="00BA4874" w:rsidRPr="00A95754" w:rsidRDefault="00BA4874" w:rsidP="00FC09A8">
      <w:pPr>
        <w:pStyle w:val="TableFigureFooter"/>
        <w:keepNext/>
        <w:keepLines/>
      </w:pPr>
      <w:r w:rsidRPr="00A95754">
        <w:t>Source: Data extracted from Table 5, p32 and Table 6 pp33-34 Attachment 3 of the submission.</w:t>
      </w:r>
    </w:p>
    <w:p w14:paraId="2D1A78F3" w14:textId="45D91505" w:rsidR="00BA4874" w:rsidRPr="00A95754" w:rsidRDefault="00BA4874" w:rsidP="00FC09A8">
      <w:pPr>
        <w:pStyle w:val="TableFigureFooter"/>
        <w:keepNext/>
        <w:keepLines/>
      </w:pPr>
      <w:r w:rsidRPr="00A95754">
        <w:t xml:space="preserve">AE = adverse event; CI = confidence interval; Cis = cisplatin; CSR = clinical study report; CTCAE = Common Terminology Criteria for Adverse Events; D = durvalumab; Gem = gemcitabine; GemCis = gemcitabine + cisplatin; IA-2 = interim analysis 2; MedDRA = Medical Dictionary for Regulatory Activities; N = number of patients in treatment group; n = number of patients in a category; </w:t>
      </w:r>
      <w:r w:rsidR="008D059E" w:rsidRPr="00A95754">
        <w:t xml:space="preserve">RD = risk difference; </w:t>
      </w:r>
      <w:r w:rsidRPr="00A95754">
        <w:t xml:space="preserve">RR = relative risk; SAE = serious adverse event; SMQ = Standardised MedDRA Query </w:t>
      </w:r>
    </w:p>
    <w:p w14:paraId="6B9ED91E" w14:textId="77777777" w:rsidR="00BA4874" w:rsidRPr="00A95754" w:rsidRDefault="00BA4874" w:rsidP="00FC09A8">
      <w:pPr>
        <w:pStyle w:val="TableFigureFooter"/>
        <w:keepNext/>
        <w:keepLines/>
        <w:rPr>
          <w:szCs w:val="18"/>
        </w:rPr>
      </w:pPr>
      <w:r w:rsidRPr="00A95754">
        <w:rPr>
          <w:szCs w:val="18"/>
          <w:vertAlign w:val="superscript"/>
        </w:rPr>
        <w:t>a</w:t>
      </w:r>
      <w:r w:rsidRPr="00A95754">
        <w:rPr>
          <w:szCs w:val="18"/>
        </w:rPr>
        <w:t xml:space="preserve"> Patients with multiple events in the same category were counted only once in that category. Patients with events in more than one category were counted in each of those categories.</w:t>
      </w:r>
    </w:p>
    <w:p w14:paraId="47FC41BE" w14:textId="77777777" w:rsidR="00BA4874" w:rsidRPr="00A95754" w:rsidRDefault="00BA4874" w:rsidP="00FC09A8">
      <w:pPr>
        <w:pStyle w:val="TableFigureFooter"/>
        <w:keepNext/>
        <w:keepLines/>
        <w:rPr>
          <w:szCs w:val="18"/>
        </w:rPr>
      </w:pPr>
      <w:r w:rsidRPr="00A95754">
        <w:rPr>
          <w:szCs w:val="18"/>
          <w:vertAlign w:val="superscript"/>
        </w:rPr>
        <w:t>b</w:t>
      </w:r>
      <w:r w:rsidRPr="00A95754">
        <w:rPr>
          <w:szCs w:val="18"/>
        </w:rPr>
        <w:t xml:space="preserve"> Figures of actual treatment duration provided, defined as the total treatment duration minus the total duration of delays.</w:t>
      </w:r>
    </w:p>
    <w:p w14:paraId="3372FAF4" w14:textId="77777777" w:rsidR="00BA4874" w:rsidRPr="00A95754" w:rsidRDefault="00BA4874" w:rsidP="00FC09A8">
      <w:pPr>
        <w:pStyle w:val="TableFigureFooter"/>
        <w:keepNext/>
        <w:keepLines/>
        <w:rPr>
          <w:szCs w:val="18"/>
        </w:rPr>
      </w:pPr>
      <w:r w:rsidRPr="00A95754">
        <w:rPr>
          <w:szCs w:val="18"/>
          <w:vertAlign w:val="superscript"/>
        </w:rPr>
        <w:t xml:space="preserve">c </w:t>
      </w:r>
      <w:r w:rsidRPr="00A95754">
        <w:rPr>
          <w:szCs w:val="18"/>
        </w:rPr>
        <w:t>As assessed by the Investigator.</w:t>
      </w:r>
    </w:p>
    <w:p w14:paraId="5D122FD1" w14:textId="77777777" w:rsidR="00BA4874" w:rsidRPr="00A95754" w:rsidRDefault="00BA4874" w:rsidP="00FC09A8">
      <w:pPr>
        <w:pStyle w:val="TableFigureFooter"/>
        <w:keepNext/>
        <w:keepLines/>
        <w:rPr>
          <w:szCs w:val="18"/>
        </w:rPr>
      </w:pPr>
      <w:r w:rsidRPr="00A95754">
        <w:rPr>
          <w:szCs w:val="18"/>
          <w:vertAlign w:val="superscript"/>
        </w:rPr>
        <w:t>d</w:t>
      </w:r>
      <w:r w:rsidRPr="00A95754">
        <w:rPr>
          <w:szCs w:val="18"/>
        </w:rPr>
        <w:t xml:space="preserve"> The maximum CTCAE grade per patient/event is considered (ie, does not include patients with subsequent Grade 5 events).</w:t>
      </w:r>
    </w:p>
    <w:p w14:paraId="1DC14237" w14:textId="77777777" w:rsidR="00BA4874" w:rsidRPr="00A95754" w:rsidRDefault="00BA4874" w:rsidP="00FC09A8">
      <w:pPr>
        <w:pStyle w:val="TableFigureFooter"/>
        <w:keepNext/>
        <w:keepLines/>
        <w:rPr>
          <w:szCs w:val="18"/>
        </w:rPr>
      </w:pPr>
      <w:r w:rsidRPr="00A95754">
        <w:rPr>
          <w:szCs w:val="18"/>
          <w:vertAlign w:val="superscript"/>
        </w:rPr>
        <w:t xml:space="preserve">e </w:t>
      </w:r>
      <w:r w:rsidRPr="00A95754">
        <w:rPr>
          <w:szCs w:val="18"/>
        </w:rPr>
        <w:t>Calculated during the evaluation, in Review Manager 5.4.1.</w:t>
      </w:r>
    </w:p>
    <w:p w14:paraId="56C88FBC" w14:textId="34082F31" w:rsidR="00BA4874" w:rsidRPr="00A95754" w:rsidRDefault="00BA4874" w:rsidP="00FC09A8">
      <w:pPr>
        <w:pStyle w:val="TableFigureFooter"/>
        <w:keepNext/>
        <w:keepLines/>
      </w:pPr>
      <w:r w:rsidRPr="00A95754">
        <w:rPr>
          <w:szCs w:val="18"/>
        </w:rPr>
        <w:t>A RR &gt;1 represents more events in the durvalumab + GemCis arm compared to placebo + GemCis arm.</w:t>
      </w:r>
      <w:r w:rsidRPr="00A95754">
        <w:t xml:space="preserve"> </w:t>
      </w:r>
      <w:r w:rsidRPr="00A95754">
        <w:rPr>
          <w:szCs w:val="18"/>
        </w:rPr>
        <w:t>This analysis was not powered to detect statistical differences in the occurrence of safety events; apparent differences shown in relative measures of effect are exploratory only.</w:t>
      </w:r>
    </w:p>
    <w:p w14:paraId="673EFEC1" w14:textId="0DC1D811" w:rsidR="00BA4874" w:rsidRPr="00C44D12" w:rsidRDefault="00BA4874" w:rsidP="00BA4874">
      <w:pPr>
        <w:pStyle w:val="3-BodyText"/>
      </w:pPr>
      <w:r w:rsidRPr="00C44D12">
        <w:t xml:space="preserve">The incidence of the most common any-grade AEs by organ class were generally balanced, except for nausea where ≥5% events were reported in the durvalumab + GemCis arm compared to the placebo arm (40.5% versus 34.8%, respectively). </w:t>
      </w:r>
      <w:r w:rsidRPr="00BD05AE">
        <w:t>The TGA CER noted a small but higher proportion of patients who died from nervous system disorders in the durvalumab + GemCis arm (1.2%) compared to placebo + GemCis (0.3%).</w:t>
      </w:r>
    </w:p>
    <w:p w14:paraId="76C01BAF" w14:textId="38970838" w:rsidR="00BA4874" w:rsidRPr="00A95754" w:rsidRDefault="00BA4874" w:rsidP="00BA4874">
      <w:pPr>
        <w:pStyle w:val="3-BodyText"/>
        <w:rPr>
          <w:szCs w:val="18"/>
        </w:rPr>
      </w:pPr>
      <w:r w:rsidRPr="00A95754">
        <w:t>Adverse events of special interest (AESI) were defined as AEs with a likely inflammatory or immune-mediated pathophysiological basis resulting from the mechanism of action of durvalumab and were greater in the durvalum</w:t>
      </w:r>
      <w:r w:rsidR="00127364">
        <w:t>a</w:t>
      </w:r>
      <w:r w:rsidRPr="00A95754">
        <w:t>b arm; when restricted to Grade 3 or 4 events, there were relatively more events in the durvalumab + GemCis arm, with low absolute numbers, as presented in</w:t>
      </w:r>
      <w:r w:rsidR="0025289C" w:rsidRPr="00A95754">
        <w:t xml:space="preserve"> </w:t>
      </w:r>
      <w:r w:rsidR="0025289C" w:rsidRPr="00A95754">
        <w:fldChar w:fldCharType="begin"/>
      </w:r>
      <w:r w:rsidR="0025289C" w:rsidRPr="00A95754">
        <w:instrText xml:space="preserve"> REF _Ref124182260 \h </w:instrText>
      </w:r>
      <w:r w:rsidR="004D2C5E" w:rsidRPr="00A95754">
        <w:instrText xml:space="preserve"> \* MERGEFORMAT </w:instrText>
      </w:r>
      <w:r w:rsidR="0025289C" w:rsidRPr="00A95754">
        <w:fldChar w:fldCharType="separate"/>
      </w:r>
      <w:r w:rsidR="000178EC" w:rsidRPr="00A95754">
        <w:t xml:space="preserve">Table </w:t>
      </w:r>
      <w:r w:rsidR="000178EC">
        <w:rPr>
          <w:noProof/>
        </w:rPr>
        <w:t>7</w:t>
      </w:r>
      <w:r w:rsidR="0025289C" w:rsidRPr="00A95754">
        <w:fldChar w:fldCharType="end"/>
      </w:r>
      <w:r w:rsidRPr="00A95754">
        <w:t>.</w:t>
      </w:r>
    </w:p>
    <w:p w14:paraId="42F30627" w14:textId="3BC53E0D" w:rsidR="00BA4874" w:rsidRPr="00A95754" w:rsidRDefault="00BA4874" w:rsidP="00BA4874">
      <w:pPr>
        <w:pStyle w:val="TableFigureHeading"/>
      </w:pPr>
      <w:bookmarkStart w:id="29" w:name="_Ref124182260"/>
      <w:r w:rsidRPr="00A95754">
        <w:lastRenderedPageBreak/>
        <w:t xml:space="preserve">Table </w:t>
      </w:r>
      <w:fldSimple w:instr=" SEQ Table \* ARABIC ">
        <w:r w:rsidR="000178EC">
          <w:rPr>
            <w:noProof/>
          </w:rPr>
          <w:t>7</w:t>
        </w:r>
      </w:fldSimple>
      <w:bookmarkEnd w:id="29"/>
      <w:r w:rsidRPr="00A95754">
        <w:t>: Adverse events of special interest in any category, TOPAZ-1 safety analysis set, 6.5-month follow-up (data cut-off 25 Feb 2022)</w:t>
      </w:r>
    </w:p>
    <w:tbl>
      <w:tblPr>
        <w:tblStyle w:val="TableGrid"/>
        <w:tblW w:w="5000" w:type="pct"/>
        <w:tblLook w:val="04A0" w:firstRow="1" w:lastRow="0" w:firstColumn="1" w:lastColumn="0" w:noHBand="0" w:noVBand="1"/>
      </w:tblPr>
      <w:tblGrid>
        <w:gridCol w:w="4106"/>
        <w:gridCol w:w="992"/>
        <w:gridCol w:w="992"/>
        <w:gridCol w:w="1277"/>
        <w:gridCol w:w="1650"/>
      </w:tblGrid>
      <w:tr w:rsidR="00BA4874" w:rsidRPr="00A95754" w14:paraId="626E0D3D" w14:textId="77777777" w:rsidTr="008D059E">
        <w:trPr>
          <w:trHeight w:val="20"/>
          <w:tblHeader/>
        </w:trPr>
        <w:tc>
          <w:tcPr>
            <w:tcW w:w="2277" w:type="pct"/>
            <w:tcBorders>
              <w:top w:val="single" w:sz="4" w:space="0" w:color="auto"/>
              <w:left w:val="single" w:sz="4" w:space="0" w:color="auto"/>
              <w:bottom w:val="single" w:sz="4" w:space="0" w:color="auto"/>
              <w:right w:val="single" w:sz="4" w:space="0" w:color="auto"/>
            </w:tcBorders>
            <w:vAlign w:val="center"/>
            <w:hideMark/>
          </w:tcPr>
          <w:p w14:paraId="003FF07F" w14:textId="77777777" w:rsidR="00BA4874" w:rsidRPr="00A95754" w:rsidRDefault="00BA4874" w:rsidP="00094E2F">
            <w:pPr>
              <w:pStyle w:val="TableText0"/>
              <w:rPr>
                <w:b/>
              </w:rPr>
            </w:pPr>
            <w:r w:rsidRPr="00A95754">
              <w:rPr>
                <w:b/>
                <w:bCs w:val="0"/>
              </w:rPr>
              <w:t xml:space="preserve">AE category </w:t>
            </w:r>
          </w:p>
        </w:tc>
        <w:tc>
          <w:tcPr>
            <w:tcW w:w="550" w:type="pct"/>
            <w:tcBorders>
              <w:top w:val="single" w:sz="4" w:space="0" w:color="auto"/>
              <w:left w:val="single" w:sz="4" w:space="0" w:color="auto"/>
              <w:right w:val="single" w:sz="4" w:space="0" w:color="auto"/>
            </w:tcBorders>
            <w:vAlign w:val="center"/>
          </w:tcPr>
          <w:p w14:paraId="2FF9E1F3" w14:textId="77777777" w:rsidR="00BA4874" w:rsidRPr="00A95754" w:rsidRDefault="00BA4874" w:rsidP="00094E2F">
            <w:pPr>
              <w:pStyle w:val="TableText0"/>
              <w:jc w:val="center"/>
              <w:rPr>
                <w:b/>
                <w:bCs w:val="0"/>
              </w:rPr>
            </w:pPr>
            <w:r w:rsidRPr="00A95754">
              <w:rPr>
                <w:b/>
                <w:bCs w:val="0"/>
              </w:rPr>
              <w:t>Durva (N=338)</w:t>
            </w:r>
          </w:p>
        </w:tc>
        <w:tc>
          <w:tcPr>
            <w:tcW w:w="550" w:type="pct"/>
            <w:tcBorders>
              <w:top w:val="single" w:sz="4" w:space="0" w:color="auto"/>
              <w:left w:val="single" w:sz="4" w:space="0" w:color="auto"/>
              <w:right w:val="single" w:sz="4" w:space="0" w:color="auto"/>
            </w:tcBorders>
            <w:vAlign w:val="center"/>
          </w:tcPr>
          <w:p w14:paraId="205DE865" w14:textId="77777777" w:rsidR="00BA4874" w:rsidRPr="00A95754" w:rsidRDefault="00BA4874" w:rsidP="00094E2F">
            <w:pPr>
              <w:pStyle w:val="TableText0"/>
              <w:jc w:val="center"/>
              <w:rPr>
                <w:b/>
                <w:bCs w:val="0"/>
              </w:rPr>
            </w:pPr>
            <w:r w:rsidRPr="00A95754">
              <w:rPr>
                <w:b/>
                <w:bCs w:val="0"/>
              </w:rPr>
              <w:t>Placebo (N=342)</w:t>
            </w:r>
          </w:p>
        </w:tc>
        <w:tc>
          <w:tcPr>
            <w:tcW w:w="708" w:type="pct"/>
            <w:tcBorders>
              <w:top w:val="single" w:sz="4" w:space="0" w:color="auto"/>
              <w:left w:val="single" w:sz="4" w:space="0" w:color="auto"/>
              <w:right w:val="single" w:sz="4" w:space="0" w:color="auto"/>
            </w:tcBorders>
            <w:vAlign w:val="center"/>
          </w:tcPr>
          <w:p w14:paraId="4DA926A2" w14:textId="77777777" w:rsidR="00BA4874" w:rsidRPr="00BD3BF8" w:rsidRDefault="00BA4874" w:rsidP="00094E2F">
            <w:pPr>
              <w:pStyle w:val="TableText0"/>
              <w:jc w:val="center"/>
              <w:rPr>
                <w:b/>
                <w:bCs w:val="0"/>
              </w:rPr>
            </w:pPr>
            <w:r w:rsidRPr="00BD3BF8">
              <w:rPr>
                <w:b/>
                <w:bCs w:val="0"/>
              </w:rPr>
              <w:t xml:space="preserve">RR </w:t>
            </w:r>
          </w:p>
          <w:p w14:paraId="6D3BFAAD" w14:textId="77777777" w:rsidR="00BA4874" w:rsidRPr="00BD3BF8" w:rsidRDefault="00BA4874" w:rsidP="00094E2F">
            <w:pPr>
              <w:pStyle w:val="TableText0"/>
              <w:jc w:val="center"/>
              <w:rPr>
                <w:b/>
                <w:bCs w:val="0"/>
              </w:rPr>
            </w:pPr>
            <w:r w:rsidRPr="00BD3BF8">
              <w:rPr>
                <w:b/>
                <w:bCs w:val="0"/>
              </w:rPr>
              <w:t>(95% CI)</w:t>
            </w:r>
            <w:r w:rsidRPr="00BD3BF8">
              <w:rPr>
                <w:b/>
                <w:bCs w:val="0"/>
                <w:vertAlign w:val="superscript"/>
              </w:rPr>
              <w:t>e</w:t>
            </w:r>
          </w:p>
        </w:tc>
        <w:tc>
          <w:tcPr>
            <w:tcW w:w="915" w:type="pct"/>
            <w:tcBorders>
              <w:top w:val="single" w:sz="4" w:space="0" w:color="auto"/>
              <w:left w:val="single" w:sz="4" w:space="0" w:color="auto"/>
              <w:right w:val="single" w:sz="4" w:space="0" w:color="auto"/>
            </w:tcBorders>
          </w:tcPr>
          <w:p w14:paraId="310CB948" w14:textId="77777777" w:rsidR="00BA4874" w:rsidRPr="00BD3BF8" w:rsidRDefault="00BA4874" w:rsidP="00094E2F">
            <w:pPr>
              <w:pStyle w:val="TableText0"/>
              <w:jc w:val="center"/>
              <w:rPr>
                <w:b/>
              </w:rPr>
            </w:pPr>
            <w:r w:rsidRPr="00BD3BF8">
              <w:rPr>
                <w:b/>
              </w:rPr>
              <w:t xml:space="preserve">RD </w:t>
            </w:r>
          </w:p>
          <w:p w14:paraId="502CD180" w14:textId="77777777" w:rsidR="00BA4874" w:rsidRPr="00BD3BF8" w:rsidRDefault="00BA4874" w:rsidP="00094E2F">
            <w:pPr>
              <w:pStyle w:val="TableText0"/>
              <w:jc w:val="center"/>
              <w:rPr>
                <w:b/>
                <w:bCs w:val="0"/>
              </w:rPr>
            </w:pPr>
            <w:r w:rsidRPr="00BD3BF8">
              <w:rPr>
                <w:b/>
              </w:rPr>
              <w:t>(95% CI)</w:t>
            </w:r>
            <w:r w:rsidRPr="00BD3BF8">
              <w:rPr>
                <w:b/>
                <w:vertAlign w:val="superscript"/>
              </w:rPr>
              <w:t>e</w:t>
            </w:r>
          </w:p>
        </w:tc>
      </w:tr>
      <w:tr w:rsidR="00BA4874" w:rsidRPr="00A95754" w14:paraId="5B240D51"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hideMark/>
          </w:tcPr>
          <w:p w14:paraId="32FED306" w14:textId="77777777" w:rsidR="00BA4874" w:rsidRPr="00A95754" w:rsidRDefault="00BA4874" w:rsidP="00094E2F">
            <w:pPr>
              <w:pStyle w:val="TableText0"/>
            </w:pPr>
            <w:r w:rsidRPr="00A95754">
              <w:t>Any AE</w:t>
            </w:r>
          </w:p>
          <w:p w14:paraId="74F25C4D" w14:textId="77777777" w:rsidR="00BA4874" w:rsidRPr="00A95754" w:rsidRDefault="00BA4874" w:rsidP="007C019C">
            <w:pPr>
              <w:pStyle w:val="TableText0"/>
              <w:keepNext w:val="0"/>
              <w:numPr>
                <w:ilvl w:val="0"/>
                <w:numId w:val="9"/>
              </w:numPr>
              <w:spacing w:before="20" w:after="20" w:line="276" w:lineRule="auto"/>
              <w:ind w:left="360"/>
            </w:pPr>
            <w:r w:rsidRPr="00A95754">
              <w:t>Possibly related</w:t>
            </w:r>
            <w:r w:rsidRPr="00A95754">
              <w:rPr>
                <w:vertAlign w:val="superscript"/>
              </w:rPr>
              <w:t>a</w:t>
            </w:r>
          </w:p>
        </w:tc>
        <w:tc>
          <w:tcPr>
            <w:tcW w:w="550" w:type="pct"/>
            <w:tcBorders>
              <w:top w:val="single" w:sz="4" w:space="0" w:color="auto"/>
              <w:left w:val="single" w:sz="4" w:space="0" w:color="auto"/>
              <w:bottom w:val="single" w:sz="4" w:space="0" w:color="auto"/>
              <w:right w:val="single" w:sz="4" w:space="0" w:color="auto"/>
            </w:tcBorders>
          </w:tcPr>
          <w:p w14:paraId="10CBEEFC" w14:textId="77777777" w:rsidR="00BA4874" w:rsidRPr="00BD05AE" w:rsidRDefault="00BA4874" w:rsidP="00094E2F">
            <w:pPr>
              <w:pStyle w:val="TableText0"/>
              <w:jc w:val="center"/>
            </w:pPr>
            <w:r w:rsidRPr="00BD05AE">
              <w:t>147 (43.5)</w:t>
            </w:r>
          </w:p>
          <w:p w14:paraId="7A9BFA82" w14:textId="77777777" w:rsidR="00BA4874" w:rsidRPr="00BD05AE" w:rsidRDefault="00BA4874" w:rsidP="00094E2F">
            <w:pPr>
              <w:pStyle w:val="TableText0"/>
              <w:jc w:val="center"/>
            </w:pPr>
            <w:r w:rsidRPr="00BD05AE">
              <w:t>104 (30.8)</w:t>
            </w:r>
          </w:p>
        </w:tc>
        <w:tc>
          <w:tcPr>
            <w:tcW w:w="550" w:type="pct"/>
            <w:tcBorders>
              <w:top w:val="single" w:sz="4" w:space="0" w:color="auto"/>
              <w:left w:val="single" w:sz="4" w:space="0" w:color="auto"/>
              <w:bottom w:val="single" w:sz="4" w:space="0" w:color="auto"/>
              <w:right w:val="single" w:sz="4" w:space="0" w:color="auto"/>
            </w:tcBorders>
          </w:tcPr>
          <w:p w14:paraId="4CE63993" w14:textId="77777777" w:rsidR="00BA4874" w:rsidRPr="00BD05AE" w:rsidRDefault="00BA4874" w:rsidP="00094E2F">
            <w:pPr>
              <w:pStyle w:val="TableText0"/>
              <w:jc w:val="center"/>
            </w:pPr>
            <w:r w:rsidRPr="00BD05AE">
              <w:t>111 (32.5)</w:t>
            </w:r>
          </w:p>
          <w:p w14:paraId="373B890E" w14:textId="77777777" w:rsidR="00BA4874" w:rsidRPr="00BD05AE" w:rsidRDefault="00BA4874" w:rsidP="00094E2F">
            <w:pPr>
              <w:pStyle w:val="TableText0"/>
              <w:jc w:val="center"/>
            </w:pPr>
            <w:r w:rsidRPr="00BD05AE">
              <w:t>71 (20.8)</w:t>
            </w:r>
          </w:p>
        </w:tc>
        <w:tc>
          <w:tcPr>
            <w:tcW w:w="708" w:type="pct"/>
            <w:tcBorders>
              <w:top w:val="single" w:sz="4" w:space="0" w:color="auto"/>
              <w:left w:val="single" w:sz="4" w:space="0" w:color="auto"/>
              <w:bottom w:val="single" w:sz="4" w:space="0" w:color="auto"/>
              <w:right w:val="single" w:sz="4" w:space="0" w:color="auto"/>
            </w:tcBorders>
          </w:tcPr>
          <w:p w14:paraId="0205B0F6" w14:textId="77777777" w:rsidR="00BA4874" w:rsidRPr="00BD05AE" w:rsidRDefault="00BA4874" w:rsidP="00094E2F">
            <w:pPr>
              <w:pStyle w:val="TableText0"/>
              <w:jc w:val="center"/>
            </w:pPr>
            <w:r w:rsidRPr="00BD05AE">
              <w:t>1.3 (1.1, 1.6)</w:t>
            </w:r>
          </w:p>
          <w:p w14:paraId="2F627CCC" w14:textId="77777777" w:rsidR="00BA4874" w:rsidRPr="00BD05AE" w:rsidRDefault="00BA4874" w:rsidP="00094E2F">
            <w:pPr>
              <w:pStyle w:val="TableText0"/>
              <w:jc w:val="center"/>
            </w:pPr>
            <w:r w:rsidRPr="00BD05AE">
              <w:t>1.5 (1.1, 1.9)</w:t>
            </w:r>
          </w:p>
        </w:tc>
        <w:tc>
          <w:tcPr>
            <w:tcW w:w="915" w:type="pct"/>
            <w:tcBorders>
              <w:top w:val="single" w:sz="4" w:space="0" w:color="auto"/>
              <w:left w:val="single" w:sz="4" w:space="0" w:color="auto"/>
              <w:bottom w:val="single" w:sz="4" w:space="0" w:color="auto"/>
              <w:right w:val="single" w:sz="4" w:space="0" w:color="auto"/>
            </w:tcBorders>
          </w:tcPr>
          <w:p w14:paraId="705A7720" w14:textId="77777777" w:rsidR="00BA4874" w:rsidRPr="00BD05AE" w:rsidRDefault="00BA4874" w:rsidP="00094E2F">
            <w:pPr>
              <w:pStyle w:val="TableText0"/>
              <w:jc w:val="center"/>
            </w:pPr>
            <w:r w:rsidRPr="00BD05AE">
              <w:t>0.11 (0.04, 0.18)</w:t>
            </w:r>
          </w:p>
          <w:p w14:paraId="5998EF60" w14:textId="77777777" w:rsidR="00BA4874" w:rsidRPr="00BD05AE" w:rsidRDefault="00BA4874" w:rsidP="00094E2F">
            <w:pPr>
              <w:pStyle w:val="TableText0"/>
              <w:jc w:val="center"/>
            </w:pPr>
            <w:r w:rsidRPr="00BD05AE">
              <w:t>0.10 (0.03, 0.17)</w:t>
            </w:r>
          </w:p>
        </w:tc>
      </w:tr>
      <w:tr w:rsidR="00BA4874" w:rsidRPr="00A95754" w14:paraId="536C13A5"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111FB54B" w14:textId="77777777" w:rsidR="00BA4874" w:rsidRPr="00A95754" w:rsidRDefault="00BA4874" w:rsidP="00094E2F">
            <w:pPr>
              <w:pStyle w:val="TableText0"/>
            </w:pPr>
            <w:r w:rsidRPr="00A95754">
              <w:t>Any AE of CTCAE Grade 3 or 4</w:t>
            </w:r>
            <w:r w:rsidRPr="00A95754">
              <w:rPr>
                <w:vertAlign w:val="superscript"/>
              </w:rPr>
              <w:t>b</w:t>
            </w:r>
          </w:p>
          <w:p w14:paraId="087AC20F" w14:textId="77777777" w:rsidR="00BA4874" w:rsidRPr="00A95754" w:rsidRDefault="00BA4874" w:rsidP="007C019C">
            <w:pPr>
              <w:pStyle w:val="TableText0"/>
              <w:keepNext w:val="0"/>
              <w:numPr>
                <w:ilvl w:val="0"/>
                <w:numId w:val="9"/>
              </w:numPr>
              <w:spacing w:before="20" w:after="20" w:line="276" w:lineRule="auto"/>
              <w:ind w:left="360"/>
            </w:pPr>
            <w:r w:rsidRPr="00A95754">
              <w:t>Possibly related</w:t>
            </w:r>
            <w:r w:rsidRPr="00A95754">
              <w:rPr>
                <w:vertAlign w:val="superscript"/>
              </w:rPr>
              <w:t>a</w:t>
            </w:r>
          </w:p>
        </w:tc>
        <w:tc>
          <w:tcPr>
            <w:tcW w:w="550" w:type="pct"/>
            <w:tcBorders>
              <w:top w:val="single" w:sz="4" w:space="0" w:color="auto"/>
              <w:left w:val="single" w:sz="4" w:space="0" w:color="auto"/>
              <w:bottom w:val="single" w:sz="4" w:space="0" w:color="auto"/>
              <w:right w:val="single" w:sz="4" w:space="0" w:color="auto"/>
            </w:tcBorders>
          </w:tcPr>
          <w:p w14:paraId="68737BAF" w14:textId="77777777" w:rsidR="00BA4874" w:rsidRPr="00BD05AE" w:rsidRDefault="00BA4874" w:rsidP="00094E2F">
            <w:pPr>
              <w:pStyle w:val="TableText0"/>
              <w:jc w:val="center"/>
            </w:pPr>
            <w:r w:rsidRPr="00BD05AE">
              <w:t>13 (3.8)</w:t>
            </w:r>
          </w:p>
          <w:p w14:paraId="315CD84B" w14:textId="77777777" w:rsidR="00BA4874" w:rsidRPr="00BD05AE" w:rsidRDefault="00BA4874" w:rsidP="00094E2F">
            <w:pPr>
              <w:pStyle w:val="TableText0"/>
              <w:jc w:val="center"/>
            </w:pPr>
            <w:r w:rsidRPr="00BD05AE">
              <w:t>8 (2.4)</w:t>
            </w:r>
          </w:p>
        </w:tc>
        <w:tc>
          <w:tcPr>
            <w:tcW w:w="550" w:type="pct"/>
            <w:tcBorders>
              <w:top w:val="single" w:sz="4" w:space="0" w:color="auto"/>
              <w:left w:val="single" w:sz="4" w:space="0" w:color="auto"/>
              <w:bottom w:val="single" w:sz="4" w:space="0" w:color="auto"/>
              <w:right w:val="single" w:sz="4" w:space="0" w:color="auto"/>
            </w:tcBorders>
          </w:tcPr>
          <w:p w14:paraId="51E2886A" w14:textId="77777777" w:rsidR="00BA4874" w:rsidRPr="00BD05AE" w:rsidRDefault="00BA4874" w:rsidP="00094E2F">
            <w:pPr>
              <w:pStyle w:val="TableText0"/>
              <w:jc w:val="center"/>
            </w:pPr>
            <w:r w:rsidRPr="00BD05AE">
              <w:t>10 (2.9)</w:t>
            </w:r>
          </w:p>
          <w:p w14:paraId="7A983C2C" w14:textId="77777777" w:rsidR="00BA4874" w:rsidRPr="00BD05AE" w:rsidRDefault="00BA4874" w:rsidP="00094E2F">
            <w:pPr>
              <w:pStyle w:val="TableText0"/>
              <w:jc w:val="center"/>
            </w:pPr>
            <w:r w:rsidRPr="00BD05AE">
              <w:t>5 (1.5)</w:t>
            </w:r>
          </w:p>
        </w:tc>
        <w:tc>
          <w:tcPr>
            <w:tcW w:w="708" w:type="pct"/>
            <w:tcBorders>
              <w:top w:val="single" w:sz="4" w:space="0" w:color="auto"/>
              <w:left w:val="single" w:sz="4" w:space="0" w:color="auto"/>
              <w:bottom w:val="single" w:sz="4" w:space="0" w:color="auto"/>
              <w:right w:val="single" w:sz="4" w:space="0" w:color="auto"/>
            </w:tcBorders>
          </w:tcPr>
          <w:p w14:paraId="3D4952E1" w14:textId="77777777" w:rsidR="00BA4874" w:rsidRPr="00BD05AE" w:rsidRDefault="00BA4874" w:rsidP="00094E2F">
            <w:pPr>
              <w:pStyle w:val="TableText0"/>
              <w:jc w:val="center"/>
            </w:pPr>
            <w:r w:rsidRPr="00BD05AE">
              <w:t>1.3 (0.6, 3.0)</w:t>
            </w:r>
          </w:p>
          <w:p w14:paraId="40FD54FC" w14:textId="77777777" w:rsidR="00BA4874" w:rsidRPr="00BD05AE" w:rsidRDefault="00BA4874" w:rsidP="00094E2F">
            <w:pPr>
              <w:pStyle w:val="TableText0"/>
              <w:jc w:val="center"/>
            </w:pPr>
            <w:r w:rsidRPr="00BD05AE">
              <w:t>1.6 (0.5, 4.9)</w:t>
            </w:r>
          </w:p>
        </w:tc>
        <w:tc>
          <w:tcPr>
            <w:tcW w:w="915" w:type="pct"/>
            <w:tcBorders>
              <w:top w:val="single" w:sz="4" w:space="0" w:color="auto"/>
              <w:left w:val="single" w:sz="4" w:space="0" w:color="auto"/>
              <w:bottom w:val="single" w:sz="4" w:space="0" w:color="auto"/>
              <w:right w:val="single" w:sz="4" w:space="0" w:color="auto"/>
            </w:tcBorders>
          </w:tcPr>
          <w:p w14:paraId="51B219D1" w14:textId="77777777" w:rsidR="00BA4874" w:rsidRPr="00BD05AE" w:rsidRDefault="00BA4874" w:rsidP="00094E2F">
            <w:pPr>
              <w:pStyle w:val="TableText0"/>
              <w:jc w:val="center"/>
            </w:pPr>
            <w:r w:rsidRPr="00BD05AE">
              <w:t>0.01 (-0.02, 0.04)</w:t>
            </w:r>
          </w:p>
          <w:p w14:paraId="389551B3" w14:textId="77777777" w:rsidR="00BA4874" w:rsidRPr="00BD05AE" w:rsidRDefault="00BA4874" w:rsidP="00094E2F">
            <w:pPr>
              <w:pStyle w:val="TableText0"/>
              <w:jc w:val="center"/>
            </w:pPr>
            <w:r w:rsidRPr="00BD05AE">
              <w:t>0.01 (-0.01, 0.03)</w:t>
            </w:r>
          </w:p>
        </w:tc>
      </w:tr>
      <w:tr w:rsidR="00BA4874" w:rsidRPr="00A95754" w14:paraId="57A7D8B3"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hideMark/>
          </w:tcPr>
          <w:p w14:paraId="743A960D" w14:textId="77777777" w:rsidR="00BA4874" w:rsidRPr="00A95754" w:rsidRDefault="00BA4874" w:rsidP="00094E2F">
            <w:pPr>
              <w:pStyle w:val="TableText0"/>
            </w:pPr>
            <w:r w:rsidRPr="00A95754">
              <w:t>Any SAE (including death)</w:t>
            </w:r>
          </w:p>
          <w:p w14:paraId="069B6D42" w14:textId="77777777" w:rsidR="00BA4874" w:rsidRPr="00A95754" w:rsidRDefault="00BA4874" w:rsidP="007C019C">
            <w:pPr>
              <w:pStyle w:val="TableText0"/>
              <w:keepNext w:val="0"/>
              <w:numPr>
                <w:ilvl w:val="0"/>
                <w:numId w:val="9"/>
              </w:numPr>
              <w:spacing w:before="20" w:after="20" w:line="276" w:lineRule="auto"/>
              <w:ind w:left="360"/>
            </w:pPr>
            <w:r w:rsidRPr="00A95754">
              <w:t>Possibly related</w:t>
            </w:r>
            <w:r w:rsidRPr="00A95754">
              <w:rPr>
                <w:vertAlign w:val="superscript"/>
              </w:rPr>
              <w:t>a</w:t>
            </w:r>
          </w:p>
        </w:tc>
        <w:tc>
          <w:tcPr>
            <w:tcW w:w="550" w:type="pct"/>
            <w:tcBorders>
              <w:top w:val="single" w:sz="4" w:space="0" w:color="auto"/>
              <w:left w:val="single" w:sz="4" w:space="0" w:color="auto"/>
              <w:bottom w:val="single" w:sz="4" w:space="0" w:color="auto"/>
              <w:right w:val="single" w:sz="4" w:space="0" w:color="auto"/>
            </w:tcBorders>
          </w:tcPr>
          <w:p w14:paraId="13BB2C42" w14:textId="77777777" w:rsidR="00BA4874" w:rsidRPr="00BD05AE" w:rsidRDefault="00BA4874" w:rsidP="00094E2F">
            <w:pPr>
              <w:pStyle w:val="TableText0"/>
              <w:jc w:val="center"/>
            </w:pPr>
            <w:r w:rsidRPr="00BD05AE">
              <w:t>13 (3.8)</w:t>
            </w:r>
          </w:p>
          <w:p w14:paraId="0E9DAB0F" w14:textId="77777777" w:rsidR="00BA4874" w:rsidRPr="00BD05AE" w:rsidRDefault="00BA4874" w:rsidP="00094E2F">
            <w:pPr>
              <w:pStyle w:val="TableText0"/>
              <w:jc w:val="center"/>
            </w:pPr>
            <w:r w:rsidRPr="00BD05AE">
              <w:t>9 (2.7)</w:t>
            </w:r>
          </w:p>
        </w:tc>
        <w:tc>
          <w:tcPr>
            <w:tcW w:w="550" w:type="pct"/>
            <w:tcBorders>
              <w:top w:val="single" w:sz="4" w:space="0" w:color="auto"/>
              <w:left w:val="single" w:sz="4" w:space="0" w:color="auto"/>
              <w:bottom w:val="single" w:sz="4" w:space="0" w:color="auto"/>
              <w:right w:val="single" w:sz="4" w:space="0" w:color="auto"/>
            </w:tcBorders>
          </w:tcPr>
          <w:p w14:paraId="51B81213" w14:textId="77777777" w:rsidR="00BA4874" w:rsidRPr="00BD05AE" w:rsidRDefault="00BA4874" w:rsidP="00094E2F">
            <w:pPr>
              <w:pStyle w:val="TableText0"/>
              <w:jc w:val="center"/>
            </w:pPr>
            <w:r w:rsidRPr="00BD05AE">
              <w:t>10 (2.9)</w:t>
            </w:r>
          </w:p>
          <w:p w14:paraId="1D9A4283" w14:textId="77777777" w:rsidR="00BA4874" w:rsidRPr="00BD05AE" w:rsidRDefault="00BA4874" w:rsidP="00094E2F">
            <w:pPr>
              <w:pStyle w:val="TableText0"/>
              <w:jc w:val="center"/>
            </w:pPr>
            <w:r w:rsidRPr="00BD05AE">
              <w:t>7 (2.0)</w:t>
            </w:r>
          </w:p>
        </w:tc>
        <w:tc>
          <w:tcPr>
            <w:tcW w:w="708" w:type="pct"/>
            <w:tcBorders>
              <w:top w:val="single" w:sz="4" w:space="0" w:color="auto"/>
              <w:left w:val="single" w:sz="4" w:space="0" w:color="auto"/>
              <w:bottom w:val="single" w:sz="4" w:space="0" w:color="auto"/>
              <w:right w:val="single" w:sz="4" w:space="0" w:color="auto"/>
            </w:tcBorders>
          </w:tcPr>
          <w:p w14:paraId="41F66CBD" w14:textId="77777777" w:rsidR="00BA4874" w:rsidRPr="00BD05AE" w:rsidRDefault="00BA4874" w:rsidP="00094E2F">
            <w:pPr>
              <w:pStyle w:val="TableText0"/>
              <w:jc w:val="center"/>
            </w:pPr>
            <w:r w:rsidRPr="00BD05AE">
              <w:t>1.3 (0.6, 3.0)</w:t>
            </w:r>
          </w:p>
          <w:p w14:paraId="25B65DA3" w14:textId="77777777" w:rsidR="00BA4874" w:rsidRPr="00BD05AE" w:rsidRDefault="00BA4874" w:rsidP="00094E2F">
            <w:pPr>
              <w:pStyle w:val="TableText0"/>
              <w:jc w:val="center"/>
            </w:pPr>
            <w:r w:rsidRPr="00BD05AE">
              <w:t>1.3 (0.5, 3.5)</w:t>
            </w:r>
          </w:p>
        </w:tc>
        <w:tc>
          <w:tcPr>
            <w:tcW w:w="915" w:type="pct"/>
            <w:tcBorders>
              <w:top w:val="single" w:sz="4" w:space="0" w:color="auto"/>
              <w:left w:val="single" w:sz="4" w:space="0" w:color="auto"/>
              <w:bottom w:val="single" w:sz="4" w:space="0" w:color="auto"/>
              <w:right w:val="single" w:sz="4" w:space="0" w:color="auto"/>
            </w:tcBorders>
          </w:tcPr>
          <w:p w14:paraId="6032FAEC" w14:textId="77777777" w:rsidR="00BA4874" w:rsidRPr="00BD05AE" w:rsidRDefault="00BA4874" w:rsidP="00094E2F">
            <w:pPr>
              <w:pStyle w:val="TableText0"/>
              <w:jc w:val="center"/>
            </w:pPr>
            <w:r w:rsidRPr="00BD05AE">
              <w:t>0.01 (-0.02, 0.04)</w:t>
            </w:r>
          </w:p>
          <w:p w14:paraId="1ED11F3B" w14:textId="77777777" w:rsidR="00BA4874" w:rsidRPr="00BD05AE" w:rsidRDefault="00BA4874" w:rsidP="00094E2F">
            <w:pPr>
              <w:pStyle w:val="TableText0"/>
              <w:jc w:val="center"/>
            </w:pPr>
            <w:r w:rsidRPr="00BD05AE">
              <w:t>0.01 (-0.02, 0.03)</w:t>
            </w:r>
          </w:p>
        </w:tc>
      </w:tr>
      <w:tr w:rsidR="00BA4874" w:rsidRPr="00A95754" w14:paraId="782E4BEE"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5D3122B1" w14:textId="77777777" w:rsidR="00BA4874" w:rsidRPr="00A95754" w:rsidRDefault="00BA4874" w:rsidP="00094E2F">
            <w:pPr>
              <w:pStyle w:val="TableText0"/>
            </w:pPr>
            <w:r w:rsidRPr="00A95754">
              <w:t>Any AE with outcome of death</w:t>
            </w:r>
          </w:p>
          <w:p w14:paraId="410CCE12" w14:textId="77777777" w:rsidR="00BA4874" w:rsidRPr="00A95754" w:rsidRDefault="00BA4874" w:rsidP="007C019C">
            <w:pPr>
              <w:pStyle w:val="TableText0"/>
              <w:keepNext w:val="0"/>
              <w:numPr>
                <w:ilvl w:val="0"/>
                <w:numId w:val="9"/>
              </w:numPr>
              <w:spacing w:before="20" w:after="20" w:line="276" w:lineRule="auto"/>
              <w:ind w:left="360"/>
            </w:pPr>
            <w:r w:rsidRPr="00A95754">
              <w:t>Possibly related</w:t>
            </w:r>
            <w:r w:rsidRPr="00A95754">
              <w:rPr>
                <w:vertAlign w:val="superscript"/>
              </w:rPr>
              <w:t>a</w:t>
            </w:r>
          </w:p>
        </w:tc>
        <w:tc>
          <w:tcPr>
            <w:tcW w:w="550" w:type="pct"/>
            <w:tcBorders>
              <w:top w:val="single" w:sz="4" w:space="0" w:color="auto"/>
              <w:left w:val="single" w:sz="4" w:space="0" w:color="auto"/>
              <w:bottom w:val="single" w:sz="4" w:space="0" w:color="auto"/>
              <w:right w:val="single" w:sz="4" w:space="0" w:color="auto"/>
            </w:tcBorders>
          </w:tcPr>
          <w:p w14:paraId="234A665A" w14:textId="77777777" w:rsidR="00BA4874" w:rsidRPr="00BD05AE" w:rsidRDefault="00BA4874" w:rsidP="00094E2F">
            <w:pPr>
              <w:pStyle w:val="TableText0"/>
              <w:jc w:val="center"/>
            </w:pPr>
            <w:r w:rsidRPr="00BD05AE">
              <w:t>0</w:t>
            </w:r>
          </w:p>
          <w:p w14:paraId="78454E0E" w14:textId="77777777" w:rsidR="00BA4874" w:rsidRPr="00BD05AE" w:rsidRDefault="00BA4874" w:rsidP="00094E2F">
            <w:pPr>
              <w:pStyle w:val="TableText0"/>
              <w:jc w:val="center"/>
            </w:pPr>
            <w:r w:rsidRPr="00BD05AE">
              <w:t>0</w:t>
            </w:r>
          </w:p>
        </w:tc>
        <w:tc>
          <w:tcPr>
            <w:tcW w:w="550" w:type="pct"/>
            <w:tcBorders>
              <w:top w:val="single" w:sz="4" w:space="0" w:color="auto"/>
              <w:left w:val="single" w:sz="4" w:space="0" w:color="auto"/>
              <w:bottom w:val="single" w:sz="4" w:space="0" w:color="auto"/>
              <w:right w:val="single" w:sz="4" w:space="0" w:color="auto"/>
            </w:tcBorders>
          </w:tcPr>
          <w:p w14:paraId="15D0543E" w14:textId="77777777" w:rsidR="00BA4874" w:rsidRPr="00BD05AE" w:rsidRDefault="00BA4874" w:rsidP="00094E2F">
            <w:pPr>
              <w:pStyle w:val="TableText0"/>
              <w:jc w:val="center"/>
            </w:pPr>
            <w:r w:rsidRPr="00BD05AE">
              <w:t>1 (0.3)</w:t>
            </w:r>
            <w:r w:rsidRPr="00BD05AE">
              <w:rPr>
                <w:vertAlign w:val="superscript"/>
              </w:rPr>
              <w:t>d</w:t>
            </w:r>
          </w:p>
          <w:p w14:paraId="743C8A63" w14:textId="77777777" w:rsidR="00BA4874" w:rsidRPr="00BD05AE" w:rsidRDefault="00BA4874" w:rsidP="00094E2F">
            <w:pPr>
              <w:pStyle w:val="TableText0"/>
              <w:jc w:val="center"/>
            </w:pPr>
            <w:r w:rsidRPr="00BD05AE">
              <w:t>1 (0.3)</w:t>
            </w:r>
          </w:p>
        </w:tc>
        <w:tc>
          <w:tcPr>
            <w:tcW w:w="708" w:type="pct"/>
            <w:tcBorders>
              <w:top w:val="single" w:sz="4" w:space="0" w:color="auto"/>
              <w:left w:val="single" w:sz="4" w:space="0" w:color="auto"/>
              <w:bottom w:val="single" w:sz="4" w:space="0" w:color="auto"/>
              <w:right w:val="single" w:sz="4" w:space="0" w:color="auto"/>
            </w:tcBorders>
          </w:tcPr>
          <w:p w14:paraId="5195FD30" w14:textId="77777777" w:rsidR="00BA4874" w:rsidRPr="00BD05AE" w:rsidRDefault="00BA4874" w:rsidP="00094E2F">
            <w:pPr>
              <w:pStyle w:val="TableText0"/>
              <w:jc w:val="center"/>
            </w:pPr>
            <w:r w:rsidRPr="00BD05AE">
              <w:t>0.3 (0.0, 8.2)</w:t>
            </w:r>
          </w:p>
          <w:p w14:paraId="021EF2C8" w14:textId="77777777" w:rsidR="00BA4874" w:rsidRPr="00BD05AE" w:rsidRDefault="00BA4874" w:rsidP="00094E2F">
            <w:pPr>
              <w:pStyle w:val="TableText0"/>
              <w:jc w:val="center"/>
            </w:pPr>
            <w:r w:rsidRPr="00BD05AE">
              <w:t>0.3 (0.0, 8.2)</w:t>
            </w:r>
          </w:p>
        </w:tc>
        <w:tc>
          <w:tcPr>
            <w:tcW w:w="915" w:type="pct"/>
            <w:tcBorders>
              <w:top w:val="single" w:sz="4" w:space="0" w:color="auto"/>
              <w:left w:val="single" w:sz="4" w:space="0" w:color="auto"/>
              <w:bottom w:val="single" w:sz="4" w:space="0" w:color="auto"/>
              <w:right w:val="single" w:sz="4" w:space="0" w:color="auto"/>
            </w:tcBorders>
          </w:tcPr>
          <w:p w14:paraId="78549C0C" w14:textId="77777777" w:rsidR="00BA4874" w:rsidRPr="00BD05AE" w:rsidRDefault="00BA4874" w:rsidP="00094E2F">
            <w:pPr>
              <w:pStyle w:val="TableText0"/>
              <w:jc w:val="center"/>
            </w:pPr>
            <w:r w:rsidRPr="00BD05AE">
              <w:t>-0.00 (-0.01, 0.01)</w:t>
            </w:r>
          </w:p>
          <w:p w14:paraId="60F37DCF" w14:textId="77777777" w:rsidR="00BA4874" w:rsidRPr="00BD05AE" w:rsidRDefault="00BA4874" w:rsidP="00094E2F">
            <w:pPr>
              <w:pStyle w:val="TableText0"/>
              <w:jc w:val="center"/>
            </w:pPr>
            <w:r w:rsidRPr="00BD05AE">
              <w:t>-0.00 (-0.01, 0.01)</w:t>
            </w:r>
          </w:p>
        </w:tc>
      </w:tr>
      <w:tr w:rsidR="00BA4874" w:rsidRPr="00A95754" w14:paraId="758AE7FD"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2323F295" w14:textId="77777777" w:rsidR="00BA4874" w:rsidRPr="00A95754" w:rsidRDefault="00BA4874" w:rsidP="00094E2F">
            <w:pPr>
              <w:pStyle w:val="TableText0"/>
            </w:pPr>
            <w:r w:rsidRPr="00A95754">
              <w:t>Received systemic corticosteroids</w:t>
            </w:r>
          </w:p>
        </w:tc>
        <w:tc>
          <w:tcPr>
            <w:tcW w:w="550" w:type="pct"/>
            <w:tcBorders>
              <w:top w:val="single" w:sz="4" w:space="0" w:color="auto"/>
              <w:left w:val="single" w:sz="4" w:space="0" w:color="auto"/>
              <w:bottom w:val="single" w:sz="4" w:space="0" w:color="auto"/>
              <w:right w:val="single" w:sz="4" w:space="0" w:color="auto"/>
            </w:tcBorders>
          </w:tcPr>
          <w:p w14:paraId="351E0131" w14:textId="77777777" w:rsidR="00BA4874" w:rsidRPr="00BD05AE" w:rsidRDefault="00BA4874" w:rsidP="00094E2F">
            <w:pPr>
              <w:pStyle w:val="TableText0"/>
              <w:jc w:val="center"/>
            </w:pPr>
            <w:r w:rsidRPr="00BD05AE">
              <w:t>28 (8.3)</w:t>
            </w:r>
          </w:p>
        </w:tc>
        <w:tc>
          <w:tcPr>
            <w:tcW w:w="550" w:type="pct"/>
            <w:tcBorders>
              <w:top w:val="single" w:sz="4" w:space="0" w:color="auto"/>
              <w:left w:val="single" w:sz="4" w:space="0" w:color="auto"/>
              <w:bottom w:val="single" w:sz="4" w:space="0" w:color="auto"/>
              <w:right w:val="single" w:sz="4" w:space="0" w:color="auto"/>
            </w:tcBorders>
          </w:tcPr>
          <w:p w14:paraId="5B207E14" w14:textId="77777777" w:rsidR="00BA4874" w:rsidRPr="00BD05AE" w:rsidRDefault="00BA4874" w:rsidP="00094E2F">
            <w:pPr>
              <w:pStyle w:val="TableText0"/>
              <w:jc w:val="center"/>
            </w:pPr>
            <w:r w:rsidRPr="00BD05AE">
              <w:t>8 (2.3)</w:t>
            </w:r>
          </w:p>
        </w:tc>
        <w:tc>
          <w:tcPr>
            <w:tcW w:w="708" w:type="pct"/>
            <w:tcBorders>
              <w:top w:val="single" w:sz="4" w:space="0" w:color="auto"/>
              <w:left w:val="single" w:sz="4" w:space="0" w:color="auto"/>
              <w:bottom w:val="single" w:sz="4" w:space="0" w:color="auto"/>
              <w:right w:val="single" w:sz="4" w:space="0" w:color="auto"/>
            </w:tcBorders>
          </w:tcPr>
          <w:p w14:paraId="0891B7D6" w14:textId="77777777" w:rsidR="00BA4874" w:rsidRPr="00BD05AE" w:rsidRDefault="00BA4874" w:rsidP="00094E2F">
            <w:pPr>
              <w:pStyle w:val="TableText0"/>
              <w:jc w:val="center"/>
            </w:pPr>
            <w:r w:rsidRPr="00BD05AE">
              <w:t>3.5 (1.6, 7.7)</w:t>
            </w:r>
          </w:p>
        </w:tc>
        <w:tc>
          <w:tcPr>
            <w:tcW w:w="915" w:type="pct"/>
            <w:tcBorders>
              <w:top w:val="single" w:sz="4" w:space="0" w:color="auto"/>
              <w:left w:val="single" w:sz="4" w:space="0" w:color="auto"/>
              <w:bottom w:val="single" w:sz="4" w:space="0" w:color="auto"/>
              <w:right w:val="single" w:sz="4" w:space="0" w:color="auto"/>
            </w:tcBorders>
          </w:tcPr>
          <w:p w14:paraId="594635CD" w14:textId="77777777" w:rsidR="00BA4874" w:rsidRPr="00BD05AE" w:rsidRDefault="00BA4874" w:rsidP="00094E2F">
            <w:pPr>
              <w:pStyle w:val="TableText0"/>
              <w:jc w:val="center"/>
            </w:pPr>
            <w:r w:rsidRPr="00BD05AE">
              <w:t>0.06 (0.03, 0.09)</w:t>
            </w:r>
          </w:p>
        </w:tc>
      </w:tr>
      <w:tr w:rsidR="00BA4874" w:rsidRPr="00A95754" w14:paraId="3D8FD4A1"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6CF2D20A" w14:textId="77777777" w:rsidR="00BA4874" w:rsidRPr="00A95754" w:rsidRDefault="00BA4874" w:rsidP="00094E2F">
            <w:pPr>
              <w:pStyle w:val="TableText0"/>
            </w:pPr>
            <w:r w:rsidRPr="00A95754">
              <w:t>Received high dose steroids</w:t>
            </w:r>
          </w:p>
        </w:tc>
        <w:tc>
          <w:tcPr>
            <w:tcW w:w="550" w:type="pct"/>
            <w:tcBorders>
              <w:top w:val="single" w:sz="4" w:space="0" w:color="auto"/>
              <w:left w:val="single" w:sz="4" w:space="0" w:color="auto"/>
              <w:bottom w:val="single" w:sz="4" w:space="0" w:color="auto"/>
              <w:right w:val="single" w:sz="4" w:space="0" w:color="auto"/>
            </w:tcBorders>
          </w:tcPr>
          <w:p w14:paraId="3A70B0A9" w14:textId="77777777" w:rsidR="00BA4874" w:rsidRPr="00BD05AE" w:rsidRDefault="00BA4874" w:rsidP="00094E2F">
            <w:pPr>
              <w:pStyle w:val="TableText0"/>
              <w:jc w:val="center"/>
            </w:pPr>
            <w:r w:rsidRPr="00BD05AE">
              <w:t>13 (3.8)</w:t>
            </w:r>
          </w:p>
        </w:tc>
        <w:tc>
          <w:tcPr>
            <w:tcW w:w="550" w:type="pct"/>
            <w:tcBorders>
              <w:top w:val="single" w:sz="4" w:space="0" w:color="auto"/>
              <w:left w:val="single" w:sz="4" w:space="0" w:color="auto"/>
              <w:bottom w:val="single" w:sz="4" w:space="0" w:color="auto"/>
              <w:right w:val="single" w:sz="4" w:space="0" w:color="auto"/>
            </w:tcBorders>
          </w:tcPr>
          <w:p w14:paraId="103613F2" w14:textId="77777777" w:rsidR="00BA4874" w:rsidRPr="00BD05AE" w:rsidRDefault="00BA4874" w:rsidP="00094E2F">
            <w:pPr>
              <w:pStyle w:val="TableText0"/>
              <w:jc w:val="center"/>
            </w:pPr>
            <w:r w:rsidRPr="00BD05AE">
              <w:t>6 (1.8)</w:t>
            </w:r>
          </w:p>
        </w:tc>
        <w:tc>
          <w:tcPr>
            <w:tcW w:w="708" w:type="pct"/>
            <w:tcBorders>
              <w:top w:val="single" w:sz="4" w:space="0" w:color="auto"/>
              <w:left w:val="single" w:sz="4" w:space="0" w:color="auto"/>
              <w:bottom w:val="single" w:sz="4" w:space="0" w:color="auto"/>
              <w:right w:val="single" w:sz="4" w:space="0" w:color="auto"/>
            </w:tcBorders>
          </w:tcPr>
          <w:p w14:paraId="05A7E882" w14:textId="77777777" w:rsidR="00BA4874" w:rsidRPr="00BD05AE" w:rsidRDefault="00BA4874" w:rsidP="00094E2F">
            <w:pPr>
              <w:pStyle w:val="TableText0"/>
              <w:jc w:val="center"/>
            </w:pPr>
            <w:r w:rsidRPr="00BD05AE">
              <w:t>2.2 (0.8, 5.7)</w:t>
            </w:r>
          </w:p>
        </w:tc>
        <w:tc>
          <w:tcPr>
            <w:tcW w:w="915" w:type="pct"/>
            <w:tcBorders>
              <w:top w:val="single" w:sz="4" w:space="0" w:color="auto"/>
              <w:left w:val="single" w:sz="4" w:space="0" w:color="auto"/>
              <w:bottom w:val="single" w:sz="4" w:space="0" w:color="auto"/>
              <w:right w:val="single" w:sz="4" w:space="0" w:color="auto"/>
            </w:tcBorders>
          </w:tcPr>
          <w:p w14:paraId="158F828B" w14:textId="77777777" w:rsidR="00BA4874" w:rsidRPr="00BD05AE" w:rsidRDefault="00BA4874" w:rsidP="00094E2F">
            <w:pPr>
              <w:pStyle w:val="TableText0"/>
              <w:jc w:val="center"/>
            </w:pPr>
            <w:r w:rsidRPr="00BD05AE">
              <w:t>0.02 (-0.00, 0.05)</w:t>
            </w:r>
          </w:p>
        </w:tc>
      </w:tr>
      <w:tr w:rsidR="00BA4874" w:rsidRPr="00A95754" w14:paraId="66033005"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51DCFEED" w14:textId="77777777" w:rsidR="00BA4874" w:rsidRPr="00A95754" w:rsidRDefault="00BA4874" w:rsidP="00094E2F">
            <w:pPr>
              <w:pStyle w:val="TableText0"/>
            </w:pPr>
            <w:r w:rsidRPr="00A95754">
              <w:t>Received endocrine therapy</w:t>
            </w:r>
          </w:p>
        </w:tc>
        <w:tc>
          <w:tcPr>
            <w:tcW w:w="550" w:type="pct"/>
            <w:tcBorders>
              <w:top w:val="single" w:sz="4" w:space="0" w:color="auto"/>
              <w:left w:val="single" w:sz="4" w:space="0" w:color="auto"/>
              <w:bottom w:val="single" w:sz="4" w:space="0" w:color="auto"/>
              <w:right w:val="single" w:sz="4" w:space="0" w:color="auto"/>
            </w:tcBorders>
          </w:tcPr>
          <w:p w14:paraId="262CAD28" w14:textId="77777777" w:rsidR="00BA4874" w:rsidRPr="00BD05AE" w:rsidRDefault="00BA4874" w:rsidP="00094E2F">
            <w:pPr>
              <w:pStyle w:val="TableText0"/>
              <w:jc w:val="center"/>
            </w:pPr>
            <w:r w:rsidRPr="00BD05AE">
              <w:t>24 (7.1)</w:t>
            </w:r>
          </w:p>
        </w:tc>
        <w:tc>
          <w:tcPr>
            <w:tcW w:w="550" w:type="pct"/>
            <w:tcBorders>
              <w:top w:val="single" w:sz="4" w:space="0" w:color="auto"/>
              <w:left w:val="single" w:sz="4" w:space="0" w:color="auto"/>
              <w:bottom w:val="single" w:sz="4" w:space="0" w:color="auto"/>
              <w:right w:val="single" w:sz="4" w:space="0" w:color="auto"/>
            </w:tcBorders>
          </w:tcPr>
          <w:p w14:paraId="1AFB8FF4" w14:textId="77777777" w:rsidR="00BA4874" w:rsidRPr="00BD05AE" w:rsidRDefault="00BA4874" w:rsidP="00094E2F">
            <w:pPr>
              <w:pStyle w:val="TableText0"/>
              <w:jc w:val="center"/>
            </w:pPr>
            <w:r w:rsidRPr="00BD05AE">
              <w:t>5 (1.5)</w:t>
            </w:r>
          </w:p>
        </w:tc>
        <w:tc>
          <w:tcPr>
            <w:tcW w:w="708" w:type="pct"/>
            <w:tcBorders>
              <w:top w:val="single" w:sz="4" w:space="0" w:color="auto"/>
              <w:left w:val="single" w:sz="4" w:space="0" w:color="auto"/>
              <w:bottom w:val="single" w:sz="4" w:space="0" w:color="auto"/>
              <w:right w:val="single" w:sz="4" w:space="0" w:color="auto"/>
            </w:tcBorders>
          </w:tcPr>
          <w:p w14:paraId="3FCE54DD" w14:textId="77777777" w:rsidR="00BA4874" w:rsidRPr="00BD05AE" w:rsidRDefault="00BA4874" w:rsidP="00094E2F">
            <w:pPr>
              <w:pStyle w:val="TableText0"/>
              <w:jc w:val="center"/>
            </w:pPr>
            <w:r w:rsidRPr="00BD05AE">
              <w:t>4.9 (1.9, 12.6)</w:t>
            </w:r>
          </w:p>
        </w:tc>
        <w:tc>
          <w:tcPr>
            <w:tcW w:w="915" w:type="pct"/>
            <w:tcBorders>
              <w:top w:val="single" w:sz="4" w:space="0" w:color="auto"/>
              <w:left w:val="single" w:sz="4" w:space="0" w:color="auto"/>
              <w:bottom w:val="single" w:sz="4" w:space="0" w:color="auto"/>
              <w:right w:val="single" w:sz="4" w:space="0" w:color="auto"/>
            </w:tcBorders>
          </w:tcPr>
          <w:p w14:paraId="699A783A" w14:textId="77777777" w:rsidR="00BA4874" w:rsidRPr="00BD05AE" w:rsidRDefault="00BA4874" w:rsidP="00094E2F">
            <w:pPr>
              <w:pStyle w:val="TableText0"/>
              <w:jc w:val="center"/>
            </w:pPr>
            <w:r w:rsidRPr="00BD05AE">
              <w:t>0.06 (0.03, 0.09)</w:t>
            </w:r>
          </w:p>
        </w:tc>
      </w:tr>
      <w:tr w:rsidR="00BA4874" w:rsidRPr="00A95754" w14:paraId="20BB1C08"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23561FB0" w14:textId="77777777" w:rsidR="00BA4874" w:rsidRPr="00A95754" w:rsidRDefault="00BA4874" w:rsidP="00094E2F">
            <w:pPr>
              <w:pStyle w:val="TableText0"/>
            </w:pPr>
            <w:r w:rsidRPr="00A95754">
              <w:t>Any AE leading to discontinuation of study treatment</w:t>
            </w:r>
            <w:r w:rsidRPr="00A95754">
              <w:rPr>
                <w:vertAlign w:val="superscript"/>
              </w:rPr>
              <w:t>c</w:t>
            </w:r>
          </w:p>
        </w:tc>
        <w:tc>
          <w:tcPr>
            <w:tcW w:w="550" w:type="pct"/>
            <w:tcBorders>
              <w:top w:val="single" w:sz="4" w:space="0" w:color="auto"/>
              <w:left w:val="single" w:sz="4" w:space="0" w:color="auto"/>
              <w:bottom w:val="single" w:sz="4" w:space="0" w:color="auto"/>
              <w:right w:val="single" w:sz="4" w:space="0" w:color="auto"/>
            </w:tcBorders>
          </w:tcPr>
          <w:p w14:paraId="3A0A5DAF" w14:textId="77777777" w:rsidR="00BA4874" w:rsidRPr="00BD05AE" w:rsidRDefault="00BA4874" w:rsidP="00094E2F">
            <w:pPr>
              <w:pStyle w:val="TableText0"/>
              <w:jc w:val="center"/>
            </w:pPr>
            <w:r w:rsidRPr="00BD05AE">
              <w:t>3 (0.9)</w:t>
            </w:r>
          </w:p>
        </w:tc>
        <w:tc>
          <w:tcPr>
            <w:tcW w:w="550" w:type="pct"/>
            <w:tcBorders>
              <w:top w:val="single" w:sz="4" w:space="0" w:color="auto"/>
              <w:left w:val="single" w:sz="4" w:space="0" w:color="auto"/>
              <w:bottom w:val="single" w:sz="4" w:space="0" w:color="auto"/>
              <w:right w:val="single" w:sz="4" w:space="0" w:color="auto"/>
            </w:tcBorders>
          </w:tcPr>
          <w:p w14:paraId="3AB8C5A3" w14:textId="77777777" w:rsidR="00BA4874" w:rsidRPr="00BD05AE" w:rsidRDefault="00BA4874" w:rsidP="00094E2F">
            <w:pPr>
              <w:pStyle w:val="TableText0"/>
              <w:jc w:val="center"/>
            </w:pPr>
            <w:r w:rsidRPr="00BD05AE">
              <w:t>4 (1.2)</w:t>
            </w:r>
          </w:p>
        </w:tc>
        <w:tc>
          <w:tcPr>
            <w:tcW w:w="708" w:type="pct"/>
            <w:tcBorders>
              <w:top w:val="single" w:sz="4" w:space="0" w:color="auto"/>
              <w:left w:val="single" w:sz="4" w:space="0" w:color="auto"/>
              <w:bottom w:val="single" w:sz="4" w:space="0" w:color="auto"/>
              <w:right w:val="single" w:sz="4" w:space="0" w:color="auto"/>
            </w:tcBorders>
          </w:tcPr>
          <w:p w14:paraId="5D82C77E" w14:textId="77777777" w:rsidR="00BA4874" w:rsidRPr="00BD05AE" w:rsidRDefault="00BA4874" w:rsidP="00094E2F">
            <w:pPr>
              <w:pStyle w:val="TableText0"/>
              <w:jc w:val="center"/>
            </w:pPr>
            <w:r w:rsidRPr="00BD05AE">
              <w:t>0.8 (0.2, 3.4)</w:t>
            </w:r>
          </w:p>
        </w:tc>
        <w:tc>
          <w:tcPr>
            <w:tcW w:w="915" w:type="pct"/>
            <w:tcBorders>
              <w:top w:val="single" w:sz="4" w:space="0" w:color="auto"/>
              <w:left w:val="single" w:sz="4" w:space="0" w:color="auto"/>
              <w:bottom w:val="single" w:sz="4" w:space="0" w:color="auto"/>
              <w:right w:val="single" w:sz="4" w:space="0" w:color="auto"/>
            </w:tcBorders>
          </w:tcPr>
          <w:p w14:paraId="7D2C1F56" w14:textId="77777777" w:rsidR="00BA4874" w:rsidRPr="00BD05AE" w:rsidRDefault="00BA4874" w:rsidP="00094E2F">
            <w:pPr>
              <w:pStyle w:val="TableText0"/>
              <w:jc w:val="center"/>
            </w:pPr>
            <w:r w:rsidRPr="00BD05AE">
              <w:t>-0.00 (-0.02, 0.01)</w:t>
            </w:r>
          </w:p>
        </w:tc>
      </w:tr>
      <w:tr w:rsidR="00BA4874" w:rsidRPr="00A95754" w14:paraId="6A4C13E8"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452F2710" w14:textId="77777777" w:rsidR="00BA4874" w:rsidRPr="00A95754" w:rsidRDefault="00BA4874" w:rsidP="00094E2F">
            <w:pPr>
              <w:pStyle w:val="TableText0"/>
            </w:pPr>
            <w:r w:rsidRPr="00A95754">
              <w:t>Event outcome resolved</w:t>
            </w:r>
          </w:p>
        </w:tc>
        <w:tc>
          <w:tcPr>
            <w:tcW w:w="550" w:type="pct"/>
            <w:tcBorders>
              <w:top w:val="single" w:sz="4" w:space="0" w:color="auto"/>
              <w:left w:val="single" w:sz="4" w:space="0" w:color="auto"/>
              <w:bottom w:val="single" w:sz="4" w:space="0" w:color="auto"/>
              <w:right w:val="single" w:sz="4" w:space="0" w:color="auto"/>
            </w:tcBorders>
          </w:tcPr>
          <w:p w14:paraId="3CFA6794" w14:textId="77777777" w:rsidR="00BA4874" w:rsidRPr="00BD05AE" w:rsidRDefault="00BA4874" w:rsidP="00094E2F">
            <w:pPr>
              <w:pStyle w:val="TableText0"/>
              <w:jc w:val="center"/>
            </w:pPr>
            <w:r w:rsidRPr="00BD05AE">
              <w:t>109 (32.2)</w:t>
            </w:r>
          </w:p>
        </w:tc>
        <w:tc>
          <w:tcPr>
            <w:tcW w:w="550" w:type="pct"/>
            <w:tcBorders>
              <w:top w:val="single" w:sz="4" w:space="0" w:color="auto"/>
              <w:left w:val="single" w:sz="4" w:space="0" w:color="auto"/>
              <w:bottom w:val="single" w:sz="4" w:space="0" w:color="auto"/>
              <w:right w:val="single" w:sz="4" w:space="0" w:color="auto"/>
            </w:tcBorders>
          </w:tcPr>
          <w:p w14:paraId="6D647FA4" w14:textId="77777777" w:rsidR="00BA4874" w:rsidRPr="00BD05AE" w:rsidRDefault="00BA4874" w:rsidP="00094E2F">
            <w:pPr>
              <w:pStyle w:val="TableText0"/>
              <w:jc w:val="center"/>
            </w:pPr>
            <w:r w:rsidRPr="00BD05AE">
              <w:t>89 (26.0)</w:t>
            </w:r>
          </w:p>
        </w:tc>
        <w:tc>
          <w:tcPr>
            <w:tcW w:w="708" w:type="pct"/>
            <w:tcBorders>
              <w:top w:val="single" w:sz="4" w:space="0" w:color="auto"/>
              <w:left w:val="single" w:sz="4" w:space="0" w:color="auto"/>
              <w:bottom w:val="single" w:sz="4" w:space="0" w:color="auto"/>
              <w:right w:val="single" w:sz="4" w:space="0" w:color="auto"/>
            </w:tcBorders>
          </w:tcPr>
          <w:p w14:paraId="43819F7A" w14:textId="77777777" w:rsidR="00BA4874" w:rsidRPr="00BD05AE" w:rsidRDefault="00BA4874" w:rsidP="00094E2F">
            <w:pPr>
              <w:pStyle w:val="TableText0"/>
              <w:jc w:val="center"/>
            </w:pPr>
            <w:r w:rsidRPr="00BD05AE">
              <w:t>1.2 (1.0, 1.6)</w:t>
            </w:r>
          </w:p>
        </w:tc>
        <w:tc>
          <w:tcPr>
            <w:tcW w:w="915" w:type="pct"/>
            <w:tcBorders>
              <w:top w:val="single" w:sz="4" w:space="0" w:color="auto"/>
              <w:left w:val="single" w:sz="4" w:space="0" w:color="auto"/>
              <w:bottom w:val="single" w:sz="4" w:space="0" w:color="auto"/>
              <w:right w:val="single" w:sz="4" w:space="0" w:color="auto"/>
            </w:tcBorders>
          </w:tcPr>
          <w:p w14:paraId="5ECFF08C" w14:textId="77777777" w:rsidR="00BA4874" w:rsidRPr="00BD05AE" w:rsidRDefault="00BA4874" w:rsidP="00094E2F">
            <w:pPr>
              <w:pStyle w:val="TableText0"/>
              <w:jc w:val="center"/>
            </w:pPr>
            <w:r w:rsidRPr="00BD05AE">
              <w:t>0.06 (-0.01, 0.13)</w:t>
            </w:r>
          </w:p>
        </w:tc>
      </w:tr>
      <w:tr w:rsidR="00BA4874" w:rsidRPr="00A95754" w14:paraId="7F844D27" w14:textId="77777777" w:rsidTr="008D059E">
        <w:trPr>
          <w:trHeight w:val="20"/>
        </w:trPr>
        <w:tc>
          <w:tcPr>
            <w:tcW w:w="2277" w:type="pct"/>
            <w:tcBorders>
              <w:top w:val="single" w:sz="4" w:space="0" w:color="auto"/>
              <w:left w:val="single" w:sz="4" w:space="0" w:color="auto"/>
              <w:bottom w:val="single" w:sz="4" w:space="0" w:color="auto"/>
              <w:right w:val="single" w:sz="4" w:space="0" w:color="auto"/>
            </w:tcBorders>
            <w:vAlign w:val="center"/>
            <w:hideMark/>
          </w:tcPr>
          <w:p w14:paraId="03A49E73" w14:textId="77777777" w:rsidR="00BA4874" w:rsidRPr="00A95754" w:rsidRDefault="00BA4874" w:rsidP="00094E2F">
            <w:pPr>
              <w:pStyle w:val="TableText0"/>
            </w:pPr>
            <w:r w:rsidRPr="00A95754">
              <w:t>Event outcome not resolved</w:t>
            </w:r>
          </w:p>
        </w:tc>
        <w:tc>
          <w:tcPr>
            <w:tcW w:w="550" w:type="pct"/>
            <w:tcBorders>
              <w:top w:val="single" w:sz="4" w:space="0" w:color="auto"/>
              <w:left w:val="single" w:sz="4" w:space="0" w:color="auto"/>
              <w:bottom w:val="single" w:sz="4" w:space="0" w:color="auto"/>
              <w:right w:val="single" w:sz="4" w:space="0" w:color="auto"/>
            </w:tcBorders>
          </w:tcPr>
          <w:p w14:paraId="5D5F5C38" w14:textId="77777777" w:rsidR="00BA4874" w:rsidRPr="00BD05AE" w:rsidRDefault="00BA4874" w:rsidP="00094E2F">
            <w:pPr>
              <w:pStyle w:val="TableText0"/>
              <w:jc w:val="center"/>
            </w:pPr>
            <w:r w:rsidRPr="00BD05AE">
              <w:t>38 (11.2)</w:t>
            </w:r>
          </w:p>
        </w:tc>
        <w:tc>
          <w:tcPr>
            <w:tcW w:w="550" w:type="pct"/>
            <w:tcBorders>
              <w:top w:val="single" w:sz="4" w:space="0" w:color="auto"/>
              <w:left w:val="single" w:sz="4" w:space="0" w:color="auto"/>
              <w:bottom w:val="single" w:sz="4" w:space="0" w:color="auto"/>
              <w:right w:val="single" w:sz="4" w:space="0" w:color="auto"/>
            </w:tcBorders>
          </w:tcPr>
          <w:p w14:paraId="2E61C442" w14:textId="77777777" w:rsidR="00BA4874" w:rsidRPr="00BD05AE" w:rsidRDefault="00BA4874" w:rsidP="00094E2F">
            <w:pPr>
              <w:pStyle w:val="TableText0"/>
              <w:jc w:val="center"/>
            </w:pPr>
            <w:r w:rsidRPr="00BD05AE">
              <w:t>21 (6.1)</w:t>
            </w:r>
          </w:p>
        </w:tc>
        <w:tc>
          <w:tcPr>
            <w:tcW w:w="708" w:type="pct"/>
            <w:tcBorders>
              <w:top w:val="single" w:sz="4" w:space="0" w:color="auto"/>
              <w:left w:val="single" w:sz="4" w:space="0" w:color="auto"/>
              <w:bottom w:val="single" w:sz="4" w:space="0" w:color="auto"/>
              <w:right w:val="single" w:sz="4" w:space="0" w:color="auto"/>
            </w:tcBorders>
          </w:tcPr>
          <w:p w14:paraId="77B2F1BD" w14:textId="77777777" w:rsidR="00BA4874" w:rsidRPr="00BD05AE" w:rsidRDefault="00BA4874" w:rsidP="00094E2F">
            <w:pPr>
              <w:pStyle w:val="TableText0"/>
              <w:jc w:val="center"/>
            </w:pPr>
            <w:r w:rsidRPr="00BD05AE">
              <w:t>1.8 (1.1, 3.1)</w:t>
            </w:r>
          </w:p>
        </w:tc>
        <w:tc>
          <w:tcPr>
            <w:tcW w:w="915" w:type="pct"/>
            <w:tcBorders>
              <w:top w:val="single" w:sz="4" w:space="0" w:color="auto"/>
              <w:left w:val="single" w:sz="4" w:space="0" w:color="auto"/>
              <w:bottom w:val="single" w:sz="4" w:space="0" w:color="auto"/>
              <w:right w:val="single" w:sz="4" w:space="0" w:color="auto"/>
            </w:tcBorders>
          </w:tcPr>
          <w:p w14:paraId="26F0D0BB" w14:textId="77777777" w:rsidR="00BA4874" w:rsidRPr="00BD05AE" w:rsidRDefault="00BA4874" w:rsidP="00094E2F">
            <w:pPr>
              <w:pStyle w:val="TableText0"/>
              <w:jc w:val="center"/>
            </w:pPr>
            <w:r w:rsidRPr="00BD05AE">
              <w:t>0.05 (0.01, 0.09)</w:t>
            </w:r>
          </w:p>
        </w:tc>
      </w:tr>
    </w:tbl>
    <w:p w14:paraId="1190CC5A" w14:textId="77777777" w:rsidR="00BA4874" w:rsidRPr="00A95754" w:rsidRDefault="00BA4874" w:rsidP="00BA4874">
      <w:pPr>
        <w:pStyle w:val="TableFigureFooter"/>
        <w:jc w:val="left"/>
      </w:pPr>
      <w:r w:rsidRPr="00A95754">
        <w:t>Source: Extracted from Table 14.3.2.11.1, p 409 of Attachment 4 of the submission.</w:t>
      </w:r>
    </w:p>
    <w:p w14:paraId="7AFC63D8" w14:textId="16770774" w:rsidR="00BA4874" w:rsidRPr="00A95754" w:rsidRDefault="00BA4874" w:rsidP="00BA4874">
      <w:pPr>
        <w:pStyle w:val="TableFigureFooter"/>
        <w:jc w:val="left"/>
      </w:pPr>
      <w:r w:rsidRPr="00A95754">
        <w:t xml:space="preserve">AE = adverse event; AEPI = adverse event of possible interest; AESI = adverse event of special interest; CI = confidence interval; CSR = clinical study report; CTCAE = Common Terminology Criteria for Adverse Events; Durva = durvalumab + GemCis; GemCis = gemcitabine + cisplatin; MedDRA = Medical Dictionary for Regulatory Activities; Placebo = placebo + GemCis; </w:t>
      </w:r>
      <w:r w:rsidR="008D059E" w:rsidRPr="00A95754">
        <w:t xml:space="preserve">RD = risk difference; </w:t>
      </w:r>
      <w:r w:rsidRPr="00A95754">
        <w:t>RR = relative risk; SAE = serious adverse event</w:t>
      </w:r>
      <w:r w:rsidRPr="00A95754">
        <w:br/>
      </w:r>
      <w:r w:rsidRPr="00A95754">
        <w:rPr>
          <w:vertAlign w:val="superscript"/>
        </w:rPr>
        <w:t xml:space="preserve">a </w:t>
      </w:r>
      <w:r w:rsidRPr="00A95754">
        <w:t>Possibly related to any of the study treatments, as assessed by the Investigator. Missing responses are counted as related.</w:t>
      </w:r>
    </w:p>
    <w:p w14:paraId="3F8F5CCA" w14:textId="77777777" w:rsidR="00BA4874" w:rsidRPr="00A95754" w:rsidRDefault="00BA4874" w:rsidP="00BA4874">
      <w:pPr>
        <w:pStyle w:val="TableFigureFooter"/>
        <w:jc w:val="left"/>
      </w:pPr>
      <w:r w:rsidRPr="00A95754">
        <w:rPr>
          <w:vertAlign w:val="superscript"/>
        </w:rPr>
        <w:t xml:space="preserve">b </w:t>
      </w:r>
      <w:r w:rsidRPr="00A95754">
        <w:t xml:space="preserve">All CTCAE grades per patient, not just the maximum, were considered when identifying whether there was a Grade 3 or 4 event (i.e., includes patients with subsequent Grade 5 events). </w:t>
      </w:r>
    </w:p>
    <w:p w14:paraId="79E78D04" w14:textId="77777777" w:rsidR="00BA4874" w:rsidRPr="00A95754" w:rsidRDefault="00BA4874" w:rsidP="00BA4874">
      <w:pPr>
        <w:pStyle w:val="TableFigureFooter"/>
        <w:jc w:val="left"/>
      </w:pPr>
      <w:r w:rsidRPr="00A95754">
        <w:rPr>
          <w:vertAlign w:val="superscript"/>
        </w:rPr>
        <w:t xml:space="preserve">c </w:t>
      </w:r>
      <w:r w:rsidRPr="00A95754">
        <w:t>Adverse events with Action taken = Drug permanently discontinued for at least one treatment.</w:t>
      </w:r>
    </w:p>
    <w:p w14:paraId="4319D846" w14:textId="77777777" w:rsidR="00BA4874" w:rsidRPr="00A95754" w:rsidRDefault="00BA4874" w:rsidP="00BA4874">
      <w:pPr>
        <w:pStyle w:val="TableFigureFooter"/>
        <w:jc w:val="left"/>
      </w:pPr>
      <w:r w:rsidRPr="00A95754">
        <w:rPr>
          <w:vertAlign w:val="superscript"/>
        </w:rPr>
        <w:t xml:space="preserve">d </w:t>
      </w:r>
      <w:r w:rsidRPr="00A95754">
        <w:t>This event was causally related polymyositis.</w:t>
      </w:r>
    </w:p>
    <w:p w14:paraId="518ADF27" w14:textId="77777777" w:rsidR="00BA4874" w:rsidRPr="00A95754" w:rsidRDefault="00BA4874" w:rsidP="00BA4874">
      <w:pPr>
        <w:pStyle w:val="TableFigureFooter"/>
        <w:jc w:val="left"/>
        <w:rPr>
          <w:szCs w:val="18"/>
        </w:rPr>
      </w:pPr>
      <w:r w:rsidRPr="00A95754">
        <w:rPr>
          <w:vertAlign w:val="superscript"/>
        </w:rPr>
        <w:t>e</w:t>
      </w:r>
      <w:r w:rsidRPr="00A95754">
        <w:t xml:space="preserve"> </w:t>
      </w:r>
      <w:r w:rsidRPr="00A95754">
        <w:rPr>
          <w:szCs w:val="18"/>
        </w:rPr>
        <w:t>Calculated during the evaluation, in Review Manager 5.4.1.</w:t>
      </w:r>
    </w:p>
    <w:p w14:paraId="579FC052" w14:textId="77777777" w:rsidR="00BA4874" w:rsidRPr="00A95754" w:rsidRDefault="00BA4874" w:rsidP="00BA4874">
      <w:pPr>
        <w:pStyle w:val="TableFigureFooter"/>
        <w:jc w:val="left"/>
      </w:pPr>
      <w:r w:rsidRPr="00A95754">
        <w:rPr>
          <w:szCs w:val="18"/>
        </w:rPr>
        <w:t>A RR &gt;1 represents more events in the durvalumab + GemCis arm compared to placebo + GemCis arm.</w:t>
      </w:r>
      <w:r w:rsidRPr="00A95754">
        <w:t xml:space="preserve"> </w:t>
      </w:r>
      <w:r w:rsidRPr="00A95754">
        <w:rPr>
          <w:szCs w:val="18"/>
        </w:rPr>
        <w:t>This analysis was not powered to detect statistical differences in the occurrence of safety events; apparent differences shown in relative measures of effect are exploratory only.</w:t>
      </w:r>
    </w:p>
    <w:p w14:paraId="26A1EBDF" w14:textId="77777777" w:rsidR="00BA4874" w:rsidRPr="00A95754" w:rsidRDefault="00BA4874" w:rsidP="00BA4874">
      <w:pPr>
        <w:pStyle w:val="TableFigureFooter"/>
        <w:jc w:val="left"/>
      </w:pPr>
      <w:r w:rsidRPr="00A95754">
        <w:t>Patients with multiple events in the same category were counted only once in that category. Patients with events in more than one category were counted in each of those categories. Includes AEs with an onset date on or after the date of first dose or pre-treatment AEs that increased in severity on or after the date of first dose up to and including 90 days following the date of last dose of study medication or up to and including the date of initiation of the first subsequent therapy (whichever occurred first).</w:t>
      </w:r>
    </w:p>
    <w:p w14:paraId="2CE29AF0" w14:textId="77777777" w:rsidR="00BA4874" w:rsidRPr="00A95754" w:rsidRDefault="00BA4874" w:rsidP="00BA4874">
      <w:pPr>
        <w:pStyle w:val="4-SubsectionHeading"/>
      </w:pPr>
      <w:bookmarkStart w:id="30" w:name="_Toc124925612"/>
      <w:r w:rsidRPr="00A95754">
        <w:t>Benefits/harms</w:t>
      </w:r>
      <w:bookmarkEnd w:id="30"/>
    </w:p>
    <w:p w14:paraId="0C5EA343" w14:textId="65517FBF" w:rsidR="00BA4874" w:rsidRPr="00A95754" w:rsidRDefault="00BA4874" w:rsidP="00BA4874">
      <w:pPr>
        <w:pStyle w:val="3-BodyText"/>
      </w:pPr>
      <w:r w:rsidRPr="00A95754">
        <w:t>A summary of the comparative benefits and harms for durvalumab + GemCis versus placebo + GemCis from TOPAZ-1 is presented in</w:t>
      </w:r>
      <w:r w:rsidR="0025289C" w:rsidRPr="00A95754">
        <w:t xml:space="preserve"> </w:t>
      </w:r>
      <w:r w:rsidR="0025289C" w:rsidRPr="00A95754">
        <w:fldChar w:fldCharType="begin"/>
      </w:r>
      <w:r w:rsidR="0025289C" w:rsidRPr="00A95754">
        <w:instrText xml:space="preserve"> REF _Ref124182279 \h </w:instrText>
      </w:r>
      <w:r w:rsidR="004D2C5E" w:rsidRPr="00A95754">
        <w:instrText xml:space="preserve"> \* MERGEFORMAT </w:instrText>
      </w:r>
      <w:r w:rsidR="0025289C" w:rsidRPr="00A95754">
        <w:fldChar w:fldCharType="separate"/>
      </w:r>
      <w:r w:rsidR="000178EC" w:rsidRPr="00A95754">
        <w:t xml:space="preserve">Table </w:t>
      </w:r>
      <w:r w:rsidR="000178EC">
        <w:rPr>
          <w:noProof/>
        </w:rPr>
        <w:t>8</w:t>
      </w:r>
      <w:r w:rsidR="0025289C" w:rsidRPr="00A95754">
        <w:fldChar w:fldCharType="end"/>
      </w:r>
      <w:r w:rsidRPr="00A95754">
        <w:t>.</w:t>
      </w:r>
    </w:p>
    <w:p w14:paraId="25A9EC0D" w14:textId="1732C7E7" w:rsidR="00BA4874" w:rsidRPr="00A95754" w:rsidRDefault="00BA4874" w:rsidP="00BA4874">
      <w:pPr>
        <w:pStyle w:val="TableFigureHeading"/>
      </w:pPr>
      <w:bookmarkStart w:id="31" w:name="_Ref124182279"/>
      <w:r w:rsidRPr="00A95754">
        <w:lastRenderedPageBreak/>
        <w:t xml:space="preserve">Table </w:t>
      </w:r>
      <w:fldSimple w:instr=" SEQ Table \* ARABIC ">
        <w:r w:rsidR="000178EC">
          <w:rPr>
            <w:noProof/>
          </w:rPr>
          <w:t>8</w:t>
        </w:r>
      </w:fldSimple>
      <w:bookmarkEnd w:id="31"/>
      <w:r w:rsidRPr="00A95754">
        <w:t>: Comparative benefits and harms for durvalumab + GemCis versus placebo + GemCis, TOPAZ-1</w:t>
      </w:r>
    </w:p>
    <w:tbl>
      <w:tblPr>
        <w:tblStyle w:val="TableGrid"/>
        <w:tblW w:w="5000" w:type="pct"/>
        <w:tblCellMar>
          <w:left w:w="28" w:type="dxa"/>
          <w:right w:w="28" w:type="dxa"/>
        </w:tblCellMar>
        <w:tblLook w:val="04A0" w:firstRow="1" w:lastRow="0" w:firstColumn="1" w:lastColumn="0" w:noHBand="0" w:noVBand="1"/>
      </w:tblPr>
      <w:tblGrid>
        <w:gridCol w:w="2420"/>
        <w:gridCol w:w="1405"/>
        <w:gridCol w:w="1473"/>
        <w:gridCol w:w="1966"/>
        <w:gridCol w:w="1753"/>
      </w:tblGrid>
      <w:tr w:rsidR="00BA4874" w:rsidRPr="00A95754" w14:paraId="38C4ACC4" w14:textId="77777777" w:rsidTr="00094E2F">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14:paraId="02D176BC" w14:textId="77777777" w:rsidR="00BA4874" w:rsidRPr="00A95754" w:rsidRDefault="00BA4874" w:rsidP="00094E2F">
            <w:pPr>
              <w:pStyle w:val="TableText0"/>
              <w:rPr>
                <w:b/>
                <w:bCs w:val="0"/>
              </w:rPr>
            </w:pPr>
            <w:r w:rsidRPr="00A95754">
              <w:rPr>
                <w:b/>
                <w:bCs w:val="0"/>
              </w:rPr>
              <w:t>Progression free survival at IA-2 (data cut-off 11 Aug 2021)</w:t>
            </w:r>
          </w:p>
        </w:tc>
      </w:tr>
      <w:tr w:rsidR="00BA4874" w:rsidRPr="00A95754" w14:paraId="1C0096C1" w14:textId="77777777" w:rsidTr="00094E2F">
        <w:trPr>
          <w:trHeight w:val="20"/>
        </w:trPr>
        <w:tc>
          <w:tcPr>
            <w:tcW w:w="1342" w:type="pct"/>
            <w:tcBorders>
              <w:top w:val="single" w:sz="4" w:space="0" w:color="auto"/>
              <w:left w:val="single" w:sz="4" w:space="0" w:color="auto"/>
              <w:bottom w:val="single" w:sz="4" w:space="0" w:color="auto"/>
              <w:right w:val="single" w:sz="4" w:space="0" w:color="auto"/>
            </w:tcBorders>
            <w:hideMark/>
          </w:tcPr>
          <w:p w14:paraId="6C24A3F5" w14:textId="77777777" w:rsidR="00BA4874" w:rsidRPr="00A95754" w:rsidRDefault="00BA4874" w:rsidP="00094E2F">
            <w:pPr>
              <w:pStyle w:val="In-tableHeading"/>
            </w:pPr>
            <w:r w:rsidRPr="00A95754">
              <w:t>Event</w:t>
            </w:r>
          </w:p>
        </w:tc>
        <w:tc>
          <w:tcPr>
            <w:tcW w:w="779" w:type="pct"/>
            <w:tcBorders>
              <w:top w:val="single" w:sz="4" w:space="0" w:color="auto"/>
              <w:left w:val="single" w:sz="4" w:space="0" w:color="auto"/>
              <w:bottom w:val="single" w:sz="4" w:space="0" w:color="auto"/>
              <w:right w:val="single" w:sz="4" w:space="0" w:color="auto"/>
            </w:tcBorders>
            <w:hideMark/>
          </w:tcPr>
          <w:p w14:paraId="54B2ED28" w14:textId="77777777" w:rsidR="00BA4874" w:rsidRPr="00A95754" w:rsidRDefault="00BA4874" w:rsidP="00094E2F">
            <w:pPr>
              <w:pStyle w:val="In-tableHeading"/>
            </w:pPr>
            <w:r w:rsidRPr="00A95754">
              <w:t>Durvalumab + GemCis (341)</w:t>
            </w:r>
          </w:p>
        </w:tc>
        <w:tc>
          <w:tcPr>
            <w:tcW w:w="817" w:type="pct"/>
            <w:tcBorders>
              <w:top w:val="single" w:sz="4" w:space="0" w:color="auto"/>
              <w:left w:val="single" w:sz="4" w:space="0" w:color="auto"/>
              <w:bottom w:val="single" w:sz="4" w:space="0" w:color="auto"/>
              <w:right w:val="single" w:sz="4" w:space="0" w:color="auto"/>
            </w:tcBorders>
            <w:hideMark/>
          </w:tcPr>
          <w:p w14:paraId="6F40FACF" w14:textId="77777777" w:rsidR="00BA4874" w:rsidRPr="00A95754" w:rsidRDefault="00BA4874" w:rsidP="00094E2F">
            <w:pPr>
              <w:pStyle w:val="In-tableHeading"/>
              <w:jc w:val="center"/>
            </w:pPr>
            <w:r w:rsidRPr="00A95754">
              <w:t>Placebo + GemCis</w:t>
            </w:r>
          </w:p>
          <w:p w14:paraId="2AE2CAE4" w14:textId="77777777" w:rsidR="00BA4874" w:rsidRPr="00A95754" w:rsidRDefault="00BA4874" w:rsidP="00094E2F">
            <w:pPr>
              <w:pStyle w:val="In-tableHeading"/>
              <w:jc w:val="center"/>
            </w:pPr>
            <w:r w:rsidRPr="00A95754">
              <w:t>(344)</w:t>
            </w:r>
          </w:p>
        </w:tc>
        <w:tc>
          <w:tcPr>
            <w:tcW w:w="1090" w:type="pct"/>
            <w:tcBorders>
              <w:top w:val="single" w:sz="4" w:space="0" w:color="auto"/>
              <w:left w:val="single" w:sz="4" w:space="0" w:color="auto"/>
              <w:bottom w:val="single" w:sz="4" w:space="0" w:color="auto"/>
              <w:right w:val="single" w:sz="4" w:space="0" w:color="auto"/>
            </w:tcBorders>
            <w:hideMark/>
          </w:tcPr>
          <w:p w14:paraId="598E51B0" w14:textId="77777777" w:rsidR="00BA4874" w:rsidRPr="00A95754" w:rsidRDefault="00BA4874" w:rsidP="00094E2F">
            <w:pPr>
              <w:pStyle w:val="In-tableHeading"/>
              <w:jc w:val="center"/>
              <w:rPr>
                <w:rFonts w:asciiTheme="minorHAnsi" w:hAnsiTheme="minorHAnsi"/>
                <w:vertAlign w:val="superscript"/>
              </w:rPr>
            </w:pPr>
            <w:r w:rsidRPr="00A95754">
              <w:t>Absolute Difference</w:t>
            </w:r>
            <w:r w:rsidRPr="00A95754">
              <w:rPr>
                <w:vertAlign w:val="superscript"/>
              </w:rPr>
              <w:t>a</w:t>
            </w:r>
          </w:p>
        </w:tc>
        <w:tc>
          <w:tcPr>
            <w:tcW w:w="972" w:type="pct"/>
            <w:tcBorders>
              <w:top w:val="single" w:sz="4" w:space="0" w:color="auto"/>
              <w:left w:val="single" w:sz="4" w:space="0" w:color="auto"/>
              <w:bottom w:val="single" w:sz="4" w:space="0" w:color="auto"/>
              <w:right w:val="single" w:sz="4" w:space="0" w:color="auto"/>
            </w:tcBorders>
            <w:hideMark/>
          </w:tcPr>
          <w:p w14:paraId="43E0A401" w14:textId="77777777" w:rsidR="00BA4874" w:rsidRPr="00A95754" w:rsidRDefault="00BA4874" w:rsidP="00094E2F">
            <w:pPr>
              <w:pStyle w:val="In-tableHeading"/>
              <w:jc w:val="center"/>
            </w:pPr>
            <w:r w:rsidRPr="00A95754">
              <w:t>HR (95% CI)</w:t>
            </w:r>
          </w:p>
        </w:tc>
      </w:tr>
      <w:tr w:rsidR="004D2C5E" w:rsidRPr="00A95754" w14:paraId="049E1A5C" w14:textId="77777777" w:rsidTr="0055653B">
        <w:trPr>
          <w:trHeight w:val="20"/>
        </w:trPr>
        <w:tc>
          <w:tcPr>
            <w:tcW w:w="1342" w:type="pct"/>
            <w:tcBorders>
              <w:top w:val="single" w:sz="4" w:space="0" w:color="auto"/>
              <w:left w:val="single" w:sz="4" w:space="0" w:color="auto"/>
              <w:bottom w:val="single" w:sz="4" w:space="0" w:color="auto"/>
              <w:right w:val="single" w:sz="4" w:space="0" w:color="auto"/>
            </w:tcBorders>
            <w:hideMark/>
          </w:tcPr>
          <w:p w14:paraId="5DA41C2A" w14:textId="77777777" w:rsidR="004D2C5E" w:rsidRPr="00A95754" w:rsidRDefault="004D2C5E" w:rsidP="00094E2F">
            <w:pPr>
              <w:pStyle w:val="TableText0"/>
              <w:keepLines/>
              <w:widowControl w:val="0"/>
            </w:pPr>
            <w:r w:rsidRPr="00A95754">
              <w:t>Progressed, n (%)</w:t>
            </w:r>
          </w:p>
        </w:tc>
        <w:tc>
          <w:tcPr>
            <w:tcW w:w="779" w:type="pct"/>
            <w:tcBorders>
              <w:top w:val="single" w:sz="4" w:space="0" w:color="auto"/>
              <w:left w:val="single" w:sz="4" w:space="0" w:color="auto"/>
              <w:bottom w:val="single" w:sz="4" w:space="0" w:color="auto"/>
              <w:right w:val="single" w:sz="4" w:space="0" w:color="auto"/>
            </w:tcBorders>
            <w:hideMark/>
          </w:tcPr>
          <w:p w14:paraId="7BD95DFB" w14:textId="77777777" w:rsidR="004D2C5E" w:rsidRPr="00A95754" w:rsidRDefault="004D2C5E" w:rsidP="00094E2F">
            <w:pPr>
              <w:pStyle w:val="TableText0"/>
              <w:keepLines/>
              <w:widowControl w:val="0"/>
              <w:jc w:val="center"/>
            </w:pPr>
            <w:r w:rsidRPr="00A95754">
              <w:t>276 (80.9)</w:t>
            </w:r>
          </w:p>
        </w:tc>
        <w:tc>
          <w:tcPr>
            <w:tcW w:w="817" w:type="pct"/>
            <w:tcBorders>
              <w:top w:val="single" w:sz="4" w:space="0" w:color="auto"/>
              <w:left w:val="single" w:sz="4" w:space="0" w:color="auto"/>
              <w:bottom w:val="single" w:sz="4" w:space="0" w:color="auto"/>
              <w:right w:val="single" w:sz="4" w:space="0" w:color="auto"/>
            </w:tcBorders>
            <w:hideMark/>
          </w:tcPr>
          <w:p w14:paraId="5CF76782" w14:textId="77777777" w:rsidR="004D2C5E" w:rsidRPr="00A95754" w:rsidRDefault="004D2C5E" w:rsidP="00094E2F">
            <w:pPr>
              <w:pStyle w:val="TableText0"/>
              <w:keepLines/>
              <w:widowControl w:val="0"/>
              <w:jc w:val="center"/>
            </w:pPr>
            <w:r w:rsidRPr="00A95754">
              <w:t>297(86.3)</w:t>
            </w:r>
          </w:p>
        </w:tc>
        <w:tc>
          <w:tcPr>
            <w:tcW w:w="1090" w:type="pct"/>
            <w:tcBorders>
              <w:top w:val="single" w:sz="4" w:space="0" w:color="auto"/>
              <w:left w:val="single" w:sz="4" w:space="0" w:color="auto"/>
              <w:bottom w:val="single" w:sz="4" w:space="0" w:color="auto"/>
              <w:right w:val="single" w:sz="4" w:space="0" w:color="auto"/>
            </w:tcBorders>
            <w:vAlign w:val="center"/>
          </w:tcPr>
          <w:p w14:paraId="1A4AD3D9" w14:textId="59B25B34" w:rsidR="004D2C5E" w:rsidRPr="00A95754" w:rsidRDefault="004D2C5E" w:rsidP="004D2C5E">
            <w:pPr>
              <w:pStyle w:val="TableText0"/>
              <w:keepLines/>
              <w:widowControl w:val="0"/>
              <w:jc w:val="center"/>
              <w:rPr>
                <w:i/>
                <w:iCs/>
              </w:rPr>
            </w:pPr>
          </w:p>
        </w:tc>
        <w:tc>
          <w:tcPr>
            <w:tcW w:w="972" w:type="pct"/>
            <w:vMerge w:val="restart"/>
            <w:tcBorders>
              <w:top w:val="single" w:sz="4" w:space="0" w:color="auto"/>
              <w:left w:val="single" w:sz="4" w:space="0" w:color="auto"/>
              <w:right w:val="single" w:sz="4" w:space="0" w:color="auto"/>
            </w:tcBorders>
            <w:vAlign w:val="center"/>
            <w:hideMark/>
          </w:tcPr>
          <w:p w14:paraId="4076FB95" w14:textId="77777777" w:rsidR="004D2C5E" w:rsidRPr="00A95754" w:rsidRDefault="004D2C5E" w:rsidP="004D2C5E">
            <w:pPr>
              <w:pStyle w:val="TableText0"/>
              <w:keepLines/>
              <w:widowControl w:val="0"/>
              <w:jc w:val="center"/>
              <w:rPr>
                <w:b/>
                <w:bCs w:val="0"/>
              </w:rPr>
            </w:pPr>
            <w:r w:rsidRPr="00A95754">
              <w:rPr>
                <w:b/>
                <w:bCs w:val="0"/>
                <w:szCs w:val="20"/>
              </w:rPr>
              <w:t>0.75 (0.63, 0.89)</w:t>
            </w:r>
          </w:p>
          <w:p w14:paraId="43ADFBB5" w14:textId="2F9E60DE" w:rsidR="004D2C5E" w:rsidRPr="00A95754" w:rsidRDefault="004D2C5E" w:rsidP="004D2C5E">
            <w:pPr>
              <w:pStyle w:val="TableText0"/>
              <w:keepLines/>
              <w:widowControl w:val="0"/>
              <w:jc w:val="center"/>
              <w:rPr>
                <w:b/>
                <w:bCs w:val="0"/>
              </w:rPr>
            </w:pPr>
            <w:r w:rsidRPr="00A95754">
              <w:rPr>
                <w:b/>
                <w:bCs w:val="0"/>
                <w:szCs w:val="20"/>
              </w:rPr>
              <w:t>0.001</w:t>
            </w:r>
          </w:p>
        </w:tc>
      </w:tr>
      <w:tr w:rsidR="004D2C5E" w:rsidRPr="00A95754" w14:paraId="7DD1E1BD" w14:textId="77777777" w:rsidTr="0055653B">
        <w:trPr>
          <w:trHeight w:val="20"/>
        </w:trPr>
        <w:tc>
          <w:tcPr>
            <w:tcW w:w="1342" w:type="pct"/>
            <w:tcBorders>
              <w:top w:val="single" w:sz="4" w:space="0" w:color="auto"/>
              <w:left w:val="single" w:sz="4" w:space="0" w:color="auto"/>
              <w:bottom w:val="single" w:sz="4" w:space="0" w:color="auto"/>
              <w:right w:val="single" w:sz="4" w:space="0" w:color="auto"/>
            </w:tcBorders>
            <w:hideMark/>
          </w:tcPr>
          <w:p w14:paraId="4065F976" w14:textId="77777777" w:rsidR="004D2C5E" w:rsidRPr="00A95754" w:rsidRDefault="004D2C5E" w:rsidP="00094E2F">
            <w:pPr>
              <w:pStyle w:val="TableText0"/>
              <w:keepLines/>
              <w:widowControl w:val="0"/>
            </w:pPr>
            <w:r w:rsidRPr="00A95754">
              <w:t>Median PFS, months (95% CI)</w:t>
            </w:r>
          </w:p>
        </w:tc>
        <w:tc>
          <w:tcPr>
            <w:tcW w:w="779" w:type="pct"/>
            <w:tcBorders>
              <w:top w:val="single" w:sz="4" w:space="0" w:color="auto"/>
              <w:left w:val="single" w:sz="4" w:space="0" w:color="auto"/>
              <w:bottom w:val="single" w:sz="4" w:space="0" w:color="auto"/>
              <w:right w:val="single" w:sz="4" w:space="0" w:color="auto"/>
            </w:tcBorders>
            <w:vAlign w:val="center"/>
            <w:hideMark/>
          </w:tcPr>
          <w:p w14:paraId="23200CFE" w14:textId="77777777" w:rsidR="004D2C5E" w:rsidRPr="00A95754" w:rsidRDefault="004D2C5E" w:rsidP="00094E2F">
            <w:pPr>
              <w:pStyle w:val="TableText0"/>
              <w:keepLines/>
              <w:widowControl w:val="0"/>
              <w:jc w:val="center"/>
              <w:rPr>
                <w:rFonts w:cs="Times New Roman"/>
                <w:szCs w:val="20"/>
              </w:rPr>
            </w:pPr>
            <w:r w:rsidRPr="00A95754">
              <w:rPr>
                <w:szCs w:val="20"/>
              </w:rPr>
              <w:t>7.2 (6.7, 7.4)</w:t>
            </w:r>
          </w:p>
        </w:tc>
        <w:tc>
          <w:tcPr>
            <w:tcW w:w="817" w:type="pct"/>
            <w:tcBorders>
              <w:top w:val="single" w:sz="4" w:space="0" w:color="auto"/>
              <w:left w:val="single" w:sz="4" w:space="0" w:color="auto"/>
              <w:bottom w:val="single" w:sz="4" w:space="0" w:color="auto"/>
              <w:right w:val="single" w:sz="4" w:space="0" w:color="auto"/>
            </w:tcBorders>
            <w:vAlign w:val="center"/>
            <w:hideMark/>
          </w:tcPr>
          <w:p w14:paraId="1F9F400C" w14:textId="77777777" w:rsidR="004D2C5E" w:rsidRPr="00A95754" w:rsidRDefault="004D2C5E" w:rsidP="00094E2F">
            <w:pPr>
              <w:pStyle w:val="TableText0"/>
              <w:keepLines/>
              <w:widowControl w:val="0"/>
              <w:jc w:val="center"/>
              <w:rPr>
                <w:rFonts w:cs="Times New Roman"/>
                <w:szCs w:val="20"/>
              </w:rPr>
            </w:pPr>
            <w:r w:rsidRPr="00A95754">
              <w:rPr>
                <w:szCs w:val="20"/>
              </w:rPr>
              <w:t>5.7 (5.6, 6.7)</w:t>
            </w:r>
          </w:p>
        </w:tc>
        <w:tc>
          <w:tcPr>
            <w:tcW w:w="1090" w:type="pct"/>
            <w:tcBorders>
              <w:top w:val="single" w:sz="4" w:space="0" w:color="auto"/>
              <w:left w:val="single" w:sz="4" w:space="0" w:color="auto"/>
              <w:bottom w:val="single" w:sz="4" w:space="0" w:color="auto"/>
              <w:right w:val="single" w:sz="4" w:space="0" w:color="auto"/>
            </w:tcBorders>
            <w:vAlign w:val="center"/>
          </w:tcPr>
          <w:p w14:paraId="3B68C2AF" w14:textId="59B65271" w:rsidR="004D2C5E" w:rsidRPr="00BD3BF8" w:rsidRDefault="004D2C5E" w:rsidP="004D2C5E">
            <w:pPr>
              <w:pStyle w:val="TableText0"/>
              <w:keepLines/>
              <w:widowControl w:val="0"/>
              <w:jc w:val="center"/>
            </w:pPr>
            <w:r w:rsidRPr="00BD3BF8">
              <w:t>1.5</w:t>
            </w:r>
          </w:p>
        </w:tc>
        <w:tc>
          <w:tcPr>
            <w:tcW w:w="972" w:type="pct"/>
            <w:vMerge/>
            <w:tcBorders>
              <w:left w:val="single" w:sz="4" w:space="0" w:color="auto"/>
              <w:right w:val="single" w:sz="4" w:space="0" w:color="auto"/>
            </w:tcBorders>
            <w:hideMark/>
          </w:tcPr>
          <w:p w14:paraId="3D018180" w14:textId="4D11D721" w:rsidR="004D2C5E" w:rsidRPr="00A95754" w:rsidRDefault="004D2C5E" w:rsidP="00094E2F">
            <w:pPr>
              <w:pStyle w:val="TableText0"/>
              <w:keepLines/>
              <w:widowControl w:val="0"/>
              <w:jc w:val="center"/>
              <w:rPr>
                <w:b/>
                <w:bCs w:val="0"/>
                <w:szCs w:val="20"/>
              </w:rPr>
            </w:pPr>
          </w:p>
        </w:tc>
      </w:tr>
      <w:tr w:rsidR="004D2C5E" w:rsidRPr="00A95754" w14:paraId="76861544" w14:textId="77777777" w:rsidTr="004D2C5E">
        <w:trPr>
          <w:trHeight w:val="20"/>
        </w:trPr>
        <w:tc>
          <w:tcPr>
            <w:tcW w:w="1342" w:type="pct"/>
            <w:tcBorders>
              <w:top w:val="single" w:sz="4" w:space="0" w:color="auto"/>
              <w:left w:val="single" w:sz="4" w:space="0" w:color="auto"/>
              <w:bottom w:val="single" w:sz="4" w:space="0" w:color="auto"/>
              <w:right w:val="single" w:sz="4" w:space="0" w:color="auto"/>
            </w:tcBorders>
            <w:hideMark/>
          </w:tcPr>
          <w:p w14:paraId="77CE127B" w14:textId="77777777" w:rsidR="004D2C5E" w:rsidRPr="00A95754" w:rsidRDefault="004D2C5E" w:rsidP="00094E2F">
            <w:pPr>
              <w:pStyle w:val="TableText0"/>
              <w:keepLines/>
              <w:widowControl w:val="0"/>
            </w:pPr>
            <w:r w:rsidRPr="00A95754">
              <w:t>% not progressed at 6.5-months (95% CI)</w:t>
            </w:r>
            <w:r w:rsidRPr="00A95754">
              <w:rPr>
                <w:vertAlign w:val="superscript"/>
              </w:rPr>
              <w:t xml:space="preserve"> </w:t>
            </w:r>
          </w:p>
        </w:tc>
        <w:tc>
          <w:tcPr>
            <w:tcW w:w="779" w:type="pct"/>
            <w:tcBorders>
              <w:top w:val="single" w:sz="4" w:space="0" w:color="auto"/>
              <w:left w:val="single" w:sz="4" w:space="0" w:color="auto"/>
              <w:bottom w:val="single" w:sz="4" w:space="0" w:color="auto"/>
              <w:right w:val="single" w:sz="4" w:space="0" w:color="auto"/>
            </w:tcBorders>
            <w:vAlign w:val="center"/>
            <w:hideMark/>
          </w:tcPr>
          <w:p w14:paraId="37A7FE95" w14:textId="77777777" w:rsidR="004D2C5E" w:rsidRPr="00A95754" w:rsidRDefault="004D2C5E" w:rsidP="00094E2F">
            <w:pPr>
              <w:pStyle w:val="TableText0"/>
              <w:keepLines/>
              <w:widowControl w:val="0"/>
              <w:jc w:val="center"/>
            </w:pPr>
            <w:r w:rsidRPr="00A95754">
              <w:t>58.3 (52.8, 63.4)</w:t>
            </w:r>
          </w:p>
        </w:tc>
        <w:tc>
          <w:tcPr>
            <w:tcW w:w="817" w:type="pct"/>
            <w:tcBorders>
              <w:top w:val="single" w:sz="4" w:space="0" w:color="auto"/>
              <w:left w:val="single" w:sz="4" w:space="0" w:color="auto"/>
              <w:bottom w:val="single" w:sz="4" w:space="0" w:color="auto"/>
              <w:right w:val="single" w:sz="4" w:space="0" w:color="auto"/>
            </w:tcBorders>
            <w:vAlign w:val="center"/>
            <w:hideMark/>
          </w:tcPr>
          <w:p w14:paraId="42DE6462" w14:textId="77777777" w:rsidR="004D2C5E" w:rsidRPr="00A95754" w:rsidRDefault="004D2C5E" w:rsidP="00094E2F">
            <w:pPr>
              <w:pStyle w:val="TableText0"/>
              <w:keepLines/>
              <w:widowControl w:val="0"/>
              <w:jc w:val="center"/>
              <w:rPr>
                <w:szCs w:val="20"/>
              </w:rPr>
            </w:pPr>
            <w:r w:rsidRPr="00A95754">
              <w:rPr>
                <w:szCs w:val="20"/>
              </w:rPr>
              <w:t>47.2 (41.6, 52.5)</w:t>
            </w:r>
          </w:p>
        </w:tc>
        <w:tc>
          <w:tcPr>
            <w:tcW w:w="1090" w:type="pct"/>
            <w:tcBorders>
              <w:top w:val="single" w:sz="4" w:space="0" w:color="auto"/>
              <w:left w:val="single" w:sz="4" w:space="0" w:color="auto"/>
              <w:bottom w:val="single" w:sz="4" w:space="0" w:color="auto"/>
              <w:right w:val="single" w:sz="4" w:space="0" w:color="auto"/>
            </w:tcBorders>
            <w:vAlign w:val="center"/>
            <w:hideMark/>
          </w:tcPr>
          <w:p w14:paraId="68BDDDAA" w14:textId="77777777" w:rsidR="004D2C5E" w:rsidRPr="00BD3BF8" w:rsidRDefault="004D2C5E" w:rsidP="004D2C5E">
            <w:pPr>
              <w:pStyle w:val="TableText0"/>
              <w:keepLines/>
              <w:widowControl w:val="0"/>
              <w:jc w:val="center"/>
            </w:pPr>
            <w:r w:rsidRPr="00BD3BF8">
              <w:t>11.1</w:t>
            </w:r>
          </w:p>
        </w:tc>
        <w:tc>
          <w:tcPr>
            <w:tcW w:w="972" w:type="pct"/>
            <w:vMerge/>
            <w:tcBorders>
              <w:left w:val="single" w:sz="4" w:space="0" w:color="auto"/>
              <w:right w:val="single" w:sz="4" w:space="0" w:color="auto"/>
            </w:tcBorders>
          </w:tcPr>
          <w:p w14:paraId="56EDA955" w14:textId="77777777" w:rsidR="004D2C5E" w:rsidRPr="00A95754" w:rsidRDefault="004D2C5E" w:rsidP="00094E2F">
            <w:pPr>
              <w:pStyle w:val="TableText0"/>
              <w:keepLines/>
              <w:widowControl w:val="0"/>
              <w:jc w:val="center"/>
              <w:rPr>
                <w:b/>
                <w:bCs w:val="0"/>
              </w:rPr>
            </w:pPr>
          </w:p>
        </w:tc>
      </w:tr>
      <w:tr w:rsidR="004D2C5E" w:rsidRPr="00A95754" w14:paraId="7B4AE940" w14:textId="77777777" w:rsidTr="004D2C5E">
        <w:trPr>
          <w:trHeight w:val="20"/>
        </w:trPr>
        <w:tc>
          <w:tcPr>
            <w:tcW w:w="1342" w:type="pct"/>
            <w:tcBorders>
              <w:top w:val="single" w:sz="4" w:space="0" w:color="auto"/>
              <w:left w:val="single" w:sz="4" w:space="0" w:color="auto"/>
              <w:bottom w:val="single" w:sz="4" w:space="0" w:color="auto"/>
              <w:right w:val="single" w:sz="4" w:space="0" w:color="auto"/>
            </w:tcBorders>
            <w:hideMark/>
          </w:tcPr>
          <w:p w14:paraId="10EAC76B" w14:textId="77777777" w:rsidR="004D2C5E" w:rsidRPr="00A95754" w:rsidRDefault="004D2C5E" w:rsidP="00094E2F">
            <w:pPr>
              <w:pStyle w:val="TableText0"/>
              <w:keepLines/>
              <w:widowControl w:val="0"/>
            </w:pPr>
            <w:r w:rsidRPr="00A95754">
              <w:t>% not progressed at 9 months (95% CI)</w:t>
            </w:r>
            <w:r w:rsidRPr="00A95754">
              <w:rPr>
                <w:vertAlign w:val="superscript"/>
              </w:rPr>
              <w:t xml:space="preserve"> </w:t>
            </w:r>
          </w:p>
        </w:tc>
        <w:tc>
          <w:tcPr>
            <w:tcW w:w="779" w:type="pct"/>
            <w:tcBorders>
              <w:top w:val="single" w:sz="4" w:space="0" w:color="auto"/>
              <w:left w:val="single" w:sz="4" w:space="0" w:color="auto"/>
              <w:bottom w:val="single" w:sz="4" w:space="0" w:color="auto"/>
              <w:right w:val="single" w:sz="4" w:space="0" w:color="auto"/>
            </w:tcBorders>
            <w:vAlign w:val="center"/>
            <w:hideMark/>
          </w:tcPr>
          <w:p w14:paraId="19F11523" w14:textId="77777777" w:rsidR="004D2C5E" w:rsidRPr="00A95754" w:rsidRDefault="004D2C5E" w:rsidP="00094E2F">
            <w:pPr>
              <w:pStyle w:val="TableText0"/>
              <w:keepLines/>
              <w:widowControl w:val="0"/>
              <w:jc w:val="center"/>
              <w:rPr>
                <w:szCs w:val="20"/>
              </w:rPr>
            </w:pPr>
            <w:r w:rsidRPr="00A95754">
              <w:t>34.8 (29.6, 40.0)</w:t>
            </w:r>
          </w:p>
        </w:tc>
        <w:tc>
          <w:tcPr>
            <w:tcW w:w="817" w:type="pct"/>
            <w:tcBorders>
              <w:top w:val="single" w:sz="4" w:space="0" w:color="auto"/>
              <w:left w:val="single" w:sz="4" w:space="0" w:color="auto"/>
              <w:bottom w:val="single" w:sz="4" w:space="0" w:color="auto"/>
              <w:right w:val="single" w:sz="4" w:space="0" w:color="auto"/>
            </w:tcBorders>
            <w:vAlign w:val="center"/>
            <w:hideMark/>
          </w:tcPr>
          <w:p w14:paraId="50C49B35" w14:textId="77777777" w:rsidR="004D2C5E" w:rsidRPr="00A95754" w:rsidRDefault="004D2C5E" w:rsidP="00094E2F">
            <w:pPr>
              <w:pStyle w:val="TableText0"/>
              <w:keepLines/>
              <w:widowControl w:val="0"/>
              <w:jc w:val="center"/>
              <w:rPr>
                <w:szCs w:val="20"/>
              </w:rPr>
            </w:pPr>
            <w:r w:rsidRPr="00A95754">
              <w:rPr>
                <w:szCs w:val="20"/>
              </w:rPr>
              <w:t>24.6 (20.0, 29.5)</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18322A3" w14:textId="77777777" w:rsidR="004D2C5E" w:rsidRPr="00BD3BF8" w:rsidRDefault="004D2C5E" w:rsidP="004D2C5E">
            <w:pPr>
              <w:pStyle w:val="TableText0"/>
              <w:keepLines/>
              <w:widowControl w:val="0"/>
              <w:jc w:val="center"/>
              <w:rPr>
                <w:rFonts w:cs="Times New Roman"/>
                <w:szCs w:val="20"/>
              </w:rPr>
            </w:pPr>
            <w:r w:rsidRPr="00BD3BF8">
              <w:rPr>
                <w:rFonts w:cs="Times New Roman"/>
                <w:szCs w:val="20"/>
              </w:rPr>
              <w:t>10.2</w:t>
            </w:r>
          </w:p>
        </w:tc>
        <w:tc>
          <w:tcPr>
            <w:tcW w:w="0" w:type="auto"/>
            <w:vMerge/>
            <w:tcBorders>
              <w:left w:val="single" w:sz="4" w:space="0" w:color="auto"/>
              <w:right w:val="single" w:sz="4" w:space="0" w:color="auto"/>
            </w:tcBorders>
            <w:vAlign w:val="center"/>
            <w:hideMark/>
          </w:tcPr>
          <w:p w14:paraId="3ED48DA6" w14:textId="77777777" w:rsidR="004D2C5E" w:rsidRPr="00A95754" w:rsidRDefault="004D2C5E" w:rsidP="00094E2F">
            <w:pPr>
              <w:jc w:val="left"/>
              <w:rPr>
                <w:rFonts w:ascii="Arial Narrow" w:eastAsiaTheme="majorEastAsia" w:hAnsi="Arial Narrow" w:cstheme="majorBidi"/>
                <w:bCs/>
                <w:sz w:val="20"/>
              </w:rPr>
            </w:pPr>
          </w:p>
        </w:tc>
      </w:tr>
      <w:tr w:rsidR="004D2C5E" w:rsidRPr="00A95754" w14:paraId="007A7136" w14:textId="77777777" w:rsidTr="004D2C5E">
        <w:trPr>
          <w:trHeight w:val="20"/>
        </w:trPr>
        <w:tc>
          <w:tcPr>
            <w:tcW w:w="1342" w:type="pct"/>
            <w:tcBorders>
              <w:top w:val="single" w:sz="4" w:space="0" w:color="auto"/>
              <w:left w:val="single" w:sz="4" w:space="0" w:color="auto"/>
              <w:bottom w:val="single" w:sz="4" w:space="0" w:color="auto"/>
              <w:right w:val="single" w:sz="4" w:space="0" w:color="auto"/>
            </w:tcBorders>
            <w:hideMark/>
          </w:tcPr>
          <w:p w14:paraId="03E33530" w14:textId="77777777" w:rsidR="004D2C5E" w:rsidRPr="00A95754" w:rsidRDefault="004D2C5E" w:rsidP="00094E2F">
            <w:pPr>
              <w:pStyle w:val="TableText0"/>
              <w:keepLines/>
              <w:widowControl w:val="0"/>
            </w:pPr>
            <w:r w:rsidRPr="00A95754">
              <w:t>% not progressed at 12 months (%) (95% CI)</w:t>
            </w:r>
            <w:r w:rsidRPr="00A95754">
              <w:rPr>
                <w:vertAlign w:val="superscript"/>
              </w:rPr>
              <w:t xml:space="preserve"> </w:t>
            </w:r>
          </w:p>
        </w:tc>
        <w:tc>
          <w:tcPr>
            <w:tcW w:w="779" w:type="pct"/>
            <w:tcBorders>
              <w:top w:val="single" w:sz="4" w:space="0" w:color="auto"/>
              <w:left w:val="single" w:sz="4" w:space="0" w:color="auto"/>
              <w:bottom w:val="single" w:sz="4" w:space="0" w:color="auto"/>
              <w:right w:val="single" w:sz="4" w:space="0" w:color="auto"/>
            </w:tcBorders>
            <w:vAlign w:val="center"/>
            <w:hideMark/>
          </w:tcPr>
          <w:p w14:paraId="3E7C2C82" w14:textId="77777777" w:rsidR="004D2C5E" w:rsidRPr="00A95754" w:rsidRDefault="004D2C5E" w:rsidP="00094E2F">
            <w:pPr>
              <w:pStyle w:val="TableText0"/>
              <w:keepLines/>
              <w:widowControl w:val="0"/>
              <w:jc w:val="center"/>
              <w:rPr>
                <w:szCs w:val="20"/>
              </w:rPr>
            </w:pPr>
            <w:r w:rsidRPr="00A95754">
              <w:t>16.0 (12.0, 20.6)</w:t>
            </w:r>
          </w:p>
        </w:tc>
        <w:tc>
          <w:tcPr>
            <w:tcW w:w="817" w:type="pct"/>
            <w:tcBorders>
              <w:top w:val="single" w:sz="4" w:space="0" w:color="auto"/>
              <w:left w:val="single" w:sz="4" w:space="0" w:color="auto"/>
              <w:bottom w:val="single" w:sz="4" w:space="0" w:color="auto"/>
              <w:right w:val="single" w:sz="4" w:space="0" w:color="auto"/>
            </w:tcBorders>
            <w:vAlign w:val="center"/>
            <w:hideMark/>
          </w:tcPr>
          <w:p w14:paraId="3CC4484D" w14:textId="77777777" w:rsidR="004D2C5E" w:rsidRPr="00A95754" w:rsidRDefault="004D2C5E" w:rsidP="00094E2F">
            <w:pPr>
              <w:pStyle w:val="TableText0"/>
              <w:keepLines/>
              <w:widowControl w:val="0"/>
              <w:jc w:val="center"/>
              <w:rPr>
                <w:szCs w:val="20"/>
              </w:rPr>
            </w:pPr>
            <w:r w:rsidRPr="00A95754">
              <w:rPr>
                <w:szCs w:val="20"/>
              </w:rPr>
              <w:t>6.6 (4.1, 9.9)</w:t>
            </w:r>
          </w:p>
        </w:tc>
        <w:tc>
          <w:tcPr>
            <w:tcW w:w="1090" w:type="pct"/>
            <w:tcBorders>
              <w:top w:val="single" w:sz="4" w:space="0" w:color="auto"/>
              <w:left w:val="single" w:sz="4" w:space="0" w:color="auto"/>
              <w:bottom w:val="single" w:sz="4" w:space="0" w:color="auto"/>
              <w:right w:val="single" w:sz="4" w:space="0" w:color="auto"/>
            </w:tcBorders>
            <w:vAlign w:val="center"/>
            <w:hideMark/>
          </w:tcPr>
          <w:p w14:paraId="511679FA" w14:textId="77777777" w:rsidR="004D2C5E" w:rsidRPr="00BD3BF8" w:rsidRDefault="004D2C5E" w:rsidP="004D2C5E">
            <w:pPr>
              <w:pStyle w:val="TableText0"/>
              <w:keepLines/>
              <w:widowControl w:val="0"/>
              <w:jc w:val="center"/>
              <w:rPr>
                <w:rFonts w:cs="Times New Roman"/>
                <w:szCs w:val="20"/>
              </w:rPr>
            </w:pPr>
            <w:r w:rsidRPr="00BD3BF8">
              <w:rPr>
                <w:rFonts w:cs="Times New Roman"/>
                <w:szCs w:val="20"/>
              </w:rPr>
              <w:t>9.4</w:t>
            </w:r>
          </w:p>
        </w:tc>
        <w:tc>
          <w:tcPr>
            <w:tcW w:w="0" w:type="auto"/>
            <w:vMerge/>
            <w:tcBorders>
              <w:left w:val="single" w:sz="4" w:space="0" w:color="auto"/>
              <w:bottom w:val="single" w:sz="4" w:space="0" w:color="auto"/>
              <w:right w:val="single" w:sz="4" w:space="0" w:color="auto"/>
            </w:tcBorders>
            <w:vAlign w:val="center"/>
            <w:hideMark/>
          </w:tcPr>
          <w:p w14:paraId="66525B03" w14:textId="77777777" w:rsidR="004D2C5E" w:rsidRPr="00A95754" w:rsidRDefault="004D2C5E" w:rsidP="00094E2F">
            <w:pPr>
              <w:jc w:val="left"/>
              <w:rPr>
                <w:rFonts w:ascii="Arial Narrow" w:eastAsiaTheme="majorEastAsia" w:hAnsi="Arial Narrow" w:cstheme="majorBidi"/>
                <w:bCs/>
                <w:sz w:val="20"/>
              </w:rPr>
            </w:pPr>
          </w:p>
        </w:tc>
      </w:tr>
      <w:tr w:rsidR="00BA4874" w:rsidRPr="00A95754" w14:paraId="1E74E9B1" w14:textId="77777777" w:rsidTr="004D2C5E">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455E667" w14:textId="46768A87" w:rsidR="00BA4874" w:rsidRPr="00A95754" w:rsidRDefault="00BA4874" w:rsidP="004D2C5E">
            <w:pPr>
              <w:pStyle w:val="TableText0"/>
              <w:keepLines/>
              <w:widowControl w:val="0"/>
              <w:rPr>
                <w:b/>
              </w:rPr>
            </w:pPr>
            <w:r w:rsidRPr="00A95754">
              <w:rPr>
                <w:b/>
              </w:rPr>
              <w:t>Overall survival at additional 6.5-month follow-up (data cut-off 25 Feb 2022)</w:t>
            </w:r>
          </w:p>
        </w:tc>
      </w:tr>
      <w:tr w:rsidR="00BA4874" w:rsidRPr="00A95754" w14:paraId="5ADA5A47" w14:textId="77777777" w:rsidTr="004D2C5E">
        <w:trPr>
          <w:trHeight w:val="20"/>
        </w:trPr>
        <w:tc>
          <w:tcPr>
            <w:tcW w:w="1342" w:type="pct"/>
            <w:tcBorders>
              <w:top w:val="single" w:sz="4" w:space="0" w:color="auto"/>
              <w:left w:val="single" w:sz="4" w:space="0" w:color="auto"/>
              <w:bottom w:val="single" w:sz="4" w:space="0" w:color="auto"/>
              <w:right w:val="single" w:sz="4" w:space="0" w:color="auto"/>
            </w:tcBorders>
            <w:hideMark/>
          </w:tcPr>
          <w:p w14:paraId="0635FC74" w14:textId="77777777" w:rsidR="00BA4874" w:rsidRPr="00A95754" w:rsidRDefault="00BA4874" w:rsidP="00094E2F">
            <w:pPr>
              <w:pStyle w:val="TableText0"/>
              <w:keepLines/>
              <w:widowControl w:val="0"/>
            </w:pPr>
            <w:r w:rsidRPr="00A95754">
              <w:t>Deaths, n (%)</w:t>
            </w:r>
          </w:p>
        </w:tc>
        <w:tc>
          <w:tcPr>
            <w:tcW w:w="779" w:type="pct"/>
            <w:tcBorders>
              <w:top w:val="single" w:sz="4" w:space="0" w:color="auto"/>
              <w:left w:val="single" w:sz="4" w:space="0" w:color="auto"/>
              <w:bottom w:val="single" w:sz="4" w:space="0" w:color="auto"/>
              <w:right w:val="single" w:sz="4" w:space="0" w:color="auto"/>
            </w:tcBorders>
            <w:vAlign w:val="center"/>
            <w:hideMark/>
          </w:tcPr>
          <w:p w14:paraId="602296C0" w14:textId="77777777" w:rsidR="00BA4874" w:rsidRPr="00A95754" w:rsidRDefault="00BA4874" w:rsidP="00094E2F">
            <w:pPr>
              <w:pStyle w:val="TableText0"/>
              <w:keepLines/>
              <w:widowControl w:val="0"/>
              <w:jc w:val="center"/>
              <w:rPr>
                <w:szCs w:val="20"/>
              </w:rPr>
            </w:pPr>
            <w:r w:rsidRPr="00A95754">
              <w:rPr>
                <w:szCs w:val="20"/>
              </w:rPr>
              <w:t>248 (72.7)</w:t>
            </w:r>
          </w:p>
        </w:tc>
        <w:tc>
          <w:tcPr>
            <w:tcW w:w="817" w:type="pct"/>
            <w:tcBorders>
              <w:top w:val="single" w:sz="4" w:space="0" w:color="auto"/>
              <w:left w:val="single" w:sz="4" w:space="0" w:color="auto"/>
              <w:bottom w:val="single" w:sz="4" w:space="0" w:color="auto"/>
              <w:right w:val="single" w:sz="4" w:space="0" w:color="auto"/>
            </w:tcBorders>
            <w:vAlign w:val="center"/>
            <w:hideMark/>
          </w:tcPr>
          <w:p w14:paraId="29FE2ED3" w14:textId="77777777" w:rsidR="00BA4874" w:rsidRPr="00A95754" w:rsidRDefault="00BA4874" w:rsidP="00094E2F">
            <w:pPr>
              <w:pStyle w:val="TableText0"/>
              <w:keepLines/>
              <w:widowControl w:val="0"/>
              <w:jc w:val="center"/>
              <w:rPr>
                <w:szCs w:val="20"/>
              </w:rPr>
            </w:pPr>
            <w:r w:rsidRPr="00A95754">
              <w:rPr>
                <w:szCs w:val="20"/>
              </w:rPr>
              <w:t>279 (81.1)</w:t>
            </w:r>
          </w:p>
        </w:tc>
        <w:tc>
          <w:tcPr>
            <w:tcW w:w="1090" w:type="pct"/>
            <w:tcBorders>
              <w:top w:val="single" w:sz="4" w:space="0" w:color="auto"/>
              <w:left w:val="single" w:sz="4" w:space="0" w:color="auto"/>
              <w:bottom w:val="single" w:sz="4" w:space="0" w:color="auto"/>
              <w:right w:val="single" w:sz="4" w:space="0" w:color="auto"/>
            </w:tcBorders>
            <w:vAlign w:val="center"/>
            <w:hideMark/>
          </w:tcPr>
          <w:p w14:paraId="17571DC9" w14:textId="2A61CA5C" w:rsidR="00BA4874" w:rsidRPr="00A95754" w:rsidRDefault="00BA4874" w:rsidP="004D2C5E">
            <w:pPr>
              <w:pStyle w:val="TableText0"/>
              <w:keepLines/>
              <w:widowControl w:val="0"/>
              <w:jc w:val="center"/>
              <w:rPr>
                <w:i/>
              </w:rPr>
            </w:pPr>
          </w:p>
        </w:tc>
        <w:tc>
          <w:tcPr>
            <w:tcW w:w="972" w:type="pct"/>
            <w:vMerge w:val="restart"/>
            <w:tcBorders>
              <w:top w:val="single" w:sz="4" w:space="0" w:color="auto"/>
              <w:left w:val="single" w:sz="4" w:space="0" w:color="auto"/>
              <w:bottom w:val="single" w:sz="4" w:space="0" w:color="auto"/>
              <w:right w:val="single" w:sz="4" w:space="0" w:color="auto"/>
            </w:tcBorders>
            <w:vAlign w:val="center"/>
          </w:tcPr>
          <w:p w14:paraId="1D46D630" w14:textId="77777777" w:rsidR="00BA4874" w:rsidRPr="00A95754" w:rsidRDefault="00BA4874" w:rsidP="004D2C5E">
            <w:pPr>
              <w:pStyle w:val="TableText0"/>
              <w:jc w:val="center"/>
              <w:rPr>
                <w:bCs w:val="0"/>
                <w:szCs w:val="20"/>
              </w:rPr>
            </w:pPr>
            <w:r w:rsidRPr="00A95754">
              <w:rPr>
                <w:szCs w:val="20"/>
              </w:rPr>
              <w:t>0.76 (0.64, 0.91)</w:t>
            </w:r>
          </w:p>
          <w:p w14:paraId="4193B6D8" w14:textId="77777777" w:rsidR="00BA4874" w:rsidRPr="00A95754" w:rsidRDefault="00BA4874" w:rsidP="004D2C5E">
            <w:pPr>
              <w:pStyle w:val="TableText0"/>
              <w:keepLines/>
              <w:widowControl w:val="0"/>
              <w:jc w:val="center"/>
            </w:pPr>
            <w:r w:rsidRPr="00A95754">
              <w:rPr>
                <w:i/>
                <w:iCs/>
                <w:szCs w:val="20"/>
              </w:rPr>
              <w:t>NR</w:t>
            </w:r>
          </w:p>
        </w:tc>
      </w:tr>
      <w:tr w:rsidR="00BA4874" w:rsidRPr="00A95754" w14:paraId="379C6E26" w14:textId="77777777" w:rsidTr="004D2C5E">
        <w:trPr>
          <w:trHeight w:val="20"/>
        </w:trPr>
        <w:tc>
          <w:tcPr>
            <w:tcW w:w="1342" w:type="pct"/>
            <w:tcBorders>
              <w:top w:val="single" w:sz="4" w:space="0" w:color="auto"/>
              <w:left w:val="single" w:sz="4" w:space="0" w:color="auto"/>
              <w:bottom w:val="single" w:sz="4" w:space="0" w:color="auto"/>
              <w:right w:val="single" w:sz="4" w:space="0" w:color="auto"/>
            </w:tcBorders>
            <w:hideMark/>
          </w:tcPr>
          <w:p w14:paraId="05C63F85" w14:textId="77777777" w:rsidR="00BA4874" w:rsidRPr="00A95754" w:rsidRDefault="00BA4874" w:rsidP="00094E2F">
            <w:pPr>
              <w:pStyle w:val="TableText0"/>
              <w:keepLines/>
              <w:widowControl w:val="0"/>
            </w:pPr>
            <w:r w:rsidRPr="00A95754">
              <w:t>Median OS, months (95% CI)</w:t>
            </w:r>
          </w:p>
        </w:tc>
        <w:tc>
          <w:tcPr>
            <w:tcW w:w="779" w:type="pct"/>
            <w:tcBorders>
              <w:top w:val="single" w:sz="4" w:space="0" w:color="auto"/>
              <w:left w:val="single" w:sz="4" w:space="0" w:color="auto"/>
              <w:bottom w:val="single" w:sz="4" w:space="0" w:color="auto"/>
              <w:right w:val="single" w:sz="4" w:space="0" w:color="auto"/>
            </w:tcBorders>
            <w:vAlign w:val="center"/>
            <w:hideMark/>
          </w:tcPr>
          <w:p w14:paraId="217F901C" w14:textId="77777777" w:rsidR="00BA4874" w:rsidRPr="00A95754" w:rsidRDefault="00BA4874" w:rsidP="00094E2F">
            <w:pPr>
              <w:pStyle w:val="TableText0"/>
              <w:keepLines/>
              <w:widowControl w:val="0"/>
              <w:jc w:val="center"/>
              <w:rPr>
                <w:szCs w:val="20"/>
              </w:rPr>
            </w:pPr>
            <w:r w:rsidRPr="00A95754">
              <w:rPr>
                <w:szCs w:val="20"/>
              </w:rPr>
              <w:t>12.9 (11.6, 14.1)</w:t>
            </w:r>
          </w:p>
        </w:tc>
        <w:tc>
          <w:tcPr>
            <w:tcW w:w="817" w:type="pct"/>
            <w:tcBorders>
              <w:top w:val="single" w:sz="4" w:space="0" w:color="auto"/>
              <w:left w:val="single" w:sz="4" w:space="0" w:color="auto"/>
              <w:bottom w:val="single" w:sz="4" w:space="0" w:color="auto"/>
              <w:right w:val="single" w:sz="4" w:space="0" w:color="auto"/>
            </w:tcBorders>
            <w:vAlign w:val="center"/>
            <w:hideMark/>
          </w:tcPr>
          <w:p w14:paraId="35C83DE4" w14:textId="77777777" w:rsidR="00BA4874" w:rsidRPr="00A95754" w:rsidRDefault="00BA4874" w:rsidP="00094E2F">
            <w:pPr>
              <w:pStyle w:val="TableText0"/>
              <w:keepLines/>
              <w:widowControl w:val="0"/>
              <w:jc w:val="center"/>
              <w:rPr>
                <w:szCs w:val="20"/>
              </w:rPr>
            </w:pPr>
            <w:r w:rsidRPr="00A95754">
              <w:rPr>
                <w:szCs w:val="20"/>
              </w:rPr>
              <w:t>11.3 (10.1, 12.5)</w:t>
            </w:r>
          </w:p>
        </w:tc>
        <w:tc>
          <w:tcPr>
            <w:tcW w:w="1090" w:type="pct"/>
            <w:tcBorders>
              <w:top w:val="single" w:sz="4" w:space="0" w:color="auto"/>
              <w:left w:val="single" w:sz="4" w:space="0" w:color="auto"/>
              <w:bottom w:val="single" w:sz="4" w:space="0" w:color="auto"/>
              <w:right w:val="single" w:sz="4" w:space="0" w:color="auto"/>
            </w:tcBorders>
            <w:vAlign w:val="center"/>
            <w:hideMark/>
          </w:tcPr>
          <w:p w14:paraId="5DFB24C0" w14:textId="681F7DA6" w:rsidR="00BA4874" w:rsidRPr="00BD3BF8" w:rsidRDefault="00BA4874" w:rsidP="004D2C5E">
            <w:pPr>
              <w:pStyle w:val="TableText0"/>
              <w:keepLines/>
              <w:widowControl w:val="0"/>
              <w:jc w:val="center"/>
              <w:rPr>
                <w:iCs/>
              </w:rPr>
            </w:pPr>
            <w:r w:rsidRPr="00BD3BF8">
              <w:rPr>
                <w:iCs/>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DBA30" w14:textId="77777777" w:rsidR="00BA4874" w:rsidRPr="00A95754" w:rsidRDefault="00BA4874" w:rsidP="00094E2F">
            <w:pPr>
              <w:jc w:val="left"/>
              <w:rPr>
                <w:rFonts w:ascii="Arial Narrow" w:eastAsiaTheme="majorEastAsia" w:hAnsi="Arial Narrow" w:cstheme="majorBidi"/>
                <w:bCs/>
                <w:sz w:val="20"/>
              </w:rPr>
            </w:pPr>
          </w:p>
        </w:tc>
      </w:tr>
      <w:tr w:rsidR="00BA4874" w:rsidRPr="00A95754" w14:paraId="39CEF307" w14:textId="77777777" w:rsidTr="004D2C5E">
        <w:trPr>
          <w:trHeight w:val="58"/>
        </w:trPr>
        <w:tc>
          <w:tcPr>
            <w:tcW w:w="1342" w:type="pct"/>
            <w:tcBorders>
              <w:top w:val="single" w:sz="4" w:space="0" w:color="auto"/>
              <w:left w:val="single" w:sz="4" w:space="0" w:color="auto"/>
              <w:bottom w:val="single" w:sz="4" w:space="0" w:color="auto"/>
              <w:right w:val="single" w:sz="4" w:space="0" w:color="auto"/>
            </w:tcBorders>
            <w:hideMark/>
          </w:tcPr>
          <w:p w14:paraId="073A6FD1" w14:textId="77777777" w:rsidR="00BA4874" w:rsidRPr="00A95754" w:rsidRDefault="00BA4874" w:rsidP="00094E2F">
            <w:pPr>
              <w:pStyle w:val="TableText0"/>
              <w:keepLines/>
              <w:widowControl w:val="0"/>
            </w:pPr>
            <w:r w:rsidRPr="00A95754">
              <w:rPr>
                <w:szCs w:val="20"/>
              </w:rPr>
              <w:t>Alive at 12 months (%) (95% CI)</w:t>
            </w:r>
            <w:r w:rsidRPr="00A95754">
              <w:rPr>
                <w:szCs w:val="20"/>
                <w:vertAlign w:val="superscript"/>
              </w:rPr>
              <w:t xml:space="preserve"> </w:t>
            </w:r>
          </w:p>
        </w:tc>
        <w:tc>
          <w:tcPr>
            <w:tcW w:w="779" w:type="pct"/>
            <w:tcBorders>
              <w:top w:val="single" w:sz="4" w:space="0" w:color="auto"/>
              <w:left w:val="single" w:sz="4" w:space="0" w:color="auto"/>
              <w:bottom w:val="single" w:sz="4" w:space="0" w:color="auto"/>
              <w:right w:val="single" w:sz="4" w:space="0" w:color="auto"/>
            </w:tcBorders>
            <w:vAlign w:val="center"/>
            <w:hideMark/>
          </w:tcPr>
          <w:p w14:paraId="67E04764" w14:textId="77777777" w:rsidR="00BA4874" w:rsidRPr="00A95754" w:rsidRDefault="00BA4874" w:rsidP="00094E2F">
            <w:pPr>
              <w:pStyle w:val="TableText0"/>
              <w:keepLines/>
              <w:widowControl w:val="0"/>
              <w:jc w:val="center"/>
              <w:rPr>
                <w:szCs w:val="20"/>
              </w:rPr>
            </w:pPr>
            <w:r w:rsidRPr="00A95754">
              <w:rPr>
                <w:szCs w:val="20"/>
              </w:rPr>
              <w:t>54.3 (48.8, 59.4)</w:t>
            </w:r>
          </w:p>
        </w:tc>
        <w:tc>
          <w:tcPr>
            <w:tcW w:w="817" w:type="pct"/>
            <w:tcBorders>
              <w:top w:val="single" w:sz="4" w:space="0" w:color="auto"/>
              <w:left w:val="single" w:sz="4" w:space="0" w:color="auto"/>
              <w:bottom w:val="single" w:sz="4" w:space="0" w:color="auto"/>
              <w:right w:val="single" w:sz="4" w:space="0" w:color="auto"/>
            </w:tcBorders>
            <w:vAlign w:val="center"/>
            <w:hideMark/>
          </w:tcPr>
          <w:p w14:paraId="221FB673" w14:textId="77777777" w:rsidR="00BA4874" w:rsidRPr="00A95754" w:rsidRDefault="00BA4874" w:rsidP="00094E2F">
            <w:pPr>
              <w:pStyle w:val="TableText0"/>
              <w:keepLines/>
              <w:widowControl w:val="0"/>
              <w:jc w:val="center"/>
              <w:rPr>
                <w:szCs w:val="20"/>
              </w:rPr>
            </w:pPr>
            <w:r w:rsidRPr="00A95754">
              <w:rPr>
                <w:szCs w:val="20"/>
              </w:rPr>
              <w:t>47.1 (41.7, 52.3)</w:t>
            </w:r>
          </w:p>
        </w:tc>
        <w:tc>
          <w:tcPr>
            <w:tcW w:w="1090" w:type="pct"/>
            <w:tcBorders>
              <w:top w:val="single" w:sz="4" w:space="0" w:color="auto"/>
              <w:left w:val="single" w:sz="4" w:space="0" w:color="auto"/>
              <w:bottom w:val="single" w:sz="4" w:space="0" w:color="auto"/>
              <w:right w:val="single" w:sz="4" w:space="0" w:color="auto"/>
            </w:tcBorders>
            <w:vAlign w:val="center"/>
            <w:hideMark/>
          </w:tcPr>
          <w:p w14:paraId="35A71B91" w14:textId="77777777" w:rsidR="00BA4874" w:rsidRPr="00BD3BF8" w:rsidRDefault="00BA4874" w:rsidP="004D2C5E">
            <w:pPr>
              <w:pStyle w:val="TableText0"/>
              <w:keepLines/>
              <w:widowControl w:val="0"/>
              <w:jc w:val="center"/>
              <w:rPr>
                <w:iCs/>
              </w:rPr>
            </w:pPr>
            <w:r w:rsidRPr="00BD3BF8">
              <w:rPr>
                <w:iCs/>
              </w:rPr>
              <w:t>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94F95" w14:textId="77777777" w:rsidR="00BA4874" w:rsidRPr="00A95754" w:rsidRDefault="00BA4874" w:rsidP="00094E2F">
            <w:pPr>
              <w:jc w:val="left"/>
              <w:rPr>
                <w:rFonts w:ascii="Arial Narrow" w:eastAsiaTheme="majorEastAsia" w:hAnsi="Arial Narrow" w:cstheme="majorBidi"/>
                <w:bCs/>
                <w:sz w:val="20"/>
              </w:rPr>
            </w:pPr>
          </w:p>
        </w:tc>
      </w:tr>
      <w:tr w:rsidR="00BA4874" w:rsidRPr="00A95754" w14:paraId="3577CF95" w14:textId="77777777" w:rsidTr="004D2C5E">
        <w:trPr>
          <w:trHeight w:val="20"/>
        </w:trPr>
        <w:tc>
          <w:tcPr>
            <w:tcW w:w="1342" w:type="pct"/>
            <w:tcBorders>
              <w:top w:val="single" w:sz="4" w:space="0" w:color="auto"/>
              <w:left w:val="single" w:sz="4" w:space="0" w:color="auto"/>
              <w:bottom w:val="single" w:sz="4" w:space="0" w:color="auto"/>
              <w:right w:val="single" w:sz="4" w:space="0" w:color="auto"/>
            </w:tcBorders>
            <w:hideMark/>
          </w:tcPr>
          <w:p w14:paraId="534E1C99" w14:textId="77777777" w:rsidR="00BA4874" w:rsidRPr="00A95754" w:rsidRDefault="00BA4874" w:rsidP="00094E2F">
            <w:pPr>
              <w:pStyle w:val="TableText0"/>
              <w:keepLines/>
              <w:widowControl w:val="0"/>
            </w:pPr>
            <w:r w:rsidRPr="00A95754">
              <w:rPr>
                <w:szCs w:val="20"/>
              </w:rPr>
              <w:t>Alive at 18 months (%) (95% CI)</w:t>
            </w:r>
            <w:r w:rsidRPr="00A95754">
              <w:rPr>
                <w:szCs w:val="20"/>
                <w:vertAlign w:val="superscript"/>
              </w:rPr>
              <w:t xml:space="preserve"> </w:t>
            </w:r>
          </w:p>
        </w:tc>
        <w:tc>
          <w:tcPr>
            <w:tcW w:w="779" w:type="pct"/>
            <w:tcBorders>
              <w:top w:val="single" w:sz="4" w:space="0" w:color="auto"/>
              <w:left w:val="single" w:sz="4" w:space="0" w:color="auto"/>
              <w:bottom w:val="single" w:sz="4" w:space="0" w:color="auto"/>
              <w:right w:val="single" w:sz="4" w:space="0" w:color="auto"/>
            </w:tcBorders>
            <w:vAlign w:val="center"/>
            <w:hideMark/>
          </w:tcPr>
          <w:p w14:paraId="76ABF73D" w14:textId="77777777" w:rsidR="00BA4874" w:rsidRPr="00760428" w:rsidRDefault="00BA4874" w:rsidP="00094E2F">
            <w:pPr>
              <w:pStyle w:val="TableText0"/>
              <w:keepLines/>
              <w:widowControl w:val="0"/>
              <w:jc w:val="center"/>
              <w:rPr>
                <w:szCs w:val="20"/>
              </w:rPr>
            </w:pPr>
            <w:r w:rsidRPr="00760428">
              <w:rPr>
                <w:szCs w:val="20"/>
              </w:rPr>
              <w:t>34.8 (29.6, 40.0)</w:t>
            </w:r>
          </w:p>
        </w:tc>
        <w:tc>
          <w:tcPr>
            <w:tcW w:w="817" w:type="pct"/>
            <w:tcBorders>
              <w:top w:val="single" w:sz="4" w:space="0" w:color="auto"/>
              <w:left w:val="single" w:sz="4" w:space="0" w:color="auto"/>
              <w:bottom w:val="single" w:sz="4" w:space="0" w:color="auto"/>
              <w:right w:val="single" w:sz="4" w:space="0" w:color="auto"/>
            </w:tcBorders>
            <w:vAlign w:val="center"/>
            <w:hideMark/>
          </w:tcPr>
          <w:p w14:paraId="3E38E150" w14:textId="77777777" w:rsidR="00BA4874" w:rsidRPr="00760428" w:rsidRDefault="00BA4874" w:rsidP="00094E2F">
            <w:pPr>
              <w:pStyle w:val="TableText0"/>
              <w:keepLines/>
              <w:widowControl w:val="0"/>
              <w:jc w:val="center"/>
              <w:rPr>
                <w:szCs w:val="20"/>
              </w:rPr>
            </w:pPr>
            <w:r w:rsidRPr="00760428">
              <w:rPr>
                <w:szCs w:val="20"/>
              </w:rPr>
              <w:t>24.1 (19.6, 28.9)</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728812C" w14:textId="77777777" w:rsidR="00BA4874" w:rsidRPr="00BD3BF8" w:rsidRDefault="00BA4874" w:rsidP="004D2C5E">
            <w:pPr>
              <w:pStyle w:val="TableText0"/>
              <w:keepLines/>
              <w:widowControl w:val="0"/>
              <w:jc w:val="center"/>
              <w:rPr>
                <w:iCs/>
              </w:rPr>
            </w:pPr>
            <w:r w:rsidRPr="00BD3BF8">
              <w:rPr>
                <w:iCs/>
              </w:rPr>
              <w:t>10.7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036EC" w14:textId="77777777" w:rsidR="00BA4874" w:rsidRPr="00A95754" w:rsidRDefault="00BA4874" w:rsidP="00094E2F">
            <w:pPr>
              <w:jc w:val="left"/>
              <w:rPr>
                <w:rFonts w:ascii="Arial Narrow" w:eastAsiaTheme="majorEastAsia" w:hAnsi="Arial Narrow" w:cstheme="majorBidi"/>
                <w:bCs/>
                <w:sz w:val="20"/>
              </w:rPr>
            </w:pPr>
          </w:p>
        </w:tc>
      </w:tr>
      <w:tr w:rsidR="00BA4874" w:rsidRPr="00A95754" w14:paraId="64F1473E" w14:textId="77777777" w:rsidTr="004D2C5E">
        <w:trPr>
          <w:trHeight w:val="58"/>
        </w:trPr>
        <w:tc>
          <w:tcPr>
            <w:tcW w:w="1342" w:type="pct"/>
            <w:tcBorders>
              <w:top w:val="single" w:sz="4" w:space="0" w:color="auto"/>
              <w:left w:val="single" w:sz="4" w:space="0" w:color="auto"/>
              <w:bottom w:val="single" w:sz="4" w:space="0" w:color="auto"/>
              <w:right w:val="single" w:sz="4" w:space="0" w:color="auto"/>
            </w:tcBorders>
            <w:hideMark/>
          </w:tcPr>
          <w:p w14:paraId="5063446B" w14:textId="77777777" w:rsidR="00BA4874" w:rsidRPr="00A95754" w:rsidRDefault="00BA4874" w:rsidP="00094E2F">
            <w:pPr>
              <w:pStyle w:val="TableText0"/>
              <w:keepLines/>
              <w:widowControl w:val="0"/>
            </w:pPr>
            <w:r w:rsidRPr="00A95754">
              <w:rPr>
                <w:szCs w:val="20"/>
              </w:rPr>
              <w:t>Alive at 24 months (%) (95% CI)</w:t>
            </w:r>
            <w:r w:rsidRPr="00A95754">
              <w:rPr>
                <w:szCs w:val="20"/>
                <w:vertAlign w:val="superscript"/>
              </w:rPr>
              <w:t xml:space="preserve"> </w:t>
            </w:r>
          </w:p>
        </w:tc>
        <w:tc>
          <w:tcPr>
            <w:tcW w:w="779" w:type="pct"/>
            <w:tcBorders>
              <w:top w:val="single" w:sz="4" w:space="0" w:color="auto"/>
              <w:left w:val="single" w:sz="4" w:space="0" w:color="auto"/>
              <w:bottom w:val="single" w:sz="4" w:space="0" w:color="auto"/>
              <w:right w:val="single" w:sz="4" w:space="0" w:color="auto"/>
            </w:tcBorders>
            <w:vAlign w:val="center"/>
            <w:hideMark/>
          </w:tcPr>
          <w:p w14:paraId="0B44AD0B" w14:textId="77777777" w:rsidR="00BA4874" w:rsidRPr="00A95754" w:rsidRDefault="00BA4874" w:rsidP="00094E2F">
            <w:pPr>
              <w:pStyle w:val="TableText0"/>
              <w:keepLines/>
              <w:widowControl w:val="0"/>
              <w:jc w:val="center"/>
              <w:rPr>
                <w:szCs w:val="20"/>
              </w:rPr>
            </w:pPr>
            <w:r w:rsidRPr="00A95754">
              <w:rPr>
                <w:szCs w:val="20"/>
              </w:rPr>
              <w:t>23.6 (18.7, 28.9)</w:t>
            </w:r>
          </w:p>
        </w:tc>
        <w:tc>
          <w:tcPr>
            <w:tcW w:w="817" w:type="pct"/>
            <w:tcBorders>
              <w:top w:val="single" w:sz="4" w:space="0" w:color="auto"/>
              <w:left w:val="single" w:sz="4" w:space="0" w:color="auto"/>
              <w:bottom w:val="single" w:sz="4" w:space="0" w:color="auto"/>
              <w:right w:val="single" w:sz="4" w:space="0" w:color="auto"/>
            </w:tcBorders>
            <w:vAlign w:val="center"/>
            <w:hideMark/>
          </w:tcPr>
          <w:p w14:paraId="64AF2F3F" w14:textId="77777777" w:rsidR="00BA4874" w:rsidRPr="00A95754" w:rsidRDefault="00BA4874" w:rsidP="00094E2F">
            <w:pPr>
              <w:pStyle w:val="TableText0"/>
              <w:keepLines/>
              <w:widowControl w:val="0"/>
              <w:jc w:val="center"/>
              <w:rPr>
                <w:szCs w:val="20"/>
              </w:rPr>
            </w:pPr>
            <w:r w:rsidRPr="00A95754">
              <w:rPr>
                <w:szCs w:val="20"/>
              </w:rPr>
              <w:t>11.5 (7.6, 16.2)</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FB48331" w14:textId="77777777" w:rsidR="00BA4874" w:rsidRPr="00BD3BF8" w:rsidRDefault="00BA4874" w:rsidP="004D2C5E">
            <w:pPr>
              <w:pStyle w:val="TableText0"/>
              <w:keepLines/>
              <w:widowControl w:val="0"/>
              <w:jc w:val="center"/>
              <w:rPr>
                <w:iCs/>
              </w:rPr>
            </w:pPr>
            <w:r w:rsidRPr="00BD3BF8">
              <w:rPr>
                <w:iCs/>
              </w:rPr>
              <w:t>12.1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9B994" w14:textId="77777777" w:rsidR="00BA4874" w:rsidRPr="00A95754" w:rsidRDefault="00BA4874" w:rsidP="00094E2F">
            <w:pPr>
              <w:jc w:val="left"/>
              <w:rPr>
                <w:rFonts w:ascii="Arial Narrow" w:eastAsiaTheme="majorEastAsia" w:hAnsi="Arial Narrow" w:cstheme="majorBidi"/>
                <w:bCs/>
                <w:sz w:val="20"/>
              </w:rPr>
            </w:pPr>
          </w:p>
        </w:tc>
      </w:tr>
    </w:tbl>
    <w:tbl>
      <w:tblPr>
        <w:tblW w:w="5000" w:type="pct"/>
        <w:tblCellMar>
          <w:left w:w="28" w:type="dxa"/>
          <w:right w:w="28" w:type="dxa"/>
        </w:tblCellMar>
        <w:tblLook w:val="04A0" w:firstRow="1" w:lastRow="0" w:firstColumn="1" w:lastColumn="0" w:noHBand="0" w:noVBand="1"/>
      </w:tblPr>
      <w:tblGrid>
        <w:gridCol w:w="2384"/>
        <w:gridCol w:w="1014"/>
        <w:gridCol w:w="851"/>
        <w:gridCol w:w="1450"/>
        <w:gridCol w:w="1004"/>
        <w:gridCol w:w="938"/>
        <w:gridCol w:w="1376"/>
      </w:tblGrid>
      <w:tr w:rsidR="00BA4874" w:rsidRPr="00A95754" w14:paraId="1AAF4E0D" w14:textId="77777777" w:rsidTr="00094E2F">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747059E" w14:textId="77777777" w:rsidR="00BA4874" w:rsidRPr="00A95754" w:rsidRDefault="00BA4874" w:rsidP="00094E2F">
            <w:pPr>
              <w:pStyle w:val="In-tableHeading"/>
              <w:spacing w:line="256" w:lineRule="auto"/>
              <w:rPr>
                <w:lang w:eastAsia="en-US"/>
              </w:rPr>
            </w:pPr>
            <w:r w:rsidRPr="00A95754">
              <w:rPr>
                <w:lang w:eastAsia="en-US"/>
              </w:rPr>
              <w:t xml:space="preserve">Harms </w:t>
            </w:r>
            <w:r w:rsidRPr="00A95754">
              <w:t>at additional 6.5-month follow-up (data cut-off 25 Feb 2022)</w:t>
            </w:r>
          </w:p>
        </w:tc>
      </w:tr>
      <w:tr w:rsidR="00BA4874" w:rsidRPr="00A95754" w14:paraId="3B901805" w14:textId="77777777" w:rsidTr="00094E2F">
        <w:trPr>
          <w:trHeight w:val="70"/>
        </w:trPr>
        <w:tc>
          <w:tcPr>
            <w:tcW w:w="1322" w:type="pct"/>
            <w:vMerge w:val="restart"/>
            <w:tcBorders>
              <w:top w:val="single" w:sz="4" w:space="0" w:color="auto"/>
              <w:left w:val="single" w:sz="4" w:space="0" w:color="auto"/>
              <w:bottom w:val="single" w:sz="4" w:space="0" w:color="auto"/>
              <w:right w:val="single" w:sz="4" w:space="0" w:color="auto"/>
            </w:tcBorders>
            <w:vAlign w:val="center"/>
          </w:tcPr>
          <w:p w14:paraId="5251FF6B" w14:textId="77777777" w:rsidR="00BA4874" w:rsidRPr="00A95754" w:rsidRDefault="00BA4874" w:rsidP="00094E2F">
            <w:pPr>
              <w:pStyle w:val="In-tableHeading"/>
              <w:spacing w:line="256" w:lineRule="auto"/>
              <w:rPr>
                <w:lang w:eastAsia="en-US"/>
              </w:rPr>
            </w:pPr>
          </w:p>
        </w:tc>
        <w:tc>
          <w:tcPr>
            <w:tcW w:w="562" w:type="pct"/>
            <w:vMerge w:val="restart"/>
            <w:tcBorders>
              <w:top w:val="single" w:sz="4" w:space="0" w:color="auto"/>
              <w:left w:val="single" w:sz="4" w:space="0" w:color="auto"/>
              <w:bottom w:val="single" w:sz="4" w:space="0" w:color="auto"/>
              <w:right w:val="single" w:sz="4" w:space="0" w:color="auto"/>
            </w:tcBorders>
            <w:vAlign w:val="center"/>
            <w:hideMark/>
          </w:tcPr>
          <w:p w14:paraId="2EC09CA4" w14:textId="77777777" w:rsidR="00BA4874" w:rsidRPr="00A95754" w:rsidRDefault="00BA4874" w:rsidP="00094E2F">
            <w:pPr>
              <w:pStyle w:val="In-tableHeading"/>
              <w:spacing w:line="256" w:lineRule="auto"/>
              <w:jc w:val="center"/>
              <w:rPr>
                <w:lang w:eastAsia="en-US"/>
              </w:rPr>
            </w:pPr>
            <w:r w:rsidRPr="00A95754">
              <w:rPr>
                <w:lang w:eastAsia="en-US"/>
              </w:rPr>
              <w:t>Durvalumab + GemCis</w:t>
            </w:r>
          </w:p>
          <w:p w14:paraId="2E460137" w14:textId="77777777" w:rsidR="00BA4874" w:rsidRPr="00A95754" w:rsidRDefault="00BA4874" w:rsidP="00094E2F">
            <w:pPr>
              <w:pStyle w:val="In-tableHeading"/>
              <w:spacing w:line="256" w:lineRule="auto"/>
              <w:jc w:val="center"/>
              <w:rPr>
                <w:lang w:eastAsia="en-US"/>
              </w:rPr>
            </w:pPr>
            <w:r w:rsidRPr="00A95754">
              <w:rPr>
                <w:lang w:eastAsia="en-US"/>
              </w:rPr>
              <w:t>n/N</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4EA97951" w14:textId="77777777" w:rsidR="00BA4874" w:rsidRPr="00A95754" w:rsidRDefault="00BA4874" w:rsidP="00094E2F">
            <w:pPr>
              <w:pStyle w:val="In-tableHeading"/>
              <w:spacing w:line="256" w:lineRule="auto"/>
              <w:jc w:val="center"/>
              <w:rPr>
                <w:lang w:eastAsia="en-US"/>
              </w:rPr>
            </w:pPr>
            <w:r w:rsidRPr="00A95754">
              <w:rPr>
                <w:lang w:eastAsia="en-US"/>
              </w:rPr>
              <w:t>Placebo + GemCis</w:t>
            </w:r>
          </w:p>
          <w:p w14:paraId="569FE633" w14:textId="77777777" w:rsidR="00BA4874" w:rsidRPr="00A95754" w:rsidRDefault="00BA4874" w:rsidP="00094E2F">
            <w:pPr>
              <w:pStyle w:val="In-tableHeading"/>
              <w:spacing w:line="256" w:lineRule="auto"/>
              <w:jc w:val="center"/>
              <w:rPr>
                <w:lang w:eastAsia="en-US"/>
              </w:rPr>
            </w:pPr>
            <w:r w:rsidRPr="00A95754">
              <w:rPr>
                <w:lang w:eastAsia="en-US"/>
              </w:rPr>
              <w:t>n/N</w:t>
            </w:r>
          </w:p>
        </w:tc>
        <w:tc>
          <w:tcPr>
            <w:tcW w:w="804" w:type="pct"/>
            <w:vMerge w:val="restart"/>
            <w:tcBorders>
              <w:top w:val="single" w:sz="4" w:space="0" w:color="auto"/>
              <w:left w:val="single" w:sz="4" w:space="0" w:color="auto"/>
              <w:bottom w:val="single" w:sz="4" w:space="0" w:color="auto"/>
              <w:right w:val="single" w:sz="4" w:space="0" w:color="auto"/>
            </w:tcBorders>
            <w:vAlign w:val="center"/>
            <w:hideMark/>
          </w:tcPr>
          <w:p w14:paraId="4F4F2132" w14:textId="77777777" w:rsidR="00BA4874" w:rsidRPr="00A95754" w:rsidRDefault="00BA4874" w:rsidP="00094E2F">
            <w:pPr>
              <w:pStyle w:val="In-tableHeading"/>
              <w:spacing w:line="256" w:lineRule="auto"/>
              <w:jc w:val="center"/>
              <w:rPr>
                <w:vertAlign w:val="superscript"/>
                <w:lang w:eastAsia="en-US"/>
              </w:rPr>
            </w:pPr>
            <w:r w:rsidRPr="00A95754">
              <w:rPr>
                <w:lang w:eastAsia="en-US"/>
              </w:rPr>
              <w:t>RR</w:t>
            </w:r>
            <w:r w:rsidRPr="00A95754">
              <w:rPr>
                <w:vertAlign w:val="superscript"/>
                <w:lang w:eastAsia="en-US"/>
              </w:rPr>
              <w:t>a</w:t>
            </w:r>
          </w:p>
          <w:p w14:paraId="29B95FDF" w14:textId="77777777" w:rsidR="00BA4874" w:rsidRPr="00A95754" w:rsidRDefault="00BA4874" w:rsidP="00094E2F">
            <w:pPr>
              <w:pStyle w:val="In-tableHeading"/>
              <w:spacing w:line="256" w:lineRule="auto"/>
              <w:jc w:val="center"/>
              <w:rPr>
                <w:lang w:eastAsia="en-US"/>
              </w:rPr>
            </w:pPr>
            <w:r w:rsidRPr="00A95754">
              <w:rPr>
                <w:lang w:eastAsia="en-US"/>
              </w:rPr>
              <w:t>(95% CI)</w:t>
            </w:r>
          </w:p>
        </w:tc>
        <w:tc>
          <w:tcPr>
            <w:tcW w:w="1077" w:type="pct"/>
            <w:gridSpan w:val="2"/>
            <w:tcBorders>
              <w:top w:val="single" w:sz="4" w:space="0" w:color="auto"/>
              <w:left w:val="single" w:sz="4" w:space="0" w:color="auto"/>
              <w:bottom w:val="single" w:sz="4" w:space="0" w:color="auto"/>
              <w:right w:val="single" w:sz="4" w:space="0" w:color="auto"/>
            </w:tcBorders>
            <w:vAlign w:val="center"/>
            <w:hideMark/>
          </w:tcPr>
          <w:p w14:paraId="479FA648" w14:textId="77777777" w:rsidR="00BA4874" w:rsidRPr="00A95754" w:rsidRDefault="00BA4874" w:rsidP="00094E2F">
            <w:pPr>
              <w:pStyle w:val="In-tableHeading"/>
              <w:spacing w:line="256" w:lineRule="auto"/>
              <w:jc w:val="center"/>
              <w:rPr>
                <w:lang w:eastAsia="en-US"/>
              </w:rPr>
            </w:pPr>
            <w:r w:rsidRPr="00A95754">
              <w:rPr>
                <w:lang w:eastAsia="en-US"/>
              </w:rPr>
              <w:t>Event rate/100 patients</w:t>
            </w:r>
          </w:p>
        </w:tc>
        <w:tc>
          <w:tcPr>
            <w:tcW w:w="763" w:type="pct"/>
            <w:vMerge w:val="restart"/>
            <w:tcBorders>
              <w:top w:val="single" w:sz="4" w:space="0" w:color="auto"/>
              <w:left w:val="single" w:sz="4" w:space="0" w:color="auto"/>
              <w:bottom w:val="single" w:sz="4" w:space="0" w:color="auto"/>
              <w:right w:val="single" w:sz="4" w:space="0" w:color="auto"/>
            </w:tcBorders>
            <w:vAlign w:val="center"/>
            <w:hideMark/>
          </w:tcPr>
          <w:p w14:paraId="52BB01CE" w14:textId="77777777" w:rsidR="00BA4874" w:rsidRPr="00A95754" w:rsidRDefault="00BA4874" w:rsidP="00094E2F">
            <w:pPr>
              <w:pStyle w:val="In-tableHeading"/>
              <w:spacing w:line="256" w:lineRule="auto"/>
              <w:jc w:val="center"/>
              <w:rPr>
                <w:lang w:eastAsia="en-US"/>
              </w:rPr>
            </w:pPr>
            <w:r w:rsidRPr="00A95754">
              <w:rPr>
                <w:lang w:eastAsia="en-US"/>
              </w:rPr>
              <w:t>RD</w:t>
            </w:r>
            <w:r w:rsidRPr="00A95754">
              <w:rPr>
                <w:vertAlign w:val="superscript"/>
                <w:lang w:eastAsia="en-US"/>
              </w:rPr>
              <w:t>a</w:t>
            </w:r>
          </w:p>
          <w:p w14:paraId="6B411A05" w14:textId="77777777" w:rsidR="00BA4874" w:rsidRPr="00A95754" w:rsidRDefault="00BA4874" w:rsidP="00094E2F">
            <w:pPr>
              <w:pStyle w:val="In-tableHeading"/>
              <w:spacing w:line="256" w:lineRule="auto"/>
              <w:jc w:val="center"/>
              <w:rPr>
                <w:lang w:eastAsia="en-US"/>
              </w:rPr>
            </w:pPr>
            <w:r w:rsidRPr="00A95754">
              <w:rPr>
                <w:lang w:eastAsia="en-US"/>
              </w:rPr>
              <w:t>(95% CI)</w:t>
            </w:r>
          </w:p>
        </w:tc>
      </w:tr>
      <w:tr w:rsidR="00BA4874" w:rsidRPr="00A95754" w14:paraId="7FFC1CA6" w14:textId="77777777" w:rsidTr="00094E2F">
        <w:trPr>
          <w:trHeight w:val="390"/>
        </w:trPr>
        <w:tc>
          <w:tcPr>
            <w:tcW w:w="1322" w:type="pct"/>
            <w:vMerge/>
            <w:tcBorders>
              <w:top w:val="single" w:sz="4" w:space="0" w:color="auto"/>
              <w:left w:val="single" w:sz="4" w:space="0" w:color="auto"/>
              <w:bottom w:val="single" w:sz="4" w:space="0" w:color="auto"/>
              <w:right w:val="single" w:sz="4" w:space="0" w:color="auto"/>
            </w:tcBorders>
            <w:vAlign w:val="center"/>
            <w:hideMark/>
          </w:tcPr>
          <w:p w14:paraId="21F6485E" w14:textId="77777777" w:rsidR="00BA4874" w:rsidRPr="00A95754" w:rsidRDefault="00BA4874" w:rsidP="00094E2F">
            <w:pPr>
              <w:spacing w:line="256" w:lineRule="auto"/>
              <w:jc w:val="left"/>
              <w:rPr>
                <w:rFonts w:ascii="Arial Narrow" w:eastAsiaTheme="majorEastAsia" w:hAnsi="Arial Narrow" w:cs="Times New Roman"/>
                <w:b/>
                <w:sz w:val="20"/>
                <w:lang w:val="en-US" w:eastAsia="en-US"/>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14:paraId="0042FBBE" w14:textId="77777777" w:rsidR="00BA4874" w:rsidRPr="00A95754" w:rsidRDefault="00BA4874" w:rsidP="00094E2F">
            <w:pPr>
              <w:spacing w:line="256" w:lineRule="auto"/>
              <w:jc w:val="left"/>
              <w:rPr>
                <w:rFonts w:ascii="Arial Narrow" w:eastAsiaTheme="majorEastAsia" w:hAnsi="Arial Narrow" w:cs="Times New Roman"/>
                <w:b/>
                <w:sz w:val="20"/>
                <w:lang w:val="en-US" w:eastAsia="en-US"/>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4C06757" w14:textId="77777777" w:rsidR="00BA4874" w:rsidRPr="00A95754" w:rsidRDefault="00BA4874" w:rsidP="00094E2F">
            <w:pPr>
              <w:spacing w:line="256" w:lineRule="auto"/>
              <w:jc w:val="left"/>
              <w:rPr>
                <w:rFonts w:ascii="Arial Narrow" w:eastAsiaTheme="majorEastAsia" w:hAnsi="Arial Narrow" w:cs="Times New Roman"/>
                <w:b/>
                <w:sz w:val="20"/>
                <w:lang w:val="en-US" w:eastAsia="en-US"/>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14:paraId="04493ABE" w14:textId="77777777" w:rsidR="00BA4874" w:rsidRPr="00A95754" w:rsidRDefault="00BA4874" w:rsidP="00094E2F">
            <w:pPr>
              <w:spacing w:line="256" w:lineRule="auto"/>
              <w:jc w:val="left"/>
              <w:rPr>
                <w:rFonts w:ascii="Arial Narrow" w:eastAsiaTheme="majorEastAsia" w:hAnsi="Arial Narrow" w:cs="Times New Roman"/>
                <w:b/>
                <w:sz w:val="20"/>
                <w:lang w:val="en-US" w:eastAsia="en-US"/>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085F4D7D" w14:textId="77777777" w:rsidR="00BA4874" w:rsidRPr="00A95754" w:rsidRDefault="00BA4874" w:rsidP="00094E2F">
            <w:pPr>
              <w:pStyle w:val="In-tableHeading"/>
              <w:spacing w:line="256" w:lineRule="auto"/>
              <w:jc w:val="center"/>
              <w:rPr>
                <w:lang w:eastAsia="en-US"/>
              </w:rPr>
            </w:pPr>
            <w:r w:rsidRPr="00A95754">
              <w:rPr>
                <w:lang w:eastAsia="en-US"/>
              </w:rPr>
              <w:t>Durvalumab + GemCis</w:t>
            </w:r>
          </w:p>
        </w:tc>
        <w:tc>
          <w:tcPr>
            <w:tcW w:w="520" w:type="pct"/>
            <w:tcBorders>
              <w:top w:val="single" w:sz="4" w:space="0" w:color="auto"/>
              <w:left w:val="single" w:sz="4" w:space="0" w:color="auto"/>
              <w:bottom w:val="single" w:sz="4" w:space="0" w:color="auto"/>
              <w:right w:val="single" w:sz="4" w:space="0" w:color="auto"/>
            </w:tcBorders>
            <w:vAlign w:val="center"/>
            <w:hideMark/>
          </w:tcPr>
          <w:p w14:paraId="4B2C6C4E" w14:textId="77777777" w:rsidR="00BA4874" w:rsidRPr="00A95754" w:rsidRDefault="00BA4874" w:rsidP="00094E2F">
            <w:pPr>
              <w:pStyle w:val="In-tableHeading"/>
              <w:spacing w:line="256" w:lineRule="auto"/>
              <w:jc w:val="center"/>
              <w:rPr>
                <w:lang w:eastAsia="en-US"/>
              </w:rPr>
            </w:pPr>
            <w:r w:rsidRPr="00A95754">
              <w:rPr>
                <w:lang w:eastAsia="en-US"/>
              </w:rPr>
              <w:t>Placebo + GemCis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3D983" w14:textId="77777777" w:rsidR="00BA4874" w:rsidRPr="00A95754" w:rsidRDefault="00BA4874" w:rsidP="00094E2F">
            <w:pPr>
              <w:spacing w:line="256" w:lineRule="auto"/>
              <w:jc w:val="left"/>
              <w:rPr>
                <w:rFonts w:ascii="Arial Narrow" w:eastAsiaTheme="majorEastAsia" w:hAnsi="Arial Narrow" w:cs="Times New Roman"/>
                <w:b/>
                <w:sz w:val="20"/>
                <w:lang w:val="en-US" w:eastAsia="en-US"/>
              </w:rPr>
            </w:pPr>
          </w:p>
        </w:tc>
      </w:tr>
      <w:tr w:rsidR="00BA4874" w:rsidRPr="00A95754" w14:paraId="1A532DCC" w14:textId="77777777" w:rsidTr="00094E2F">
        <w:tc>
          <w:tcPr>
            <w:tcW w:w="5000" w:type="pct"/>
            <w:gridSpan w:val="7"/>
            <w:tcBorders>
              <w:top w:val="single" w:sz="4" w:space="0" w:color="auto"/>
              <w:left w:val="single" w:sz="4" w:space="0" w:color="auto"/>
              <w:bottom w:val="single" w:sz="4" w:space="0" w:color="auto"/>
              <w:right w:val="single" w:sz="4" w:space="0" w:color="auto"/>
            </w:tcBorders>
          </w:tcPr>
          <w:p w14:paraId="05E41701" w14:textId="77777777" w:rsidR="00BA4874" w:rsidRPr="00A95754" w:rsidRDefault="00BA4874" w:rsidP="00094E2F">
            <w:pPr>
              <w:pStyle w:val="In-tableHeading"/>
              <w:spacing w:line="256" w:lineRule="auto"/>
              <w:jc w:val="both"/>
              <w:rPr>
                <w:lang w:eastAsia="en-US"/>
              </w:rPr>
            </w:pPr>
            <w:r w:rsidRPr="00A95754">
              <w:t>Any</w:t>
            </w:r>
            <w:r w:rsidRPr="00A95754">
              <w:rPr>
                <w:spacing w:val="-9"/>
              </w:rPr>
              <w:t xml:space="preserve"> </w:t>
            </w:r>
            <w:r w:rsidRPr="00A95754">
              <w:t>SAE</w:t>
            </w:r>
            <w:r w:rsidRPr="00A95754">
              <w:rPr>
                <w:spacing w:val="-11"/>
              </w:rPr>
              <w:t xml:space="preserve"> </w:t>
            </w:r>
            <w:r w:rsidRPr="00A95754">
              <w:t>(including</w:t>
            </w:r>
            <w:r w:rsidRPr="00A95754">
              <w:rPr>
                <w:spacing w:val="-10"/>
              </w:rPr>
              <w:t xml:space="preserve"> </w:t>
            </w:r>
            <w:r w:rsidRPr="00A95754">
              <w:t>AEs</w:t>
            </w:r>
            <w:r w:rsidRPr="00A95754">
              <w:rPr>
                <w:spacing w:val="-9"/>
              </w:rPr>
              <w:t xml:space="preserve"> </w:t>
            </w:r>
            <w:r w:rsidRPr="00A95754">
              <w:t>with outcome of death)</w:t>
            </w:r>
          </w:p>
        </w:tc>
      </w:tr>
      <w:tr w:rsidR="00BA4874" w:rsidRPr="00A95754" w14:paraId="269706CC" w14:textId="77777777" w:rsidTr="00094E2F">
        <w:tc>
          <w:tcPr>
            <w:tcW w:w="1322" w:type="pct"/>
            <w:tcBorders>
              <w:top w:val="single" w:sz="4" w:space="0" w:color="auto"/>
              <w:left w:val="single" w:sz="4" w:space="0" w:color="auto"/>
              <w:bottom w:val="single" w:sz="4" w:space="0" w:color="auto"/>
              <w:right w:val="single" w:sz="4" w:space="0" w:color="auto"/>
            </w:tcBorders>
            <w:vAlign w:val="center"/>
          </w:tcPr>
          <w:p w14:paraId="0410B9F0" w14:textId="77777777" w:rsidR="00BA4874" w:rsidRPr="00A95754" w:rsidRDefault="00BA4874" w:rsidP="00094E2F">
            <w:pPr>
              <w:pStyle w:val="TableText0"/>
              <w:spacing w:line="256" w:lineRule="auto"/>
              <w:rPr>
                <w:lang w:eastAsia="en-US"/>
              </w:rPr>
            </w:pPr>
            <w:r w:rsidRPr="00A95754">
              <w:rPr>
                <w:lang w:eastAsia="en-US"/>
              </w:rPr>
              <w:t>TOPAZ-1</w:t>
            </w:r>
          </w:p>
        </w:tc>
        <w:tc>
          <w:tcPr>
            <w:tcW w:w="562" w:type="pct"/>
            <w:tcBorders>
              <w:top w:val="single" w:sz="4" w:space="0" w:color="auto"/>
              <w:left w:val="single" w:sz="4" w:space="0" w:color="auto"/>
              <w:bottom w:val="single" w:sz="4" w:space="0" w:color="auto"/>
              <w:right w:val="single" w:sz="4" w:space="0" w:color="auto"/>
            </w:tcBorders>
            <w:vAlign w:val="center"/>
          </w:tcPr>
          <w:p w14:paraId="10B9E2F7" w14:textId="77777777" w:rsidR="00BA4874" w:rsidRPr="00BD05AE" w:rsidRDefault="00BA4874" w:rsidP="00094E2F">
            <w:pPr>
              <w:pStyle w:val="TableText0"/>
              <w:spacing w:line="256" w:lineRule="auto"/>
              <w:jc w:val="center"/>
              <w:rPr>
                <w:lang w:eastAsia="en-US"/>
              </w:rPr>
            </w:pPr>
            <w:r w:rsidRPr="00BD05AE">
              <w:t>161/338</w:t>
            </w:r>
          </w:p>
        </w:tc>
        <w:tc>
          <w:tcPr>
            <w:tcW w:w="472" w:type="pct"/>
            <w:tcBorders>
              <w:top w:val="single" w:sz="4" w:space="0" w:color="auto"/>
              <w:left w:val="single" w:sz="4" w:space="0" w:color="auto"/>
              <w:bottom w:val="single" w:sz="4" w:space="0" w:color="auto"/>
              <w:right w:val="single" w:sz="4" w:space="0" w:color="auto"/>
            </w:tcBorders>
            <w:vAlign w:val="center"/>
          </w:tcPr>
          <w:p w14:paraId="4644C8BD" w14:textId="77777777" w:rsidR="00BA4874" w:rsidRPr="00BD05AE" w:rsidRDefault="00BA4874" w:rsidP="00094E2F">
            <w:pPr>
              <w:pStyle w:val="TableText0"/>
              <w:spacing w:line="256" w:lineRule="auto"/>
              <w:jc w:val="center"/>
              <w:rPr>
                <w:lang w:eastAsia="en-US"/>
              </w:rPr>
            </w:pPr>
            <w:r w:rsidRPr="00BD05AE">
              <w:t>151/342</w:t>
            </w:r>
          </w:p>
        </w:tc>
        <w:tc>
          <w:tcPr>
            <w:tcW w:w="804" w:type="pct"/>
            <w:tcBorders>
              <w:top w:val="single" w:sz="4" w:space="0" w:color="auto"/>
              <w:left w:val="single" w:sz="4" w:space="0" w:color="auto"/>
              <w:bottom w:val="single" w:sz="4" w:space="0" w:color="auto"/>
              <w:right w:val="single" w:sz="4" w:space="0" w:color="auto"/>
            </w:tcBorders>
            <w:vAlign w:val="center"/>
          </w:tcPr>
          <w:p w14:paraId="57D5DE8A" w14:textId="77777777" w:rsidR="00BA4874" w:rsidRPr="00BD05AE" w:rsidRDefault="00BA4874" w:rsidP="00094E2F">
            <w:pPr>
              <w:pStyle w:val="TableText0"/>
              <w:spacing w:line="256" w:lineRule="auto"/>
              <w:jc w:val="center"/>
              <w:rPr>
                <w:lang w:eastAsia="en-US"/>
              </w:rPr>
            </w:pPr>
            <w:r w:rsidRPr="00BD05AE">
              <w:t>1.08 (0.92, 1.27)</w:t>
            </w:r>
          </w:p>
        </w:tc>
        <w:tc>
          <w:tcPr>
            <w:tcW w:w="557" w:type="pct"/>
            <w:tcBorders>
              <w:top w:val="single" w:sz="4" w:space="0" w:color="auto"/>
              <w:left w:val="single" w:sz="4" w:space="0" w:color="auto"/>
              <w:bottom w:val="single" w:sz="4" w:space="0" w:color="auto"/>
              <w:right w:val="single" w:sz="4" w:space="0" w:color="auto"/>
            </w:tcBorders>
            <w:vAlign w:val="center"/>
          </w:tcPr>
          <w:p w14:paraId="42C732D8" w14:textId="77777777" w:rsidR="00BA4874" w:rsidRPr="00BD05AE" w:rsidRDefault="00BA4874" w:rsidP="00094E2F">
            <w:pPr>
              <w:pStyle w:val="TableText0"/>
              <w:spacing w:line="256" w:lineRule="auto"/>
              <w:jc w:val="center"/>
              <w:rPr>
                <w:lang w:eastAsia="en-US"/>
              </w:rPr>
            </w:pPr>
            <w:r w:rsidRPr="00BD05AE">
              <w:rPr>
                <w:lang w:eastAsia="en-US"/>
              </w:rPr>
              <w:t>47.6</w:t>
            </w:r>
          </w:p>
        </w:tc>
        <w:tc>
          <w:tcPr>
            <w:tcW w:w="520" w:type="pct"/>
            <w:tcBorders>
              <w:top w:val="single" w:sz="4" w:space="0" w:color="auto"/>
              <w:left w:val="single" w:sz="4" w:space="0" w:color="auto"/>
              <w:bottom w:val="single" w:sz="4" w:space="0" w:color="auto"/>
              <w:right w:val="single" w:sz="4" w:space="0" w:color="auto"/>
            </w:tcBorders>
            <w:vAlign w:val="center"/>
          </w:tcPr>
          <w:p w14:paraId="6EF652B8" w14:textId="77777777" w:rsidR="00BA4874" w:rsidRPr="00BD05AE" w:rsidRDefault="00BA4874" w:rsidP="00094E2F">
            <w:pPr>
              <w:pStyle w:val="TableText0"/>
              <w:spacing w:line="256" w:lineRule="auto"/>
              <w:jc w:val="center"/>
              <w:rPr>
                <w:lang w:eastAsia="en-US"/>
              </w:rPr>
            </w:pPr>
            <w:r w:rsidRPr="00BD05AE">
              <w:rPr>
                <w:lang w:eastAsia="en-US"/>
              </w:rPr>
              <w:t>44.2</w:t>
            </w:r>
          </w:p>
        </w:tc>
        <w:tc>
          <w:tcPr>
            <w:tcW w:w="763" w:type="pct"/>
            <w:tcBorders>
              <w:top w:val="single" w:sz="4" w:space="0" w:color="auto"/>
              <w:left w:val="single" w:sz="4" w:space="0" w:color="auto"/>
              <w:bottom w:val="single" w:sz="4" w:space="0" w:color="auto"/>
              <w:right w:val="single" w:sz="4" w:space="0" w:color="auto"/>
            </w:tcBorders>
            <w:vAlign w:val="center"/>
          </w:tcPr>
          <w:p w14:paraId="7AD05D45" w14:textId="77777777" w:rsidR="00BA4874" w:rsidRPr="00BD05AE" w:rsidRDefault="00BA4874" w:rsidP="00094E2F">
            <w:pPr>
              <w:pStyle w:val="TableText0"/>
              <w:spacing w:line="256" w:lineRule="auto"/>
              <w:jc w:val="center"/>
              <w:rPr>
                <w:lang w:eastAsia="en-US"/>
              </w:rPr>
            </w:pPr>
            <w:r w:rsidRPr="00BD05AE">
              <w:rPr>
                <w:bCs w:val="0"/>
                <w:szCs w:val="18"/>
                <w:lang w:eastAsia="en-US"/>
              </w:rPr>
              <w:t>0.03 (-0.04, 0.1</w:t>
            </w:r>
            <w:r w:rsidRPr="00BD05AE">
              <w:rPr>
                <w:szCs w:val="18"/>
                <w:lang w:eastAsia="en-US"/>
              </w:rPr>
              <w:t>1</w:t>
            </w:r>
            <w:r w:rsidRPr="00BD05AE">
              <w:rPr>
                <w:bCs w:val="0"/>
                <w:szCs w:val="18"/>
                <w:lang w:eastAsia="en-US"/>
              </w:rPr>
              <w:t>)</w:t>
            </w:r>
          </w:p>
        </w:tc>
      </w:tr>
      <w:tr w:rsidR="00BA4874" w:rsidRPr="00A95754" w14:paraId="2C491119" w14:textId="77777777" w:rsidTr="00094E2F">
        <w:tc>
          <w:tcPr>
            <w:tcW w:w="5000" w:type="pct"/>
            <w:gridSpan w:val="7"/>
            <w:tcBorders>
              <w:top w:val="single" w:sz="4" w:space="0" w:color="auto"/>
              <w:left w:val="single" w:sz="4" w:space="0" w:color="auto"/>
              <w:bottom w:val="single" w:sz="4" w:space="0" w:color="auto"/>
              <w:right w:val="single" w:sz="4" w:space="0" w:color="auto"/>
            </w:tcBorders>
            <w:vAlign w:val="center"/>
          </w:tcPr>
          <w:p w14:paraId="0AEC74CA" w14:textId="77777777" w:rsidR="00BA4874" w:rsidRPr="00BD05AE" w:rsidRDefault="00BA4874" w:rsidP="00094E2F">
            <w:pPr>
              <w:pStyle w:val="TableText0"/>
              <w:spacing w:line="256" w:lineRule="auto"/>
              <w:rPr>
                <w:b/>
                <w:bCs w:val="0"/>
                <w:szCs w:val="18"/>
                <w:lang w:eastAsia="en-US"/>
              </w:rPr>
            </w:pPr>
            <w:r w:rsidRPr="00BD05AE">
              <w:rPr>
                <w:b/>
                <w:bCs w:val="0"/>
                <w:szCs w:val="18"/>
                <w:lang w:eastAsia="en-US"/>
              </w:rPr>
              <w:t xml:space="preserve">Any AESI </w:t>
            </w:r>
            <w:r w:rsidRPr="00BD05AE">
              <w:rPr>
                <w:b/>
                <w:bCs w:val="0"/>
                <w:lang w:eastAsia="en-US"/>
              </w:rPr>
              <w:t>– possibly treatment related</w:t>
            </w:r>
          </w:p>
        </w:tc>
      </w:tr>
      <w:tr w:rsidR="00BA4874" w:rsidRPr="00A95754" w14:paraId="33E29C87" w14:textId="77777777" w:rsidTr="00094E2F">
        <w:tc>
          <w:tcPr>
            <w:tcW w:w="1322" w:type="pct"/>
            <w:tcBorders>
              <w:top w:val="single" w:sz="4" w:space="0" w:color="auto"/>
              <w:left w:val="single" w:sz="4" w:space="0" w:color="auto"/>
              <w:bottom w:val="single" w:sz="4" w:space="0" w:color="auto"/>
              <w:right w:val="single" w:sz="4" w:space="0" w:color="auto"/>
            </w:tcBorders>
            <w:vAlign w:val="center"/>
          </w:tcPr>
          <w:p w14:paraId="0A21A9E7" w14:textId="77777777" w:rsidR="00BA4874" w:rsidRPr="00A95754" w:rsidRDefault="00BA4874" w:rsidP="00094E2F">
            <w:pPr>
              <w:pStyle w:val="TableText0"/>
              <w:spacing w:line="256" w:lineRule="auto"/>
              <w:rPr>
                <w:lang w:eastAsia="en-US"/>
              </w:rPr>
            </w:pPr>
            <w:r w:rsidRPr="00A95754">
              <w:rPr>
                <w:lang w:eastAsia="en-US"/>
              </w:rPr>
              <w:t>TOPAZ-1</w:t>
            </w:r>
          </w:p>
        </w:tc>
        <w:tc>
          <w:tcPr>
            <w:tcW w:w="562" w:type="pct"/>
            <w:tcBorders>
              <w:top w:val="single" w:sz="4" w:space="0" w:color="auto"/>
              <w:left w:val="single" w:sz="4" w:space="0" w:color="auto"/>
              <w:bottom w:val="single" w:sz="4" w:space="0" w:color="auto"/>
              <w:right w:val="single" w:sz="4" w:space="0" w:color="auto"/>
            </w:tcBorders>
            <w:vAlign w:val="center"/>
          </w:tcPr>
          <w:p w14:paraId="487FB0C6" w14:textId="77777777" w:rsidR="00BA4874" w:rsidRPr="00BD05AE" w:rsidRDefault="00BA4874" w:rsidP="00094E2F">
            <w:pPr>
              <w:pStyle w:val="TableText0"/>
              <w:spacing w:line="256" w:lineRule="auto"/>
              <w:jc w:val="center"/>
              <w:rPr>
                <w:lang w:eastAsia="en-US"/>
              </w:rPr>
            </w:pPr>
            <w:r w:rsidRPr="00BD05AE">
              <w:rPr>
                <w:lang w:eastAsia="en-US"/>
              </w:rPr>
              <w:t>104/338</w:t>
            </w:r>
          </w:p>
        </w:tc>
        <w:tc>
          <w:tcPr>
            <w:tcW w:w="472" w:type="pct"/>
            <w:tcBorders>
              <w:top w:val="single" w:sz="4" w:space="0" w:color="auto"/>
              <w:left w:val="single" w:sz="4" w:space="0" w:color="auto"/>
              <w:bottom w:val="single" w:sz="4" w:space="0" w:color="auto"/>
              <w:right w:val="single" w:sz="4" w:space="0" w:color="auto"/>
            </w:tcBorders>
            <w:vAlign w:val="center"/>
          </w:tcPr>
          <w:p w14:paraId="65AD7C10" w14:textId="77777777" w:rsidR="00BA4874" w:rsidRPr="00BD05AE" w:rsidRDefault="00BA4874" w:rsidP="00094E2F">
            <w:pPr>
              <w:pStyle w:val="TableText0"/>
              <w:spacing w:line="256" w:lineRule="auto"/>
              <w:jc w:val="center"/>
              <w:rPr>
                <w:lang w:eastAsia="en-US"/>
              </w:rPr>
            </w:pPr>
            <w:r w:rsidRPr="00BD05AE">
              <w:rPr>
                <w:lang w:eastAsia="en-US"/>
              </w:rPr>
              <w:t>71/342</w:t>
            </w:r>
          </w:p>
        </w:tc>
        <w:tc>
          <w:tcPr>
            <w:tcW w:w="804" w:type="pct"/>
            <w:tcBorders>
              <w:top w:val="single" w:sz="4" w:space="0" w:color="auto"/>
              <w:left w:val="single" w:sz="4" w:space="0" w:color="auto"/>
              <w:bottom w:val="single" w:sz="4" w:space="0" w:color="auto"/>
              <w:right w:val="single" w:sz="4" w:space="0" w:color="auto"/>
            </w:tcBorders>
            <w:vAlign w:val="center"/>
          </w:tcPr>
          <w:p w14:paraId="4B7D4D60" w14:textId="77777777" w:rsidR="00BA4874" w:rsidRPr="00BD05AE" w:rsidRDefault="00BA4874" w:rsidP="00094E2F">
            <w:pPr>
              <w:pStyle w:val="TableText0"/>
              <w:spacing w:line="256" w:lineRule="auto"/>
              <w:jc w:val="center"/>
              <w:rPr>
                <w:bCs w:val="0"/>
                <w:szCs w:val="18"/>
                <w:lang w:eastAsia="en-US"/>
              </w:rPr>
            </w:pPr>
            <w:r w:rsidRPr="00BD05AE">
              <w:rPr>
                <w:bCs w:val="0"/>
                <w:szCs w:val="18"/>
                <w:lang w:eastAsia="en-US"/>
              </w:rPr>
              <w:t>1.48 (1.14, 1.93)</w:t>
            </w:r>
          </w:p>
        </w:tc>
        <w:tc>
          <w:tcPr>
            <w:tcW w:w="557" w:type="pct"/>
            <w:tcBorders>
              <w:top w:val="single" w:sz="4" w:space="0" w:color="auto"/>
              <w:left w:val="single" w:sz="4" w:space="0" w:color="auto"/>
              <w:bottom w:val="single" w:sz="4" w:space="0" w:color="auto"/>
              <w:right w:val="single" w:sz="4" w:space="0" w:color="auto"/>
            </w:tcBorders>
            <w:vAlign w:val="center"/>
          </w:tcPr>
          <w:p w14:paraId="210E345E" w14:textId="77777777" w:rsidR="00BA4874" w:rsidRPr="00BD05AE" w:rsidRDefault="00BA4874" w:rsidP="00094E2F">
            <w:pPr>
              <w:pStyle w:val="TableText0"/>
              <w:spacing w:line="256" w:lineRule="auto"/>
              <w:jc w:val="center"/>
              <w:rPr>
                <w:lang w:eastAsia="en-US"/>
              </w:rPr>
            </w:pPr>
            <w:r w:rsidRPr="00BD05AE">
              <w:rPr>
                <w:lang w:eastAsia="en-US"/>
              </w:rPr>
              <w:t>30.8</w:t>
            </w:r>
          </w:p>
        </w:tc>
        <w:tc>
          <w:tcPr>
            <w:tcW w:w="520" w:type="pct"/>
            <w:tcBorders>
              <w:top w:val="single" w:sz="4" w:space="0" w:color="auto"/>
              <w:left w:val="single" w:sz="4" w:space="0" w:color="auto"/>
              <w:bottom w:val="single" w:sz="4" w:space="0" w:color="auto"/>
              <w:right w:val="single" w:sz="4" w:space="0" w:color="auto"/>
            </w:tcBorders>
            <w:vAlign w:val="center"/>
          </w:tcPr>
          <w:p w14:paraId="38FBC17B" w14:textId="77777777" w:rsidR="00BA4874" w:rsidRPr="00BD05AE" w:rsidRDefault="00BA4874" w:rsidP="00094E2F">
            <w:pPr>
              <w:pStyle w:val="TableText0"/>
              <w:spacing w:line="256" w:lineRule="auto"/>
              <w:jc w:val="center"/>
              <w:rPr>
                <w:lang w:eastAsia="en-US"/>
              </w:rPr>
            </w:pPr>
            <w:r w:rsidRPr="00BD05AE">
              <w:rPr>
                <w:lang w:eastAsia="en-US"/>
              </w:rPr>
              <w:t>20.8</w:t>
            </w:r>
          </w:p>
        </w:tc>
        <w:tc>
          <w:tcPr>
            <w:tcW w:w="763" w:type="pct"/>
            <w:tcBorders>
              <w:top w:val="single" w:sz="4" w:space="0" w:color="auto"/>
              <w:left w:val="single" w:sz="4" w:space="0" w:color="auto"/>
              <w:bottom w:val="single" w:sz="4" w:space="0" w:color="auto"/>
              <w:right w:val="single" w:sz="4" w:space="0" w:color="auto"/>
            </w:tcBorders>
            <w:vAlign w:val="center"/>
          </w:tcPr>
          <w:p w14:paraId="2D3A6287" w14:textId="77777777" w:rsidR="00BA4874" w:rsidRPr="00BD05AE" w:rsidRDefault="00BA4874" w:rsidP="00094E2F">
            <w:pPr>
              <w:pStyle w:val="TableText0"/>
              <w:spacing w:line="256" w:lineRule="auto"/>
              <w:jc w:val="center"/>
              <w:rPr>
                <w:bCs w:val="0"/>
                <w:szCs w:val="18"/>
                <w:lang w:eastAsia="en-US"/>
              </w:rPr>
            </w:pPr>
            <w:r w:rsidRPr="00BD05AE">
              <w:rPr>
                <w:bCs w:val="0"/>
                <w:szCs w:val="18"/>
                <w:lang w:eastAsia="en-US"/>
              </w:rPr>
              <w:t>0.10 (0.03, 0.17)</w:t>
            </w:r>
          </w:p>
        </w:tc>
      </w:tr>
      <w:tr w:rsidR="00BA4874" w:rsidRPr="00A95754" w14:paraId="49275F1B" w14:textId="77777777" w:rsidTr="00094E2F">
        <w:tc>
          <w:tcPr>
            <w:tcW w:w="5000" w:type="pct"/>
            <w:gridSpan w:val="7"/>
            <w:tcBorders>
              <w:top w:val="single" w:sz="4" w:space="0" w:color="auto"/>
              <w:left w:val="single" w:sz="4" w:space="0" w:color="auto"/>
              <w:bottom w:val="single" w:sz="4" w:space="0" w:color="auto"/>
              <w:right w:val="single" w:sz="4" w:space="0" w:color="auto"/>
            </w:tcBorders>
            <w:vAlign w:val="center"/>
          </w:tcPr>
          <w:p w14:paraId="179BA576" w14:textId="77777777" w:rsidR="00BA4874" w:rsidRPr="00BD05AE" w:rsidRDefault="00BA4874" w:rsidP="00094E2F">
            <w:pPr>
              <w:pStyle w:val="TableText0"/>
              <w:spacing w:line="256" w:lineRule="auto"/>
              <w:rPr>
                <w:b/>
                <w:bCs w:val="0"/>
                <w:szCs w:val="18"/>
                <w:lang w:eastAsia="en-US"/>
              </w:rPr>
            </w:pPr>
            <w:r w:rsidRPr="00BD05AE">
              <w:rPr>
                <w:b/>
                <w:bCs w:val="0"/>
                <w:szCs w:val="18"/>
                <w:lang w:eastAsia="en-US"/>
              </w:rPr>
              <w:t>Received systemic corticosteroids</w:t>
            </w:r>
          </w:p>
        </w:tc>
      </w:tr>
      <w:tr w:rsidR="00BA4874" w:rsidRPr="00A95754" w14:paraId="30A95D07" w14:textId="77777777" w:rsidTr="00094E2F">
        <w:tc>
          <w:tcPr>
            <w:tcW w:w="1322" w:type="pct"/>
            <w:tcBorders>
              <w:top w:val="single" w:sz="4" w:space="0" w:color="auto"/>
              <w:left w:val="single" w:sz="4" w:space="0" w:color="auto"/>
              <w:bottom w:val="single" w:sz="4" w:space="0" w:color="auto"/>
              <w:right w:val="single" w:sz="4" w:space="0" w:color="auto"/>
            </w:tcBorders>
            <w:vAlign w:val="center"/>
          </w:tcPr>
          <w:p w14:paraId="06787457" w14:textId="77777777" w:rsidR="00BA4874" w:rsidRPr="00A95754" w:rsidRDefault="00BA4874" w:rsidP="00094E2F">
            <w:pPr>
              <w:pStyle w:val="TableText0"/>
              <w:spacing w:line="256" w:lineRule="auto"/>
              <w:rPr>
                <w:lang w:eastAsia="en-US"/>
              </w:rPr>
            </w:pPr>
            <w:r w:rsidRPr="00A95754">
              <w:rPr>
                <w:lang w:eastAsia="en-US"/>
              </w:rPr>
              <w:t>TOPAZ-1</w:t>
            </w:r>
          </w:p>
        </w:tc>
        <w:tc>
          <w:tcPr>
            <w:tcW w:w="562" w:type="pct"/>
            <w:tcBorders>
              <w:top w:val="single" w:sz="4" w:space="0" w:color="auto"/>
              <w:left w:val="single" w:sz="4" w:space="0" w:color="auto"/>
              <w:bottom w:val="single" w:sz="4" w:space="0" w:color="auto"/>
              <w:right w:val="single" w:sz="4" w:space="0" w:color="auto"/>
            </w:tcBorders>
            <w:vAlign w:val="center"/>
          </w:tcPr>
          <w:p w14:paraId="5613E5CD" w14:textId="77777777" w:rsidR="00BA4874" w:rsidRPr="00BD05AE" w:rsidRDefault="00BA4874" w:rsidP="00094E2F">
            <w:pPr>
              <w:pStyle w:val="TableText0"/>
              <w:spacing w:line="256" w:lineRule="auto"/>
              <w:jc w:val="center"/>
              <w:rPr>
                <w:lang w:eastAsia="en-US"/>
              </w:rPr>
            </w:pPr>
            <w:r w:rsidRPr="00BD05AE">
              <w:rPr>
                <w:lang w:eastAsia="en-US"/>
              </w:rPr>
              <w:t>28/338</w:t>
            </w:r>
          </w:p>
        </w:tc>
        <w:tc>
          <w:tcPr>
            <w:tcW w:w="472" w:type="pct"/>
            <w:tcBorders>
              <w:top w:val="single" w:sz="4" w:space="0" w:color="auto"/>
              <w:left w:val="single" w:sz="4" w:space="0" w:color="auto"/>
              <w:bottom w:val="single" w:sz="4" w:space="0" w:color="auto"/>
              <w:right w:val="single" w:sz="4" w:space="0" w:color="auto"/>
            </w:tcBorders>
            <w:vAlign w:val="center"/>
          </w:tcPr>
          <w:p w14:paraId="5463CC27" w14:textId="77777777" w:rsidR="00BA4874" w:rsidRPr="00BD05AE" w:rsidRDefault="00BA4874" w:rsidP="00094E2F">
            <w:pPr>
              <w:pStyle w:val="TableText0"/>
              <w:spacing w:line="256" w:lineRule="auto"/>
              <w:jc w:val="center"/>
              <w:rPr>
                <w:lang w:eastAsia="en-US"/>
              </w:rPr>
            </w:pPr>
            <w:r w:rsidRPr="00BD05AE">
              <w:rPr>
                <w:lang w:eastAsia="en-US"/>
              </w:rPr>
              <w:t>8/342</w:t>
            </w:r>
          </w:p>
        </w:tc>
        <w:tc>
          <w:tcPr>
            <w:tcW w:w="804" w:type="pct"/>
            <w:tcBorders>
              <w:top w:val="single" w:sz="4" w:space="0" w:color="auto"/>
              <w:left w:val="single" w:sz="4" w:space="0" w:color="auto"/>
              <w:bottom w:val="single" w:sz="4" w:space="0" w:color="auto"/>
              <w:right w:val="single" w:sz="4" w:space="0" w:color="auto"/>
            </w:tcBorders>
          </w:tcPr>
          <w:p w14:paraId="139BD67A" w14:textId="77777777" w:rsidR="00BA4874" w:rsidRPr="00BD05AE" w:rsidRDefault="00BA4874" w:rsidP="00094E2F">
            <w:pPr>
              <w:pStyle w:val="TableText0"/>
              <w:spacing w:line="256" w:lineRule="auto"/>
              <w:jc w:val="center"/>
              <w:rPr>
                <w:szCs w:val="18"/>
                <w:lang w:eastAsia="en-US"/>
              </w:rPr>
            </w:pPr>
            <w:r w:rsidRPr="00BD05AE">
              <w:t>3.5 (1.6, 7.7)</w:t>
            </w:r>
          </w:p>
        </w:tc>
        <w:tc>
          <w:tcPr>
            <w:tcW w:w="557" w:type="pct"/>
            <w:tcBorders>
              <w:top w:val="single" w:sz="4" w:space="0" w:color="auto"/>
              <w:left w:val="single" w:sz="4" w:space="0" w:color="auto"/>
              <w:bottom w:val="single" w:sz="4" w:space="0" w:color="auto"/>
              <w:right w:val="single" w:sz="4" w:space="0" w:color="auto"/>
            </w:tcBorders>
            <w:vAlign w:val="center"/>
          </w:tcPr>
          <w:p w14:paraId="5C7FC5C8" w14:textId="77777777" w:rsidR="00BA4874" w:rsidRPr="00BD05AE" w:rsidRDefault="00BA4874" w:rsidP="00094E2F">
            <w:pPr>
              <w:pStyle w:val="TableText0"/>
              <w:spacing w:line="256" w:lineRule="auto"/>
              <w:jc w:val="center"/>
              <w:rPr>
                <w:lang w:eastAsia="en-US"/>
              </w:rPr>
            </w:pPr>
            <w:r w:rsidRPr="00BD05AE">
              <w:rPr>
                <w:lang w:eastAsia="en-US"/>
              </w:rPr>
              <w:t>8.3</w:t>
            </w:r>
          </w:p>
        </w:tc>
        <w:tc>
          <w:tcPr>
            <w:tcW w:w="520" w:type="pct"/>
            <w:tcBorders>
              <w:top w:val="single" w:sz="4" w:space="0" w:color="auto"/>
              <w:left w:val="single" w:sz="4" w:space="0" w:color="auto"/>
              <w:bottom w:val="single" w:sz="4" w:space="0" w:color="auto"/>
              <w:right w:val="single" w:sz="4" w:space="0" w:color="auto"/>
            </w:tcBorders>
            <w:vAlign w:val="center"/>
          </w:tcPr>
          <w:p w14:paraId="2CD38417" w14:textId="77777777" w:rsidR="00BA4874" w:rsidRPr="00BD05AE" w:rsidRDefault="00BA4874" w:rsidP="00094E2F">
            <w:pPr>
              <w:pStyle w:val="TableText0"/>
              <w:spacing w:line="256" w:lineRule="auto"/>
              <w:jc w:val="center"/>
              <w:rPr>
                <w:lang w:eastAsia="en-US"/>
              </w:rPr>
            </w:pPr>
            <w:r w:rsidRPr="00BD05AE">
              <w:rPr>
                <w:lang w:eastAsia="en-US"/>
              </w:rPr>
              <w:t>2.3</w:t>
            </w:r>
          </w:p>
        </w:tc>
        <w:tc>
          <w:tcPr>
            <w:tcW w:w="763" w:type="pct"/>
            <w:tcBorders>
              <w:top w:val="single" w:sz="4" w:space="0" w:color="auto"/>
              <w:left w:val="single" w:sz="4" w:space="0" w:color="auto"/>
              <w:bottom w:val="single" w:sz="4" w:space="0" w:color="auto"/>
              <w:right w:val="single" w:sz="4" w:space="0" w:color="auto"/>
            </w:tcBorders>
            <w:vAlign w:val="center"/>
          </w:tcPr>
          <w:p w14:paraId="497F388D" w14:textId="77777777" w:rsidR="00BA4874" w:rsidRPr="00BD05AE" w:rsidRDefault="00BA4874" w:rsidP="00094E2F">
            <w:pPr>
              <w:pStyle w:val="TableText0"/>
              <w:spacing w:line="256" w:lineRule="auto"/>
              <w:jc w:val="center"/>
              <w:rPr>
                <w:bCs w:val="0"/>
                <w:szCs w:val="18"/>
                <w:lang w:eastAsia="en-US"/>
              </w:rPr>
            </w:pPr>
            <w:r w:rsidRPr="00BD05AE">
              <w:rPr>
                <w:bCs w:val="0"/>
                <w:szCs w:val="18"/>
                <w:lang w:eastAsia="en-US"/>
              </w:rPr>
              <w:t>0.06 (0.03, 0.09)</w:t>
            </w:r>
          </w:p>
        </w:tc>
      </w:tr>
      <w:tr w:rsidR="00BA4874" w:rsidRPr="00A95754" w14:paraId="209E97E6" w14:textId="77777777" w:rsidTr="00094E2F">
        <w:tc>
          <w:tcPr>
            <w:tcW w:w="5000" w:type="pct"/>
            <w:gridSpan w:val="7"/>
            <w:tcBorders>
              <w:top w:val="single" w:sz="4" w:space="0" w:color="auto"/>
              <w:left w:val="single" w:sz="4" w:space="0" w:color="auto"/>
              <w:bottom w:val="single" w:sz="4" w:space="0" w:color="auto"/>
              <w:right w:val="single" w:sz="4" w:space="0" w:color="auto"/>
            </w:tcBorders>
            <w:vAlign w:val="center"/>
          </w:tcPr>
          <w:p w14:paraId="6C62AD48" w14:textId="77777777" w:rsidR="00BA4874" w:rsidRPr="00BD05AE" w:rsidRDefault="00BA4874" w:rsidP="00094E2F">
            <w:pPr>
              <w:pStyle w:val="TableText0"/>
              <w:spacing w:line="256" w:lineRule="auto"/>
              <w:rPr>
                <w:b/>
                <w:bCs w:val="0"/>
                <w:szCs w:val="18"/>
                <w:lang w:eastAsia="en-US"/>
              </w:rPr>
            </w:pPr>
            <w:r w:rsidRPr="00BD05AE">
              <w:rPr>
                <w:b/>
                <w:bCs w:val="0"/>
              </w:rPr>
              <w:t>Received endocrine therapy</w:t>
            </w:r>
          </w:p>
        </w:tc>
      </w:tr>
      <w:tr w:rsidR="00BA4874" w:rsidRPr="00A95754" w14:paraId="5207A9F3" w14:textId="77777777" w:rsidTr="00094E2F">
        <w:tc>
          <w:tcPr>
            <w:tcW w:w="1322" w:type="pct"/>
            <w:tcBorders>
              <w:top w:val="single" w:sz="4" w:space="0" w:color="auto"/>
              <w:left w:val="single" w:sz="4" w:space="0" w:color="auto"/>
              <w:bottom w:val="single" w:sz="4" w:space="0" w:color="auto"/>
              <w:right w:val="single" w:sz="4" w:space="0" w:color="auto"/>
            </w:tcBorders>
            <w:vAlign w:val="center"/>
          </w:tcPr>
          <w:p w14:paraId="7F360607" w14:textId="77777777" w:rsidR="00BA4874" w:rsidRPr="00A95754" w:rsidRDefault="00BA4874" w:rsidP="00094E2F">
            <w:pPr>
              <w:pStyle w:val="TableText0"/>
              <w:spacing w:line="256" w:lineRule="auto"/>
              <w:rPr>
                <w:lang w:eastAsia="en-US"/>
              </w:rPr>
            </w:pPr>
            <w:r w:rsidRPr="00A95754">
              <w:rPr>
                <w:lang w:eastAsia="en-US"/>
              </w:rPr>
              <w:t>TOPAZ-1</w:t>
            </w:r>
          </w:p>
        </w:tc>
        <w:tc>
          <w:tcPr>
            <w:tcW w:w="562" w:type="pct"/>
            <w:tcBorders>
              <w:top w:val="single" w:sz="4" w:space="0" w:color="auto"/>
              <w:left w:val="single" w:sz="4" w:space="0" w:color="auto"/>
              <w:bottom w:val="single" w:sz="4" w:space="0" w:color="auto"/>
              <w:right w:val="single" w:sz="4" w:space="0" w:color="auto"/>
            </w:tcBorders>
            <w:vAlign w:val="center"/>
          </w:tcPr>
          <w:p w14:paraId="56923294" w14:textId="77777777" w:rsidR="00BA4874" w:rsidRPr="00BD05AE" w:rsidRDefault="00BA4874" w:rsidP="00094E2F">
            <w:pPr>
              <w:pStyle w:val="TableText0"/>
              <w:spacing w:line="256" w:lineRule="auto"/>
              <w:jc w:val="center"/>
              <w:rPr>
                <w:lang w:eastAsia="en-US"/>
              </w:rPr>
            </w:pPr>
            <w:r w:rsidRPr="00BD05AE">
              <w:rPr>
                <w:lang w:eastAsia="en-US"/>
              </w:rPr>
              <w:t>24/338</w:t>
            </w:r>
          </w:p>
        </w:tc>
        <w:tc>
          <w:tcPr>
            <w:tcW w:w="472" w:type="pct"/>
            <w:tcBorders>
              <w:top w:val="single" w:sz="4" w:space="0" w:color="auto"/>
              <w:left w:val="single" w:sz="4" w:space="0" w:color="auto"/>
              <w:bottom w:val="single" w:sz="4" w:space="0" w:color="auto"/>
              <w:right w:val="single" w:sz="4" w:space="0" w:color="auto"/>
            </w:tcBorders>
            <w:vAlign w:val="center"/>
          </w:tcPr>
          <w:p w14:paraId="41AB314E" w14:textId="77777777" w:rsidR="00BA4874" w:rsidRPr="00BD05AE" w:rsidRDefault="00BA4874" w:rsidP="00094E2F">
            <w:pPr>
              <w:pStyle w:val="TableText0"/>
              <w:spacing w:line="256" w:lineRule="auto"/>
              <w:jc w:val="center"/>
              <w:rPr>
                <w:lang w:eastAsia="en-US"/>
              </w:rPr>
            </w:pPr>
            <w:r w:rsidRPr="00BD05AE">
              <w:rPr>
                <w:lang w:eastAsia="en-US"/>
              </w:rPr>
              <w:t>5/342</w:t>
            </w:r>
          </w:p>
        </w:tc>
        <w:tc>
          <w:tcPr>
            <w:tcW w:w="804" w:type="pct"/>
            <w:tcBorders>
              <w:top w:val="single" w:sz="4" w:space="0" w:color="auto"/>
              <w:left w:val="single" w:sz="4" w:space="0" w:color="auto"/>
              <w:bottom w:val="single" w:sz="4" w:space="0" w:color="auto"/>
              <w:right w:val="single" w:sz="4" w:space="0" w:color="auto"/>
            </w:tcBorders>
          </w:tcPr>
          <w:p w14:paraId="5F8F597F" w14:textId="77777777" w:rsidR="00BA4874" w:rsidRPr="00BD05AE" w:rsidRDefault="00BA4874" w:rsidP="00094E2F">
            <w:pPr>
              <w:pStyle w:val="TableText0"/>
              <w:spacing w:line="256" w:lineRule="auto"/>
              <w:jc w:val="center"/>
              <w:rPr>
                <w:szCs w:val="18"/>
                <w:lang w:eastAsia="en-US"/>
              </w:rPr>
            </w:pPr>
            <w:r w:rsidRPr="00BD05AE">
              <w:t>4.9 (1.9, 12.6)</w:t>
            </w:r>
          </w:p>
        </w:tc>
        <w:tc>
          <w:tcPr>
            <w:tcW w:w="557" w:type="pct"/>
            <w:tcBorders>
              <w:top w:val="single" w:sz="4" w:space="0" w:color="auto"/>
              <w:left w:val="single" w:sz="4" w:space="0" w:color="auto"/>
              <w:bottom w:val="single" w:sz="4" w:space="0" w:color="auto"/>
              <w:right w:val="single" w:sz="4" w:space="0" w:color="auto"/>
            </w:tcBorders>
            <w:vAlign w:val="center"/>
          </w:tcPr>
          <w:p w14:paraId="19694703" w14:textId="77777777" w:rsidR="00BA4874" w:rsidRPr="00BD05AE" w:rsidRDefault="00BA4874" w:rsidP="00094E2F">
            <w:pPr>
              <w:pStyle w:val="TableText0"/>
              <w:spacing w:line="256" w:lineRule="auto"/>
              <w:jc w:val="center"/>
              <w:rPr>
                <w:lang w:eastAsia="en-US"/>
              </w:rPr>
            </w:pPr>
            <w:r w:rsidRPr="00BD05AE">
              <w:rPr>
                <w:lang w:eastAsia="en-US"/>
              </w:rPr>
              <w:t>7.1</w:t>
            </w:r>
          </w:p>
        </w:tc>
        <w:tc>
          <w:tcPr>
            <w:tcW w:w="520" w:type="pct"/>
            <w:tcBorders>
              <w:top w:val="single" w:sz="4" w:space="0" w:color="auto"/>
              <w:left w:val="single" w:sz="4" w:space="0" w:color="auto"/>
              <w:bottom w:val="single" w:sz="4" w:space="0" w:color="auto"/>
              <w:right w:val="single" w:sz="4" w:space="0" w:color="auto"/>
            </w:tcBorders>
            <w:vAlign w:val="center"/>
          </w:tcPr>
          <w:p w14:paraId="76D60AD0" w14:textId="77777777" w:rsidR="00BA4874" w:rsidRPr="00BD05AE" w:rsidRDefault="00BA4874" w:rsidP="00094E2F">
            <w:pPr>
              <w:pStyle w:val="TableText0"/>
              <w:spacing w:line="256" w:lineRule="auto"/>
              <w:jc w:val="center"/>
              <w:rPr>
                <w:lang w:eastAsia="en-US"/>
              </w:rPr>
            </w:pPr>
            <w:r w:rsidRPr="00BD05AE">
              <w:rPr>
                <w:lang w:eastAsia="en-US"/>
              </w:rPr>
              <w:t>1.5</w:t>
            </w:r>
          </w:p>
        </w:tc>
        <w:tc>
          <w:tcPr>
            <w:tcW w:w="763" w:type="pct"/>
            <w:tcBorders>
              <w:top w:val="single" w:sz="4" w:space="0" w:color="auto"/>
              <w:left w:val="single" w:sz="4" w:space="0" w:color="auto"/>
              <w:bottom w:val="single" w:sz="4" w:space="0" w:color="auto"/>
              <w:right w:val="single" w:sz="4" w:space="0" w:color="auto"/>
            </w:tcBorders>
            <w:vAlign w:val="center"/>
          </w:tcPr>
          <w:p w14:paraId="0C69CDC5" w14:textId="77777777" w:rsidR="00BA4874" w:rsidRPr="00BD05AE" w:rsidRDefault="00BA4874" w:rsidP="00094E2F">
            <w:pPr>
              <w:pStyle w:val="TableText0"/>
              <w:spacing w:line="256" w:lineRule="auto"/>
              <w:jc w:val="center"/>
              <w:rPr>
                <w:bCs w:val="0"/>
                <w:szCs w:val="18"/>
                <w:lang w:eastAsia="en-US"/>
              </w:rPr>
            </w:pPr>
            <w:r w:rsidRPr="00BD05AE">
              <w:rPr>
                <w:bCs w:val="0"/>
                <w:szCs w:val="18"/>
                <w:lang w:eastAsia="en-US"/>
              </w:rPr>
              <w:t>0.06 (0.03, 0.09)</w:t>
            </w:r>
          </w:p>
        </w:tc>
      </w:tr>
    </w:tbl>
    <w:p w14:paraId="0B0FAFA4" w14:textId="0BDC25F3" w:rsidR="00BA4874" w:rsidRPr="00A95754" w:rsidRDefault="00BA4874" w:rsidP="00BA4874">
      <w:pPr>
        <w:pStyle w:val="TableFigureFooter"/>
      </w:pPr>
      <w:r w:rsidRPr="00A95754">
        <w:t>Source: Data extracted from Table 2.30 p97, Table 2.31 p98 and Table 5, p32 and Table 6 pp33-34 Attachment 3 of the submission and Table 14.3.2.11.1, p409</w:t>
      </w:r>
      <w:r w:rsidR="008D059E" w:rsidRPr="00A95754">
        <w:t>,</w:t>
      </w:r>
      <w:r w:rsidRPr="00A95754">
        <w:t xml:space="preserve"> of Attachment 4 of the submission.</w:t>
      </w:r>
    </w:p>
    <w:p w14:paraId="73D1CA51" w14:textId="77777777" w:rsidR="00BA4874" w:rsidRPr="00A95754" w:rsidRDefault="00BA4874" w:rsidP="00BA4874">
      <w:pPr>
        <w:pStyle w:val="TableFigureFooter"/>
      </w:pPr>
      <w:r w:rsidRPr="00A95754">
        <w:t>AESI = adverse event of special interest; CI = confidence interval; CTCAE = Common Terminology Criteria for Adverse Events; GemCis = gemcitabine + cisplatin; HR = hazard ratio; NR = not reported; OS = overall survival; PFS = progression free survival; RD = risk difference; RR = relative risk; SAE = serious adverse event.</w:t>
      </w:r>
    </w:p>
    <w:p w14:paraId="524B77EA" w14:textId="77777777" w:rsidR="00BA4874" w:rsidRPr="00A95754" w:rsidRDefault="00BA4874" w:rsidP="00BA4874">
      <w:pPr>
        <w:pStyle w:val="TableFigureFooter"/>
      </w:pPr>
      <w:r w:rsidRPr="00A95754">
        <w:rPr>
          <w:vertAlign w:val="superscript"/>
        </w:rPr>
        <w:t xml:space="preserve">a </w:t>
      </w:r>
      <w:r w:rsidRPr="00A95754">
        <w:t xml:space="preserve">Calculated during the evaluation. </w:t>
      </w:r>
    </w:p>
    <w:p w14:paraId="34443AD4" w14:textId="77777777" w:rsidR="00BA4874" w:rsidRPr="00A95754" w:rsidRDefault="00BA4874" w:rsidP="00BA4874">
      <w:pPr>
        <w:pStyle w:val="TableFigureFooter"/>
      </w:pPr>
      <w:r w:rsidRPr="00A95754">
        <w:rPr>
          <w:bCs/>
        </w:rPr>
        <w:t>Bold</w:t>
      </w:r>
      <w:r w:rsidRPr="00A95754">
        <w:t xml:space="preserve"> indicates a statistically significant difference.</w:t>
      </w:r>
    </w:p>
    <w:p w14:paraId="3891A34B" w14:textId="77777777" w:rsidR="00BA4874" w:rsidRPr="00A95754" w:rsidRDefault="00BA4874" w:rsidP="00BA4874">
      <w:pPr>
        <w:pStyle w:val="3-BodyText"/>
      </w:pPr>
      <w:r w:rsidRPr="00A95754">
        <w:rPr>
          <w:snapToGrid/>
          <w:lang w:val="en-US"/>
        </w:rPr>
        <w:t>On the basis of direct evidence presented by the submission, for every 100 patients treated with durvalumab + GemCis in comparison with placebo + GemCis:</w:t>
      </w:r>
    </w:p>
    <w:p w14:paraId="46324AA3" w14:textId="77777777" w:rsidR="00BA4874" w:rsidRPr="00A95754" w:rsidRDefault="00BA4874" w:rsidP="007C019C">
      <w:pPr>
        <w:pStyle w:val="3-BodyText"/>
        <w:numPr>
          <w:ilvl w:val="0"/>
          <w:numId w:val="14"/>
        </w:numPr>
      </w:pPr>
      <w:r w:rsidRPr="00A95754">
        <w:t>Approximately 9 additional patients will remain progression-free after 12 months.</w:t>
      </w:r>
    </w:p>
    <w:p w14:paraId="1266399E" w14:textId="77777777" w:rsidR="00BA4874" w:rsidRPr="00A95754" w:rsidRDefault="00BA4874" w:rsidP="007C019C">
      <w:pPr>
        <w:pStyle w:val="3-BodyText"/>
        <w:numPr>
          <w:ilvl w:val="0"/>
          <w:numId w:val="14"/>
        </w:numPr>
      </w:pPr>
      <w:r w:rsidRPr="00A95754">
        <w:t>Approximately 12 additional patients will remain alive after 24 months.</w:t>
      </w:r>
    </w:p>
    <w:p w14:paraId="76BD132C" w14:textId="03175B51" w:rsidR="00BA4874" w:rsidRPr="00A95754" w:rsidRDefault="00BF2A31" w:rsidP="00BF2A31">
      <w:pPr>
        <w:pStyle w:val="3-BodyText"/>
      </w:pPr>
      <w:r w:rsidRPr="00A95754">
        <w:rPr>
          <w:snapToGrid/>
          <w:lang w:val="en-US"/>
        </w:rPr>
        <w:t>On the basis of direct evidence presented by the submission, for every 100 patients treated with durvalumab + GemCis in comparison with placebo + GemCis</w:t>
      </w:r>
      <w:r>
        <w:t>, a</w:t>
      </w:r>
      <w:r w:rsidR="00BA4874" w:rsidRPr="00A95754">
        <w:t>fter a median treatment duration of 7.3 months:</w:t>
      </w:r>
    </w:p>
    <w:p w14:paraId="59AA35D5" w14:textId="66899ADE" w:rsidR="00BA4874" w:rsidRPr="00A95754" w:rsidRDefault="00BA4874" w:rsidP="006847D3">
      <w:pPr>
        <w:pStyle w:val="3-BodyText"/>
        <w:numPr>
          <w:ilvl w:val="0"/>
          <w:numId w:val="14"/>
        </w:numPr>
      </w:pPr>
      <w:r w:rsidRPr="00A95754">
        <w:t xml:space="preserve">Approximately 10 more patients will have </w:t>
      </w:r>
      <w:r w:rsidR="003C6970" w:rsidRPr="00A95754">
        <w:t xml:space="preserve">an </w:t>
      </w:r>
      <w:r w:rsidR="003C6970" w:rsidRPr="00A95754">
        <w:rPr>
          <w:rFonts w:ascii="CIDFont+F1" w:hAnsi="CIDFont+F1" w:cs="CIDFont+F1"/>
        </w:rPr>
        <w:t xml:space="preserve">inflammatory or immune-mediated adverse effect requiring more frequent monitoring and/or </w:t>
      </w:r>
      <w:r w:rsidR="003C6970" w:rsidRPr="006847D3">
        <w:t xml:space="preserve">interventions </w:t>
      </w:r>
      <w:r w:rsidR="003B02ED" w:rsidRPr="006847D3">
        <w:t>(</w:t>
      </w:r>
      <w:r w:rsidRPr="00A95754">
        <w:t>e.g., hypothyroid events and rash), almost all of which will be low grade.</w:t>
      </w:r>
    </w:p>
    <w:p w14:paraId="71E0216A" w14:textId="77777777" w:rsidR="00BA4874" w:rsidRPr="00A95754" w:rsidRDefault="00BA4874" w:rsidP="006847D3">
      <w:pPr>
        <w:pStyle w:val="3-BodyText"/>
        <w:numPr>
          <w:ilvl w:val="0"/>
          <w:numId w:val="14"/>
        </w:numPr>
      </w:pPr>
      <w:r w:rsidRPr="00A95754">
        <w:lastRenderedPageBreak/>
        <w:t>Approximately 6 more patients will require systemic corticosteroids.</w:t>
      </w:r>
    </w:p>
    <w:p w14:paraId="3E6ED512" w14:textId="77777777" w:rsidR="00BA4874" w:rsidRPr="00A95754" w:rsidRDefault="00BA4874" w:rsidP="006847D3">
      <w:pPr>
        <w:pStyle w:val="3-BodyText"/>
        <w:numPr>
          <w:ilvl w:val="0"/>
          <w:numId w:val="14"/>
        </w:numPr>
      </w:pPr>
      <w:r w:rsidRPr="00A95754">
        <w:t>Approximately 6 more patients will require systemic endocrine therapy (e.g. thyroid hormone replacement).</w:t>
      </w:r>
    </w:p>
    <w:p w14:paraId="3CF0ED3B" w14:textId="77777777" w:rsidR="00BA4874" w:rsidRPr="00A95754" w:rsidRDefault="00BA4874" w:rsidP="00BA4874">
      <w:pPr>
        <w:pStyle w:val="4-SubsectionHeading"/>
      </w:pPr>
      <w:bookmarkStart w:id="32" w:name="_Toc124925613"/>
      <w:r w:rsidRPr="00A95754">
        <w:t>Clinical claim</w:t>
      </w:r>
      <w:bookmarkEnd w:id="32"/>
    </w:p>
    <w:p w14:paraId="01C9B42C" w14:textId="2404350C" w:rsidR="00BA4874" w:rsidRPr="00515484" w:rsidRDefault="00BA4874" w:rsidP="00BA4874">
      <w:pPr>
        <w:pStyle w:val="3-BodyText"/>
        <w:rPr>
          <w:color w:val="0066FF"/>
        </w:rPr>
      </w:pPr>
      <w:bookmarkStart w:id="33" w:name="_Ref124510130"/>
      <w:r w:rsidRPr="00A95754">
        <w:t xml:space="preserve">The submission described durvalumab + GemCis as superior in terms of effectiveness (with a claim of clinically meaningful improvement in OS, PFS and ORR), and that it did not add substantial toxicity, when compared to placebo + GemCis in the treatment of advanced BTC. A claim of no detriment to HRQoL was also made. </w:t>
      </w:r>
      <w:r w:rsidRPr="00515484">
        <w:t xml:space="preserve">The </w:t>
      </w:r>
      <w:r w:rsidR="00BD3BF8" w:rsidRPr="00B96260">
        <w:t xml:space="preserve">evaluation considered the </w:t>
      </w:r>
      <w:r w:rsidRPr="00B96260">
        <w:t>data</w:t>
      </w:r>
      <w:r w:rsidRPr="00515484">
        <w:t xml:space="preserve"> </w:t>
      </w:r>
      <w:r w:rsidR="00240369" w:rsidRPr="00515484">
        <w:t xml:space="preserve">presented </w:t>
      </w:r>
      <w:r w:rsidRPr="00515484">
        <w:t>support</w:t>
      </w:r>
      <w:r w:rsidR="00240369" w:rsidRPr="00515484">
        <w:t>s</w:t>
      </w:r>
      <w:r w:rsidRPr="00515484">
        <w:t xml:space="preserve"> the claim with respect to a difference in efficacy outcomes, however:</w:t>
      </w:r>
      <w:bookmarkEnd w:id="33"/>
      <w:r w:rsidRPr="00515484">
        <w:t xml:space="preserve"> </w:t>
      </w:r>
    </w:p>
    <w:p w14:paraId="3211B741" w14:textId="11246EDA" w:rsidR="00BA4874" w:rsidRPr="00515484" w:rsidRDefault="00BE5AEA" w:rsidP="006847D3">
      <w:pPr>
        <w:pStyle w:val="3-BodyText"/>
        <w:numPr>
          <w:ilvl w:val="0"/>
          <w:numId w:val="15"/>
        </w:numPr>
        <w:ind w:left="1134"/>
      </w:pPr>
      <w:r w:rsidRPr="00515484">
        <w:t xml:space="preserve">The OS benefit </w:t>
      </w:r>
      <w:r w:rsidR="00DF0F8B">
        <w:t>was moderate</w:t>
      </w:r>
      <w:r w:rsidR="00BA4874" w:rsidRPr="00515484">
        <w:t xml:space="preserve">; and </w:t>
      </w:r>
    </w:p>
    <w:p w14:paraId="6CB00617" w14:textId="5073C3E8" w:rsidR="00BA4874" w:rsidRPr="00515484" w:rsidRDefault="00CF035F" w:rsidP="006847D3">
      <w:pPr>
        <w:pStyle w:val="3-BodyText"/>
        <w:numPr>
          <w:ilvl w:val="0"/>
          <w:numId w:val="15"/>
        </w:numPr>
        <w:ind w:left="1134"/>
      </w:pPr>
      <w:r>
        <w:t>T</w:t>
      </w:r>
      <w:r w:rsidR="00BA4874" w:rsidRPr="00515484">
        <w:t xml:space="preserve">he small clinical benefit may not be realised in Australian clinical practice due to </w:t>
      </w:r>
      <w:r w:rsidR="006C2D6F" w:rsidRPr="00515484">
        <w:t xml:space="preserve">the following applicability issues: </w:t>
      </w:r>
    </w:p>
    <w:p w14:paraId="0448D2A5" w14:textId="0D185B4B" w:rsidR="006C2D6F" w:rsidRPr="00BF2A31" w:rsidRDefault="006C2D6F" w:rsidP="006847D3">
      <w:pPr>
        <w:pStyle w:val="3-BodyText"/>
        <w:numPr>
          <w:ilvl w:val="1"/>
          <w:numId w:val="15"/>
        </w:numPr>
        <w:ind w:left="1560"/>
        <w:rPr>
          <w:rFonts w:ascii="Calibri" w:hAnsi="Calibri" w:cs="Calibri"/>
        </w:rPr>
      </w:pPr>
      <w:r w:rsidRPr="00BF2A31">
        <w:rPr>
          <w:rFonts w:ascii="Calibri" w:hAnsi="Calibri" w:cs="Calibri"/>
        </w:rPr>
        <w:t xml:space="preserve">Ethnicity: more than half of the patients </w:t>
      </w:r>
      <w:r w:rsidR="00BF2A31" w:rsidRPr="00BF2A31">
        <w:rPr>
          <w:rFonts w:ascii="Calibri" w:hAnsi="Calibri" w:cs="Calibri"/>
        </w:rPr>
        <w:t xml:space="preserve">in TOPAZ-1 </w:t>
      </w:r>
      <w:r w:rsidRPr="00BF2A31">
        <w:rPr>
          <w:rFonts w:ascii="Calibri" w:hAnsi="Calibri" w:cs="Calibri"/>
        </w:rPr>
        <w:t xml:space="preserve">were from Asian countries (54.6% Asian vs 45.4% Non-Asian). Although there was a trend for improved efficacy in the Asian subgroup compared to the non-Asian subgroup, it did not reach statistical significance. </w:t>
      </w:r>
      <w:r w:rsidRPr="00BF2A31">
        <w:rPr>
          <w:rFonts w:ascii="Calibri" w:hAnsi="Calibri" w:cs="Calibri"/>
          <w:color w:val="202122"/>
          <w:shd w:val="clear" w:color="auto" w:fill="FFFFFF"/>
        </w:rPr>
        <w:t>In the </w:t>
      </w:r>
      <w:r w:rsidRPr="00BF2A31">
        <w:rPr>
          <w:rFonts w:ascii="Calibri" w:hAnsi="Calibri" w:cs="Calibri"/>
          <w:shd w:val="clear" w:color="auto" w:fill="FFFFFF"/>
        </w:rPr>
        <w:t>2021 census</w:t>
      </w:r>
      <w:r w:rsidRPr="00BF2A31">
        <w:rPr>
          <w:rFonts w:ascii="Calibri" w:hAnsi="Calibri" w:cs="Calibri"/>
          <w:color w:val="202122"/>
          <w:shd w:val="clear" w:color="auto" w:fill="FFFFFF"/>
        </w:rPr>
        <w:t>, the proportion of the population identifying as Asian was approximately 17.4%.</w:t>
      </w:r>
      <w:r w:rsidRPr="00BF2A31">
        <w:rPr>
          <w:rStyle w:val="FootnoteReference"/>
          <w:rFonts w:ascii="Calibri" w:hAnsi="Calibri" w:cs="Calibri"/>
          <w:color w:val="202122"/>
          <w:shd w:val="clear" w:color="auto" w:fill="FFFFFF"/>
        </w:rPr>
        <w:footnoteReference w:id="9"/>
      </w:r>
      <w:r w:rsidRPr="00BF2A31">
        <w:rPr>
          <w:rFonts w:ascii="Calibri" w:hAnsi="Calibri" w:cs="Calibri"/>
        </w:rPr>
        <w:t xml:space="preserve"> The TGA CER stated that generalising the efficacy and safety data from TOPAZ-1 to the Australian population may not be appropriate. </w:t>
      </w:r>
    </w:p>
    <w:p w14:paraId="78C5A402" w14:textId="74292AD4" w:rsidR="006C2D6F" w:rsidRPr="00A95754" w:rsidRDefault="006C2D6F" w:rsidP="006847D3">
      <w:pPr>
        <w:pStyle w:val="3-BodyText"/>
        <w:numPr>
          <w:ilvl w:val="1"/>
          <w:numId w:val="15"/>
        </w:numPr>
        <w:ind w:left="1560"/>
        <w:rPr>
          <w:i/>
          <w:iCs/>
        </w:rPr>
      </w:pPr>
      <w:r w:rsidRPr="00515484">
        <w:t>Subsequent anti-cancer therapies: approximately 9% of patients in the durvalumab + GemCis arm received post-discontinuation anti-cancer therapies in TOPAZ-1 that included treatments that are not available in the Australian setting (immunotherapies and tyrosine kinase inhibitors).</w:t>
      </w:r>
      <w:r w:rsidR="006B08CD">
        <w:rPr>
          <w:i/>
          <w:iCs/>
        </w:rPr>
        <w:t xml:space="preserve"> </w:t>
      </w:r>
    </w:p>
    <w:p w14:paraId="30A3302C" w14:textId="3D9CD706" w:rsidR="00BF581C" w:rsidRPr="00515484" w:rsidRDefault="006C2D6F" w:rsidP="006847D3">
      <w:pPr>
        <w:pStyle w:val="3-BodyText"/>
        <w:numPr>
          <w:ilvl w:val="1"/>
          <w:numId w:val="15"/>
        </w:numPr>
        <w:ind w:left="1560"/>
      </w:pPr>
      <w:r w:rsidRPr="00515484">
        <w:t xml:space="preserve">Use beyond progression: the trial design of TOPAZ-1 allowed treatment beyond progression if clinical benefit was observed. Given that the proposed PBS restriction is for use in patients without disease progression, the survival advantage for durvalumab observed in TOPAZ-1 may therefore exceed what might be expected in clinical practice in Australia. </w:t>
      </w:r>
    </w:p>
    <w:p w14:paraId="53D460A9" w14:textId="1F6E26C0" w:rsidR="008A5DEA" w:rsidRDefault="007C67CE" w:rsidP="008A5DEA">
      <w:pPr>
        <w:pStyle w:val="3-BodyText"/>
        <w:tabs>
          <w:tab w:val="left" w:pos="4007"/>
        </w:tabs>
      </w:pPr>
      <w:r w:rsidRPr="00B96260">
        <w:t xml:space="preserve">The </w:t>
      </w:r>
      <w:r w:rsidR="008A5DEA">
        <w:t xml:space="preserve">PBAC agreed with the </w:t>
      </w:r>
      <w:r w:rsidRPr="00B96260">
        <w:t>ESC that, overall, the claim that durvalumab + GemCis is superior to placebo + GemCis in terms of effectiveness was adequately supported</w:t>
      </w:r>
      <w:r>
        <w:rPr>
          <w:i/>
          <w:iCs/>
        </w:rPr>
        <w:t>.</w:t>
      </w:r>
      <w:r w:rsidRPr="007C67CE">
        <w:rPr>
          <w:i/>
          <w:iCs/>
        </w:rPr>
        <w:t xml:space="preserve"> </w:t>
      </w:r>
      <w:r w:rsidR="008A5DEA" w:rsidRPr="008A5DEA">
        <w:t>However,</w:t>
      </w:r>
      <w:r w:rsidR="008A5DEA">
        <w:rPr>
          <w:i/>
          <w:iCs/>
        </w:rPr>
        <w:t xml:space="preserve"> </w:t>
      </w:r>
      <w:r w:rsidR="008A5DEA">
        <w:t>the PBAC considered the trial population in TOPAZ-1</w:t>
      </w:r>
      <w:r w:rsidR="00DF0F8B">
        <w:t xml:space="preserve"> is likely to be</w:t>
      </w:r>
      <w:r w:rsidR="008A5DEA">
        <w:t xml:space="preserve"> fitter than the PBS population, in terms of age, performance score and liver function. </w:t>
      </w:r>
    </w:p>
    <w:p w14:paraId="5406160F" w14:textId="07D04AB7" w:rsidR="008A5DEA" w:rsidRDefault="00BA4874" w:rsidP="00DF2C5C">
      <w:pPr>
        <w:pStyle w:val="3-BodyText"/>
        <w:tabs>
          <w:tab w:val="left" w:pos="4007"/>
        </w:tabs>
      </w:pPr>
      <w:r w:rsidRPr="00515484">
        <w:t xml:space="preserve">The </w:t>
      </w:r>
      <w:r w:rsidR="007C67CE" w:rsidRPr="00B96260">
        <w:t xml:space="preserve">ESC considered the </w:t>
      </w:r>
      <w:r w:rsidRPr="00515484">
        <w:t xml:space="preserve">submission's claim that durvalumab + GemCis does not add substantial toxicity, compared to GemCis, may be reasonable. AEs, SAEs, deaths and </w:t>
      </w:r>
      <w:r w:rsidRPr="00515484">
        <w:lastRenderedPageBreak/>
        <w:t>treatment discontinuations were similar between treatment arms. Whilst there were more immune mediated AEs, these were almost all low-grade, and few patients required additional corticosteroids or endocrine therapy. The claim of no detriment to HRQoL was reasonable.</w:t>
      </w:r>
      <w:r w:rsidR="008A5DEA">
        <w:t xml:space="preserve"> The P</w:t>
      </w:r>
      <w:r w:rsidR="00DF0F8B">
        <w:t>BA</w:t>
      </w:r>
      <w:r w:rsidR="008A5DEA">
        <w:t xml:space="preserve">C considered the clinical claim regarding safety was reasonable. </w:t>
      </w:r>
    </w:p>
    <w:p w14:paraId="390EE320" w14:textId="77777777" w:rsidR="0027503F" w:rsidRPr="00A95754" w:rsidRDefault="0027503F" w:rsidP="00BA4874">
      <w:pPr>
        <w:pStyle w:val="4-SubsectionHeading"/>
      </w:pPr>
      <w:bookmarkStart w:id="34" w:name="_Toc124925614"/>
      <w:r w:rsidRPr="00A95754">
        <w:t>Economic analysis</w:t>
      </w:r>
      <w:bookmarkEnd w:id="34"/>
      <w:r w:rsidRPr="00A95754">
        <w:t xml:space="preserve"> </w:t>
      </w:r>
    </w:p>
    <w:p w14:paraId="0B2C0F48" w14:textId="4C5D9D0C" w:rsidR="0027503F" w:rsidRPr="00A95754" w:rsidRDefault="0027503F" w:rsidP="00BA4874">
      <w:pPr>
        <w:pStyle w:val="3-BodyText"/>
      </w:pPr>
      <w:r w:rsidRPr="00A95754">
        <w:t xml:space="preserve">The submission presented a stepped economic evaluation based on the direct randomised trial (TOPAZ-1). The types of economic evaluation presented were a cost-effectiveness (cost-per-life-year-gained) and a cost-utility analysis (cost-per-quality adjusted life year [QALY]-gained). </w:t>
      </w:r>
      <w:r w:rsidRPr="00515484">
        <w:t xml:space="preserve">This was appropriate and consistent with the clinical claim of superior effectiveness of durvalumab + GemCis over placebo + GemCis. </w:t>
      </w:r>
      <w:r w:rsidRPr="00A95754">
        <w:t>A summary of the key components of the economic evaluation is presented in</w:t>
      </w:r>
      <w:r w:rsidR="00CA3710" w:rsidRPr="00A95754">
        <w:t xml:space="preserve"> </w:t>
      </w:r>
      <w:r w:rsidR="00CA3710" w:rsidRPr="00A95754">
        <w:fldChar w:fldCharType="begin"/>
      </w:r>
      <w:r w:rsidR="00CA3710" w:rsidRPr="00A95754">
        <w:instrText xml:space="preserve"> REF _Ref124492136 \h </w:instrText>
      </w:r>
      <w:r w:rsidR="00A95754">
        <w:instrText xml:space="preserve"> \* MERGEFORMAT </w:instrText>
      </w:r>
      <w:r w:rsidR="00CA3710" w:rsidRPr="00A95754">
        <w:fldChar w:fldCharType="separate"/>
      </w:r>
      <w:r w:rsidR="000178EC" w:rsidRPr="00A95754">
        <w:t xml:space="preserve">Table </w:t>
      </w:r>
      <w:r w:rsidR="000178EC">
        <w:rPr>
          <w:noProof/>
        </w:rPr>
        <w:t>9</w:t>
      </w:r>
      <w:r w:rsidR="00CA3710" w:rsidRPr="00A95754">
        <w:fldChar w:fldCharType="end"/>
      </w:r>
      <w:r w:rsidRPr="00A95754">
        <w:t>.</w:t>
      </w:r>
    </w:p>
    <w:p w14:paraId="3452E9AA" w14:textId="01A58DDF" w:rsidR="0027503F" w:rsidRPr="00A95754" w:rsidRDefault="0027503F" w:rsidP="00BA4874">
      <w:pPr>
        <w:pStyle w:val="TableFigureHeading"/>
        <w:rPr>
          <w:rStyle w:val="CommentReference"/>
          <w:b/>
          <w:szCs w:val="24"/>
        </w:rPr>
      </w:pPr>
      <w:bookmarkStart w:id="35" w:name="_Ref124492136"/>
      <w:r w:rsidRPr="00A95754">
        <w:t xml:space="preserve">Table </w:t>
      </w:r>
      <w:fldSimple w:instr=" SEQ Table \* ARABIC ">
        <w:r w:rsidR="000178EC">
          <w:rPr>
            <w:noProof/>
          </w:rPr>
          <w:t>9</w:t>
        </w:r>
      </w:fldSimple>
      <w:bookmarkEnd w:id="35"/>
      <w:r w:rsidRPr="00A95754">
        <w:rPr>
          <w:rStyle w:val="CommentReference"/>
          <w:b/>
          <w:szCs w:val="24"/>
        </w:rPr>
        <w:t xml:space="preserve">: </w:t>
      </w:r>
      <w:r w:rsidRPr="00A95754">
        <w:rPr>
          <w:snapToGrid w:val="0"/>
        </w:rPr>
        <w:t xml:space="preserve">Key </w:t>
      </w:r>
      <w:r w:rsidRPr="00A95754">
        <w:t>components</w:t>
      </w:r>
      <w:r w:rsidRPr="00A95754">
        <w:rPr>
          <w:snapToGrid w:val="0"/>
        </w:rPr>
        <w:t xml:space="preserve"> of the economic evaluation</w:t>
      </w:r>
    </w:p>
    <w:tbl>
      <w:tblPr>
        <w:tblStyle w:val="TableGrid"/>
        <w:tblW w:w="0" w:type="auto"/>
        <w:tblLook w:val="04A0" w:firstRow="1" w:lastRow="0" w:firstColumn="1" w:lastColumn="0" w:noHBand="0" w:noVBand="1"/>
      </w:tblPr>
      <w:tblGrid>
        <w:gridCol w:w="1838"/>
        <w:gridCol w:w="3544"/>
        <w:gridCol w:w="3635"/>
      </w:tblGrid>
      <w:tr w:rsidR="0027503F" w:rsidRPr="00A95754" w14:paraId="63ADB3A3" w14:textId="77777777" w:rsidTr="00094E2F">
        <w:trPr>
          <w:tblHead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6BDAF48C" w14:textId="77777777" w:rsidR="0027503F" w:rsidRPr="00A95754" w:rsidRDefault="0027503F" w:rsidP="00094E2F">
            <w:pPr>
              <w:pStyle w:val="In-tableHeading"/>
            </w:pPr>
            <w:r w:rsidRPr="00A95754">
              <w:t>Component</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9E49E3D" w14:textId="77777777" w:rsidR="0027503F" w:rsidRPr="00A95754" w:rsidRDefault="0027503F" w:rsidP="00094E2F">
            <w:pPr>
              <w:pStyle w:val="In-tableHeading"/>
            </w:pPr>
            <w:r w:rsidRPr="00A95754">
              <w:t>Description</w:t>
            </w:r>
          </w:p>
        </w:tc>
        <w:tc>
          <w:tcPr>
            <w:tcW w:w="3635" w:type="dxa"/>
            <w:tcBorders>
              <w:top w:val="single" w:sz="4" w:space="0" w:color="auto"/>
              <w:left w:val="single" w:sz="4" w:space="0" w:color="auto"/>
              <w:bottom w:val="single" w:sz="4" w:space="0" w:color="auto"/>
              <w:right w:val="single" w:sz="4" w:space="0" w:color="auto"/>
            </w:tcBorders>
          </w:tcPr>
          <w:p w14:paraId="62975BE8" w14:textId="77777777" w:rsidR="0027503F" w:rsidRPr="00A95754" w:rsidRDefault="0027503F" w:rsidP="00094E2F">
            <w:pPr>
              <w:pStyle w:val="In-tableHeading"/>
            </w:pPr>
            <w:r w:rsidRPr="00A95754">
              <w:t>Justification/comments</w:t>
            </w:r>
          </w:p>
        </w:tc>
      </w:tr>
      <w:tr w:rsidR="0027503F" w:rsidRPr="00A95754" w14:paraId="3DCF4F1C" w14:textId="77777777" w:rsidTr="00094E2F">
        <w:tc>
          <w:tcPr>
            <w:tcW w:w="1838" w:type="dxa"/>
            <w:tcBorders>
              <w:top w:val="single" w:sz="4" w:space="0" w:color="auto"/>
              <w:left w:val="single" w:sz="4" w:space="0" w:color="auto"/>
              <w:bottom w:val="single" w:sz="4" w:space="0" w:color="auto"/>
              <w:right w:val="single" w:sz="4" w:space="0" w:color="auto"/>
            </w:tcBorders>
            <w:hideMark/>
          </w:tcPr>
          <w:p w14:paraId="19D164AF" w14:textId="77777777" w:rsidR="0027503F" w:rsidRPr="00A95754" w:rsidRDefault="0027503F" w:rsidP="00094E2F">
            <w:pPr>
              <w:pStyle w:val="TableText0"/>
            </w:pPr>
            <w:r w:rsidRPr="00A95754">
              <w:t>Types of analysis</w:t>
            </w:r>
          </w:p>
        </w:tc>
        <w:tc>
          <w:tcPr>
            <w:tcW w:w="3544" w:type="dxa"/>
            <w:tcBorders>
              <w:top w:val="single" w:sz="4" w:space="0" w:color="auto"/>
              <w:left w:val="single" w:sz="4" w:space="0" w:color="auto"/>
              <w:bottom w:val="single" w:sz="4" w:space="0" w:color="auto"/>
              <w:right w:val="single" w:sz="4" w:space="0" w:color="auto"/>
            </w:tcBorders>
          </w:tcPr>
          <w:p w14:paraId="111059B4" w14:textId="77777777" w:rsidR="0027503F" w:rsidRPr="00A95754" w:rsidRDefault="0027503F" w:rsidP="00094E2F">
            <w:pPr>
              <w:pStyle w:val="TableText0"/>
            </w:pPr>
            <w:r w:rsidRPr="00A95754">
              <w:t>Cost effectiveness analysis and cost utility analysis</w:t>
            </w:r>
          </w:p>
        </w:tc>
        <w:tc>
          <w:tcPr>
            <w:tcW w:w="3635" w:type="dxa"/>
            <w:tcBorders>
              <w:top w:val="single" w:sz="4" w:space="0" w:color="auto"/>
              <w:left w:val="single" w:sz="4" w:space="0" w:color="auto"/>
              <w:bottom w:val="single" w:sz="4" w:space="0" w:color="auto"/>
              <w:right w:val="single" w:sz="4" w:space="0" w:color="auto"/>
            </w:tcBorders>
          </w:tcPr>
          <w:p w14:paraId="3B4E16D9" w14:textId="77777777" w:rsidR="0027503F" w:rsidRPr="00515484" w:rsidRDefault="0027503F" w:rsidP="00094E2F">
            <w:pPr>
              <w:pStyle w:val="TableText0"/>
            </w:pPr>
            <w:r w:rsidRPr="00515484">
              <w:t xml:space="preserve">This was reasonable. </w:t>
            </w:r>
          </w:p>
        </w:tc>
      </w:tr>
      <w:tr w:rsidR="0027503F" w:rsidRPr="00A95754" w14:paraId="5700A20B" w14:textId="77777777" w:rsidTr="00094E2F">
        <w:tc>
          <w:tcPr>
            <w:tcW w:w="1838" w:type="dxa"/>
            <w:tcBorders>
              <w:top w:val="single" w:sz="4" w:space="0" w:color="auto"/>
              <w:left w:val="single" w:sz="4" w:space="0" w:color="auto"/>
              <w:bottom w:val="single" w:sz="4" w:space="0" w:color="auto"/>
              <w:right w:val="single" w:sz="4" w:space="0" w:color="auto"/>
            </w:tcBorders>
            <w:hideMark/>
          </w:tcPr>
          <w:p w14:paraId="551ABB90" w14:textId="77777777" w:rsidR="0027503F" w:rsidRPr="00A95754" w:rsidRDefault="0027503F" w:rsidP="00094E2F">
            <w:pPr>
              <w:pStyle w:val="TableText0"/>
            </w:pPr>
            <w:r w:rsidRPr="00A95754">
              <w:t>Outcomes</w:t>
            </w:r>
          </w:p>
        </w:tc>
        <w:tc>
          <w:tcPr>
            <w:tcW w:w="3544" w:type="dxa"/>
            <w:tcBorders>
              <w:top w:val="single" w:sz="4" w:space="0" w:color="auto"/>
              <w:left w:val="single" w:sz="4" w:space="0" w:color="auto"/>
              <w:bottom w:val="single" w:sz="4" w:space="0" w:color="auto"/>
              <w:right w:val="single" w:sz="4" w:space="0" w:color="auto"/>
            </w:tcBorders>
          </w:tcPr>
          <w:p w14:paraId="7D9A6DB5" w14:textId="77777777" w:rsidR="0027503F" w:rsidRPr="00A95754" w:rsidRDefault="0027503F" w:rsidP="00094E2F">
            <w:pPr>
              <w:pStyle w:val="TableText0"/>
            </w:pPr>
            <w:r w:rsidRPr="00A95754">
              <w:t>Life years (LYs) and quality adjusted life years (QALYs)</w:t>
            </w:r>
          </w:p>
        </w:tc>
        <w:tc>
          <w:tcPr>
            <w:tcW w:w="3635" w:type="dxa"/>
            <w:tcBorders>
              <w:top w:val="single" w:sz="4" w:space="0" w:color="auto"/>
              <w:left w:val="single" w:sz="4" w:space="0" w:color="auto"/>
              <w:bottom w:val="single" w:sz="4" w:space="0" w:color="auto"/>
              <w:right w:val="single" w:sz="4" w:space="0" w:color="auto"/>
            </w:tcBorders>
          </w:tcPr>
          <w:p w14:paraId="286FB643" w14:textId="77777777" w:rsidR="0027503F" w:rsidRPr="00515484" w:rsidRDefault="0027503F" w:rsidP="00094E2F">
            <w:pPr>
              <w:pStyle w:val="TableText0"/>
            </w:pPr>
            <w:r w:rsidRPr="00515484">
              <w:t xml:space="preserve">This was reasonable. </w:t>
            </w:r>
          </w:p>
          <w:p w14:paraId="60AFE568" w14:textId="77777777" w:rsidR="0027503F" w:rsidRPr="00515484" w:rsidRDefault="0027503F" w:rsidP="00094E2F">
            <w:pPr>
              <w:pStyle w:val="TableText0"/>
            </w:pPr>
            <w:r w:rsidRPr="00515484">
              <w:t>TOPAZ-1 collected EQ-5D-5L that was valued using the Canadian value set to transform LYs to QALYs. Sensitivity analyses were presented using other utility estimates.</w:t>
            </w:r>
          </w:p>
        </w:tc>
      </w:tr>
      <w:tr w:rsidR="0027503F" w:rsidRPr="00A95754" w14:paraId="31C76585" w14:textId="77777777" w:rsidTr="00094E2F">
        <w:tc>
          <w:tcPr>
            <w:tcW w:w="1838" w:type="dxa"/>
            <w:tcBorders>
              <w:top w:val="single" w:sz="4" w:space="0" w:color="auto"/>
              <w:left w:val="single" w:sz="4" w:space="0" w:color="auto"/>
              <w:bottom w:val="single" w:sz="4" w:space="0" w:color="auto"/>
              <w:right w:val="single" w:sz="4" w:space="0" w:color="auto"/>
            </w:tcBorders>
          </w:tcPr>
          <w:p w14:paraId="4E5562FA" w14:textId="77777777" w:rsidR="0027503F" w:rsidRPr="00A95754" w:rsidRDefault="0027503F" w:rsidP="00094E2F">
            <w:pPr>
              <w:pStyle w:val="TableText0"/>
            </w:pPr>
            <w:r w:rsidRPr="00A95754">
              <w:t>Method used to generate results</w:t>
            </w:r>
          </w:p>
        </w:tc>
        <w:tc>
          <w:tcPr>
            <w:tcW w:w="3544" w:type="dxa"/>
            <w:tcBorders>
              <w:top w:val="single" w:sz="4" w:space="0" w:color="auto"/>
              <w:left w:val="single" w:sz="4" w:space="0" w:color="auto"/>
              <w:bottom w:val="single" w:sz="4" w:space="0" w:color="auto"/>
              <w:right w:val="single" w:sz="4" w:space="0" w:color="auto"/>
            </w:tcBorders>
          </w:tcPr>
          <w:p w14:paraId="3CC2E8A3" w14:textId="56B20818" w:rsidR="0027503F" w:rsidRPr="00A95754" w:rsidRDefault="0027503F" w:rsidP="00094E2F">
            <w:pPr>
              <w:pStyle w:val="TableText0"/>
            </w:pPr>
            <w:r w:rsidRPr="00A95754">
              <w:t xml:space="preserve">Partitioned survival model </w:t>
            </w:r>
          </w:p>
        </w:tc>
        <w:tc>
          <w:tcPr>
            <w:tcW w:w="3635" w:type="dxa"/>
            <w:tcBorders>
              <w:top w:val="single" w:sz="4" w:space="0" w:color="auto"/>
              <w:left w:val="single" w:sz="4" w:space="0" w:color="auto"/>
              <w:bottom w:val="single" w:sz="4" w:space="0" w:color="auto"/>
              <w:right w:val="single" w:sz="4" w:space="0" w:color="auto"/>
            </w:tcBorders>
          </w:tcPr>
          <w:p w14:paraId="1C638A90" w14:textId="77777777" w:rsidR="0027503F" w:rsidRPr="00515484" w:rsidRDefault="0027503F" w:rsidP="00094E2F">
            <w:pPr>
              <w:pStyle w:val="TableText0"/>
            </w:pPr>
            <w:r w:rsidRPr="00515484">
              <w:t xml:space="preserve">This was reasonable. </w:t>
            </w:r>
          </w:p>
        </w:tc>
      </w:tr>
      <w:tr w:rsidR="0027503F" w:rsidRPr="00A95754" w14:paraId="1421FEA8" w14:textId="77777777" w:rsidTr="00094E2F">
        <w:trPr>
          <w:trHeight w:val="183"/>
        </w:trPr>
        <w:tc>
          <w:tcPr>
            <w:tcW w:w="1838" w:type="dxa"/>
            <w:tcBorders>
              <w:top w:val="single" w:sz="4" w:space="0" w:color="auto"/>
              <w:left w:val="single" w:sz="4" w:space="0" w:color="auto"/>
              <w:bottom w:val="single" w:sz="4" w:space="0" w:color="auto"/>
              <w:right w:val="single" w:sz="4" w:space="0" w:color="auto"/>
            </w:tcBorders>
          </w:tcPr>
          <w:p w14:paraId="498E636D" w14:textId="77777777" w:rsidR="0027503F" w:rsidRPr="00A95754" w:rsidRDefault="0027503F" w:rsidP="00094E2F">
            <w:pPr>
              <w:pStyle w:val="TableText0"/>
            </w:pPr>
            <w:r w:rsidRPr="00A95754">
              <w:t>Health states</w:t>
            </w:r>
          </w:p>
        </w:tc>
        <w:tc>
          <w:tcPr>
            <w:tcW w:w="3544" w:type="dxa"/>
            <w:tcBorders>
              <w:top w:val="single" w:sz="4" w:space="0" w:color="auto"/>
              <w:left w:val="single" w:sz="4" w:space="0" w:color="auto"/>
              <w:bottom w:val="single" w:sz="4" w:space="0" w:color="auto"/>
              <w:right w:val="single" w:sz="4" w:space="0" w:color="auto"/>
            </w:tcBorders>
          </w:tcPr>
          <w:p w14:paraId="76892AB4" w14:textId="77777777" w:rsidR="0027503F" w:rsidRPr="00A95754" w:rsidRDefault="0027503F" w:rsidP="00094E2F">
            <w:pPr>
              <w:pStyle w:val="TableText0"/>
              <w:rPr>
                <w:i/>
                <w:iCs/>
              </w:rPr>
            </w:pPr>
            <w:r w:rsidRPr="00A95754">
              <w:t>Progression free survival (PFS), progressive disease (PD) and dead</w:t>
            </w:r>
          </w:p>
        </w:tc>
        <w:tc>
          <w:tcPr>
            <w:tcW w:w="3635" w:type="dxa"/>
            <w:tcBorders>
              <w:top w:val="single" w:sz="4" w:space="0" w:color="auto"/>
              <w:left w:val="single" w:sz="4" w:space="0" w:color="auto"/>
              <w:bottom w:val="single" w:sz="4" w:space="0" w:color="auto"/>
              <w:right w:val="single" w:sz="4" w:space="0" w:color="auto"/>
            </w:tcBorders>
          </w:tcPr>
          <w:p w14:paraId="073840FE" w14:textId="77777777" w:rsidR="0027503F" w:rsidRPr="00515484" w:rsidRDefault="0027503F" w:rsidP="00094E2F">
            <w:pPr>
              <w:pStyle w:val="TableText0"/>
            </w:pPr>
            <w:r w:rsidRPr="00515484">
              <w:t>This was reasonable.</w:t>
            </w:r>
          </w:p>
        </w:tc>
      </w:tr>
      <w:tr w:rsidR="0027503F" w:rsidRPr="00A95754" w14:paraId="54E5493A" w14:textId="77777777" w:rsidTr="00094E2F">
        <w:tc>
          <w:tcPr>
            <w:tcW w:w="1838" w:type="dxa"/>
            <w:tcBorders>
              <w:top w:val="single" w:sz="4" w:space="0" w:color="auto"/>
              <w:left w:val="single" w:sz="4" w:space="0" w:color="auto"/>
              <w:bottom w:val="single" w:sz="4" w:space="0" w:color="auto"/>
              <w:right w:val="single" w:sz="4" w:space="0" w:color="auto"/>
            </w:tcBorders>
          </w:tcPr>
          <w:p w14:paraId="77333737" w14:textId="77777777" w:rsidR="0027503F" w:rsidRPr="00A95754" w:rsidRDefault="0027503F" w:rsidP="00094E2F">
            <w:pPr>
              <w:pStyle w:val="TableText0"/>
            </w:pPr>
            <w:r w:rsidRPr="00A95754">
              <w:t>Cycle length</w:t>
            </w:r>
          </w:p>
        </w:tc>
        <w:tc>
          <w:tcPr>
            <w:tcW w:w="3544" w:type="dxa"/>
            <w:tcBorders>
              <w:top w:val="single" w:sz="4" w:space="0" w:color="auto"/>
              <w:left w:val="single" w:sz="4" w:space="0" w:color="auto"/>
              <w:bottom w:val="single" w:sz="4" w:space="0" w:color="auto"/>
              <w:right w:val="single" w:sz="4" w:space="0" w:color="auto"/>
            </w:tcBorders>
          </w:tcPr>
          <w:p w14:paraId="02DA1E10" w14:textId="77777777" w:rsidR="0027503F" w:rsidRPr="00A95754" w:rsidRDefault="0027503F" w:rsidP="00094E2F">
            <w:pPr>
              <w:pStyle w:val="TableText0"/>
            </w:pPr>
            <w:r w:rsidRPr="00A95754">
              <w:t>1 week</w:t>
            </w:r>
          </w:p>
        </w:tc>
        <w:tc>
          <w:tcPr>
            <w:tcW w:w="3635" w:type="dxa"/>
            <w:tcBorders>
              <w:top w:val="single" w:sz="4" w:space="0" w:color="auto"/>
              <w:left w:val="single" w:sz="4" w:space="0" w:color="auto"/>
              <w:bottom w:val="single" w:sz="4" w:space="0" w:color="auto"/>
              <w:right w:val="single" w:sz="4" w:space="0" w:color="auto"/>
            </w:tcBorders>
          </w:tcPr>
          <w:p w14:paraId="04C000A4" w14:textId="77777777" w:rsidR="0027503F" w:rsidRPr="00515484" w:rsidRDefault="0027503F" w:rsidP="00094E2F">
            <w:pPr>
              <w:pStyle w:val="TableText0"/>
            </w:pPr>
            <w:r w:rsidRPr="00515484">
              <w:t>This was reasonable.</w:t>
            </w:r>
          </w:p>
        </w:tc>
      </w:tr>
      <w:tr w:rsidR="0027503F" w:rsidRPr="00A95754" w14:paraId="71FE906D" w14:textId="77777777" w:rsidTr="00094E2F">
        <w:tc>
          <w:tcPr>
            <w:tcW w:w="1838" w:type="dxa"/>
            <w:tcBorders>
              <w:top w:val="single" w:sz="4" w:space="0" w:color="auto"/>
              <w:left w:val="single" w:sz="4" w:space="0" w:color="auto"/>
              <w:bottom w:val="single" w:sz="4" w:space="0" w:color="auto"/>
              <w:right w:val="single" w:sz="4" w:space="0" w:color="auto"/>
            </w:tcBorders>
            <w:hideMark/>
          </w:tcPr>
          <w:p w14:paraId="7B3728FF" w14:textId="77777777" w:rsidR="0027503F" w:rsidRPr="00A95754" w:rsidRDefault="0027503F" w:rsidP="00094E2F">
            <w:pPr>
              <w:pStyle w:val="TableText0"/>
            </w:pPr>
            <w:r w:rsidRPr="00A95754">
              <w:t>Time horizon</w:t>
            </w:r>
          </w:p>
        </w:tc>
        <w:tc>
          <w:tcPr>
            <w:tcW w:w="3544" w:type="dxa"/>
            <w:tcBorders>
              <w:top w:val="single" w:sz="4" w:space="0" w:color="auto"/>
              <w:left w:val="single" w:sz="4" w:space="0" w:color="auto"/>
              <w:bottom w:val="single" w:sz="4" w:space="0" w:color="auto"/>
              <w:right w:val="single" w:sz="4" w:space="0" w:color="auto"/>
            </w:tcBorders>
          </w:tcPr>
          <w:p w14:paraId="0E2CC7FC" w14:textId="7F08581F" w:rsidR="0027503F" w:rsidRPr="00A95754" w:rsidRDefault="0027503F" w:rsidP="00094E2F">
            <w:pPr>
              <w:pStyle w:val="TableText0"/>
            </w:pPr>
            <w:r w:rsidRPr="00A95754">
              <w:t xml:space="preserve">10 years in the base case versus </w:t>
            </w:r>
            <w:r w:rsidR="00BF581C">
              <w:t>m</w:t>
            </w:r>
            <w:r w:rsidR="004C7BAA" w:rsidRPr="00515484">
              <w:t>edian follow-up</w:t>
            </w:r>
            <w:r w:rsidR="00BF581C">
              <w:t xml:space="preserve"> of</w:t>
            </w:r>
            <w:r w:rsidR="004C7BAA" w:rsidRPr="00515484">
              <w:t xml:space="preserve"> 23.4 months</w:t>
            </w:r>
            <w:r w:rsidR="00BF581C">
              <w:t xml:space="preserve"> in TOPAZ-1</w:t>
            </w:r>
            <w:r w:rsidR="004C7BAA" w:rsidRPr="00515484">
              <w:t>.</w:t>
            </w:r>
            <w:r w:rsidRPr="00A95754">
              <w:t xml:space="preserve"> </w:t>
            </w:r>
          </w:p>
        </w:tc>
        <w:tc>
          <w:tcPr>
            <w:tcW w:w="3635" w:type="dxa"/>
            <w:tcBorders>
              <w:top w:val="single" w:sz="4" w:space="0" w:color="auto"/>
              <w:left w:val="single" w:sz="4" w:space="0" w:color="auto"/>
              <w:bottom w:val="single" w:sz="4" w:space="0" w:color="auto"/>
              <w:right w:val="single" w:sz="4" w:space="0" w:color="auto"/>
            </w:tcBorders>
          </w:tcPr>
          <w:p w14:paraId="22D57537" w14:textId="079E4F27" w:rsidR="0027503F" w:rsidRPr="00515484" w:rsidRDefault="0027503F" w:rsidP="00094E2F">
            <w:pPr>
              <w:pStyle w:val="TableText0"/>
            </w:pPr>
            <w:r w:rsidRPr="00515484">
              <w:t>This may not be reasonable, and favoured durvalumab; see discussion paragraph</w:t>
            </w:r>
            <w:r w:rsidR="004C7BAA" w:rsidRPr="00515484">
              <w:rPr>
                <w:bCs w:val="0"/>
              </w:rPr>
              <w:t xml:space="preserve"> </w:t>
            </w:r>
            <w:r w:rsidR="007E325C">
              <w:rPr>
                <w:bCs w:val="0"/>
              </w:rPr>
              <w:fldChar w:fldCharType="begin"/>
            </w:r>
            <w:r w:rsidR="007E325C">
              <w:rPr>
                <w:bCs w:val="0"/>
              </w:rPr>
              <w:instrText xml:space="preserve"> REF _Ref127887416 \r \h </w:instrText>
            </w:r>
            <w:r w:rsidR="007E325C">
              <w:rPr>
                <w:bCs w:val="0"/>
              </w:rPr>
            </w:r>
            <w:r w:rsidR="007E325C">
              <w:rPr>
                <w:bCs w:val="0"/>
              </w:rPr>
              <w:fldChar w:fldCharType="separate"/>
            </w:r>
            <w:r w:rsidR="000178EC">
              <w:rPr>
                <w:bCs w:val="0"/>
              </w:rPr>
              <w:t>6.31</w:t>
            </w:r>
            <w:r w:rsidR="007E325C">
              <w:rPr>
                <w:bCs w:val="0"/>
              </w:rPr>
              <w:fldChar w:fldCharType="end"/>
            </w:r>
            <w:r w:rsidRPr="00515484">
              <w:t xml:space="preserve">. </w:t>
            </w:r>
          </w:p>
        </w:tc>
      </w:tr>
      <w:tr w:rsidR="0027503F" w:rsidRPr="00A95754" w14:paraId="4A1A2A99" w14:textId="77777777" w:rsidTr="00094E2F">
        <w:tc>
          <w:tcPr>
            <w:tcW w:w="1838" w:type="dxa"/>
            <w:tcBorders>
              <w:top w:val="single" w:sz="4" w:space="0" w:color="auto"/>
              <w:left w:val="single" w:sz="4" w:space="0" w:color="auto"/>
              <w:bottom w:val="single" w:sz="4" w:space="0" w:color="auto"/>
              <w:right w:val="single" w:sz="4" w:space="0" w:color="auto"/>
            </w:tcBorders>
            <w:hideMark/>
          </w:tcPr>
          <w:p w14:paraId="4DF79072" w14:textId="77777777" w:rsidR="0027503F" w:rsidRPr="00A95754" w:rsidRDefault="0027503F" w:rsidP="00094E2F">
            <w:pPr>
              <w:pStyle w:val="TableText0"/>
            </w:pPr>
            <w:r w:rsidRPr="00A95754">
              <w:t xml:space="preserve">Health state transition </w:t>
            </w:r>
          </w:p>
        </w:tc>
        <w:tc>
          <w:tcPr>
            <w:tcW w:w="3544" w:type="dxa"/>
            <w:tcBorders>
              <w:top w:val="single" w:sz="4" w:space="0" w:color="auto"/>
              <w:left w:val="single" w:sz="4" w:space="0" w:color="auto"/>
              <w:bottom w:val="single" w:sz="4" w:space="0" w:color="auto"/>
              <w:right w:val="single" w:sz="4" w:space="0" w:color="auto"/>
            </w:tcBorders>
          </w:tcPr>
          <w:p w14:paraId="2D6D4027" w14:textId="77777777" w:rsidR="0027503F" w:rsidRPr="00A95754" w:rsidRDefault="0027503F" w:rsidP="00094E2F">
            <w:pPr>
              <w:pStyle w:val="TableText0"/>
            </w:pPr>
            <w:r w:rsidRPr="00A95754">
              <w:t>Kaplan-Meier estimates for PFS, OS and time to treatment discontinuation (TTD) were derived directly from TOPAZ-1.</w:t>
            </w:r>
          </w:p>
        </w:tc>
        <w:tc>
          <w:tcPr>
            <w:tcW w:w="3635" w:type="dxa"/>
            <w:tcBorders>
              <w:top w:val="single" w:sz="4" w:space="0" w:color="auto"/>
              <w:left w:val="single" w:sz="4" w:space="0" w:color="auto"/>
              <w:bottom w:val="single" w:sz="4" w:space="0" w:color="auto"/>
              <w:right w:val="single" w:sz="4" w:space="0" w:color="auto"/>
            </w:tcBorders>
          </w:tcPr>
          <w:p w14:paraId="5342F0BB" w14:textId="77777777" w:rsidR="0027503F" w:rsidRPr="00515484" w:rsidRDefault="0027503F" w:rsidP="00094E2F">
            <w:pPr>
              <w:pStyle w:val="TableText0"/>
            </w:pPr>
            <w:r w:rsidRPr="00515484">
              <w:t>This was reasonable.</w:t>
            </w:r>
          </w:p>
        </w:tc>
      </w:tr>
    </w:tbl>
    <w:p w14:paraId="68E1024D" w14:textId="77777777" w:rsidR="0027503F" w:rsidRPr="00A95754" w:rsidRDefault="0027503F" w:rsidP="00BA4874">
      <w:pPr>
        <w:pStyle w:val="TableFigureFooter"/>
      </w:pPr>
      <w:r w:rsidRPr="00A95754">
        <w:t>Source: Table 3.1 pp114-115, p162 of the submission.</w:t>
      </w:r>
    </w:p>
    <w:p w14:paraId="1B223232" w14:textId="77777777" w:rsidR="0027503F" w:rsidRPr="00A95754" w:rsidRDefault="0027503F" w:rsidP="00BA4874">
      <w:pPr>
        <w:pStyle w:val="TableFigureFooter"/>
      </w:pPr>
      <w:r w:rsidRPr="00A95754">
        <w:t>EQ-5D-5L = EuroQoL 5-dimension, 5</w:t>
      </w:r>
      <w:r w:rsidRPr="00A95754">
        <w:noBreakHyphen/>
        <w:t>level; LYs = life years; OS = overall survival; PD = progressive disease; PFS = progression free survival; QALYs = quality adjusted life years; TTD = time to treatment discontinuation.</w:t>
      </w:r>
    </w:p>
    <w:p w14:paraId="09EC6310" w14:textId="3F644C61" w:rsidR="0027503F" w:rsidRPr="00307569" w:rsidRDefault="0027503F" w:rsidP="00BA4874">
      <w:pPr>
        <w:pStyle w:val="TableFigureFooter"/>
      </w:pPr>
      <w:r w:rsidRPr="00307569">
        <w:rPr>
          <w:vertAlign w:val="superscript"/>
        </w:rPr>
        <w:t xml:space="preserve">a </w:t>
      </w:r>
      <w:r w:rsidRPr="00307569">
        <w:t xml:space="preserve">The 33 months </w:t>
      </w:r>
      <w:r w:rsidR="000735F3" w:rsidRPr="00307569">
        <w:t>correspond to the latest direct Kaplan-Meier data point</w:t>
      </w:r>
      <w:r w:rsidRPr="00307569">
        <w:t xml:space="preserve"> </w:t>
      </w:r>
      <w:r w:rsidR="000735F3" w:rsidRPr="00307569">
        <w:t>available from TOPAZ-1</w:t>
      </w:r>
      <w:r w:rsidRPr="00307569">
        <w:t xml:space="preserve">. </w:t>
      </w:r>
    </w:p>
    <w:p w14:paraId="4CA10772" w14:textId="7E299212" w:rsidR="0027503F" w:rsidRPr="00A95754" w:rsidRDefault="0027503F" w:rsidP="00BA4874">
      <w:pPr>
        <w:pStyle w:val="3-BodyText"/>
      </w:pPr>
      <w:r w:rsidRPr="00515484">
        <w:t xml:space="preserve">Key model input parameters came from either TOPAZ-1 or Australian costing sources, which was appropriate. HRQoL was measured alongside the trial using the EQ-5D-5L instrument. </w:t>
      </w:r>
    </w:p>
    <w:p w14:paraId="58A787D0" w14:textId="04A34DB6" w:rsidR="0027503F" w:rsidRPr="00515484" w:rsidRDefault="0027503F" w:rsidP="00BA4874">
      <w:pPr>
        <w:pStyle w:val="3-BodyText"/>
      </w:pPr>
      <w:r w:rsidRPr="00A95754">
        <w:t xml:space="preserve">The submission presented a partitioned survival model with three health states: (1) PFS, (2) PD, and (3) dead. </w:t>
      </w:r>
      <w:r w:rsidR="00CF035F">
        <w:t>T</w:t>
      </w:r>
      <w:r w:rsidRPr="00515484">
        <w:t xml:space="preserve">ime-to-treatment discontinuation (TTD) was used in the model to calculate the cost of the intervention and that of its comparators. </w:t>
      </w:r>
    </w:p>
    <w:p w14:paraId="2E1229E1" w14:textId="2E6600C7" w:rsidR="0027503F" w:rsidRPr="00A95754" w:rsidRDefault="0027503F" w:rsidP="00BA4874">
      <w:pPr>
        <w:pStyle w:val="3-BodyText"/>
      </w:pPr>
      <w:bookmarkStart w:id="36" w:name="_Ref124519300"/>
      <w:bookmarkStart w:id="37" w:name="_Ref127887416"/>
      <w:r w:rsidRPr="00A95754">
        <w:t xml:space="preserve">A 10-year time horizon was proposed for the base case, based on consistency with other economic models identified in the published literature search of HTA agency websites. </w:t>
      </w:r>
      <w:r w:rsidRPr="00515484">
        <w:t xml:space="preserve">All comparative economic models presented by the submission targeted patients with advanced hepatocellular carcinoma (HCC), which is a different patient population, with an estimated 3-year survival of 15%. The ESC </w:t>
      </w:r>
      <w:r w:rsidR="00C96A16" w:rsidRPr="00B96260">
        <w:t xml:space="preserve">previously </w:t>
      </w:r>
      <w:r w:rsidRPr="00515484">
        <w:t xml:space="preserve">considered </w:t>
      </w:r>
      <w:r w:rsidRPr="00515484">
        <w:lastRenderedPageBreak/>
        <w:t>a time horizon of 5 or 7.5 years was reasonable in the context of HCC, despite the possibility of a small percentage of patients having a durable response (paragraph 6.3 and 6.38, atezolizumab and bevacizumab Public Summary Document</w:t>
      </w:r>
      <w:r w:rsidR="002C071D">
        <w:t xml:space="preserve"> [PSD]</w:t>
      </w:r>
      <w:r w:rsidRPr="00515484">
        <w:t xml:space="preserve">, July 2020 meeting). </w:t>
      </w:r>
      <w:r w:rsidRPr="00B96260">
        <w:t xml:space="preserve">The </w:t>
      </w:r>
      <w:r w:rsidR="005F35DD" w:rsidRPr="00B96260">
        <w:t xml:space="preserve">ESC noted the </w:t>
      </w:r>
      <w:r w:rsidRPr="00B96260">
        <w:t>model was sensitive to varying the time horizon (</w:t>
      </w:r>
      <w:r w:rsidR="00CA3710" w:rsidRPr="00B96260">
        <w:fldChar w:fldCharType="begin"/>
      </w:r>
      <w:r w:rsidR="00CA3710" w:rsidRPr="00B96260">
        <w:instrText xml:space="preserve"> REF _Ref124492160 \h </w:instrText>
      </w:r>
      <w:r w:rsidR="00A95754" w:rsidRPr="00B96260">
        <w:instrText xml:space="preserve"> \* MERGEFORMAT </w:instrText>
      </w:r>
      <w:r w:rsidR="00CA3710" w:rsidRPr="00B96260">
        <w:fldChar w:fldCharType="separate"/>
      </w:r>
      <w:r w:rsidR="000178EC" w:rsidRPr="00A95754">
        <w:t xml:space="preserve">Figure </w:t>
      </w:r>
      <w:r w:rsidR="000178EC">
        <w:rPr>
          <w:noProof/>
        </w:rPr>
        <w:t>7</w:t>
      </w:r>
      <w:r w:rsidR="00CA3710" w:rsidRPr="00B96260">
        <w:fldChar w:fldCharType="end"/>
      </w:r>
      <w:r w:rsidRPr="00B96260">
        <w:t>).</w:t>
      </w:r>
      <w:bookmarkEnd w:id="36"/>
      <w:r w:rsidR="008112DD" w:rsidRPr="00B96260">
        <w:t xml:space="preserve"> The ESC considered a 5 year time horizon was reasonable, consistent with consideration of other conditions with a poor prognosis.</w:t>
      </w:r>
      <w:r w:rsidR="006B08CD">
        <w:t xml:space="preserve"> </w:t>
      </w:r>
      <w:r w:rsidR="005F35DD" w:rsidRPr="00B96260">
        <w:t xml:space="preserve">The ESC noted using a time horizon of 5 years increased the ICER from </w:t>
      </w:r>
      <w:bookmarkStart w:id="38" w:name="_Hlk135040333"/>
      <w:r w:rsidR="006847D3" w:rsidRPr="006847D3">
        <w:t>$115,000 to &lt; $135,000</w:t>
      </w:r>
      <w:bookmarkEnd w:id="38"/>
      <w:r w:rsidR="005F35DD" w:rsidRPr="00B96260">
        <w:t xml:space="preserve">/QALY to </w:t>
      </w:r>
      <w:bookmarkStart w:id="39" w:name="_Hlk135040906"/>
      <w:r w:rsidR="006847D3" w:rsidRPr="006847D3">
        <w:t>$135,000 to &lt; $155,000</w:t>
      </w:r>
      <w:bookmarkEnd w:id="39"/>
      <w:r w:rsidR="005F35DD" w:rsidRPr="00B96260">
        <w:t>/ QALY.</w:t>
      </w:r>
      <w:bookmarkEnd w:id="37"/>
      <w:r w:rsidR="005F35DD">
        <w:rPr>
          <w:i/>
          <w:iCs/>
        </w:rPr>
        <w:t xml:space="preserve"> </w:t>
      </w:r>
    </w:p>
    <w:p w14:paraId="09DD651F" w14:textId="605E2165" w:rsidR="0027503F" w:rsidRPr="00A95754" w:rsidRDefault="0027503F" w:rsidP="00BA4874">
      <w:pPr>
        <w:pStyle w:val="Caption"/>
      </w:pPr>
      <w:bookmarkStart w:id="40" w:name="_Ref124492160"/>
      <w:r w:rsidRPr="00A95754">
        <w:t xml:space="preserve">Figure </w:t>
      </w:r>
      <w:fldSimple w:instr=" SEQ Figure \* ARABIC ">
        <w:r w:rsidR="000178EC">
          <w:rPr>
            <w:noProof/>
          </w:rPr>
          <w:t>7</w:t>
        </w:r>
      </w:fldSimple>
      <w:bookmarkEnd w:id="40"/>
      <w:r w:rsidRPr="00A95754">
        <w:t>: ICER over time (using the base case</w:t>
      </w:r>
      <w:r w:rsidR="00C96A16">
        <w:t xml:space="preserve"> economic model</w:t>
      </w:r>
      <w:r w:rsidRPr="00A95754">
        <w:t>)</w:t>
      </w:r>
    </w:p>
    <w:p w14:paraId="0D7D1B93" w14:textId="2B75D795" w:rsidR="0027503F" w:rsidRPr="00A95754" w:rsidRDefault="00CF0C4E" w:rsidP="00BA4874">
      <w:r>
        <w:rPr>
          <w:noProof/>
        </w:rPr>
        <w:drawing>
          <wp:inline distT="0" distB="0" distL="0" distR="0" wp14:anchorId="517B12BE" wp14:editId="0F8FF07F">
            <wp:extent cx="5732145" cy="3270885"/>
            <wp:effectExtent l="0" t="0" r="1905" b="5715"/>
            <wp:docPr id="5" name="Picture 5" descr="Figure 7: ICER over time (using the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7: ICER over time (using the base case economic model)"/>
                    <pic:cNvPicPr/>
                  </pic:nvPicPr>
                  <pic:blipFill>
                    <a:blip r:embed="rId14"/>
                    <a:stretch>
                      <a:fillRect/>
                    </a:stretch>
                  </pic:blipFill>
                  <pic:spPr>
                    <a:xfrm>
                      <a:off x="0" y="0"/>
                      <a:ext cx="5732145" cy="3270885"/>
                    </a:xfrm>
                    <a:prstGeom prst="rect">
                      <a:avLst/>
                    </a:prstGeom>
                  </pic:spPr>
                </pic:pic>
              </a:graphicData>
            </a:graphic>
          </wp:inline>
        </w:drawing>
      </w:r>
    </w:p>
    <w:p w14:paraId="13978A8E" w14:textId="77777777" w:rsidR="0027503F" w:rsidRPr="00A95754" w:rsidRDefault="0027503F" w:rsidP="00BA4874">
      <w:pPr>
        <w:pStyle w:val="TableFigureFooter"/>
      </w:pPr>
      <w:r w:rsidRPr="00A95754">
        <w:t>Source: Compiled during the evaluation using Attachment 13_Imfinzi (Durvalumab)_BTC_CEA_</w:t>
      </w:r>
    </w:p>
    <w:p w14:paraId="37AB2D3F" w14:textId="77777777" w:rsidR="0027503F" w:rsidRPr="00A95754" w:rsidRDefault="0027503F" w:rsidP="00BA4874">
      <w:pPr>
        <w:pStyle w:val="TableFigureFooter"/>
      </w:pPr>
      <w:r w:rsidRPr="00A95754">
        <w:t xml:space="preserve">ICER = incremental cost effectiveness ratio; QALYs = quality adjusted life years. </w:t>
      </w:r>
    </w:p>
    <w:p w14:paraId="3CF3A48D" w14:textId="4E54D245" w:rsidR="0027503F" w:rsidRPr="00515484" w:rsidRDefault="00521AAC" w:rsidP="00BA4874">
      <w:pPr>
        <w:pStyle w:val="3-BodyText"/>
        <w:rPr>
          <w:iCs/>
        </w:rPr>
      </w:pPr>
      <w:r w:rsidRPr="00A95754">
        <w:t>T</w:t>
      </w:r>
      <w:r w:rsidR="0027503F" w:rsidRPr="00A95754">
        <w:t>he proportional hazards assumption was violated</w:t>
      </w:r>
      <w:r w:rsidRPr="00A95754">
        <w:t xml:space="preserve"> for OS and PFS, resulting in the </w:t>
      </w:r>
      <w:r w:rsidR="0027503F" w:rsidRPr="00A95754">
        <w:t>us</w:t>
      </w:r>
      <w:r w:rsidR="004E7381">
        <w:t>e of</w:t>
      </w:r>
      <w:r w:rsidR="00C4535C">
        <w:t xml:space="preserve"> </w:t>
      </w:r>
      <w:r w:rsidR="0027503F" w:rsidRPr="00A95754">
        <w:t xml:space="preserve">independent parametric survival </w:t>
      </w:r>
      <w:r w:rsidRPr="00A95754">
        <w:t xml:space="preserve">curves </w:t>
      </w:r>
      <w:r w:rsidR="0027503F" w:rsidRPr="00A95754">
        <w:t>(exponential, Weibull, Gompertz, lognormal, log-logistic, generalised gamma and gamma)</w:t>
      </w:r>
      <w:r w:rsidRPr="00A95754">
        <w:t xml:space="preserve"> for the extrapolation of those outcomes within each treatment group. Extrapolated curves </w:t>
      </w:r>
      <w:r w:rsidR="0027503F" w:rsidRPr="00A95754">
        <w:t xml:space="preserve">were fitted to the observed KM data. The goodness of fit statistics, Akaike Information Criteria (AIC) and Bayesian Information Criteria (BIC), were used to assess the best fit for the parametric functions. Clinical plausibility was also used to justify the choice of parametric function, and sensitivity analyses were conducted. </w:t>
      </w:r>
    </w:p>
    <w:p w14:paraId="17CCF8B7" w14:textId="550CE425" w:rsidR="0027503F" w:rsidRPr="00515484" w:rsidRDefault="0027503F" w:rsidP="00BA4874">
      <w:pPr>
        <w:pStyle w:val="3-BodyText"/>
        <w:rPr>
          <w:iCs/>
        </w:rPr>
      </w:pPr>
      <w:r w:rsidRPr="00A95754">
        <w:rPr>
          <w:iCs/>
        </w:rPr>
        <w:t xml:space="preserve">For PFS and TTD, the model used the data from </w:t>
      </w:r>
      <w:r w:rsidR="00377C1F">
        <w:rPr>
          <w:iCs/>
        </w:rPr>
        <w:t xml:space="preserve">the </w:t>
      </w:r>
      <w:r w:rsidRPr="00A95754">
        <w:rPr>
          <w:iCs/>
        </w:rPr>
        <w:t>IA-2</w:t>
      </w:r>
      <w:r w:rsidR="006B08CD">
        <w:rPr>
          <w:iCs/>
        </w:rPr>
        <w:t xml:space="preserve"> </w:t>
      </w:r>
      <w:r w:rsidRPr="00A95754">
        <w:rPr>
          <w:iCs/>
        </w:rPr>
        <w:t>data cut</w:t>
      </w:r>
      <w:r w:rsidR="00377C1F">
        <w:rPr>
          <w:iCs/>
        </w:rPr>
        <w:t xml:space="preserve"> </w:t>
      </w:r>
      <w:r w:rsidR="00377C1F" w:rsidRPr="00A95754">
        <w:rPr>
          <w:iCs/>
        </w:rPr>
        <w:t>(11</w:t>
      </w:r>
      <w:r w:rsidR="006847D3">
        <w:rPr>
          <w:iCs/>
        </w:rPr>
        <w:t> </w:t>
      </w:r>
      <w:r w:rsidR="006847D3" w:rsidRPr="00A95754">
        <w:rPr>
          <w:iCs/>
        </w:rPr>
        <w:t>August</w:t>
      </w:r>
      <w:r w:rsidR="006847D3">
        <w:rPr>
          <w:iCs/>
        </w:rPr>
        <w:t> </w:t>
      </w:r>
      <w:r w:rsidR="00377C1F" w:rsidRPr="00A95754">
        <w:rPr>
          <w:iCs/>
        </w:rPr>
        <w:t>2021)</w:t>
      </w:r>
      <w:r w:rsidRPr="00A95754">
        <w:rPr>
          <w:iCs/>
        </w:rPr>
        <w:t xml:space="preserve">, and for OS it used the updated </w:t>
      </w:r>
      <w:r w:rsidR="00CF035F">
        <w:rPr>
          <w:iCs/>
        </w:rPr>
        <w:t>data cut</w:t>
      </w:r>
      <w:r w:rsidRPr="00A95754">
        <w:rPr>
          <w:iCs/>
        </w:rPr>
        <w:t xml:space="preserve"> (25 Feb 2022).</w:t>
      </w:r>
      <w:r w:rsidRPr="00515484">
        <w:rPr>
          <w:iCs/>
        </w:rPr>
        <w:t xml:space="preserve"> TTD was longer than PFS in the durvalumab + GemCis arm, which represented the continuation of treatment through disease progression which was permitted in TOPAZ-1</w:t>
      </w:r>
      <w:r w:rsidR="00D841E5" w:rsidRPr="00515484">
        <w:rPr>
          <w:iCs/>
        </w:rPr>
        <w:t>.</w:t>
      </w:r>
    </w:p>
    <w:p w14:paraId="46ABF23C" w14:textId="3CF6FB34" w:rsidR="007A6EE0" w:rsidRPr="00B96260" w:rsidRDefault="0027503F" w:rsidP="007A6EE0">
      <w:pPr>
        <w:pStyle w:val="3-BodyText"/>
        <w:rPr>
          <w:iCs/>
        </w:rPr>
      </w:pPr>
      <w:r w:rsidRPr="00515484">
        <w:t xml:space="preserve">The best fit parametric function was not used to inform most of the base case scenarios, apart from the PFS and TTD curves in the durvalumab + GemCis arm. The </w:t>
      </w:r>
      <w:r w:rsidRPr="00515484">
        <w:lastRenderedPageBreak/>
        <w:t>best fit and base case parametric functions are described in</w:t>
      </w:r>
      <w:r w:rsidR="00CA3710" w:rsidRPr="00515484">
        <w:t xml:space="preserve"> </w:t>
      </w:r>
      <w:r w:rsidR="00CA3710" w:rsidRPr="00515484">
        <w:fldChar w:fldCharType="begin"/>
      </w:r>
      <w:r w:rsidR="00CA3710" w:rsidRPr="00515484">
        <w:instrText xml:space="preserve"> REF _Ref124492181 \h  \* MERGEFORMAT </w:instrText>
      </w:r>
      <w:r w:rsidR="00CA3710" w:rsidRPr="00515484">
        <w:fldChar w:fldCharType="separate"/>
      </w:r>
      <w:r w:rsidR="000178EC" w:rsidRPr="00A95754">
        <w:t xml:space="preserve">Table </w:t>
      </w:r>
      <w:r w:rsidR="000178EC">
        <w:rPr>
          <w:noProof/>
        </w:rPr>
        <w:t>10</w:t>
      </w:r>
      <w:r w:rsidR="00CA3710" w:rsidRPr="00515484">
        <w:fldChar w:fldCharType="end"/>
      </w:r>
      <w:r w:rsidRPr="00515484">
        <w:t>.</w:t>
      </w:r>
      <w:r w:rsidR="006847D3">
        <w:t xml:space="preserve"> </w:t>
      </w:r>
      <w:r w:rsidR="007A6EE0" w:rsidRPr="00B96260">
        <w:rPr>
          <w:iCs/>
        </w:rPr>
        <w:t xml:space="preserve">The PSCR noted the AIC and BIC statistics for the log-logistic, gamma and Weibull for durvalumab + GemCis and the log-logistic and gamma for placebo + GemCis differed only marginally. The PSCR stated these small differences in the goodness of fit statistics suggest that any of the parametric distributions are unlikely to be statistically meaningfully different from each other. Consequently, </w:t>
      </w:r>
      <w:r w:rsidR="00216153" w:rsidRPr="00B96260">
        <w:rPr>
          <w:iCs/>
        </w:rPr>
        <w:t xml:space="preserve">the PSCR stated </w:t>
      </w:r>
      <w:r w:rsidR="007A6EE0" w:rsidRPr="00B96260">
        <w:rPr>
          <w:iCs/>
        </w:rPr>
        <w:t>greater importance should be placed on selecting parametric distributions that are clinically plausible and most closely reflect the survival of patients with advanced BTC who receive first-line treatment in clinical practice.</w:t>
      </w:r>
    </w:p>
    <w:p w14:paraId="7746109B" w14:textId="6145000E" w:rsidR="0027503F" w:rsidRPr="00A95754" w:rsidRDefault="0027503F" w:rsidP="00BA4874">
      <w:pPr>
        <w:pStyle w:val="TableFigureHeading"/>
      </w:pPr>
      <w:bookmarkStart w:id="41" w:name="_Ref124492181"/>
      <w:r w:rsidRPr="00A95754">
        <w:t xml:space="preserve">Table </w:t>
      </w:r>
      <w:fldSimple w:instr=" SEQ Table \* ARABIC ">
        <w:r w:rsidR="000178EC">
          <w:rPr>
            <w:noProof/>
          </w:rPr>
          <w:t>10</w:t>
        </w:r>
      </w:fldSimple>
      <w:bookmarkEnd w:id="41"/>
      <w:r w:rsidRPr="00A95754">
        <w:t>: Comparison of the parametric functions based on goodness of fit statistics, and the models used in the submission’s base case.</w:t>
      </w:r>
    </w:p>
    <w:tbl>
      <w:tblPr>
        <w:tblStyle w:val="TableGrid"/>
        <w:tblW w:w="0" w:type="auto"/>
        <w:tblLook w:val="04A0" w:firstRow="1" w:lastRow="0" w:firstColumn="1" w:lastColumn="0" w:noHBand="0" w:noVBand="1"/>
      </w:tblPr>
      <w:tblGrid>
        <w:gridCol w:w="2122"/>
        <w:gridCol w:w="1701"/>
        <w:gridCol w:w="1559"/>
        <w:gridCol w:w="2551"/>
        <w:gridCol w:w="1084"/>
      </w:tblGrid>
      <w:tr w:rsidR="0027503F" w:rsidRPr="00A95754" w14:paraId="4157F611" w14:textId="77777777" w:rsidTr="00094E2F">
        <w:tc>
          <w:tcPr>
            <w:tcW w:w="2122" w:type="dxa"/>
          </w:tcPr>
          <w:p w14:paraId="55F8002B" w14:textId="77777777" w:rsidR="0027503F" w:rsidRPr="00A95754" w:rsidRDefault="0027503F" w:rsidP="00094E2F">
            <w:pPr>
              <w:pStyle w:val="TableText0"/>
            </w:pPr>
          </w:p>
        </w:tc>
        <w:tc>
          <w:tcPr>
            <w:tcW w:w="3260" w:type="dxa"/>
            <w:gridSpan w:val="2"/>
          </w:tcPr>
          <w:p w14:paraId="262B672F" w14:textId="77777777" w:rsidR="0027503F" w:rsidRPr="00A95754" w:rsidRDefault="0027503F" w:rsidP="00094E2F">
            <w:pPr>
              <w:pStyle w:val="TableText0"/>
              <w:jc w:val="center"/>
              <w:rPr>
                <w:b/>
              </w:rPr>
            </w:pPr>
            <w:r w:rsidRPr="00A95754">
              <w:rPr>
                <w:b/>
              </w:rPr>
              <w:t>Durvalumab + GemCis</w:t>
            </w:r>
          </w:p>
        </w:tc>
        <w:tc>
          <w:tcPr>
            <w:tcW w:w="3635" w:type="dxa"/>
            <w:gridSpan w:val="2"/>
          </w:tcPr>
          <w:p w14:paraId="6A224FB0" w14:textId="77777777" w:rsidR="0027503F" w:rsidRPr="00A95754" w:rsidRDefault="0027503F" w:rsidP="00094E2F">
            <w:pPr>
              <w:pStyle w:val="TableText0"/>
              <w:jc w:val="center"/>
              <w:rPr>
                <w:b/>
              </w:rPr>
            </w:pPr>
            <w:r w:rsidRPr="00A95754">
              <w:rPr>
                <w:b/>
              </w:rPr>
              <w:t>Placebo + GemCis</w:t>
            </w:r>
          </w:p>
        </w:tc>
      </w:tr>
      <w:tr w:rsidR="0027503F" w:rsidRPr="00A95754" w14:paraId="36AD6321" w14:textId="77777777" w:rsidTr="00094E2F">
        <w:tc>
          <w:tcPr>
            <w:tcW w:w="2122" w:type="dxa"/>
          </w:tcPr>
          <w:p w14:paraId="6687CFED" w14:textId="77777777" w:rsidR="0027503F" w:rsidRPr="00A95754" w:rsidRDefault="0027503F" w:rsidP="00094E2F">
            <w:pPr>
              <w:pStyle w:val="TableText0"/>
            </w:pPr>
          </w:p>
        </w:tc>
        <w:tc>
          <w:tcPr>
            <w:tcW w:w="1701" w:type="dxa"/>
          </w:tcPr>
          <w:p w14:paraId="0340AA91" w14:textId="77777777" w:rsidR="0027503F" w:rsidRPr="00A95754" w:rsidRDefault="0027503F" w:rsidP="00094E2F">
            <w:pPr>
              <w:pStyle w:val="TableText0"/>
              <w:jc w:val="center"/>
              <w:rPr>
                <w:b/>
              </w:rPr>
            </w:pPr>
            <w:r w:rsidRPr="00A95754">
              <w:rPr>
                <w:b/>
              </w:rPr>
              <w:t>Best fit</w:t>
            </w:r>
            <w:r w:rsidRPr="00A95754">
              <w:rPr>
                <w:b/>
                <w:vertAlign w:val="superscript"/>
              </w:rPr>
              <w:t>a</w:t>
            </w:r>
          </w:p>
        </w:tc>
        <w:tc>
          <w:tcPr>
            <w:tcW w:w="1559" w:type="dxa"/>
          </w:tcPr>
          <w:p w14:paraId="62DC2CA1" w14:textId="77777777" w:rsidR="0027503F" w:rsidRPr="00A95754" w:rsidRDefault="0027503F" w:rsidP="00094E2F">
            <w:pPr>
              <w:pStyle w:val="TableText0"/>
              <w:jc w:val="center"/>
              <w:rPr>
                <w:b/>
              </w:rPr>
            </w:pPr>
            <w:r w:rsidRPr="00A95754">
              <w:rPr>
                <w:b/>
              </w:rPr>
              <w:t>Base case</w:t>
            </w:r>
          </w:p>
        </w:tc>
        <w:tc>
          <w:tcPr>
            <w:tcW w:w="2551" w:type="dxa"/>
          </w:tcPr>
          <w:p w14:paraId="33A8FFEC" w14:textId="77777777" w:rsidR="0027503F" w:rsidRPr="00A95754" w:rsidRDefault="0027503F" w:rsidP="00094E2F">
            <w:pPr>
              <w:pStyle w:val="TableText0"/>
              <w:jc w:val="center"/>
              <w:rPr>
                <w:b/>
              </w:rPr>
            </w:pPr>
            <w:r w:rsidRPr="00A95754">
              <w:rPr>
                <w:b/>
              </w:rPr>
              <w:t>Best fit</w:t>
            </w:r>
            <w:r w:rsidRPr="00A95754">
              <w:rPr>
                <w:b/>
                <w:vertAlign w:val="superscript"/>
              </w:rPr>
              <w:t>a</w:t>
            </w:r>
          </w:p>
        </w:tc>
        <w:tc>
          <w:tcPr>
            <w:tcW w:w="1084" w:type="dxa"/>
          </w:tcPr>
          <w:p w14:paraId="756ECCA2" w14:textId="77777777" w:rsidR="0027503F" w:rsidRPr="00A95754" w:rsidRDefault="0027503F" w:rsidP="00094E2F">
            <w:pPr>
              <w:pStyle w:val="TableText0"/>
              <w:jc w:val="center"/>
              <w:rPr>
                <w:b/>
              </w:rPr>
            </w:pPr>
            <w:r w:rsidRPr="00A95754">
              <w:rPr>
                <w:b/>
              </w:rPr>
              <w:t>Base case</w:t>
            </w:r>
          </w:p>
        </w:tc>
      </w:tr>
      <w:tr w:rsidR="0027503F" w:rsidRPr="00A95754" w14:paraId="7C97D4C4" w14:textId="77777777" w:rsidTr="00094E2F">
        <w:tc>
          <w:tcPr>
            <w:tcW w:w="2122" w:type="dxa"/>
          </w:tcPr>
          <w:p w14:paraId="34C0C1A1" w14:textId="77777777" w:rsidR="0027503F" w:rsidRPr="00A95754" w:rsidRDefault="0027503F" w:rsidP="00094E2F">
            <w:pPr>
              <w:pStyle w:val="TableText0"/>
            </w:pPr>
            <w:r w:rsidRPr="00A95754">
              <w:t>Overall survival</w:t>
            </w:r>
          </w:p>
        </w:tc>
        <w:tc>
          <w:tcPr>
            <w:tcW w:w="1701" w:type="dxa"/>
          </w:tcPr>
          <w:p w14:paraId="61D112C1" w14:textId="77777777" w:rsidR="0027503F" w:rsidRPr="00A95754" w:rsidRDefault="0027503F" w:rsidP="00094E2F">
            <w:pPr>
              <w:pStyle w:val="TableText0"/>
            </w:pPr>
            <w:r w:rsidRPr="00A95754">
              <w:t>Gamma or Weibull</w:t>
            </w:r>
          </w:p>
        </w:tc>
        <w:tc>
          <w:tcPr>
            <w:tcW w:w="1559" w:type="dxa"/>
          </w:tcPr>
          <w:p w14:paraId="2CC96B14" w14:textId="77777777" w:rsidR="0027503F" w:rsidRPr="00A95754" w:rsidRDefault="0027503F" w:rsidP="00094E2F">
            <w:pPr>
              <w:pStyle w:val="TableText0"/>
            </w:pPr>
            <w:r w:rsidRPr="00A95754">
              <w:t>Log-logistic</w:t>
            </w:r>
          </w:p>
        </w:tc>
        <w:tc>
          <w:tcPr>
            <w:tcW w:w="2551" w:type="dxa"/>
          </w:tcPr>
          <w:p w14:paraId="461DA67F" w14:textId="77777777" w:rsidR="0027503F" w:rsidRPr="00A95754" w:rsidRDefault="0027503F" w:rsidP="00094E2F">
            <w:pPr>
              <w:pStyle w:val="TableText0"/>
            </w:pPr>
            <w:r w:rsidRPr="00A95754">
              <w:t>Gamma</w:t>
            </w:r>
          </w:p>
        </w:tc>
        <w:tc>
          <w:tcPr>
            <w:tcW w:w="1084" w:type="dxa"/>
          </w:tcPr>
          <w:p w14:paraId="7A8933DE" w14:textId="77777777" w:rsidR="0027503F" w:rsidRPr="00A95754" w:rsidRDefault="0027503F" w:rsidP="00094E2F">
            <w:pPr>
              <w:pStyle w:val="TableText0"/>
            </w:pPr>
            <w:r w:rsidRPr="00A95754">
              <w:t>Log-logistic</w:t>
            </w:r>
          </w:p>
        </w:tc>
      </w:tr>
      <w:tr w:rsidR="0027503F" w:rsidRPr="00A95754" w14:paraId="1A9E9FF8" w14:textId="77777777" w:rsidTr="00094E2F">
        <w:tc>
          <w:tcPr>
            <w:tcW w:w="2122" w:type="dxa"/>
          </w:tcPr>
          <w:p w14:paraId="67CA4CA0" w14:textId="77777777" w:rsidR="0027503F" w:rsidRPr="00A95754" w:rsidRDefault="0027503F" w:rsidP="00094E2F">
            <w:pPr>
              <w:pStyle w:val="TableText0"/>
            </w:pPr>
            <w:r w:rsidRPr="00A95754">
              <w:t>Progression-free survival</w:t>
            </w:r>
          </w:p>
        </w:tc>
        <w:tc>
          <w:tcPr>
            <w:tcW w:w="1701" w:type="dxa"/>
          </w:tcPr>
          <w:p w14:paraId="56EA85D8" w14:textId="77777777" w:rsidR="0027503F" w:rsidRPr="00A95754" w:rsidRDefault="0027503F" w:rsidP="00094E2F">
            <w:pPr>
              <w:pStyle w:val="TableText0"/>
            </w:pPr>
            <w:r w:rsidRPr="00A95754">
              <w:t>Gamma</w:t>
            </w:r>
          </w:p>
        </w:tc>
        <w:tc>
          <w:tcPr>
            <w:tcW w:w="1559" w:type="dxa"/>
          </w:tcPr>
          <w:p w14:paraId="7E1D82A3" w14:textId="77777777" w:rsidR="0027503F" w:rsidRPr="00A95754" w:rsidRDefault="0027503F" w:rsidP="00094E2F">
            <w:pPr>
              <w:pStyle w:val="TableText0"/>
            </w:pPr>
            <w:r w:rsidRPr="00A95754">
              <w:t>Gamma</w:t>
            </w:r>
          </w:p>
        </w:tc>
        <w:tc>
          <w:tcPr>
            <w:tcW w:w="2551" w:type="dxa"/>
          </w:tcPr>
          <w:p w14:paraId="4D2998E1" w14:textId="77777777" w:rsidR="0027503F" w:rsidRPr="00A95754" w:rsidRDefault="0027503F" w:rsidP="00094E2F">
            <w:pPr>
              <w:pStyle w:val="TableText0"/>
            </w:pPr>
            <w:r w:rsidRPr="00A95754">
              <w:t>Weibull or generalised gamma</w:t>
            </w:r>
          </w:p>
        </w:tc>
        <w:tc>
          <w:tcPr>
            <w:tcW w:w="1084" w:type="dxa"/>
          </w:tcPr>
          <w:p w14:paraId="4FDADEB5" w14:textId="77777777" w:rsidR="0027503F" w:rsidRPr="00A95754" w:rsidRDefault="0027503F" w:rsidP="00094E2F">
            <w:pPr>
              <w:pStyle w:val="TableText0"/>
            </w:pPr>
            <w:r w:rsidRPr="00A95754">
              <w:t>Gamma</w:t>
            </w:r>
          </w:p>
        </w:tc>
      </w:tr>
      <w:tr w:rsidR="0027503F" w:rsidRPr="00A95754" w14:paraId="185BF5DE" w14:textId="77777777" w:rsidTr="00094E2F">
        <w:tc>
          <w:tcPr>
            <w:tcW w:w="2122" w:type="dxa"/>
          </w:tcPr>
          <w:p w14:paraId="526BBB3E" w14:textId="77777777" w:rsidR="0027503F" w:rsidRPr="00A95754" w:rsidRDefault="0027503F" w:rsidP="00094E2F">
            <w:pPr>
              <w:pStyle w:val="TableText0"/>
            </w:pPr>
            <w:r w:rsidRPr="00A95754">
              <w:t>Time to discontinuation</w:t>
            </w:r>
          </w:p>
        </w:tc>
        <w:tc>
          <w:tcPr>
            <w:tcW w:w="1701" w:type="dxa"/>
          </w:tcPr>
          <w:p w14:paraId="09FB24AD" w14:textId="77777777" w:rsidR="0027503F" w:rsidRPr="00A95754" w:rsidRDefault="0027503F" w:rsidP="00094E2F">
            <w:pPr>
              <w:pStyle w:val="TableText0"/>
            </w:pPr>
            <w:r w:rsidRPr="00A95754">
              <w:t>Gamma</w:t>
            </w:r>
          </w:p>
        </w:tc>
        <w:tc>
          <w:tcPr>
            <w:tcW w:w="1559" w:type="dxa"/>
          </w:tcPr>
          <w:p w14:paraId="02BAAA96" w14:textId="77777777" w:rsidR="0027503F" w:rsidRPr="00A95754" w:rsidRDefault="0027503F" w:rsidP="00094E2F">
            <w:pPr>
              <w:pStyle w:val="TableText0"/>
            </w:pPr>
            <w:r w:rsidRPr="00A95754">
              <w:t>Gamma</w:t>
            </w:r>
          </w:p>
        </w:tc>
        <w:tc>
          <w:tcPr>
            <w:tcW w:w="2551" w:type="dxa"/>
          </w:tcPr>
          <w:p w14:paraId="4E2EF6A3" w14:textId="77777777" w:rsidR="0027503F" w:rsidRPr="00A95754" w:rsidRDefault="0027503F" w:rsidP="00094E2F">
            <w:pPr>
              <w:pStyle w:val="TableText0"/>
            </w:pPr>
            <w:r w:rsidRPr="00A95754">
              <w:t>Weibull</w:t>
            </w:r>
          </w:p>
        </w:tc>
        <w:tc>
          <w:tcPr>
            <w:tcW w:w="1084" w:type="dxa"/>
          </w:tcPr>
          <w:p w14:paraId="7AB8A341" w14:textId="77777777" w:rsidR="0027503F" w:rsidRPr="00A95754" w:rsidRDefault="0027503F" w:rsidP="00094E2F">
            <w:pPr>
              <w:pStyle w:val="TableText0"/>
            </w:pPr>
            <w:r w:rsidRPr="00A95754">
              <w:t>Gamma</w:t>
            </w:r>
          </w:p>
        </w:tc>
      </w:tr>
    </w:tbl>
    <w:p w14:paraId="1AF405DD" w14:textId="77777777" w:rsidR="0027503F" w:rsidRPr="00A95754" w:rsidRDefault="0027503F" w:rsidP="00BA4874">
      <w:pPr>
        <w:pStyle w:val="TableFigureFooter"/>
        <w:jc w:val="left"/>
      </w:pPr>
      <w:r w:rsidRPr="00A95754">
        <w:t>Source: Compiled during the evaluation, using data from Table 3.6, pp 143-144 and Table 3.7, pp 150-151, Table 3.8, pp 157-158 and Table 3.9, p 161 of the submission.</w:t>
      </w:r>
    </w:p>
    <w:p w14:paraId="1E91BC50" w14:textId="77777777" w:rsidR="0027503F" w:rsidRPr="00A95754" w:rsidRDefault="0027503F" w:rsidP="00BA4874">
      <w:pPr>
        <w:pStyle w:val="TableFigureFooter"/>
        <w:jc w:val="left"/>
      </w:pPr>
      <w:r w:rsidRPr="00A95754">
        <w:t xml:space="preserve">GemCis = gemcitabine plus cisplatin. </w:t>
      </w:r>
      <w:r w:rsidRPr="00A95754">
        <w:br/>
      </w:r>
      <w:r w:rsidRPr="00A95754">
        <w:rPr>
          <w:vertAlign w:val="superscript"/>
        </w:rPr>
        <w:t>a</w:t>
      </w:r>
      <w:r w:rsidRPr="00A95754">
        <w:t xml:space="preserve"> Based on Akaike Information Criteria and Bayesian Information Criteria.</w:t>
      </w:r>
    </w:p>
    <w:p w14:paraId="57F21869" w14:textId="69280AF2" w:rsidR="0027503F" w:rsidRPr="00B96260" w:rsidRDefault="0027503F" w:rsidP="00BA4874">
      <w:pPr>
        <w:pStyle w:val="3-BodyText"/>
      </w:pPr>
      <w:r w:rsidRPr="00A95754">
        <w:t xml:space="preserve">The submission stated that based on visual inspection, all parametric models provided a good fit to the observed Kaplan-Meier data for both durvalumab + GemCis and placebo + GemCis. </w:t>
      </w:r>
      <w:r w:rsidRPr="00515484">
        <w:t>Visual inspection showed similarity between the Weibull and gamma functions used for PFS and TTD in the placebo + GemCis arm. However, there were differences between the best-fit gamma and base-case log-logistic functions used for OS, as shown in</w:t>
      </w:r>
      <w:r w:rsidR="00D841E5" w:rsidRPr="00515484">
        <w:t xml:space="preserve"> </w:t>
      </w:r>
      <w:r w:rsidR="00D841E5" w:rsidRPr="00515484">
        <w:fldChar w:fldCharType="begin"/>
      </w:r>
      <w:r w:rsidR="00D841E5" w:rsidRPr="00515484">
        <w:instrText xml:space="preserve"> REF _Ref124838111 \h  \* MERGEFORMAT </w:instrText>
      </w:r>
      <w:r w:rsidR="00D841E5" w:rsidRPr="00515484">
        <w:fldChar w:fldCharType="separate"/>
      </w:r>
      <w:r w:rsidR="000178EC" w:rsidRPr="00A95754">
        <w:t xml:space="preserve">Figure </w:t>
      </w:r>
      <w:r w:rsidR="000178EC">
        <w:rPr>
          <w:noProof/>
        </w:rPr>
        <w:t>8</w:t>
      </w:r>
      <w:r w:rsidR="00D841E5" w:rsidRPr="00515484">
        <w:fldChar w:fldCharType="end"/>
      </w:r>
      <w:r w:rsidRPr="00515484">
        <w:t xml:space="preserve">. The </w:t>
      </w:r>
      <w:r w:rsidR="00914FCD" w:rsidRPr="00B96260">
        <w:t xml:space="preserve">evaluation considered the </w:t>
      </w:r>
      <w:r w:rsidRPr="00B96260">
        <w:t xml:space="preserve">submission </w:t>
      </w:r>
      <w:r w:rsidR="00914FCD" w:rsidRPr="00B96260">
        <w:t xml:space="preserve">had </w:t>
      </w:r>
      <w:r w:rsidRPr="00B96260">
        <w:t xml:space="preserve">not </w:t>
      </w:r>
      <w:r w:rsidR="008A3C7E" w:rsidRPr="00B96260">
        <w:t>adequately</w:t>
      </w:r>
      <w:r w:rsidR="008A3C7E">
        <w:t xml:space="preserve"> </w:t>
      </w:r>
      <w:r w:rsidRPr="00515484">
        <w:t>justif</w:t>
      </w:r>
      <w:r w:rsidR="00914FCD">
        <w:t>ied</w:t>
      </w:r>
      <w:r w:rsidRPr="00515484">
        <w:t xml:space="preserve"> its departure from the model fit statistics when </w:t>
      </w:r>
      <w:r w:rsidR="00986CF8">
        <w:t>selecting</w:t>
      </w:r>
      <w:r w:rsidR="00986CF8" w:rsidRPr="00515484">
        <w:t xml:space="preserve"> </w:t>
      </w:r>
      <w:r w:rsidRPr="00515484">
        <w:t>the log-logistic function for the model’s OS base case, which sensitivity analyses show was a main driver of the economic model</w:t>
      </w:r>
      <w:r w:rsidR="00914FCD" w:rsidRPr="00914FCD">
        <w:rPr>
          <w:i/>
          <w:iCs/>
        </w:rPr>
        <w:t>.</w:t>
      </w:r>
      <w:r w:rsidR="00914FCD">
        <w:t xml:space="preserve"> </w:t>
      </w:r>
      <w:r w:rsidR="00A97E22" w:rsidRPr="00B96260">
        <w:t>The ESC noted the external validation provided in the submission and the PSCR but considered overall there was limited trial data to determine what proportion of patients, if any, would have relatively long survival with durvalumab (and hence result in a flattening of the OS KM plot).</w:t>
      </w:r>
    </w:p>
    <w:p w14:paraId="7D9F5BB1" w14:textId="1B9B1528" w:rsidR="0027503F" w:rsidRPr="00A95754" w:rsidRDefault="0027503F" w:rsidP="00BA4874">
      <w:pPr>
        <w:pStyle w:val="TableFigureHeading"/>
      </w:pPr>
      <w:bookmarkStart w:id="42" w:name="_Ref124838111"/>
      <w:r w:rsidRPr="00A95754">
        <w:lastRenderedPageBreak/>
        <w:t xml:space="preserve">Figure </w:t>
      </w:r>
      <w:fldSimple w:instr=" SEQ Figure \* ARABIC ">
        <w:r w:rsidR="000178EC">
          <w:rPr>
            <w:noProof/>
          </w:rPr>
          <w:t>8</w:t>
        </w:r>
      </w:fldSimple>
      <w:bookmarkEnd w:id="42"/>
      <w:r w:rsidRPr="00A95754">
        <w:t>: Kaplan-Meier estimates for base-case OS compared to independent survival models identified as best fit (AIC/BIC)</w:t>
      </w:r>
    </w:p>
    <w:p w14:paraId="658D968D" w14:textId="77777777" w:rsidR="0027503F" w:rsidRPr="00A95754" w:rsidRDefault="0027503F" w:rsidP="00BA4874">
      <w:pPr>
        <w:pStyle w:val="TableFigureFooter"/>
      </w:pPr>
      <w:r w:rsidRPr="00A95754">
        <w:rPr>
          <w:noProof/>
        </w:rPr>
        <w:drawing>
          <wp:inline distT="0" distB="0" distL="0" distR="0" wp14:anchorId="78C3A8B8" wp14:editId="1CF5A8E8">
            <wp:extent cx="5607809" cy="3810000"/>
            <wp:effectExtent l="0" t="0" r="0" b="0"/>
            <wp:docPr id="7" name="Picture 7" descr="Figure 8: Kaplan-Meier estimates for base-case OS compared to independent survival models identified as best fit (AIC/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8: Kaplan-Meier estimates for base-case OS compared to independent survival models identified as best fit (AIC/BIC)"/>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607809" cy="3810000"/>
                    </a:xfrm>
                    <a:prstGeom prst="rect">
                      <a:avLst/>
                    </a:prstGeom>
                    <a:noFill/>
                  </pic:spPr>
                </pic:pic>
              </a:graphicData>
            </a:graphic>
          </wp:inline>
        </w:drawing>
      </w:r>
      <w:r w:rsidRPr="00A95754">
        <w:t>Source: Compiled during the evaluation using Figure 3.21 and Figure 3.22 p 153 of the Submission; Attachment 13_Imfinzi (Durvalumab)_BTC_CEA</w:t>
      </w:r>
      <w:r w:rsidRPr="00A95754" w:rsidDel="00015ED9">
        <w:t xml:space="preserve"> </w:t>
      </w:r>
      <w:r w:rsidRPr="00A95754">
        <w:t>_worksheet ‘Data_curves’.</w:t>
      </w:r>
    </w:p>
    <w:p w14:paraId="03D585CE" w14:textId="77777777" w:rsidR="0027503F" w:rsidRPr="00373626" w:rsidRDefault="0027503F" w:rsidP="00BA4874">
      <w:pPr>
        <w:pStyle w:val="TableFigureFooter"/>
      </w:pPr>
      <w:r w:rsidRPr="00A95754">
        <w:t xml:space="preserve">AIC = Akaike Information Criteria; BIC = Bayesian Information Criteria; DGC = durvalumab + gemcitabine + cisplatin; GC = placebo + gemcitabine + cisplatin; KM = Kaplan-Meier; OS = </w:t>
      </w:r>
      <w:r w:rsidRPr="00373626">
        <w:t>overall survival.</w:t>
      </w:r>
    </w:p>
    <w:p w14:paraId="65792D7D" w14:textId="3A6173EC" w:rsidR="000E3614" w:rsidRPr="00373626" w:rsidRDefault="008A3C7E" w:rsidP="00DF2C5C">
      <w:pPr>
        <w:pStyle w:val="3-BodyText"/>
        <w:rPr>
          <w:i/>
          <w:iCs/>
        </w:rPr>
      </w:pPr>
      <w:r w:rsidRPr="00B96260">
        <w:t xml:space="preserve">The PSCR </w:t>
      </w:r>
      <w:r w:rsidR="000E3614" w:rsidRPr="00B96260">
        <w:t xml:space="preserve">provided a plot of OS hazard for durvalumab + GemCis over time from </w:t>
      </w:r>
      <w:r w:rsidR="00373626" w:rsidRPr="00B96260">
        <w:t xml:space="preserve">the </w:t>
      </w:r>
      <w:r w:rsidR="000E3614" w:rsidRPr="00B96260">
        <w:t>TOPAZ</w:t>
      </w:r>
      <w:r w:rsidR="00373626" w:rsidRPr="00B96260">
        <w:t xml:space="preserve"> study </w:t>
      </w:r>
      <w:r w:rsidR="000E3614" w:rsidRPr="00B96260">
        <w:t>over</w:t>
      </w:r>
      <w:r w:rsidR="00BE62A6" w:rsidRPr="00B96260">
        <w:t>laid with</w:t>
      </w:r>
      <w:r w:rsidR="000E3614" w:rsidRPr="00B96260">
        <w:t xml:space="preserve"> plots for </w:t>
      </w:r>
      <w:r w:rsidR="00373626" w:rsidRPr="00B96260">
        <w:t>the different extrapolation approaches (</w:t>
      </w:r>
      <w:r w:rsidR="00914FCD" w:rsidRPr="00B96260">
        <w:fldChar w:fldCharType="begin"/>
      </w:r>
      <w:r w:rsidR="00914FCD" w:rsidRPr="00B96260">
        <w:instrText xml:space="preserve"> REF _Ref127367174 \h  \* MERGEFORMAT </w:instrText>
      </w:r>
      <w:r w:rsidR="00914FCD" w:rsidRPr="00B96260">
        <w:fldChar w:fldCharType="separate"/>
      </w:r>
      <w:r w:rsidR="000178EC" w:rsidRPr="000178EC">
        <w:t>Figure 9</w:t>
      </w:r>
      <w:r w:rsidR="00914FCD" w:rsidRPr="00B96260">
        <w:fldChar w:fldCharType="end"/>
      </w:r>
      <w:r w:rsidR="00373626" w:rsidRPr="00B96260">
        <w:t>). The PSCR stated th</w:t>
      </w:r>
      <w:r w:rsidR="00BE62A6" w:rsidRPr="00B96260">
        <w:t>e panel plots</w:t>
      </w:r>
      <w:r w:rsidR="00373626" w:rsidRPr="00B96260">
        <w:t xml:space="preserve"> demonstrate </w:t>
      </w:r>
      <w:r w:rsidR="000E3614" w:rsidRPr="00B96260">
        <w:t xml:space="preserve">that the gamma and Weibull are unable to capture the change in hazard over time in the earlier follow-up period, while the log-logistic does capture this change, therefore supporting the choice of log-logistic as a better fit to extrapolate OS for </w:t>
      </w:r>
      <w:r w:rsidR="00373626" w:rsidRPr="00B96260">
        <w:t>durvalumab</w:t>
      </w:r>
      <w:r w:rsidR="000E3614" w:rsidRPr="00B96260">
        <w:t xml:space="preserve"> + GemCis</w:t>
      </w:r>
      <w:r w:rsidR="000E3614" w:rsidRPr="00373626">
        <w:rPr>
          <w:i/>
          <w:iCs/>
        </w:rPr>
        <w:t>.</w:t>
      </w:r>
    </w:p>
    <w:p w14:paraId="61920F56" w14:textId="290B6C9B" w:rsidR="000A2183" w:rsidRPr="00BD05AE" w:rsidRDefault="00BE62A6" w:rsidP="006847D3">
      <w:pPr>
        <w:pStyle w:val="3-BodyText"/>
        <w:keepNext/>
        <w:numPr>
          <w:ilvl w:val="0"/>
          <w:numId w:val="0"/>
        </w:numPr>
        <w:spacing w:after="0"/>
      </w:pPr>
      <w:bookmarkStart w:id="43" w:name="_Ref127367174"/>
      <w:r w:rsidRPr="00BD05AE">
        <w:rPr>
          <w:rFonts w:ascii="Arial Narrow" w:eastAsiaTheme="majorEastAsia" w:hAnsi="Arial Narrow"/>
          <w:b/>
          <w:sz w:val="20"/>
          <w:szCs w:val="20"/>
          <w:lang w:bidi="en-US"/>
        </w:rPr>
        <w:lastRenderedPageBreak/>
        <w:t xml:space="preserve">Figure </w:t>
      </w:r>
      <w:r w:rsidRPr="00BD05AE">
        <w:rPr>
          <w:rFonts w:ascii="Arial Narrow" w:eastAsiaTheme="majorEastAsia" w:hAnsi="Arial Narrow"/>
          <w:b/>
          <w:sz w:val="20"/>
          <w:szCs w:val="20"/>
          <w:lang w:bidi="en-US"/>
        </w:rPr>
        <w:fldChar w:fldCharType="begin"/>
      </w:r>
      <w:r w:rsidRPr="00BD05AE">
        <w:rPr>
          <w:rFonts w:ascii="Arial Narrow" w:eastAsiaTheme="majorEastAsia" w:hAnsi="Arial Narrow"/>
          <w:b/>
          <w:sz w:val="20"/>
          <w:szCs w:val="20"/>
          <w:lang w:bidi="en-US"/>
        </w:rPr>
        <w:instrText xml:space="preserve"> SEQ Figure \* ARABIC </w:instrText>
      </w:r>
      <w:r w:rsidRPr="00BD05AE">
        <w:rPr>
          <w:rFonts w:ascii="Arial Narrow" w:eastAsiaTheme="majorEastAsia" w:hAnsi="Arial Narrow"/>
          <w:b/>
          <w:sz w:val="20"/>
          <w:szCs w:val="20"/>
          <w:lang w:bidi="en-US"/>
        </w:rPr>
        <w:fldChar w:fldCharType="separate"/>
      </w:r>
      <w:r w:rsidR="000178EC">
        <w:rPr>
          <w:rFonts w:ascii="Arial Narrow" w:eastAsiaTheme="majorEastAsia" w:hAnsi="Arial Narrow"/>
          <w:b/>
          <w:noProof/>
          <w:sz w:val="20"/>
          <w:szCs w:val="20"/>
          <w:lang w:bidi="en-US"/>
        </w:rPr>
        <w:t>9</w:t>
      </w:r>
      <w:r w:rsidRPr="00BD05AE">
        <w:rPr>
          <w:rFonts w:ascii="Arial Narrow" w:eastAsiaTheme="majorEastAsia" w:hAnsi="Arial Narrow"/>
          <w:b/>
          <w:sz w:val="20"/>
          <w:szCs w:val="20"/>
          <w:lang w:bidi="en-US"/>
        </w:rPr>
        <w:fldChar w:fldCharType="end"/>
      </w:r>
      <w:bookmarkEnd w:id="43"/>
      <w:r w:rsidRPr="00BD05AE">
        <w:t xml:space="preserve">: </w:t>
      </w:r>
      <w:r w:rsidR="000A2183" w:rsidRPr="00BD05AE">
        <w:rPr>
          <w:rFonts w:ascii="Arial Narrow" w:eastAsiaTheme="majorEastAsia" w:hAnsi="Arial Narrow"/>
          <w:b/>
          <w:sz w:val="20"/>
          <w:szCs w:val="20"/>
          <w:lang w:bidi="en-US"/>
        </w:rPr>
        <w:t>TOPAZ-1 modelled durvalumab + GemCis panel plot</w:t>
      </w:r>
      <w:r w:rsidR="00266F75">
        <w:rPr>
          <w:rFonts w:ascii="Arial Narrow" w:eastAsiaTheme="majorEastAsia" w:hAnsi="Arial Narrow"/>
          <w:b/>
          <w:sz w:val="20"/>
          <w:szCs w:val="20"/>
          <w:lang w:bidi="en-US"/>
        </w:rPr>
        <w:t>*</w:t>
      </w:r>
    </w:p>
    <w:p w14:paraId="699F8B9F" w14:textId="335D39A3" w:rsidR="000A2183" w:rsidRPr="00BD05AE" w:rsidRDefault="000A2183" w:rsidP="006847D3">
      <w:pPr>
        <w:pStyle w:val="3-BodyText"/>
        <w:numPr>
          <w:ilvl w:val="0"/>
          <w:numId w:val="0"/>
        </w:numPr>
        <w:spacing w:after="0"/>
      </w:pPr>
      <w:r w:rsidRPr="00BD05AE">
        <w:rPr>
          <w:noProof/>
        </w:rPr>
        <w:drawing>
          <wp:inline distT="0" distB="0" distL="0" distR="0" wp14:anchorId="1A78E92D" wp14:editId="17205CD9">
            <wp:extent cx="5711885" cy="2628615"/>
            <wp:effectExtent l="19050" t="19050" r="22225" b="19685"/>
            <wp:docPr id="20" name="Picture 20" descr="Figure 9: TOPAZ-1 modelled durvalumab + GemCis panel plot"/>
            <wp:cNvGraphicFramePr/>
            <a:graphic xmlns:a="http://schemas.openxmlformats.org/drawingml/2006/main">
              <a:graphicData uri="http://schemas.openxmlformats.org/drawingml/2006/picture">
                <pic:pic xmlns:pic="http://schemas.openxmlformats.org/drawingml/2006/picture">
                  <pic:nvPicPr>
                    <pic:cNvPr id="20" name="Picture" descr="Figure 9: TOPAZ-1 modelled durvalumab + GemCis panel plot"/>
                    <pic:cNvPicPr>
                      <a:picLocks noChangeAspect="1" noChangeArrowheads="1"/>
                    </pic:cNvPicPr>
                  </pic:nvPicPr>
                  <pic:blipFill>
                    <a:blip r:embed="rId16"/>
                    <a:stretch>
                      <a:fillRect/>
                    </a:stretch>
                  </pic:blipFill>
                  <pic:spPr bwMode="auto">
                    <a:xfrm>
                      <a:off x="0" y="0"/>
                      <a:ext cx="5721984" cy="2633263"/>
                    </a:xfrm>
                    <a:prstGeom prst="rect">
                      <a:avLst/>
                    </a:prstGeom>
                    <a:noFill/>
                    <a:ln w="9525">
                      <a:solidFill>
                        <a:sysClr val="windowText" lastClr="000000"/>
                      </a:solidFill>
                      <a:headEnd/>
                      <a:tailEnd/>
                    </a:ln>
                  </pic:spPr>
                </pic:pic>
              </a:graphicData>
            </a:graphic>
          </wp:inline>
        </w:drawing>
      </w:r>
    </w:p>
    <w:p w14:paraId="3840D26D" w14:textId="2EDC83A4" w:rsidR="000A2183" w:rsidRDefault="001F14FC" w:rsidP="00266F75">
      <w:pPr>
        <w:pStyle w:val="3-BodyText"/>
        <w:numPr>
          <w:ilvl w:val="0"/>
          <w:numId w:val="0"/>
        </w:numPr>
        <w:spacing w:after="0"/>
        <w:rPr>
          <w:rFonts w:ascii="Arial Narrow" w:hAnsi="Arial Narrow"/>
          <w:sz w:val="18"/>
          <w:szCs w:val="22"/>
        </w:rPr>
      </w:pPr>
      <w:r w:rsidRPr="00BD05AE">
        <w:rPr>
          <w:rFonts w:ascii="Arial Narrow" w:hAnsi="Arial Narrow"/>
          <w:sz w:val="18"/>
          <w:szCs w:val="22"/>
        </w:rPr>
        <w:t>Source: Figure 3, PSCR</w:t>
      </w:r>
    </w:p>
    <w:p w14:paraId="5CB307A3" w14:textId="45BC2E4C" w:rsidR="00266F75" w:rsidRPr="001F14FC" w:rsidRDefault="00266F75" w:rsidP="007A6EE0">
      <w:pPr>
        <w:pStyle w:val="3-BodyText"/>
        <w:numPr>
          <w:ilvl w:val="0"/>
          <w:numId w:val="0"/>
        </w:numPr>
        <w:rPr>
          <w:rFonts w:ascii="Arial Narrow" w:hAnsi="Arial Narrow"/>
          <w:sz w:val="18"/>
          <w:szCs w:val="22"/>
        </w:rPr>
      </w:pPr>
      <w:r>
        <w:rPr>
          <w:rFonts w:ascii="Arial Narrow" w:hAnsi="Arial Narrow"/>
          <w:sz w:val="18"/>
          <w:szCs w:val="22"/>
        </w:rPr>
        <w:t>*</w:t>
      </w:r>
      <w:r w:rsidRPr="00B258C5">
        <w:t xml:space="preserve"> </w:t>
      </w:r>
      <w:r w:rsidRPr="00B258C5">
        <w:rPr>
          <w:rFonts w:ascii="Arial Narrow" w:hAnsi="Arial Narrow"/>
          <w:i/>
          <w:iCs/>
          <w:sz w:val="18"/>
          <w:szCs w:val="22"/>
        </w:rPr>
        <w:t>Note that the results presented in Figure 9 are derived from ad-hoc analyses conducted by the applicant during the evaluation specifically for the purposes of informing the PBAC consideration. Interpretation of the results and their application should therefore be limited to seeking to understand the basis for the PBAC outcome and should not be used for any other purpose (e.g. from ~24 months onwards, should be interpreted cautiously due to the very low numbers of patients at risk (&lt;10%)).</w:t>
      </w:r>
    </w:p>
    <w:p w14:paraId="793F0107" w14:textId="629FC0F6" w:rsidR="007A6EE0" w:rsidRPr="00B96260" w:rsidRDefault="007A6EE0" w:rsidP="007A6EE0">
      <w:pPr>
        <w:pStyle w:val="3-BodyText"/>
      </w:pPr>
      <w:r w:rsidRPr="00B96260">
        <w:t>The ESC considered that</w:t>
      </w:r>
      <w:r w:rsidR="008A3C7E" w:rsidRPr="00B96260">
        <w:t>, based on the totality of evidence</w:t>
      </w:r>
      <w:r w:rsidR="0087223F" w:rsidRPr="00B96260">
        <w:t xml:space="preserve"> (i.e., AIC/ BIC, visual inspection, external validation and panel plots)</w:t>
      </w:r>
      <w:r w:rsidR="008A3C7E" w:rsidRPr="00B96260">
        <w:t xml:space="preserve">, </w:t>
      </w:r>
      <w:r w:rsidRPr="00B96260">
        <w:t>the</w:t>
      </w:r>
      <w:r w:rsidR="000A2183" w:rsidRPr="00B96260">
        <w:t xml:space="preserve"> extrapolation functions applied to OS for durvalumab + GemCis and placebo + GemCis in the base case economic model were appropriate.</w:t>
      </w:r>
      <w:r w:rsidRPr="00B96260">
        <w:t xml:space="preserve"> </w:t>
      </w:r>
    </w:p>
    <w:p w14:paraId="317AD680" w14:textId="4D42919F" w:rsidR="0027503F" w:rsidRPr="00515484" w:rsidRDefault="0027503F" w:rsidP="00BA4874">
      <w:pPr>
        <w:pStyle w:val="3-BodyText"/>
        <w:rPr>
          <w:iCs/>
        </w:rPr>
      </w:pPr>
      <w:r w:rsidRPr="007A6EE0">
        <w:t>Utilities for the modelled health states, PFS and PD, were derived from a post-hoc</w:t>
      </w:r>
      <w:r w:rsidRPr="00A95754">
        <w:t xml:space="preserve"> analysis of the EQ-5D-5L data from TOPAZ-1, using mixed effects repeated measures (MMRM) models, which included univariate and multivariate analyses with covariates for treatment, treatment status (i.e., on off treatment) and progression status (PFS and PD) fitted to the observed EQ-5D-5L data. </w:t>
      </w:r>
      <w:r w:rsidRPr="00515484">
        <w:rPr>
          <w:iCs/>
        </w:rPr>
        <w:t>The EQ-5D score for PD from TOPAZ-1 was reflective of patients’ health-related quality of life (HRQoL) on their first visit since progression.</w:t>
      </w:r>
    </w:p>
    <w:p w14:paraId="5083BBD9" w14:textId="4EFB7B23" w:rsidR="0027503F" w:rsidRPr="00A95754" w:rsidRDefault="0027503F" w:rsidP="00BA4874">
      <w:pPr>
        <w:pStyle w:val="3-BodyText"/>
      </w:pPr>
      <w:r w:rsidRPr="00A95754">
        <w:t xml:space="preserve">The submission’s base case used utility values from a post-hoc analysis from TOPAZ-1 using the Canadian value set. The submission </w:t>
      </w:r>
      <w:r w:rsidR="00377C1F">
        <w:t>stated</w:t>
      </w:r>
      <w:r w:rsidR="00377C1F" w:rsidRPr="00A95754">
        <w:t xml:space="preserve"> </w:t>
      </w:r>
      <w:r w:rsidRPr="00A95754">
        <w:t>that the Canadian population is not markedly different from the Australian population, hence the use of these values in the base case was appropriate</w:t>
      </w:r>
      <w:r w:rsidRPr="005F35DD">
        <w:t xml:space="preserve">. </w:t>
      </w:r>
      <w:r w:rsidR="005F35DD" w:rsidRPr="00B96260">
        <w:t xml:space="preserve">The PSCR stated the use of </w:t>
      </w:r>
      <w:r w:rsidR="0087223F" w:rsidRPr="00B96260">
        <w:t xml:space="preserve">a </w:t>
      </w:r>
      <w:r w:rsidR="005F35DD" w:rsidRPr="00B96260">
        <w:t>Canadian value set was the most appropriate of the available options given that it enabled the direct use of the EQ-5D-5L data from TOPAZ-1. The ESC noted an Australian value set for EQ-5D-5L is now available</w:t>
      </w:r>
      <w:r w:rsidR="0087223F" w:rsidRPr="00B96260">
        <w:rPr>
          <w:rStyle w:val="FootnoteReference"/>
        </w:rPr>
        <w:footnoteReference w:id="10"/>
      </w:r>
      <w:r w:rsidR="005F35DD" w:rsidRPr="00B96260">
        <w:t xml:space="preserve"> and considered it </w:t>
      </w:r>
      <w:r w:rsidR="0015251A" w:rsidRPr="00B96260">
        <w:t xml:space="preserve">would </w:t>
      </w:r>
      <w:r w:rsidR="005F35DD" w:rsidRPr="00B96260">
        <w:t xml:space="preserve">be informative to see </w:t>
      </w:r>
      <w:r w:rsidR="0015251A" w:rsidRPr="00B96260">
        <w:t xml:space="preserve">the </w:t>
      </w:r>
      <w:r w:rsidR="005F35DD" w:rsidRPr="00B96260">
        <w:t xml:space="preserve">impact </w:t>
      </w:r>
      <w:r w:rsidR="0015251A" w:rsidRPr="00B96260">
        <w:t xml:space="preserve">on the ICER </w:t>
      </w:r>
      <w:r w:rsidR="0015251A" w:rsidRPr="00B96260">
        <w:lastRenderedPageBreak/>
        <w:t xml:space="preserve">of using </w:t>
      </w:r>
      <w:r w:rsidR="005F35DD" w:rsidRPr="00B96260">
        <w:t>this value set (rather than the Canadian value set) has on the ICER</w:t>
      </w:r>
      <w:r w:rsidRPr="00B96260">
        <w:t>.</w:t>
      </w:r>
      <w:r w:rsidRPr="00A95754">
        <w:rPr>
          <w:i/>
          <w:iCs/>
        </w:rPr>
        <w:t xml:space="preserve"> </w:t>
      </w:r>
      <w:r w:rsidRPr="00A95754">
        <w:t xml:space="preserve">Disutilities for all grade ≥3 adverse events were applied in the first cycle for both treatment arms. </w:t>
      </w:r>
      <w:r w:rsidRPr="005F35DD">
        <w:t>The model was not sensitive to inclusion of disutilities for TEAEs.</w:t>
      </w:r>
    </w:p>
    <w:p w14:paraId="68CA5B61" w14:textId="08139AC7" w:rsidR="0027503F" w:rsidRPr="00A95754" w:rsidRDefault="0027503F" w:rsidP="00BA4874">
      <w:pPr>
        <w:pStyle w:val="3-BodyText"/>
        <w:rPr>
          <w:i/>
          <w:iCs/>
        </w:rPr>
      </w:pPr>
      <w:r w:rsidRPr="00A95754">
        <w:t xml:space="preserve">Subsequent anti-cancer treatments were determined by data from TOPAZ-1, using a representative combination of medicines and dosing regimens; primarily folinic acid combinations or platinum-based therapy, consistent with Australian eviQ guidelines. </w:t>
      </w:r>
      <w:r w:rsidRPr="00515484">
        <w:rPr>
          <w:iCs/>
        </w:rPr>
        <w:t>The submission considered subsequent therapies used as second, third and further lines (up to seven) and excluded ~10-11% of second-line and ~17-19% of third-line (or more) patients that were given other treatments (i.e. immunotherapies, targeted therapies).</w:t>
      </w:r>
      <w:r w:rsidRPr="00A95754">
        <w:rPr>
          <w:i/>
        </w:rPr>
        <w:t xml:space="preserve"> </w:t>
      </w:r>
      <w:r w:rsidRPr="00A95754">
        <w:t xml:space="preserve">Patients in TOPAZ-1 who received subsequent immunotherapies, which are not PBS-listed in Australia, were redistributed proportionately to the other subsequent therapy regimens. </w:t>
      </w:r>
      <w:r w:rsidRPr="00515484">
        <w:t xml:space="preserve">This was reasonable, but </w:t>
      </w:r>
      <w:r w:rsidR="00277ED2" w:rsidRPr="00377C1F">
        <w:t>the evaluation noted it may</w:t>
      </w:r>
      <w:r w:rsidR="00277ED2">
        <w:t xml:space="preserve"> </w:t>
      </w:r>
      <w:r w:rsidRPr="00515484">
        <w:t>result in a disconnect between the trial evidence for outcomes and costs.</w:t>
      </w:r>
    </w:p>
    <w:p w14:paraId="3620997E" w14:textId="20AFCE00" w:rsidR="0027503F" w:rsidRPr="00A95754" w:rsidRDefault="0027503F" w:rsidP="00BA4874">
      <w:pPr>
        <w:pStyle w:val="3-BodyText"/>
      </w:pPr>
      <w:r w:rsidRPr="00515484">
        <w:t xml:space="preserve">There were only small differences between the modelled analysis and trial estimates; according to the traces, approximately 84% of the patients in the durvalumab + GemCis arm would have progressed by the first 12 months, while in the GemCis arm 94% of the patients progressed by the first 12 months, which was similar to the difference in PFS in TOPAZ-1. After 24 months, 77% of patients in the durvalumab + GemCis arm were dead, while in the GemCis arm 89% were dead, which was similar to TOPAZ-1 (76.4% and 88.5%, respectively). At the end of the time horizon, no patients in the GemCis were alive, and 2.1% in the durvalumab + GemCis arm were alive in the PD health state. </w:t>
      </w:r>
      <w:r w:rsidR="00DC63DE" w:rsidRPr="00B96260">
        <w:t>The ESC noted there would be 6.</w:t>
      </w:r>
      <w:r w:rsidR="00377C1F">
        <w:t>8</w:t>
      </w:r>
      <w:r w:rsidR="00DC63DE" w:rsidRPr="00B96260">
        <w:t>% and 3.3% of patients alive in the durvalumab + GemCis arm at the end of the time horizon, if the time horizon was reduced to 5 years and 7.5 years, respectively.</w:t>
      </w:r>
      <w:r w:rsidR="00DC63DE">
        <w:t xml:space="preserve"> </w:t>
      </w:r>
    </w:p>
    <w:p w14:paraId="5F207510" w14:textId="7201E7A5" w:rsidR="0027503F" w:rsidRPr="00A95754" w:rsidRDefault="0027503F" w:rsidP="00BA4874">
      <w:pPr>
        <w:pStyle w:val="3-BodyText"/>
      </w:pPr>
      <w:r w:rsidRPr="00A95754">
        <w:rPr>
          <w:lang w:val="en-US"/>
        </w:rPr>
        <w:t>A summary of the key drivers of the model is provided in</w:t>
      </w:r>
      <w:r w:rsidR="00CA3710" w:rsidRPr="00A95754">
        <w:rPr>
          <w:lang w:val="en-US"/>
        </w:rPr>
        <w:t xml:space="preserve"> </w:t>
      </w:r>
      <w:r w:rsidR="00CA3710" w:rsidRPr="00A95754">
        <w:rPr>
          <w:lang w:val="en-US"/>
        </w:rPr>
        <w:fldChar w:fldCharType="begin"/>
      </w:r>
      <w:r w:rsidR="00CA3710" w:rsidRPr="00A95754">
        <w:rPr>
          <w:lang w:val="en-US"/>
        </w:rPr>
        <w:instrText xml:space="preserve"> REF _Ref124492208 \h </w:instrText>
      </w:r>
      <w:r w:rsidR="00A95754">
        <w:rPr>
          <w:lang w:val="en-US"/>
        </w:rPr>
        <w:instrText xml:space="preserve"> \* MERGEFORMAT </w:instrText>
      </w:r>
      <w:r w:rsidR="00CA3710" w:rsidRPr="00A95754">
        <w:rPr>
          <w:lang w:val="en-US"/>
        </w:rPr>
      </w:r>
      <w:r w:rsidR="00CA3710" w:rsidRPr="00A95754">
        <w:rPr>
          <w:lang w:val="en-US"/>
        </w:rPr>
        <w:fldChar w:fldCharType="separate"/>
      </w:r>
      <w:r w:rsidR="000178EC" w:rsidRPr="00A95754">
        <w:t xml:space="preserve">Table </w:t>
      </w:r>
      <w:r w:rsidR="000178EC">
        <w:rPr>
          <w:noProof/>
        </w:rPr>
        <w:t>11</w:t>
      </w:r>
      <w:r w:rsidR="00CA3710" w:rsidRPr="00A95754">
        <w:rPr>
          <w:lang w:val="en-US"/>
        </w:rPr>
        <w:fldChar w:fldCharType="end"/>
      </w:r>
      <w:r w:rsidRPr="00A95754">
        <w:rPr>
          <w:lang w:val="en-US"/>
        </w:rPr>
        <w:t>.</w:t>
      </w:r>
    </w:p>
    <w:p w14:paraId="7B37E0A5" w14:textId="278BEC01" w:rsidR="0027503F" w:rsidRPr="00A95754" w:rsidRDefault="0027503F" w:rsidP="00BA4874">
      <w:pPr>
        <w:pStyle w:val="Caption"/>
        <w:rPr>
          <w:rStyle w:val="CommentReference"/>
          <w:b/>
          <w:szCs w:val="24"/>
        </w:rPr>
      </w:pPr>
      <w:bookmarkStart w:id="44" w:name="_Ref124492208"/>
      <w:r w:rsidRPr="00A95754">
        <w:t xml:space="preserve">Table </w:t>
      </w:r>
      <w:fldSimple w:instr=" SEQ Table \* ARABIC ">
        <w:r w:rsidR="000178EC">
          <w:rPr>
            <w:noProof/>
          </w:rPr>
          <w:t>11</w:t>
        </w:r>
      </w:fldSimple>
      <w:bookmarkEnd w:id="44"/>
      <w:r w:rsidRPr="00A95754">
        <w:t>:</w:t>
      </w:r>
      <w:r w:rsidRPr="00A95754">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2835"/>
        <w:gridCol w:w="4344"/>
      </w:tblGrid>
      <w:tr w:rsidR="0027503F" w:rsidRPr="00A95754" w14:paraId="7FD3DCDC" w14:textId="77777777" w:rsidTr="002A5C66">
        <w:trPr>
          <w:tblHeader/>
        </w:trPr>
        <w:tc>
          <w:tcPr>
            <w:tcW w:w="1019" w:type="pct"/>
            <w:shd w:val="clear" w:color="auto" w:fill="auto"/>
            <w:vAlign w:val="center"/>
          </w:tcPr>
          <w:p w14:paraId="29B2011F" w14:textId="77777777" w:rsidR="0027503F" w:rsidRPr="00A95754" w:rsidRDefault="0027503F" w:rsidP="00094E2F">
            <w:pPr>
              <w:pStyle w:val="In-tableHeading"/>
              <w:jc w:val="center"/>
            </w:pPr>
            <w:r w:rsidRPr="00A95754">
              <w:t>Description</w:t>
            </w:r>
          </w:p>
        </w:tc>
        <w:tc>
          <w:tcPr>
            <w:tcW w:w="1572" w:type="pct"/>
            <w:shd w:val="clear" w:color="auto" w:fill="auto"/>
            <w:vAlign w:val="center"/>
          </w:tcPr>
          <w:p w14:paraId="2CE1BA62" w14:textId="77777777" w:rsidR="0027503F" w:rsidRPr="00A95754" w:rsidRDefault="0027503F" w:rsidP="00094E2F">
            <w:pPr>
              <w:pStyle w:val="In-tableHeading"/>
              <w:jc w:val="center"/>
            </w:pPr>
            <w:r w:rsidRPr="00A95754">
              <w:t>Method/Value</w:t>
            </w:r>
          </w:p>
        </w:tc>
        <w:tc>
          <w:tcPr>
            <w:tcW w:w="2409" w:type="pct"/>
            <w:shd w:val="clear" w:color="auto" w:fill="auto"/>
            <w:vAlign w:val="center"/>
          </w:tcPr>
          <w:p w14:paraId="6AB81D50" w14:textId="77777777" w:rsidR="0027503F" w:rsidRPr="00A95754" w:rsidRDefault="0027503F" w:rsidP="00094E2F">
            <w:pPr>
              <w:pStyle w:val="In-tableHeading"/>
              <w:jc w:val="center"/>
            </w:pPr>
            <w:r w:rsidRPr="00A95754">
              <w:t>Impact</w:t>
            </w:r>
          </w:p>
          <w:p w14:paraId="34496C7E" w14:textId="25BB4739" w:rsidR="0027503F" w:rsidRPr="00A95754" w:rsidRDefault="0027503F" w:rsidP="00094E2F">
            <w:pPr>
              <w:pStyle w:val="In-tableHeading"/>
              <w:jc w:val="center"/>
            </w:pPr>
            <w:r w:rsidRPr="00A95754">
              <w:rPr>
                <w:rFonts w:cs="Arial"/>
                <w:szCs w:val="20"/>
              </w:rPr>
              <w:t>Base case: $</w:t>
            </w:r>
            <w:r w:rsidR="003C043D" w:rsidRPr="003C043D">
              <w:rPr>
                <w:rFonts w:cs="Arial"/>
                <w:color w:val="000000"/>
                <w:szCs w:val="20"/>
                <w:shd w:val="solid" w:color="000000" w:fill="000000"/>
                <w14:textFill>
                  <w14:solidFill>
                    <w14:srgbClr w14:val="000000">
                      <w14:alpha w14:val="100000"/>
                    </w14:srgbClr>
                  </w14:solidFill>
                </w14:textFill>
              </w:rPr>
              <w:t>|</w:t>
            </w:r>
            <w:r w:rsidR="00E40FB3">
              <w:rPr>
                <w:rFonts w:cs="Arial"/>
                <w:szCs w:val="20"/>
                <w:vertAlign w:val="superscript"/>
              </w:rPr>
              <w:t>1</w:t>
            </w:r>
            <w:r w:rsidRPr="00A95754">
              <w:rPr>
                <w:rFonts w:cs="Arial"/>
                <w:szCs w:val="20"/>
              </w:rPr>
              <w:t>/QALY gained</w:t>
            </w:r>
          </w:p>
        </w:tc>
      </w:tr>
      <w:tr w:rsidR="0027503F" w:rsidRPr="00A95754" w14:paraId="0743F716" w14:textId="77777777" w:rsidTr="002A5C66">
        <w:tc>
          <w:tcPr>
            <w:tcW w:w="1019" w:type="pct"/>
            <w:shd w:val="clear" w:color="auto" w:fill="auto"/>
            <w:vAlign w:val="center"/>
          </w:tcPr>
          <w:p w14:paraId="7DCCE1DF" w14:textId="77777777" w:rsidR="0027503F" w:rsidRPr="00A95754" w:rsidRDefault="0027503F" w:rsidP="00094E2F">
            <w:pPr>
              <w:pStyle w:val="TableText0"/>
              <w:rPr>
                <w:lang w:val="en-US"/>
              </w:rPr>
            </w:pPr>
            <w:r w:rsidRPr="00A95754">
              <w:rPr>
                <w:lang w:val="en-US"/>
              </w:rPr>
              <w:t>Parametric function used for OS extrapolation</w:t>
            </w:r>
          </w:p>
        </w:tc>
        <w:tc>
          <w:tcPr>
            <w:tcW w:w="1572" w:type="pct"/>
            <w:shd w:val="clear" w:color="auto" w:fill="auto"/>
            <w:vAlign w:val="center"/>
          </w:tcPr>
          <w:p w14:paraId="38023541" w14:textId="075B4870" w:rsidR="0027503F" w:rsidRPr="00A95754" w:rsidRDefault="0027503F" w:rsidP="00094E2F">
            <w:pPr>
              <w:pStyle w:val="TableText0"/>
              <w:rPr>
                <w:lang w:val="en-US"/>
              </w:rPr>
            </w:pPr>
            <w:r w:rsidRPr="00A95754">
              <w:rPr>
                <w:lang w:val="en-US"/>
              </w:rPr>
              <w:t xml:space="preserve">TOPAZ-1 </w:t>
            </w:r>
            <w:r w:rsidR="00F952D5">
              <w:rPr>
                <w:lang w:val="en-US"/>
              </w:rPr>
              <w:t xml:space="preserve">with </w:t>
            </w:r>
            <w:r w:rsidRPr="00A95754">
              <w:rPr>
                <w:lang w:val="en-US"/>
              </w:rPr>
              <w:t>loglogistic parametric distribution to extrapolate OS (for both arms)</w:t>
            </w:r>
          </w:p>
        </w:tc>
        <w:tc>
          <w:tcPr>
            <w:tcW w:w="2409" w:type="pct"/>
            <w:shd w:val="clear" w:color="auto" w:fill="auto"/>
            <w:vAlign w:val="center"/>
          </w:tcPr>
          <w:p w14:paraId="47C1C139" w14:textId="77777777" w:rsidR="0027503F" w:rsidRPr="00277ED2" w:rsidRDefault="0027503F" w:rsidP="00094E2F">
            <w:pPr>
              <w:pStyle w:val="TableText0"/>
              <w:rPr>
                <w:iCs/>
                <w:lang w:val="en-US"/>
              </w:rPr>
            </w:pPr>
            <w:r w:rsidRPr="00277ED2">
              <w:rPr>
                <w:iCs/>
                <w:lang w:val="en-US"/>
              </w:rPr>
              <w:t xml:space="preserve">High, favours durvalumab + GemCis. </w:t>
            </w:r>
          </w:p>
          <w:p w14:paraId="031CE9DA" w14:textId="4A563CF7" w:rsidR="0027503F" w:rsidRPr="00277ED2" w:rsidRDefault="0027503F" w:rsidP="00094E2F">
            <w:pPr>
              <w:pStyle w:val="TableText0"/>
              <w:rPr>
                <w:iCs/>
                <w:lang w:val="en-US"/>
              </w:rPr>
            </w:pPr>
            <w:r w:rsidRPr="00277ED2">
              <w:rPr>
                <w:iCs/>
                <w:lang w:val="en-US"/>
              </w:rPr>
              <w:t>Use of gamma parametric function for both arm</w:t>
            </w:r>
            <w:r w:rsidR="008A201F">
              <w:rPr>
                <w:iCs/>
                <w:lang w:val="en-US"/>
              </w:rPr>
              <w:t>s</w:t>
            </w:r>
            <w:r w:rsidRPr="00277ED2">
              <w:rPr>
                <w:iCs/>
                <w:lang w:val="en-US"/>
              </w:rPr>
              <w:t xml:space="preserve"> increased ICER to </w:t>
            </w:r>
            <w:r w:rsidRPr="00277ED2">
              <w:rPr>
                <w:iCs/>
              </w:rPr>
              <w:t>$</w:t>
            </w:r>
            <w:r w:rsidR="003C043D" w:rsidRPr="003C043D">
              <w:rPr>
                <w:iCs/>
                <w:color w:val="000000"/>
                <w:spacing w:val="35"/>
                <w:shd w:val="solid" w:color="000000" w:fill="000000"/>
                <w:fitText w:val="433" w:id="-1233371132"/>
                <w14:textFill>
                  <w14:solidFill>
                    <w14:srgbClr w14:val="000000">
                      <w14:alpha w14:val="100000"/>
                    </w14:srgbClr>
                  </w14:solidFill>
                </w14:textFill>
              </w:rPr>
              <w:t>|||||</w:t>
            </w:r>
            <w:r w:rsidR="003C043D" w:rsidRPr="003C043D">
              <w:rPr>
                <w:iCs/>
                <w:color w:val="000000"/>
                <w:spacing w:val="3"/>
                <w:shd w:val="solid" w:color="000000" w:fill="000000"/>
                <w:fitText w:val="433" w:id="-1233371132"/>
                <w14:textFill>
                  <w14:solidFill>
                    <w14:srgbClr w14:val="000000">
                      <w14:alpha w14:val="100000"/>
                    </w14:srgbClr>
                  </w14:solidFill>
                </w14:textFill>
              </w:rPr>
              <w:t>|</w:t>
            </w:r>
            <w:r w:rsidR="00E40FB3">
              <w:rPr>
                <w:iCs/>
                <w:vertAlign w:val="superscript"/>
              </w:rPr>
              <w:t>2</w:t>
            </w:r>
            <w:r w:rsidRPr="00277ED2">
              <w:rPr>
                <w:iCs/>
              </w:rPr>
              <w:t xml:space="preserve">/QALY gained. </w:t>
            </w:r>
          </w:p>
        </w:tc>
      </w:tr>
      <w:tr w:rsidR="0027503F" w:rsidRPr="00A95754" w14:paraId="2C94DF58" w14:textId="77777777" w:rsidTr="002A5C66">
        <w:tc>
          <w:tcPr>
            <w:tcW w:w="1019" w:type="pct"/>
            <w:shd w:val="clear" w:color="auto" w:fill="auto"/>
            <w:vAlign w:val="center"/>
          </w:tcPr>
          <w:p w14:paraId="556AC4E2" w14:textId="77777777" w:rsidR="0027503F" w:rsidRPr="00A95754" w:rsidRDefault="0027503F" w:rsidP="002A5C66">
            <w:pPr>
              <w:pStyle w:val="TableText0"/>
              <w:rPr>
                <w:lang w:val="en-US"/>
              </w:rPr>
            </w:pPr>
            <w:r w:rsidRPr="00A95754">
              <w:rPr>
                <w:lang w:val="en-US"/>
              </w:rPr>
              <w:t>Utilities</w:t>
            </w:r>
          </w:p>
        </w:tc>
        <w:tc>
          <w:tcPr>
            <w:tcW w:w="1572" w:type="pct"/>
            <w:shd w:val="clear" w:color="auto" w:fill="auto"/>
            <w:vAlign w:val="center"/>
          </w:tcPr>
          <w:p w14:paraId="7C100448" w14:textId="77777777" w:rsidR="0027503F" w:rsidRPr="00A95754" w:rsidRDefault="0027503F" w:rsidP="002A5C66">
            <w:pPr>
              <w:pStyle w:val="TableText0"/>
              <w:rPr>
                <w:lang w:val="en-US"/>
              </w:rPr>
            </w:pPr>
            <w:r w:rsidRPr="00A95754">
              <w:rPr>
                <w:lang w:val="en-US"/>
              </w:rPr>
              <w:t>TOPAZ-1 Canadian value set for model health states.</w:t>
            </w:r>
          </w:p>
        </w:tc>
        <w:tc>
          <w:tcPr>
            <w:tcW w:w="2409" w:type="pct"/>
            <w:shd w:val="clear" w:color="auto" w:fill="auto"/>
            <w:vAlign w:val="center"/>
          </w:tcPr>
          <w:p w14:paraId="0D81282F" w14:textId="77777777" w:rsidR="0027503F" w:rsidRPr="00277ED2" w:rsidRDefault="0027503F" w:rsidP="002A5C66">
            <w:pPr>
              <w:pStyle w:val="TableText0"/>
              <w:rPr>
                <w:iCs/>
                <w:lang w:val="en-US"/>
              </w:rPr>
            </w:pPr>
            <w:r w:rsidRPr="00277ED2">
              <w:rPr>
                <w:iCs/>
                <w:lang w:val="en-US"/>
              </w:rPr>
              <w:t xml:space="preserve">Moderate, favours durvalumab + GemCis. </w:t>
            </w:r>
          </w:p>
          <w:p w14:paraId="2EEF4773" w14:textId="232B7D51" w:rsidR="0027503F" w:rsidRPr="00277ED2" w:rsidRDefault="0027503F" w:rsidP="002A5C66">
            <w:pPr>
              <w:pStyle w:val="TableText0"/>
              <w:rPr>
                <w:iCs/>
                <w:lang w:val="en-US"/>
              </w:rPr>
            </w:pPr>
            <w:r w:rsidRPr="00277ED2">
              <w:rPr>
                <w:rFonts w:cs="Arial"/>
                <w:iCs/>
                <w:szCs w:val="20"/>
              </w:rPr>
              <w:t xml:space="preserve">Use of the TOPAZ-1 </w:t>
            </w:r>
            <w:r w:rsidRPr="00277ED2">
              <w:rPr>
                <w:iCs/>
              </w:rPr>
              <w:t>UK cross-walk analysis</w:t>
            </w:r>
            <w:r w:rsidRPr="00277ED2">
              <w:rPr>
                <w:iCs/>
                <w:lang w:val="en-US"/>
              </w:rPr>
              <w:t xml:space="preserve"> increased the ICER to $</w:t>
            </w:r>
            <w:r w:rsidR="003C043D" w:rsidRPr="003C043D">
              <w:rPr>
                <w:iCs/>
                <w:color w:val="000000"/>
                <w:spacing w:val="35"/>
                <w:shd w:val="solid" w:color="000000" w:fill="000000"/>
                <w:fitText w:val="433" w:id="-1233371131"/>
                <w14:textFill>
                  <w14:solidFill>
                    <w14:srgbClr w14:val="000000">
                      <w14:alpha w14:val="100000"/>
                    </w14:srgbClr>
                  </w14:solidFill>
                </w14:textFill>
              </w:rPr>
              <w:t>|||||</w:t>
            </w:r>
            <w:r w:rsidR="003C043D" w:rsidRPr="003C043D">
              <w:rPr>
                <w:iCs/>
                <w:color w:val="000000"/>
                <w:spacing w:val="3"/>
                <w:shd w:val="solid" w:color="000000" w:fill="000000"/>
                <w:fitText w:val="433" w:id="-1233371131"/>
                <w14:textFill>
                  <w14:solidFill>
                    <w14:srgbClr w14:val="000000">
                      <w14:alpha w14:val="100000"/>
                    </w14:srgbClr>
                  </w14:solidFill>
                </w14:textFill>
              </w:rPr>
              <w:t>|</w:t>
            </w:r>
            <w:r w:rsidR="00E40FB3">
              <w:rPr>
                <w:iCs/>
                <w:vertAlign w:val="superscript"/>
              </w:rPr>
              <w:t>1</w:t>
            </w:r>
            <w:r w:rsidRPr="00277ED2">
              <w:rPr>
                <w:iCs/>
                <w:lang w:val="en-US"/>
              </w:rPr>
              <w:t>/QALY gained</w:t>
            </w:r>
            <w:r w:rsidR="004C52F0" w:rsidRPr="00277ED2">
              <w:rPr>
                <w:iCs/>
                <w:lang w:val="en-US"/>
              </w:rPr>
              <w:t>.</w:t>
            </w:r>
          </w:p>
        </w:tc>
      </w:tr>
      <w:tr w:rsidR="0027503F" w:rsidRPr="00A95754" w14:paraId="72BD7DDE" w14:textId="77777777" w:rsidTr="002A5C66">
        <w:tc>
          <w:tcPr>
            <w:tcW w:w="1019" w:type="pct"/>
            <w:shd w:val="clear" w:color="auto" w:fill="auto"/>
            <w:vAlign w:val="center"/>
          </w:tcPr>
          <w:p w14:paraId="66490144" w14:textId="77777777" w:rsidR="0027503F" w:rsidRPr="00A95754" w:rsidRDefault="0027503F" w:rsidP="002A5C66">
            <w:pPr>
              <w:pStyle w:val="TableText0"/>
              <w:rPr>
                <w:lang w:val="en-US"/>
              </w:rPr>
            </w:pPr>
            <w:r w:rsidRPr="00A95754">
              <w:rPr>
                <w:lang w:val="en-US"/>
              </w:rPr>
              <w:t>Time horizon</w:t>
            </w:r>
          </w:p>
        </w:tc>
        <w:tc>
          <w:tcPr>
            <w:tcW w:w="1572" w:type="pct"/>
            <w:shd w:val="clear" w:color="auto" w:fill="auto"/>
            <w:vAlign w:val="center"/>
          </w:tcPr>
          <w:p w14:paraId="19C286CA" w14:textId="1A37FD18" w:rsidR="0027503F" w:rsidRPr="00A95754" w:rsidRDefault="0027503F" w:rsidP="002A5C66">
            <w:pPr>
              <w:pStyle w:val="TableText0"/>
              <w:rPr>
                <w:lang w:val="en-US"/>
              </w:rPr>
            </w:pPr>
            <w:r w:rsidRPr="00A95754">
              <w:rPr>
                <w:lang w:val="en-US"/>
              </w:rPr>
              <w:t>Base case 10 years</w:t>
            </w:r>
          </w:p>
        </w:tc>
        <w:tc>
          <w:tcPr>
            <w:tcW w:w="2409" w:type="pct"/>
            <w:shd w:val="clear" w:color="auto" w:fill="auto"/>
            <w:vAlign w:val="center"/>
          </w:tcPr>
          <w:p w14:paraId="56B9BB3D" w14:textId="3D5D78EF" w:rsidR="0027503F" w:rsidRPr="00277ED2" w:rsidRDefault="0027503F" w:rsidP="002A5C66">
            <w:pPr>
              <w:pStyle w:val="TableText0"/>
              <w:rPr>
                <w:iCs/>
                <w:lang w:val="en-US"/>
              </w:rPr>
            </w:pPr>
            <w:r w:rsidRPr="00277ED2">
              <w:rPr>
                <w:iCs/>
                <w:lang w:val="en-US"/>
              </w:rPr>
              <w:t>Moderate, favours durvalumab + GemCis.</w:t>
            </w:r>
          </w:p>
          <w:p w14:paraId="2E50F46B" w14:textId="5880E174" w:rsidR="0027503F" w:rsidRPr="00277ED2" w:rsidRDefault="0027503F" w:rsidP="002A5C66">
            <w:pPr>
              <w:pStyle w:val="TableText0"/>
              <w:rPr>
                <w:iCs/>
                <w:lang w:val="en-US"/>
              </w:rPr>
            </w:pPr>
            <w:r w:rsidRPr="00277ED2">
              <w:rPr>
                <w:iCs/>
                <w:lang w:val="en-US"/>
              </w:rPr>
              <w:t>Reducing time horizon to 7.5 years increased the ICER to $</w:t>
            </w:r>
            <w:r w:rsidR="003C043D" w:rsidRPr="003C043D">
              <w:rPr>
                <w:iCs/>
                <w:color w:val="000000"/>
                <w:spacing w:val="37"/>
                <w:shd w:val="solid" w:color="000000" w:fill="000000"/>
                <w:fitText w:val="441" w:id="-1233371130"/>
                <w:lang w:val="en-US"/>
                <w14:textFill>
                  <w14:solidFill>
                    <w14:srgbClr w14:val="000000">
                      <w14:alpha w14:val="100000"/>
                    </w14:srgbClr>
                  </w14:solidFill>
                </w14:textFill>
              </w:rPr>
              <w:t>|||||</w:t>
            </w:r>
            <w:r w:rsidR="003C043D" w:rsidRPr="003C043D">
              <w:rPr>
                <w:iCs/>
                <w:color w:val="000000"/>
                <w:spacing w:val="1"/>
                <w:shd w:val="solid" w:color="000000" w:fill="000000"/>
                <w:fitText w:val="441" w:id="-1233371130"/>
                <w:lang w:val="en-US"/>
                <w14:textFill>
                  <w14:solidFill>
                    <w14:srgbClr w14:val="000000">
                      <w14:alpha w14:val="100000"/>
                    </w14:srgbClr>
                  </w14:solidFill>
                </w14:textFill>
              </w:rPr>
              <w:t>|</w:t>
            </w:r>
            <w:r w:rsidR="00E40FB3">
              <w:rPr>
                <w:iCs/>
                <w:vertAlign w:val="superscript"/>
                <w:lang w:val="en-US"/>
              </w:rPr>
              <w:t>1</w:t>
            </w:r>
            <w:r w:rsidRPr="00277ED2">
              <w:rPr>
                <w:iCs/>
                <w:lang w:val="en-US"/>
              </w:rPr>
              <w:t>/QALY gained.</w:t>
            </w:r>
            <w:r w:rsidR="00277ED2">
              <w:rPr>
                <w:iCs/>
                <w:lang w:val="en-US"/>
              </w:rPr>
              <w:t xml:space="preserve"> </w:t>
            </w:r>
            <w:r w:rsidR="00277ED2" w:rsidRPr="00B96260">
              <w:rPr>
                <w:iCs/>
                <w:lang w:val="en-US"/>
              </w:rPr>
              <w:t>The ESC noted reducing the time horizon to 5 years increased the ICER to $</w:t>
            </w:r>
            <w:r w:rsidR="003C043D" w:rsidRPr="003C043D">
              <w:rPr>
                <w:iCs/>
                <w:color w:val="000000"/>
                <w:spacing w:val="37"/>
                <w:shd w:val="solid" w:color="000000" w:fill="000000"/>
                <w:fitText w:val="441" w:id="-1233371129"/>
                <w:lang w:val="en-US"/>
                <w14:textFill>
                  <w14:solidFill>
                    <w14:srgbClr w14:val="000000">
                      <w14:alpha w14:val="100000"/>
                    </w14:srgbClr>
                  </w14:solidFill>
                </w14:textFill>
              </w:rPr>
              <w:t>|||||</w:t>
            </w:r>
            <w:r w:rsidR="003C043D" w:rsidRPr="003C043D">
              <w:rPr>
                <w:iCs/>
                <w:color w:val="000000"/>
                <w:spacing w:val="1"/>
                <w:shd w:val="solid" w:color="000000" w:fill="000000"/>
                <w:fitText w:val="441" w:id="-1233371129"/>
                <w:lang w:val="en-US"/>
                <w14:textFill>
                  <w14:solidFill>
                    <w14:srgbClr w14:val="000000">
                      <w14:alpha w14:val="100000"/>
                    </w14:srgbClr>
                  </w14:solidFill>
                </w14:textFill>
              </w:rPr>
              <w:t>|</w:t>
            </w:r>
            <w:r w:rsidR="00E40FB3">
              <w:rPr>
                <w:iCs/>
                <w:vertAlign w:val="superscript"/>
                <w:lang w:val="en-US"/>
              </w:rPr>
              <w:t>3</w:t>
            </w:r>
            <w:r w:rsidR="00277ED2" w:rsidRPr="00B96260">
              <w:rPr>
                <w:iCs/>
                <w:lang w:val="en-US"/>
              </w:rPr>
              <w:t>/ QALY</w:t>
            </w:r>
            <w:r w:rsidR="00277ED2">
              <w:rPr>
                <w:iCs/>
                <w:lang w:val="en-US"/>
              </w:rPr>
              <w:t xml:space="preserve">. </w:t>
            </w:r>
          </w:p>
        </w:tc>
      </w:tr>
    </w:tbl>
    <w:p w14:paraId="2C507C8A" w14:textId="77777777" w:rsidR="0027503F" w:rsidRPr="00A95754" w:rsidRDefault="0027503F" w:rsidP="00BA4874">
      <w:pPr>
        <w:pStyle w:val="FooterTableFigure"/>
      </w:pPr>
      <w:r w:rsidRPr="00A95754">
        <w:t xml:space="preserve">Source: compiled during the evaluation </w:t>
      </w:r>
      <w:r w:rsidRPr="00A95754">
        <w:rPr>
          <w:szCs w:val="18"/>
        </w:rPr>
        <w:t>using the information from the economic model of the submission</w:t>
      </w:r>
      <w:r w:rsidRPr="00A95754">
        <w:t>.</w:t>
      </w:r>
    </w:p>
    <w:p w14:paraId="26C67DCC" w14:textId="0482B34C" w:rsidR="0027503F" w:rsidRDefault="0027503F" w:rsidP="00E40FB3">
      <w:pPr>
        <w:pStyle w:val="FooterTableFigure"/>
        <w:spacing w:after="0"/>
      </w:pPr>
      <w:r w:rsidRPr="00A95754">
        <w:t>GemCis = gemcitabine + cisplatin; HCC = hepatocellular carcinoma; ICER = incremental cost-effectiveness ratio; OS = overall survival; PBAC = Pharmaceutical Benefits Advisory Committee; QALY = quality adjusted life years.</w:t>
      </w:r>
    </w:p>
    <w:p w14:paraId="69A14C87" w14:textId="77777777" w:rsidR="00E40FB3" w:rsidRPr="009A6D58" w:rsidRDefault="00E40FB3" w:rsidP="00E40FB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C01CB8E" w14:textId="4A65221A" w:rsidR="00E40FB3" w:rsidRPr="009A6D58" w:rsidRDefault="00E40FB3" w:rsidP="00E40FB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40FB3">
        <w:rPr>
          <w:rFonts w:ascii="Arial Narrow" w:hAnsi="Arial Narrow"/>
          <w:i/>
          <w:sz w:val="18"/>
          <w:szCs w:val="18"/>
        </w:rPr>
        <w:t>$115,000 to &lt; $135,000</w:t>
      </w:r>
    </w:p>
    <w:p w14:paraId="1BEAF1BC" w14:textId="26DF4DFE" w:rsidR="00E40FB3" w:rsidRPr="009A6D58" w:rsidRDefault="00E40FB3" w:rsidP="00E40FB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45" w:name="_Hlk135040360"/>
      <w:r w:rsidRPr="00E40FB3">
        <w:rPr>
          <w:rFonts w:ascii="Arial Narrow" w:hAnsi="Arial Narrow"/>
          <w:i/>
          <w:sz w:val="18"/>
          <w:szCs w:val="18"/>
        </w:rPr>
        <w:t>$155,000 to &lt; $255,000</w:t>
      </w:r>
      <w:bookmarkEnd w:id="45"/>
    </w:p>
    <w:p w14:paraId="25252A3A" w14:textId="6DD4AB4E" w:rsidR="00E40FB3" w:rsidRPr="00E40FB3" w:rsidRDefault="00E40FB3" w:rsidP="00E40FB3">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40FB3">
        <w:rPr>
          <w:rFonts w:ascii="Arial Narrow" w:hAnsi="Arial Narrow"/>
          <w:i/>
          <w:sz w:val="18"/>
          <w:szCs w:val="18"/>
        </w:rPr>
        <w:t>$135,000 to &lt; $155,000</w:t>
      </w:r>
    </w:p>
    <w:p w14:paraId="27D4AF69" w14:textId="28CDEBA1" w:rsidR="0027503F" w:rsidRPr="00A95754" w:rsidRDefault="0027503F" w:rsidP="00BA4874">
      <w:pPr>
        <w:pStyle w:val="3-BodyText"/>
        <w:rPr>
          <w:rStyle w:val="CommentReference"/>
          <w:rFonts w:asciiTheme="minorHAnsi" w:hAnsiTheme="minorHAnsi"/>
          <w:b w:val="0"/>
          <w:i/>
          <w:iCs/>
          <w:sz w:val="24"/>
          <w:szCs w:val="24"/>
        </w:rPr>
      </w:pPr>
      <w:r w:rsidRPr="00A95754">
        <w:rPr>
          <w:rStyle w:val="CommentReference"/>
          <w:rFonts w:asciiTheme="minorHAnsi" w:hAnsiTheme="minorHAnsi"/>
          <w:b w:val="0"/>
          <w:sz w:val="24"/>
          <w:szCs w:val="24"/>
        </w:rPr>
        <w:lastRenderedPageBreak/>
        <w:t>The results of the stepped economic evaluation are presented in</w:t>
      </w:r>
      <w:r w:rsidR="00CA3710" w:rsidRPr="00A95754">
        <w:rPr>
          <w:rStyle w:val="CommentReference"/>
          <w:rFonts w:asciiTheme="minorHAnsi" w:hAnsiTheme="minorHAnsi"/>
          <w:b w:val="0"/>
          <w:sz w:val="24"/>
          <w:szCs w:val="24"/>
        </w:rPr>
        <w:t xml:space="preserve"> </w:t>
      </w:r>
      <w:r w:rsidR="00CA3710" w:rsidRPr="00A95754">
        <w:rPr>
          <w:rStyle w:val="CommentReference"/>
          <w:rFonts w:asciiTheme="minorHAnsi" w:hAnsiTheme="minorHAnsi"/>
          <w:b w:val="0"/>
          <w:sz w:val="24"/>
          <w:szCs w:val="24"/>
        </w:rPr>
        <w:fldChar w:fldCharType="begin"/>
      </w:r>
      <w:r w:rsidR="00CA3710" w:rsidRPr="00A95754">
        <w:rPr>
          <w:rStyle w:val="CommentReference"/>
          <w:rFonts w:asciiTheme="minorHAnsi" w:hAnsiTheme="minorHAnsi"/>
          <w:b w:val="0"/>
          <w:sz w:val="24"/>
          <w:szCs w:val="24"/>
        </w:rPr>
        <w:instrText xml:space="preserve"> REF _Ref124492224 \h </w:instrText>
      </w:r>
      <w:r w:rsidR="00A95754">
        <w:rPr>
          <w:rStyle w:val="CommentReference"/>
          <w:rFonts w:asciiTheme="minorHAnsi" w:hAnsiTheme="minorHAnsi"/>
          <w:b w:val="0"/>
          <w:sz w:val="24"/>
          <w:szCs w:val="24"/>
        </w:rPr>
        <w:instrText xml:space="preserve"> \* MERGEFORMAT </w:instrText>
      </w:r>
      <w:r w:rsidR="00CA3710" w:rsidRPr="00A95754">
        <w:rPr>
          <w:rStyle w:val="CommentReference"/>
          <w:rFonts w:asciiTheme="minorHAnsi" w:hAnsiTheme="minorHAnsi"/>
          <w:b w:val="0"/>
          <w:sz w:val="24"/>
          <w:szCs w:val="24"/>
        </w:rPr>
      </w:r>
      <w:r w:rsidR="00CA3710" w:rsidRPr="00A95754">
        <w:rPr>
          <w:rStyle w:val="CommentReference"/>
          <w:rFonts w:asciiTheme="minorHAnsi" w:hAnsiTheme="minorHAnsi"/>
          <w:b w:val="0"/>
          <w:sz w:val="24"/>
          <w:szCs w:val="24"/>
        </w:rPr>
        <w:fldChar w:fldCharType="separate"/>
      </w:r>
      <w:r w:rsidR="000178EC" w:rsidRPr="00A95754">
        <w:t xml:space="preserve">Table </w:t>
      </w:r>
      <w:r w:rsidR="000178EC">
        <w:rPr>
          <w:noProof/>
        </w:rPr>
        <w:t>12</w:t>
      </w:r>
      <w:r w:rsidR="00CA3710" w:rsidRPr="00A95754">
        <w:rPr>
          <w:rStyle w:val="CommentReference"/>
          <w:rFonts w:asciiTheme="minorHAnsi" w:hAnsiTheme="minorHAnsi"/>
          <w:b w:val="0"/>
          <w:sz w:val="24"/>
          <w:szCs w:val="24"/>
        </w:rPr>
        <w:fldChar w:fldCharType="end"/>
      </w:r>
      <w:r w:rsidRPr="00A95754">
        <w:rPr>
          <w:rStyle w:val="CommentReference"/>
          <w:rFonts w:asciiTheme="minorHAnsi" w:hAnsiTheme="minorHAnsi"/>
          <w:b w:val="0"/>
          <w:sz w:val="24"/>
          <w:szCs w:val="24"/>
        </w:rPr>
        <w:t xml:space="preserve">. The submission presented a base case incremental cost effectiveness ratio (ICER) of </w:t>
      </w:r>
      <w:r w:rsidR="00E40FB3" w:rsidRPr="00E40FB3">
        <w:t>$115,000 to &lt; $135,000</w:t>
      </w:r>
      <w:r w:rsidRPr="00A95754">
        <w:rPr>
          <w:rStyle w:val="CommentReference"/>
          <w:rFonts w:asciiTheme="minorHAnsi" w:hAnsiTheme="minorHAnsi"/>
          <w:b w:val="0"/>
          <w:sz w:val="24"/>
          <w:szCs w:val="24"/>
        </w:rPr>
        <w:t xml:space="preserve">/QALY gained (Step 4). </w:t>
      </w:r>
      <w:r w:rsidRPr="00515484">
        <w:rPr>
          <w:rStyle w:val="CommentReference"/>
          <w:rFonts w:asciiTheme="minorHAnsi" w:hAnsiTheme="minorHAnsi"/>
          <w:b w:val="0"/>
          <w:iCs/>
          <w:sz w:val="24"/>
          <w:szCs w:val="24"/>
        </w:rPr>
        <w:t>The model was most sensitive to Step</w:t>
      </w:r>
      <w:r w:rsidR="00E40FB3">
        <w:rPr>
          <w:rStyle w:val="CommentReference"/>
          <w:rFonts w:asciiTheme="minorHAnsi" w:hAnsiTheme="minorHAnsi"/>
          <w:b w:val="0"/>
          <w:iCs/>
          <w:sz w:val="24"/>
          <w:szCs w:val="24"/>
        </w:rPr>
        <w:t> </w:t>
      </w:r>
      <w:r w:rsidRPr="00515484">
        <w:rPr>
          <w:rStyle w:val="CommentReference"/>
          <w:rFonts w:asciiTheme="minorHAnsi" w:hAnsiTheme="minorHAnsi"/>
          <w:b w:val="0"/>
          <w:iCs/>
          <w:sz w:val="24"/>
          <w:szCs w:val="24"/>
        </w:rPr>
        <w:t xml:space="preserve">2, the extrapolation of health outcomes from the trial-based outcomes of </w:t>
      </w:r>
      <w:r w:rsidRPr="00277ED2">
        <w:rPr>
          <w:rStyle w:val="CommentReference"/>
          <w:rFonts w:asciiTheme="minorHAnsi" w:hAnsiTheme="minorHAnsi"/>
          <w:b w:val="0"/>
          <w:iCs/>
          <w:sz w:val="24"/>
          <w:szCs w:val="24"/>
        </w:rPr>
        <w:t>19 months</w:t>
      </w:r>
      <w:r w:rsidR="008A5DEA">
        <w:rPr>
          <w:rStyle w:val="CommentReference"/>
          <w:rFonts w:asciiTheme="minorHAnsi" w:hAnsiTheme="minorHAnsi"/>
          <w:b w:val="0"/>
          <w:iCs/>
          <w:sz w:val="24"/>
          <w:szCs w:val="24"/>
        </w:rPr>
        <w:t xml:space="preserve"> (</w:t>
      </w:r>
      <w:r w:rsidR="008A5DEA">
        <w:rPr>
          <w:rStyle w:val="CommentReference"/>
          <w:rFonts w:asciiTheme="minorHAnsi" w:hAnsiTheme="minorHAnsi"/>
          <w:b w:val="0"/>
          <w:sz w:val="24"/>
          <w:szCs w:val="24"/>
        </w:rPr>
        <w:t>t</w:t>
      </w:r>
      <w:r w:rsidR="008A5DEA" w:rsidRPr="00A95754">
        <w:rPr>
          <w:rStyle w:val="CommentReference"/>
          <w:rFonts w:asciiTheme="minorHAnsi" w:hAnsiTheme="minorHAnsi"/>
          <w:b w:val="0"/>
          <w:sz w:val="24"/>
          <w:szCs w:val="24"/>
        </w:rPr>
        <w:t>he latest time point for which PFS and OS data were available for both durvalumab + GemCis and placebo + GemCis arms</w:t>
      </w:r>
      <w:r w:rsidR="008A5DEA">
        <w:rPr>
          <w:rStyle w:val="CommentReference"/>
          <w:rFonts w:asciiTheme="minorHAnsi" w:hAnsiTheme="minorHAnsi"/>
          <w:b w:val="0"/>
          <w:sz w:val="24"/>
          <w:szCs w:val="24"/>
        </w:rPr>
        <w:t>.)</w:t>
      </w:r>
      <w:r w:rsidR="004C52F0" w:rsidRPr="00277ED2">
        <w:rPr>
          <w:rStyle w:val="CommentReference"/>
          <w:rFonts w:asciiTheme="minorHAnsi" w:hAnsiTheme="minorHAnsi"/>
          <w:b w:val="0"/>
          <w:iCs/>
          <w:sz w:val="24"/>
          <w:szCs w:val="24"/>
        </w:rPr>
        <w:t xml:space="preserve"> </w:t>
      </w:r>
      <w:r w:rsidRPr="00515484">
        <w:rPr>
          <w:rStyle w:val="CommentReference"/>
          <w:rFonts w:asciiTheme="minorHAnsi" w:hAnsiTheme="minorHAnsi"/>
          <w:b w:val="0"/>
          <w:iCs/>
          <w:sz w:val="24"/>
          <w:szCs w:val="24"/>
        </w:rPr>
        <w:t>to 10 years</w:t>
      </w:r>
      <w:r w:rsidRPr="00A95754">
        <w:rPr>
          <w:rStyle w:val="CommentReference"/>
          <w:rFonts w:asciiTheme="minorHAnsi" w:hAnsiTheme="minorHAnsi"/>
          <w:b w:val="0"/>
          <w:i/>
          <w:sz w:val="24"/>
          <w:szCs w:val="24"/>
        </w:rPr>
        <w:t>.</w:t>
      </w:r>
      <w:r w:rsidRPr="00A95754">
        <w:rPr>
          <w:b/>
          <w:i/>
          <w:iCs/>
        </w:rPr>
        <w:t xml:space="preserve"> </w:t>
      </w:r>
    </w:p>
    <w:p w14:paraId="255A20BE" w14:textId="428012D4" w:rsidR="0027503F" w:rsidRPr="00A95754" w:rsidRDefault="0027503F" w:rsidP="00BA4874">
      <w:pPr>
        <w:pStyle w:val="TableFigureHeading"/>
      </w:pPr>
      <w:bookmarkStart w:id="46" w:name="_Ref124492224"/>
      <w:r w:rsidRPr="00A95754">
        <w:t xml:space="preserve">Table </w:t>
      </w:r>
      <w:fldSimple w:instr=" SEQ Table \* ARABIC ">
        <w:r w:rsidR="000178EC">
          <w:rPr>
            <w:noProof/>
          </w:rPr>
          <w:t>12</w:t>
        </w:r>
      </w:fldSimple>
      <w:bookmarkEnd w:id="46"/>
      <w:r w:rsidRPr="00A95754">
        <w:rPr>
          <w:rStyle w:val="CommentReference"/>
          <w:szCs w:val="24"/>
        </w:rPr>
        <w:t xml:space="preserve">: </w:t>
      </w:r>
      <w:r w:rsidRPr="00A95754">
        <w:t>Results of the stepped economic evaluation</w:t>
      </w:r>
    </w:p>
    <w:tbl>
      <w:tblPr>
        <w:tblStyle w:val="TableGrid"/>
        <w:tblW w:w="5000" w:type="pct"/>
        <w:tblLayout w:type="fixed"/>
        <w:tblLook w:val="04A0" w:firstRow="1" w:lastRow="0" w:firstColumn="1" w:lastColumn="0" w:noHBand="0" w:noVBand="1"/>
      </w:tblPr>
      <w:tblGrid>
        <w:gridCol w:w="764"/>
        <w:gridCol w:w="1129"/>
        <w:gridCol w:w="1131"/>
        <w:gridCol w:w="1129"/>
        <w:gridCol w:w="1131"/>
        <w:gridCol w:w="1129"/>
        <w:gridCol w:w="1131"/>
        <w:gridCol w:w="1473"/>
      </w:tblGrid>
      <w:tr w:rsidR="0027503F" w:rsidRPr="00A95754" w14:paraId="63443697" w14:textId="77777777" w:rsidTr="00094E2F">
        <w:tc>
          <w:tcPr>
            <w:tcW w:w="424" w:type="pct"/>
            <w:vMerge w:val="restart"/>
            <w:shd w:val="clear" w:color="auto" w:fill="auto"/>
            <w:vAlign w:val="center"/>
          </w:tcPr>
          <w:p w14:paraId="0DA6EB73" w14:textId="77777777" w:rsidR="0027503F" w:rsidRPr="00A95754" w:rsidRDefault="0027503F" w:rsidP="00094E2F">
            <w:pPr>
              <w:pStyle w:val="TableText0"/>
              <w:rPr>
                <w:b/>
                <w:bCs w:val="0"/>
              </w:rPr>
            </w:pPr>
            <w:r w:rsidRPr="00A95754">
              <w:rPr>
                <w:b/>
              </w:rPr>
              <w:t>Steps</w:t>
            </w:r>
          </w:p>
        </w:tc>
        <w:tc>
          <w:tcPr>
            <w:tcW w:w="1879" w:type="pct"/>
            <w:gridSpan w:val="3"/>
            <w:shd w:val="clear" w:color="auto" w:fill="auto"/>
            <w:vAlign w:val="center"/>
          </w:tcPr>
          <w:p w14:paraId="57A346C2" w14:textId="77777777" w:rsidR="0027503F" w:rsidRPr="00A95754" w:rsidRDefault="0027503F" w:rsidP="00094E2F">
            <w:pPr>
              <w:pStyle w:val="TableText0"/>
              <w:jc w:val="center"/>
              <w:rPr>
                <w:b/>
                <w:bCs w:val="0"/>
              </w:rPr>
            </w:pPr>
            <w:r w:rsidRPr="00A95754">
              <w:rPr>
                <w:b/>
              </w:rPr>
              <w:t>Cost</w:t>
            </w:r>
          </w:p>
        </w:tc>
        <w:tc>
          <w:tcPr>
            <w:tcW w:w="1880" w:type="pct"/>
            <w:gridSpan w:val="3"/>
            <w:shd w:val="clear" w:color="auto" w:fill="auto"/>
            <w:vAlign w:val="center"/>
          </w:tcPr>
          <w:p w14:paraId="2DDE7238" w14:textId="77777777" w:rsidR="0027503F" w:rsidRPr="00A95754" w:rsidRDefault="0027503F" w:rsidP="00094E2F">
            <w:pPr>
              <w:pStyle w:val="TableText0"/>
              <w:jc w:val="center"/>
              <w:rPr>
                <w:b/>
                <w:bCs w:val="0"/>
              </w:rPr>
            </w:pPr>
            <w:r w:rsidRPr="00A95754">
              <w:rPr>
                <w:b/>
              </w:rPr>
              <w:t>Outcomes</w:t>
            </w:r>
          </w:p>
        </w:tc>
        <w:tc>
          <w:tcPr>
            <w:tcW w:w="817" w:type="pct"/>
            <w:vMerge w:val="restart"/>
            <w:shd w:val="clear" w:color="auto" w:fill="auto"/>
            <w:vAlign w:val="center"/>
          </w:tcPr>
          <w:p w14:paraId="49D09DD8" w14:textId="77777777" w:rsidR="0027503F" w:rsidRPr="00A95754" w:rsidRDefault="0027503F" w:rsidP="00094E2F">
            <w:pPr>
              <w:pStyle w:val="TableText0"/>
              <w:jc w:val="center"/>
              <w:rPr>
                <w:b/>
                <w:bCs w:val="0"/>
              </w:rPr>
            </w:pPr>
            <w:r w:rsidRPr="00A95754">
              <w:rPr>
                <w:b/>
              </w:rPr>
              <w:t>ICER</w:t>
            </w:r>
          </w:p>
        </w:tc>
      </w:tr>
      <w:tr w:rsidR="0027503F" w:rsidRPr="00A95754" w14:paraId="0619C837" w14:textId="77777777" w:rsidTr="00094E2F">
        <w:tc>
          <w:tcPr>
            <w:tcW w:w="424" w:type="pct"/>
            <w:vMerge/>
            <w:shd w:val="clear" w:color="auto" w:fill="F2F2F2" w:themeFill="background1" w:themeFillShade="F2"/>
            <w:vAlign w:val="center"/>
          </w:tcPr>
          <w:p w14:paraId="4AEF37DD" w14:textId="77777777" w:rsidR="0027503F" w:rsidRPr="00A95754" w:rsidRDefault="0027503F" w:rsidP="00094E2F">
            <w:pPr>
              <w:pStyle w:val="TableText0"/>
              <w:rPr>
                <w:b/>
                <w:bCs w:val="0"/>
              </w:rPr>
            </w:pPr>
          </w:p>
        </w:tc>
        <w:tc>
          <w:tcPr>
            <w:tcW w:w="626" w:type="pct"/>
            <w:shd w:val="clear" w:color="auto" w:fill="auto"/>
            <w:vAlign w:val="center"/>
          </w:tcPr>
          <w:p w14:paraId="563F0089" w14:textId="77777777" w:rsidR="0027503F" w:rsidRPr="00A95754" w:rsidRDefault="0027503F" w:rsidP="00094E2F">
            <w:pPr>
              <w:pStyle w:val="TableText0"/>
              <w:ind w:right="-56"/>
              <w:jc w:val="center"/>
              <w:rPr>
                <w:b/>
                <w:bCs w:val="0"/>
              </w:rPr>
            </w:pPr>
            <w:r w:rsidRPr="00A95754">
              <w:rPr>
                <w:b/>
              </w:rPr>
              <w:t>Durvalumab + GemCis</w:t>
            </w:r>
          </w:p>
        </w:tc>
        <w:tc>
          <w:tcPr>
            <w:tcW w:w="627" w:type="pct"/>
            <w:shd w:val="clear" w:color="auto" w:fill="auto"/>
            <w:vAlign w:val="center"/>
          </w:tcPr>
          <w:p w14:paraId="4A046D26" w14:textId="77777777" w:rsidR="0027503F" w:rsidRPr="00A95754" w:rsidRDefault="0027503F" w:rsidP="00094E2F">
            <w:pPr>
              <w:pStyle w:val="TableText0"/>
              <w:jc w:val="center"/>
              <w:rPr>
                <w:b/>
                <w:bCs w:val="0"/>
              </w:rPr>
            </w:pPr>
            <w:r w:rsidRPr="00A95754">
              <w:rPr>
                <w:b/>
              </w:rPr>
              <w:t>PBO + GemCis</w:t>
            </w:r>
          </w:p>
        </w:tc>
        <w:tc>
          <w:tcPr>
            <w:tcW w:w="626" w:type="pct"/>
            <w:shd w:val="clear" w:color="auto" w:fill="auto"/>
            <w:vAlign w:val="center"/>
          </w:tcPr>
          <w:p w14:paraId="26DC1B6E" w14:textId="77777777" w:rsidR="0027503F" w:rsidRPr="00A95754" w:rsidRDefault="0027503F" w:rsidP="00094E2F">
            <w:pPr>
              <w:pStyle w:val="TableText0"/>
              <w:ind w:left="-57" w:right="-88"/>
              <w:jc w:val="center"/>
              <w:rPr>
                <w:b/>
                <w:bCs w:val="0"/>
              </w:rPr>
            </w:pPr>
            <w:r w:rsidRPr="00A95754">
              <w:rPr>
                <w:b/>
              </w:rPr>
              <w:t>Incremental</w:t>
            </w:r>
          </w:p>
        </w:tc>
        <w:tc>
          <w:tcPr>
            <w:tcW w:w="627" w:type="pct"/>
            <w:shd w:val="clear" w:color="auto" w:fill="auto"/>
            <w:vAlign w:val="center"/>
          </w:tcPr>
          <w:p w14:paraId="65150F85" w14:textId="77777777" w:rsidR="0027503F" w:rsidRPr="00A95754" w:rsidRDefault="0027503F" w:rsidP="00094E2F">
            <w:pPr>
              <w:pStyle w:val="TableText0"/>
              <w:ind w:right="-56"/>
              <w:jc w:val="center"/>
              <w:rPr>
                <w:b/>
                <w:bCs w:val="0"/>
              </w:rPr>
            </w:pPr>
            <w:r w:rsidRPr="00A95754">
              <w:rPr>
                <w:b/>
              </w:rPr>
              <w:t>Durvalumab + GemCis</w:t>
            </w:r>
          </w:p>
        </w:tc>
        <w:tc>
          <w:tcPr>
            <w:tcW w:w="626" w:type="pct"/>
            <w:shd w:val="clear" w:color="auto" w:fill="auto"/>
            <w:vAlign w:val="center"/>
          </w:tcPr>
          <w:p w14:paraId="740142DF" w14:textId="77777777" w:rsidR="0027503F" w:rsidRPr="00A95754" w:rsidRDefault="0027503F" w:rsidP="00094E2F">
            <w:pPr>
              <w:pStyle w:val="TableText0"/>
              <w:jc w:val="center"/>
              <w:rPr>
                <w:b/>
                <w:bCs w:val="0"/>
              </w:rPr>
            </w:pPr>
            <w:r w:rsidRPr="00A95754">
              <w:rPr>
                <w:b/>
              </w:rPr>
              <w:t>PBO+ GemCis</w:t>
            </w:r>
          </w:p>
        </w:tc>
        <w:tc>
          <w:tcPr>
            <w:tcW w:w="627" w:type="pct"/>
            <w:shd w:val="clear" w:color="auto" w:fill="auto"/>
            <w:vAlign w:val="center"/>
          </w:tcPr>
          <w:p w14:paraId="6F6F51E1" w14:textId="77777777" w:rsidR="0027503F" w:rsidRPr="00A95754" w:rsidRDefault="0027503F" w:rsidP="00094E2F">
            <w:pPr>
              <w:pStyle w:val="TableText0"/>
              <w:ind w:left="-57" w:right="-88"/>
              <w:jc w:val="center"/>
              <w:rPr>
                <w:b/>
                <w:bCs w:val="0"/>
              </w:rPr>
            </w:pPr>
            <w:r w:rsidRPr="00A95754">
              <w:rPr>
                <w:b/>
              </w:rPr>
              <w:t>Incremental</w:t>
            </w:r>
          </w:p>
        </w:tc>
        <w:tc>
          <w:tcPr>
            <w:tcW w:w="817" w:type="pct"/>
            <w:vMerge/>
            <w:shd w:val="clear" w:color="auto" w:fill="F2F2F2" w:themeFill="background1" w:themeFillShade="F2"/>
            <w:vAlign w:val="center"/>
          </w:tcPr>
          <w:p w14:paraId="1CA52219" w14:textId="77777777" w:rsidR="0027503F" w:rsidRPr="00A95754" w:rsidRDefault="0027503F" w:rsidP="00094E2F">
            <w:pPr>
              <w:pStyle w:val="TableText0"/>
            </w:pPr>
          </w:p>
        </w:tc>
      </w:tr>
      <w:tr w:rsidR="0027503F" w:rsidRPr="00A95754" w14:paraId="19D8BE7F" w14:textId="77777777" w:rsidTr="00094E2F">
        <w:tc>
          <w:tcPr>
            <w:tcW w:w="5000" w:type="pct"/>
            <w:gridSpan w:val="8"/>
            <w:vAlign w:val="center"/>
          </w:tcPr>
          <w:p w14:paraId="2622A320" w14:textId="14C3EB77" w:rsidR="0027503F" w:rsidRPr="00A95754" w:rsidRDefault="0027503F" w:rsidP="00094E2F">
            <w:pPr>
              <w:pStyle w:val="TableText0"/>
            </w:pPr>
            <w:r w:rsidRPr="00A95754">
              <w:t>Step 1: TOPAZ-1 (time horizon 19 months</w:t>
            </w:r>
            <w:r w:rsidR="0013062B" w:rsidRPr="00A95754">
              <w:t>; costs of interventions and IV infusion costs</w:t>
            </w:r>
            <w:r w:rsidRPr="00A95754">
              <w:t>)</w:t>
            </w:r>
          </w:p>
        </w:tc>
      </w:tr>
      <w:tr w:rsidR="0027503F" w:rsidRPr="00A95754" w14:paraId="481F6E61" w14:textId="77777777" w:rsidTr="00BF2B91">
        <w:tc>
          <w:tcPr>
            <w:tcW w:w="424" w:type="pct"/>
            <w:vAlign w:val="center"/>
          </w:tcPr>
          <w:p w14:paraId="2B10C6A2" w14:textId="77777777" w:rsidR="0027503F" w:rsidRPr="00A95754" w:rsidRDefault="0027503F" w:rsidP="00094E2F">
            <w:pPr>
              <w:pStyle w:val="TableText0"/>
            </w:pPr>
          </w:p>
        </w:tc>
        <w:tc>
          <w:tcPr>
            <w:tcW w:w="626" w:type="pct"/>
            <w:shd w:val="clear" w:color="auto" w:fill="auto"/>
            <w:vAlign w:val="center"/>
          </w:tcPr>
          <w:p w14:paraId="3DA10D0B" w14:textId="78FCF8AB"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28"/>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28"/>
                <w14:textFill>
                  <w14:solidFill>
                    <w14:srgbClr w14:val="000000">
                      <w14:alpha w14:val="100000"/>
                    </w14:srgbClr>
                  </w14:solidFill>
                </w14:textFill>
              </w:rPr>
              <w:t>|</w:t>
            </w:r>
          </w:p>
        </w:tc>
        <w:tc>
          <w:tcPr>
            <w:tcW w:w="627" w:type="pct"/>
            <w:shd w:val="clear" w:color="auto" w:fill="auto"/>
            <w:vAlign w:val="center"/>
          </w:tcPr>
          <w:p w14:paraId="667E30D1" w14:textId="77777777" w:rsidR="0027503F" w:rsidRPr="00A95754" w:rsidRDefault="0027503F" w:rsidP="00094E2F">
            <w:pPr>
              <w:pStyle w:val="TableText0"/>
              <w:jc w:val="center"/>
            </w:pPr>
            <w:r w:rsidRPr="00A95754">
              <w:rPr>
                <w:rFonts w:cs="Calibri"/>
              </w:rPr>
              <w:t>$5,216</w:t>
            </w:r>
          </w:p>
        </w:tc>
        <w:tc>
          <w:tcPr>
            <w:tcW w:w="626" w:type="pct"/>
            <w:shd w:val="clear" w:color="auto" w:fill="auto"/>
            <w:vAlign w:val="center"/>
          </w:tcPr>
          <w:p w14:paraId="1223A941" w14:textId="585101D9"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27"/>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27"/>
                <w14:textFill>
                  <w14:solidFill>
                    <w14:srgbClr w14:val="000000">
                      <w14:alpha w14:val="100000"/>
                    </w14:srgbClr>
                  </w14:solidFill>
                </w14:textFill>
              </w:rPr>
              <w:t>|</w:t>
            </w:r>
          </w:p>
        </w:tc>
        <w:tc>
          <w:tcPr>
            <w:tcW w:w="627" w:type="pct"/>
            <w:shd w:val="clear" w:color="auto" w:fill="auto"/>
            <w:vAlign w:val="center"/>
          </w:tcPr>
          <w:p w14:paraId="7D20E898" w14:textId="77777777" w:rsidR="0027503F" w:rsidRPr="00A95754" w:rsidRDefault="0027503F" w:rsidP="00094E2F">
            <w:pPr>
              <w:pStyle w:val="TableText0"/>
              <w:jc w:val="center"/>
            </w:pPr>
            <w:r w:rsidRPr="00BD05AE">
              <w:rPr>
                <w:rFonts w:cs="Calibri"/>
              </w:rPr>
              <w:t>1.009</w:t>
            </w:r>
          </w:p>
        </w:tc>
        <w:tc>
          <w:tcPr>
            <w:tcW w:w="626" w:type="pct"/>
            <w:shd w:val="clear" w:color="auto" w:fill="auto"/>
            <w:vAlign w:val="center"/>
          </w:tcPr>
          <w:p w14:paraId="72880215" w14:textId="77777777" w:rsidR="0027503F" w:rsidRPr="00A95754" w:rsidRDefault="0027503F" w:rsidP="00094E2F">
            <w:pPr>
              <w:pStyle w:val="TableText0"/>
              <w:jc w:val="center"/>
            </w:pPr>
            <w:r w:rsidRPr="00A95754">
              <w:rPr>
                <w:rFonts w:cs="Calibri"/>
              </w:rPr>
              <w:t>0.941</w:t>
            </w:r>
          </w:p>
        </w:tc>
        <w:tc>
          <w:tcPr>
            <w:tcW w:w="627" w:type="pct"/>
            <w:shd w:val="clear" w:color="auto" w:fill="auto"/>
            <w:vAlign w:val="center"/>
          </w:tcPr>
          <w:p w14:paraId="66C4CB00" w14:textId="6147D98C" w:rsidR="0027503F" w:rsidRPr="00A95754" w:rsidRDefault="0027503F" w:rsidP="00094E2F">
            <w:pPr>
              <w:pStyle w:val="TableText0"/>
              <w:jc w:val="center"/>
            </w:pPr>
            <w:r w:rsidRPr="00BD05AE">
              <w:rPr>
                <w:rFonts w:cs="Calibri"/>
              </w:rPr>
              <w:t>0.068</w:t>
            </w:r>
          </w:p>
        </w:tc>
        <w:tc>
          <w:tcPr>
            <w:tcW w:w="817" w:type="pct"/>
            <w:shd w:val="clear" w:color="auto" w:fill="auto"/>
            <w:vAlign w:val="center"/>
          </w:tcPr>
          <w:p w14:paraId="26ACA415" w14:textId="2826C36A" w:rsidR="0027503F" w:rsidRPr="00A95754" w:rsidRDefault="0027503F" w:rsidP="00094E2F">
            <w:pPr>
              <w:pStyle w:val="TableText0"/>
              <w:jc w:val="center"/>
            </w:pPr>
            <w:r w:rsidRPr="00A95754">
              <w:rPr>
                <w:rFonts w:cs="Calibri"/>
              </w:rPr>
              <w:t>$</w:t>
            </w:r>
            <w:r w:rsidR="003C043D" w:rsidRPr="003C043D">
              <w:rPr>
                <w:rFonts w:cs="Calibri"/>
                <w:color w:val="000000"/>
                <w:spacing w:val="65"/>
                <w:shd w:val="solid" w:color="000000" w:fill="000000"/>
                <w:fitText w:val="366" w:id="-1233371126"/>
                <w14:textFill>
                  <w14:solidFill>
                    <w14:srgbClr w14:val="000000">
                      <w14:alpha w14:val="100000"/>
                    </w14:srgbClr>
                  </w14:solidFill>
                </w14:textFill>
              </w:rPr>
              <w:t>|||</w:t>
            </w:r>
            <w:r w:rsidR="003C043D" w:rsidRPr="003C043D">
              <w:rPr>
                <w:rFonts w:cs="Calibri"/>
                <w:color w:val="000000"/>
                <w:spacing w:val="1"/>
                <w:shd w:val="solid" w:color="000000" w:fill="000000"/>
                <w:fitText w:val="366" w:id="-1233371126"/>
                <w14:textFill>
                  <w14:solidFill>
                    <w14:srgbClr w14:val="000000">
                      <w14:alpha w14:val="100000"/>
                    </w14:srgbClr>
                  </w14:solidFill>
                </w14:textFill>
              </w:rPr>
              <w:t>|</w:t>
            </w:r>
            <w:r w:rsidR="00E40FB3">
              <w:rPr>
                <w:rFonts w:cs="Calibri"/>
                <w:vertAlign w:val="superscript"/>
              </w:rPr>
              <w:t>1</w:t>
            </w:r>
            <w:r w:rsidRPr="00A95754">
              <w:rPr>
                <w:rFonts w:cs="Calibri"/>
              </w:rPr>
              <w:t>/LYG</w:t>
            </w:r>
            <w:r w:rsidRPr="00A95754">
              <w:rPr>
                <w:rFonts w:cs="Calibri"/>
                <w:vertAlign w:val="superscript"/>
              </w:rPr>
              <w:t>a</w:t>
            </w:r>
          </w:p>
        </w:tc>
      </w:tr>
      <w:tr w:rsidR="0027503F" w:rsidRPr="00A95754" w14:paraId="6AE02E36" w14:textId="77777777" w:rsidTr="00BF2B91">
        <w:tc>
          <w:tcPr>
            <w:tcW w:w="5000" w:type="pct"/>
            <w:gridSpan w:val="8"/>
            <w:shd w:val="clear" w:color="auto" w:fill="auto"/>
            <w:vAlign w:val="center"/>
          </w:tcPr>
          <w:p w14:paraId="78DA5447" w14:textId="334EC660" w:rsidR="0027503F" w:rsidRPr="00A95754" w:rsidRDefault="0027503F" w:rsidP="00094E2F">
            <w:pPr>
              <w:pStyle w:val="TableText0"/>
            </w:pPr>
            <w:r w:rsidRPr="00A95754">
              <w:t xml:space="preserve">Step 2: </w:t>
            </w:r>
            <w:r w:rsidR="0013062B" w:rsidRPr="00A95754">
              <w:t xml:space="preserve">Step 1 + </w:t>
            </w:r>
            <w:r w:rsidRPr="00A95754">
              <w:t>clinical trial extrapolated to 10 years</w:t>
            </w:r>
          </w:p>
        </w:tc>
      </w:tr>
      <w:tr w:rsidR="0027503F" w:rsidRPr="00A95754" w14:paraId="0F93082B" w14:textId="77777777" w:rsidTr="00BF2B91">
        <w:tc>
          <w:tcPr>
            <w:tcW w:w="424" w:type="pct"/>
            <w:vAlign w:val="center"/>
          </w:tcPr>
          <w:p w14:paraId="3559C8BA" w14:textId="77777777" w:rsidR="0027503F" w:rsidRPr="00A95754" w:rsidRDefault="0027503F" w:rsidP="00094E2F">
            <w:pPr>
              <w:pStyle w:val="TableText0"/>
            </w:pPr>
          </w:p>
        </w:tc>
        <w:tc>
          <w:tcPr>
            <w:tcW w:w="626" w:type="pct"/>
            <w:shd w:val="clear" w:color="auto" w:fill="auto"/>
            <w:vAlign w:val="center"/>
          </w:tcPr>
          <w:p w14:paraId="50764BD4" w14:textId="469A20AD"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25"/>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25"/>
                <w14:textFill>
                  <w14:solidFill>
                    <w14:srgbClr w14:val="000000">
                      <w14:alpha w14:val="100000"/>
                    </w14:srgbClr>
                  </w14:solidFill>
                </w14:textFill>
              </w:rPr>
              <w:t>|</w:t>
            </w:r>
          </w:p>
        </w:tc>
        <w:tc>
          <w:tcPr>
            <w:tcW w:w="627" w:type="pct"/>
            <w:shd w:val="clear" w:color="auto" w:fill="auto"/>
            <w:vAlign w:val="center"/>
          </w:tcPr>
          <w:p w14:paraId="6547F00F" w14:textId="77777777" w:rsidR="0027503F" w:rsidRPr="00A95754" w:rsidRDefault="0027503F" w:rsidP="00094E2F">
            <w:pPr>
              <w:pStyle w:val="TableText0"/>
              <w:jc w:val="center"/>
            </w:pPr>
            <w:r w:rsidRPr="00A95754">
              <w:rPr>
                <w:rFonts w:cs="Calibri"/>
              </w:rPr>
              <w:t>$5,216</w:t>
            </w:r>
          </w:p>
        </w:tc>
        <w:tc>
          <w:tcPr>
            <w:tcW w:w="626" w:type="pct"/>
            <w:shd w:val="clear" w:color="auto" w:fill="auto"/>
            <w:vAlign w:val="center"/>
          </w:tcPr>
          <w:p w14:paraId="13D16CCF" w14:textId="59A368E5"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24"/>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24"/>
                <w14:textFill>
                  <w14:solidFill>
                    <w14:srgbClr w14:val="000000">
                      <w14:alpha w14:val="100000"/>
                    </w14:srgbClr>
                  </w14:solidFill>
                </w14:textFill>
              </w:rPr>
              <w:t>|</w:t>
            </w:r>
          </w:p>
        </w:tc>
        <w:tc>
          <w:tcPr>
            <w:tcW w:w="627" w:type="pct"/>
            <w:vAlign w:val="center"/>
          </w:tcPr>
          <w:p w14:paraId="6447F041" w14:textId="77777777" w:rsidR="0027503F" w:rsidRPr="00A95754" w:rsidRDefault="0027503F" w:rsidP="00094E2F">
            <w:pPr>
              <w:pStyle w:val="TableText0"/>
              <w:jc w:val="center"/>
            </w:pPr>
            <w:r w:rsidRPr="00BD05AE">
              <w:rPr>
                <w:rFonts w:cs="Calibri"/>
              </w:rPr>
              <w:t>1.568</w:t>
            </w:r>
          </w:p>
        </w:tc>
        <w:tc>
          <w:tcPr>
            <w:tcW w:w="626" w:type="pct"/>
            <w:vAlign w:val="center"/>
          </w:tcPr>
          <w:p w14:paraId="36D8CA27" w14:textId="77777777" w:rsidR="0027503F" w:rsidRPr="00A95754" w:rsidRDefault="0027503F" w:rsidP="00094E2F">
            <w:pPr>
              <w:pStyle w:val="TableText0"/>
              <w:jc w:val="center"/>
            </w:pPr>
            <w:r w:rsidRPr="00A95754">
              <w:rPr>
                <w:rFonts w:cs="Calibri"/>
              </w:rPr>
              <w:t>1.174</w:t>
            </w:r>
          </w:p>
        </w:tc>
        <w:tc>
          <w:tcPr>
            <w:tcW w:w="627" w:type="pct"/>
            <w:shd w:val="clear" w:color="auto" w:fill="auto"/>
            <w:vAlign w:val="center"/>
          </w:tcPr>
          <w:p w14:paraId="35CFFA28" w14:textId="77777777" w:rsidR="0027503F" w:rsidRPr="00A95754" w:rsidRDefault="0027503F" w:rsidP="00094E2F">
            <w:pPr>
              <w:pStyle w:val="TableText0"/>
              <w:jc w:val="center"/>
            </w:pPr>
            <w:r w:rsidRPr="00BD05AE">
              <w:rPr>
                <w:rFonts w:cs="Calibri"/>
              </w:rPr>
              <w:t>0.394</w:t>
            </w:r>
          </w:p>
        </w:tc>
        <w:tc>
          <w:tcPr>
            <w:tcW w:w="817" w:type="pct"/>
            <w:vAlign w:val="center"/>
          </w:tcPr>
          <w:p w14:paraId="06BCAF05" w14:textId="71D59AF3" w:rsidR="0027503F" w:rsidRPr="00A95754" w:rsidRDefault="0027503F" w:rsidP="00094E2F">
            <w:pPr>
              <w:pStyle w:val="TableText0"/>
              <w:jc w:val="center"/>
            </w:pPr>
            <w:r w:rsidRPr="00A95754">
              <w:rPr>
                <w:rFonts w:cs="Calibri"/>
              </w:rPr>
              <w:t>$</w:t>
            </w:r>
            <w:r w:rsidR="003C043D" w:rsidRPr="003C043D">
              <w:rPr>
                <w:rFonts w:cs="Calibri"/>
                <w:color w:val="000000"/>
                <w:spacing w:val="59"/>
                <w:shd w:val="solid" w:color="000000" w:fill="000000"/>
                <w:fitText w:val="350" w:id="-1233371123"/>
                <w14:textFill>
                  <w14:solidFill>
                    <w14:srgbClr w14:val="000000">
                      <w14:alpha w14:val="100000"/>
                    </w14:srgbClr>
                  </w14:solidFill>
                </w14:textFill>
              </w:rPr>
              <w:t>|||</w:t>
            </w:r>
            <w:r w:rsidR="003C043D" w:rsidRPr="003C043D">
              <w:rPr>
                <w:rFonts w:cs="Calibri"/>
                <w:color w:val="000000"/>
                <w:spacing w:val="3"/>
                <w:shd w:val="solid" w:color="000000" w:fill="000000"/>
                <w:fitText w:val="350" w:id="-1233371123"/>
                <w14:textFill>
                  <w14:solidFill>
                    <w14:srgbClr w14:val="000000">
                      <w14:alpha w14:val="100000"/>
                    </w14:srgbClr>
                  </w14:solidFill>
                </w14:textFill>
              </w:rPr>
              <w:t>|</w:t>
            </w:r>
            <w:r w:rsidR="00E40FB3">
              <w:rPr>
                <w:rFonts w:cs="Calibri"/>
                <w:vertAlign w:val="superscript"/>
              </w:rPr>
              <w:t>2</w:t>
            </w:r>
            <w:r w:rsidRPr="00A95754">
              <w:rPr>
                <w:rFonts w:cs="Calibri"/>
              </w:rPr>
              <w:t>/LYG</w:t>
            </w:r>
          </w:p>
        </w:tc>
      </w:tr>
      <w:tr w:rsidR="0027503F" w:rsidRPr="00A95754" w14:paraId="09BF3408" w14:textId="77777777" w:rsidTr="00BF2B91">
        <w:tc>
          <w:tcPr>
            <w:tcW w:w="5000" w:type="pct"/>
            <w:gridSpan w:val="8"/>
            <w:shd w:val="clear" w:color="auto" w:fill="auto"/>
          </w:tcPr>
          <w:p w14:paraId="16AD19B0" w14:textId="6ECE197F" w:rsidR="0027503F" w:rsidRPr="00A95754" w:rsidRDefault="0027503F" w:rsidP="00094E2F">
            <w:pPr>
              <w:pStyle w:val="TableText0"/>
              <w:rPr>
                <w:vertAlign w:val="superscript"/>
              </w:rPr>
            </w:pPr>
            <w:r w:rsidRPr="00A95754">
              <w:t>Step 3: clinical trial extrapolated to 10 years including all resource use</w:t>
            </w:r>
            <w:r w:rsidR="0013062B" w:rsidRPr="00A95754">
              <w:rPr>
                <w:vertAlign w:val="superscript"/>
              </w:rPr>
              <w:t>b</w:t>
            </w:r>
          </w:p>
        </w:tc>
      </w:tr>
      <w:tr w:rsidR="0027503F" w:rsidRPr="00A95754" w14:paraId="4C99ADFE" w14:textId="77777777" w:rsidTr="00BF2B91">
        <w:tc>
          <w:tcPr>
            <w:tcW w:w="424" w:type="pct"/>
            <w:vAlign w:val="center"/>
          </w:tcPr>
          <w:p w14:paraId="073BC823" w14:textId="77777777" w:rsidR="0027503F" w:rsidRPr="00A95754" w:rsidRDefault="0027503F" w:rsidP="00094E2F">
            <w:pPr>
              <w:pStyle w:val="TableText0"/>
            </w:pPr>
          </w:p>
        </w:tc>
        <w:tc>
          <w:tcPr>
            <w:tcW w:w="626" w:type="pct"/>
            <w:vAlign w:val="center"/>
          </w:tcPr>
          <w:p w14:paraId="1B79A728" w14:textId="78277E6B"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22"/>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22"/>
                <w14:textFill>
                  <w14:solidFill>
                    <w14:srgbClr w14:val="000000">
                      <w14:alpha w14:val="100000"/>
                    </w14:srgbClr>
                  </w14:solidFill>
                </w14:textFill>
              </w:rPr>
              <w:t>|</w:t>
            </w:r>
          </w:p>
        </w:tc>
        <w:tc>
          <w:tcPr>
            <w:tcW w:w="627" w:type="pct"/>
            <w:vAlign w:val="center"/>
          </w:tcPr>
          <w:p w14:paraId="250E651A" w14:textId="77777777" w:rsidR="0027503F" w:rsidRPr="00A95754" w:rsidRDefault="0027503F" w:rsidP="00094E2F">
            <w:pPr>
              <w:pStyle w:val="TableText0"/>
              <w:jc w:val="center"/>
            </w:pPr>
            <w:r w:rsidRPr="00A95754">
              <w:rPr>
                <w:rFonts w:cs="Calibri"/>
              </w:rPr>
              <w:t>$66,995</w:t>
            </w:r>
          </w:p>
        </w:tc>
        <w:tc>
          <w:tcPr>
            <w:tcW w:w="626" w:type="pct"/>
            <w:vAlign w:val="center"/>
          </w:tcPr>
          <w:p w14:paraId="3449596F" w14:textId="22358432"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21"/>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21"/>
                <w14:textFill>
                  <w14:solidFill>
                    <w14:srgbClr w14:val="000000">
                      <w14:alpha w14:val="100000"/>
                    </w14:srgbClr>
                  </w14:solidFill>
                </w14:textFill>
              </w:rPr>
              <w:t>|</w:t>
            </w:r>
          </w:p>
        </w:tc>
        <w:tc>
          <w:tcPr>
            <w:tcW w:w="627" w:type="pct"/>
            <w:vAlign w:val="center"/>
          </w:tcPr>
          <w:p w14:paraId="7CF8B9A2" w14:textId="77777777" w:rsidR="0027503F" w:rsidRPr="00A95754" w:rsidRDefault="0027503F" w:rsidP="00094E2F">
            <w:pPr>
              <w:pStyle w:val="TableText0"/>
              <w:jc w:val="center"/>
            </w:pPr>
            <w:r w:rsidRPr="00BD05AE">
              <w:rPr>
                <w:rFonts w:cs="Calibri"/>
              </w:rPr>
              <w:t>1.568</w:t>
            </w:r>
          </w:p>
        </w:tc>
        <w:tc>
          <w:tcPr>
            <w:tcW w:w="626" w:type="pct"/>
            <w:vAlign w:val="center"/>
          </w:tcPr>
          <w:p w14:paraId="6CF67289" w14:textId="77777777" w:rsidR="0027503F" w:rsidRPr="00A95754" w:rsidRDefault="0027503F" w:rsidP="00094E2F">
            <w:pPr>
              <w:pStyle w:val="TableText0"/>
              <w:jc w:val="center"/>
            </w:pPr>
            <w:r w:rsidRPr="00A95754">
              <w:rPr>
                <w:rFonts w:cs="Calibri"/>
              </w:rPr>
              <w:t>1.174</w:t>
            </w:r>
          </w:p>
        </w:tc>
        <w:tc>
          <w:tcPr>
            <w:tcW w:w="627" w:type="pct"/>
            <w:shd w:val="clear" w:color="auto" w:fill="auto"/>
            <w:vAlign w:val="center"/>
          </w:tcPr>
          <w:p w14:paraId="4594E72F" w14:textId="77777777" w:rsidR="0027503F" w:rsidRPr="00A95754" w:rsidRDefault="0027503F" w:rsidP="00094E2F">
            <w:pPr>
              <w:pStyle w:val="TableText0"/>
              <w:jc w:val="center"/>
            </w:pPr>
            <w:r w:rsidRPr="00BD05AE">
              <w:rPr>
                <w:rFonts w:cs="Calibri"/>
              </w:rPr>
              <w:t>0.394</w:t>
            </w:r>
          </w:p>
        </w:tc>
        <w:tc>
          <w:tcPr>
            <w:tcW w:w="817" w:type="pct"/>
            <w:vAlign w:val="center"/>
          </w:tcPr>
          <w:p w14:paraId="7C75C1D3" w14:textId="6622D5B4" w:rsidR="0027503F" w:rsidRPr="00A95754" w:rsidRDefault="0027503F" w:rsidP="00094E2F">
            <w:pPr>
              <w:pStyle w:val="TableText0"/>
              <w:jc w:val="center"/>
            </w:pPr>
            <w:r w:rsidRPr="00A95754">
              <w:rPr>
                <w:rFonts w:cs="Calibri"/>
              </w:rPr>
              <w:t>$</w:t>
            </w:r>
            <w:r w:rsidR="003C043D" w:rsidRPr="003C043D">
              <w:rPr>
                <w:rFonts w:cs="Calibri"/>
                <w:color w:val="000000"/>
                <w:spacing w:val="59"/>
                <w:shd w:val="solid" w:color="000000" w:fill="000000"/>
                <w:fitText w:val="350" w:id="-1233371120"/>
                <w14:textFill>
                  <w14:solidFill>
                    <w14:srgbClr w14:val="000000">
                      <w14:alpha w14:val="100000"/>
                    </w14:srgbClr>
                  </w14:solidFill>
                </w14:textFill>
              </w:rPr>
              <w:t>|||</w:t>
            </w:r>
            <w:r w:rsidR="003C043D" w:rsidRPr="003C043D">
              <w:rPr>
                <w:rFonts w:cs="Calibri"/>
                <w:color w:val="000000"/>
                <w:spacing w:val="3"/>
                <w:shd w:val="solid" w:color="000000" w:fill="000000"/>
                <w:fitText w:val="350" w:id="-1233371120"/>
                <w14:textFill>
                  <w14:solidFill>
                    <w14:srgbClr w14:val="000000">
                      <w14:alpha w14:val="100000"/>
                    </w14:srgbClr>
                  </w14:solidFill>
                </w14:textFill>
              </w:rPr>
              <w:t>|</w:t>
            </w:r>
            <w:r w:rsidR="00E40FB3">
              <w:rPr>
                <w:rFonts w:cs="Calibri"/>
                <w:vertAlign w:val="superscript"/>
              </w:rPr>
              <w:t>2</w:t>
            </w:r>
            <w:r w:rsidRPr="00A95754">
              <w:rPr>
                <w:rFonts w:cs="Calibri"/>
              </w:rPr>
              <w:t>/LYG</w:t>
            </w:r>
          </w:p>
        </w:tc>
      </w:tr>
      <w:tr w:rsidR="0027503F" w:rsidRPr="00A95754" w14:paraId="38C1F4CB" w14:textId="77777777" w:rsidTr="00BF2B91">
        <w:tc>
          <w:tcPr>
            <w:tcW w:w="5000" w:type="pct"/>
            <w:gridSpan w:val="8"/>
            <w:shd w:val="clear" w:color="auto" w:fill="auto"/>
          </w:tcPr>
          <w:p w14:paraId="3EB4CA4E" w14:textId="77777777" w:rsidR="0027503F" w:rsidRPr="00A95754" w:rsidRDefault="0027503F" w:rsidP="00094E2F">
            <w:pPr>
              <w:pStyle w:val="TableText0"/>
            </w:pPr>
            <w:r w:rsidRPr="00A95754">
              <w:t>Step 4: trial extrapolated to 10 years including all resource use and transformed QALYs (base case)</w:t>
            </w:r>
          </w:p>
        </w:tc>
      </w:tr>
      <w:tr w:rsidR="0027503F" w:rsidRPr="00A95754" w14:paraId="71753951" w14:textId="77777777" w:rsidTr="00BF2B91">
        <w:tc>
          <w:tcPr>
            <w:tcW w:w="424" w:type="pct"/>
            <w:vAlign w:val="center"/>
          </w:tcPr>
          <w:p w14:paraId="03D8DD27" w14:textId="77777777" w:rsidR="0027503F" w:rsidRPr="00A95754" w:rsidRDefault="0027503F" w:rsidP="00094E2F">
            <w:pPr>
              <w:pStyle w:val="TableText0"/>
            </w:pPr>
          </w:p>
        </w:tc>
        <w:tc>
          <w:tcPr>
            <w:tcW w:w="626" w:type="pct"/>
            <w:vAlign w:val="center"/>
          </w:tcPr>
          <w:p w14:paraId="31A8C6A2" w14:textId="625B7A1E"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36"/>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36"/>
                <w14:textFill>
                  <w14:solidFill>
                    <w14:srgbClr w14:val="000000">
                      <w14:alpha w14:val="100000"/>
                    </w14:srgbClr>
                  </w14:solidFill>
                </w14:textFill>
              </w:rPr>
              <w:t>|</w:t>
            </w:r>
          </w:p>
        </w:tc>
        <w:tc>
          <w:tcPr>
            <w:tcW w:w="627" w:type="pct"/>
            <w:vAlign w:val="center"/>
          </w:tcPr>
          <w:p w14:paraId="32D907CC" w14:textId="77777777" w:rsidR="0027503F" w:rsidRPr="00A95754" w:rsidRDefault="0027503F" w:rsidP="00094E2F">
            <w:pPr>
              <w:pStyle w:val="TableText0"/>
              <w:jc w:val="center"/>
            </w:pPr>
            <w:r w:rsidRPr="00A95754">
              <w:rPr>
                <w:rFonts w:cs="Calibri"/>
              </w:rPr>
              <w:t>$66,995</w:t>
            </w:r>
          </w:p>
        </w:tc>
        <w:tc>
          <w:tcPr>
            <w:tcW w:w="626" w:type="pct"/>
            <w:vAlign w:val="center"/>
          </w:tcPr>
          <w:p w14:paraId="4B0CF9DF" w14:textId="555AF427" w:rsidR="0027503F" w:rsidRPr="00A95754" w:rsidRDefault="0027503F" w:rsidP="00094E2F">
            <w:pPr>
              <w:pStyle w:val="TableText0"/>
              <w:jc w:val="center"/>
            </w:pPr>
            <w:r w:rsidRPr="00A95754">
              <w:rPr>
                <w:rFonts w:cs="Calibri"/>
              </w:rPr>
              <w:t>$</w:t>
            </w:r>
            <w:r w:rsidR="003C043D" w:rsidRPr="003C043D">
              <w:rPr>
                <w:rFonts w:cs="Calibri"/>
                <w:color w:val="000000"/>
                <w:spacing w:val="206"/>
                <w:shd w:val="solid" w:color="000000" w:fill="000000"/>
                <w:fitText w:val="292" w:id="-1233371135"/>
                <w14:textFill>
                  <w14:solidFill>
                    <w14:srgbClr w14:val="000000">
                      <w14:alpha w14:val="100000"/>
                    </w14:srgbClr>
                  </w14:solidFill>
                </w14:textFill>
              </w:rPr>
              <w:t>|</w:t>
            </w:r>
            <w:r w:rsidR="003C043D" w:rsidRPr="003C043D">
              <w:rPr>
                <w:rFonts w:cs="Calibri"/>
                <w:color w:val="000000"/>
                <w:spacing w:val="1"/>
                <w:shd w:val="solid" w:color="000000" w:fill="000000"/>
                <w:fitText w:val="292" w:id="-1233371135"/>
                <w14:textFill>
                  <w14:solidFill>
                    <w14:srgbClr w14:val="000000">
                      <w14:alpha w14:val="100000"/>
                    </w14:srgbClr>
                  </w14:solidFill>
                </w14:textFill>
              </w:rPr>
              <w:t>|</w:t>
            </w:r>
          </w:p>
        </w:tc>
        <w:tc>
          <w:tcPr>
            <w:tcW w:w="627" w:type="pct"/>
            <w:vAlign w:val="center"/>
          </w:tcPr>
          <w:p w14:paraId="4BDAB4E8" w14:textId="77777777" w:rsidR="0027503F" w:rsidRPr="00A95754" w:rsidRDefault="0027503F" w:rsidP="00094E2F">
            <w:pPr>
              <w:pStyle w:val="TableText0"/>
              <w:jc w:val="center"/>
            </w:pPr>
            <w:r w:rsidRPr="00BD05AE">
              <w:rPr>
                <w:rFonts w:cs="Calibri"/>
              </w:rPr>
              <w:t>1.259</w:t>
            </w:r>
          </w:p>
        </w:tc>
        <w:tc>
          <w:tcPr>
            <w:tcW w:w="626" w:type="pct"/>
            <w:vAlign w:val="center"/>
          </w:tcPr>
          <w:p w14:paraId="205AFA68" w14:textId="77777777" w:rsidR="0027503F" w:rsidRPr="00A95754" w:rsidRDefault="0027503F" w:rsidP="00094E2F">
            <w:pPr>
              <w:pStyle w:val="TableText0"/>
              <w:jc w:val="center"/>
            </w:pPr>
            <w:r w:rsidRPr="00A95754">
              <w:rPr>
                <w:rFonts w:cs="Calibri"/>
              </w:rPr>
              <w:t>0.947</w:t>
            </w:r>
          </w:p>
        </w:tc>
        <w:tc>
          <w:tcPr>
            <w:tcW w:w="627" w:type="pct"/>
            <w:shd w:val="clear" w:color="auto" w:fill="auto"/>
            <w:vAlign w:val="center"/>
          </w:tcPr>
          <w:p w14:paraId="5D451E41" w14:textId="77777777" w:rsidR="0027503F" w:rsidRPr="00A95754" w:rsidRDefault="0027503F" w:rsidP="00094E2F">
            <w:pPr>
              <w:pStyle w:val="TableText0"/>
              <w:jc w:val="center"/>
            </w:pPr>
            <w:r w:rsidRPr="00BD05AE">
              <w:rPr>
                <w:rFonts w:cs="Calibri"/>
              </w:rPr>
              <w:t>0.312</w:t>
            </w:r>
          </w:p>
        </w:tc>
        <w:tc>
          <w:tcPr>
            <w:tcW w:w="817" w:type="pct"/>
            <w:vAlign w:val="center"/>
          </w:tcPr>
          <w:p w14:paraId="3FA67F7A" w14:textId="2D2CCD20" w:rsidR="0027503F" w:rsidRPr="00A95754" w:rsidRDefault="0027503F" w:rsidP="00094E2F">
            <w:pPr>
              <w:pStyle w:val="TableText0"/>
              <w:ind w:left="-110" w:right="-168"/>
              <w:jc w:val="center"/>
            </w:pPr>
            <w:r w:rsidRPr="00A95754">
              <w:rPr>
                <w:rFonts w:cs="Calibri"/>
              </w:rPr>
              <w:t>$</w:t>
            </w:r>
            <w:r w:rsidR="003C043D" w:rsidRPr="003C043D">
              <w:rPr>
                <w:rFonts w:cs="Calibri"/>
                <w:color w:val="000000"/>
                <w:spacing w:val="68"/>
                <w:shd w:val="solid" w:color="000000" w:fill="000000"/>
                <w:fitText w:val="375" w:id="-1233371134"/>
                <w14:textFill>
                  <w14:solidFill>
                    <w14:srgbClr w14:val="000000">
                      <w14:alpha w14:val="100000"/>
                    </w14:srgbClr>
                  </w14:solidFill>
                </w14:textFill>
              </w:rPr>
              <w:t>|||</w:t>
            </w:r>
            <w:r w:rsidR="003C043D" w:rsidRPr="003C043D">
              <w:rPr>
                <w:rFonts w:cs="Calibri"/>
                <w:color w:val="000000"/>
                <w:spacing w:val="1"/>
                <w:shd w:val="solid" w:color="000000" w:fill="000000"/>
                <w:fitText w:val="375" w:id="-1233371134"/>
                <w14:textFill>
                  <w14:solidFill>
                    <w14:srgbClr w14:val="000000">
                      <w14:alpha w14:val="100000"/>
                    </w14:srgbClr>
                  </w14:solidFill>
                </w14:textFill>
              </w:rPr>
              <w:t>|</w:t>
            </w:r>
            <w:r w:rsidR="00E40FB3">
              <w:rPr>
                <w:rFonts w:cs="Calibri"/>
                <w:vertAlign w:val="superscript"/>
              </w:rPr>
              <w:t>3</w:t>
            </w:r>
            <w:r w:rsidRPr="00A95754">
              <w:rPr>
                <w:rFonts w:cs="Calibri"/>
              </w:rPr>
              <w:t>/QALY</w:t>
            </w:r>
          </w:p>
        </w:tc>
      </w:tr>
    </w:tbl>
    <w:p w14:paraId="3924DC00" w14:textId="77777777" w:rsidR="0027503F" w:rsidRPr="00A95754" w:rsidRDefault="0027503F" w:rsidP="00BA4874">
      <w:pPr>
        <w:pStyle w:val="TableFigureFooter"/>
        <w:jc w:val="left"/>
      </w:pPr>
      <w:r w:rsidRPr="00A95754">
        <w:t>Source: Table 3.23, p182 of the submission.</w:t>
      </w:r>
    </w:p>
    <w:p w14:paraId="5618C457" w14:textId="77777777" w:rsidR="0027503F" w:rsidRPr="00A95754" w:rsidRDefault="0027503F" w:rsidP="00BA4874">
      <w:pPr>
        <w:pStyle w:val="TableFigureFooter"/>
        <w:jc w:val="left"/>
      </w:pPr>
      <w:r w:rsidRPr="00A95754">
        <w:t>GemCis = gemcitabine + cisplatin; ICER = incremental cost effectiveness ratio; LYG = life years gained; PBO = placebo; QALY = quality adjusted life years.</w:t>
      </w:r>
    </w:p>
    <w:p w14:paraId="0F311D5E" w14:textId="01E3BEE9" w:rsidR="0027503F" w:rsidRPr="00A95754" w:rsidRDefault="0027503F" w:rsidP="00BA4874">
      <w:pPr>
        <w:pStyle w:val="TableFigureFooter"/>
        <w:jc w:val="left"/>
      </w:pPr>
      <w:r w:rsidRPr="00A95754">
        <w:rPr>
          <w:vertAlign w:val="superscript"/>
        </w:rPr>
        <w:t>a</w:t>
      </w:r>
      <w:r w:rsidRPr="00A95754">
        <w:t xml:space="preserve"> ICER in model for Step 1 was calculated as </w:t>
      </w:r>
      <w:r w:rsidR="00E40FB3" w:rsidRPr="00E40FB3">
        <w:t>$455,000 to &lt; $555,000</w:t>
      </w:r>
      <w:r w:rsidRPr="00A95754">
        <w:t xml:space="preserve">/LYG during the evaluation. </w:t>
      </w:r>
    </w:p>
    <w:p w14:paraId="34CECB03" w14:textId="6EC3D6CF" w:rsidR="0013062B" w:rsidRDefault="0013062B" w:rsidP="00E40FB3">
      <w:pPr>
        <w:pStyle w:val="TableFigureFooter"/>
        <w:spacing w:after="0"/>
        <w:jc w:val="left"/>
      </w:pPr>
      <w:r w:rsidRPr="00A95754">
        <w:rPr>
          <w:vertAlign w:val="superscript"/>
        </w:rPr>
        <w:t xml:space="preserve">b </w:t>
      </w:r>
      <w:r w:rsidRPr="00A95754">
        <w:t>Includes costs for disease management, subsequent anti-cancer treatments, management of AEs, and terminal care costs.</w:t>
      </w:r>
    </w:p>
    <w:p w14:paraId="32D3F147" w14:textId="77777777" w:rsidR="00E40FB3" w:rsidRPr="009A6D58" w:rsidRDefault="00E40FB3" w:rsidP="00E40FB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D11C4D4" w14:textId="77777777" w:rsidR="00E40FB3" w:rsidRDefault="00E40FB3" w:rsidP="00E40FB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40FB3">
        <w:rPr>
          <w:rFonts w:ascii="Arial Narrow" w:hAnsi="Arial Narrow"/>
          <w:i/>
          <w:sz w:val="18"/>
          <w:szCs w:val="18"/>
        </w:rPr>
        <w:t>$455,000 to &lt; $555,000</w:t>
      </w:r>
    </w:p>
    <w:p w14:paraId="1F853B0B" w14:textId="0C6BDB63" w:rsidR="00E40FB3" w:rsidRPr="009A6D58" w:rsidRDefault="00E40FB3" w:rsidP="00E40FB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47" w:name="_Hlk135040936"/>
      <w:r w:rsidRPr="00E40FB3">
        <w:rPr>
          <w:rFonts w:ascii="Arial Narrow" w:hAnsi="Arial Narrow"/>
          <w:i/>
          <w:sz w:val="18"/>
          <w:szCs w:val="18"/>
        </w:rPr>
        <w:t>$75,000 to &lt; $95,000</w:t>
      </w:r>
      <w:bookmarkEnd w:id="47"/>
    </w:p>
    <w:p w14:paraId="6A14C340" w14:textId="3DD70226" w:rsidR="00E40FB3" w:rsidRPr="00E40FB3" w:rsidRDefault="00E40FB3" w:rsidP="00E40FB3">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40FB3">
        <w:rPr>
          <w:rFonts w:ascii="Arial Narrow" w:hAnsi="Arial Narrow"/>
          <w:i/>
          <w:sz w:val="18"/>
          <w:szCs w:val="18"/>
        </w:rPr>
        <w:t>$115,000 to &lt; $135,000</w:t>
      </w:r>
    </w:p>
    <w:p w14:paraId="6A4057DE" w14:textId="418D4B03" w:rsidR="0027503F" w:rsidRPr="00A95754" w:rsidRDefault="0027503F" w:rsidP="00BA4874">
      <w:pPr>
        <w:pStyle w:val="3-BodyText"/>
      </w:pPr>
      <w:r w:rsidRPr="00A95754">
        <w:t>The disaggregated base case cost estimates and health outcomes are presented in</w:t>
      </w:r>
      <w:r w:rsidR="00CA3710" w:rsidRPr="00A95754">
        <w:t xml:space="preserve"> </w:t>
      </w:r>
      <w:r w:rsidR="00CA3710" w:rsidRPr="00A95754">
        <w:fldChar w:fldCharType="begin"/>
      </w:r>
      <w:r w:rsidR="00CA3710" w:rsidRPr="00A95754">
        <w:instrText xml:space="preserve"> REF _Ref124492248 \h </w:instrText>
      </w:r>
      <w:r w:rsidR="00A95754">
        <w:instrText xml:space="preserve"> \* MERGEFORMAT </w:instrText>
      </w:r>
      <w:r w:rsidR="00CA3710" w:rsidRPr="00A95754">
        <w:fldChar w:fldCharType="separate"/>
      </w:r>
      <w:r w:rsidR="000178EC" w:rsidRPr="00A95754">
        <w:t xml:space="preserve">Table </w:t>
      </w:r>
      <w:r w:rsidR="000178EC">
        <w:rPr>
          <w:noProof/>
        </w:rPr>
        <w:t>13</w:t>
      </w:r>
      <w:r w:rsidR="00CA3710" w:rsidRPr="00A95754">
        <w:fldChar w:fldCharType="end"/>
      </w:r>
      <w:r w:rsidRPr="00A95754">
        <w:t xml:space="preserve">. </w:t>
      </w:r>
    </w:p>
    <w:p w14:paraId="4177CCBF" w14:textId="347C1A83" w:rsidR="0027503F" w:rsidRPr="00515484" w:rsidRDefault="0027503F" w:rsidP="007C019C">
      <w:pPr>
        <w:pStyle w:val="3-BodyText"/>
        <w:numPr>
          <w:ilvl w:val="0"/>
          <w:numId w:val="14"/>
        </w:numPr>
      </w:pPr>
      <w:r w:rsidRPr="00515484">
        <w:t xml:space="preserve">The cost of durvalumab was the main driver of incremental costs accounting for 98.6% of the total costs. The use of TTD in the model captures the costs of continuing treatment beyond progression. </w:t>
      </w:r>
    </w:p>
    <w:p w14:paraId="2BF680D9" w14:textId="77777777" w:rsidR="0027503F" w:rsidRPr="00515484" w:rsidRDefault="0027503F" w:rsidP="007C019C">
      <w:pPr>
        <w:pStyle w:val="3-BodyText"/>
        <w:numPr>
          <w:ilvl w:val="0"/>
          <w:numId w:val="14"/>
        </w:numPr>
      </w:pPr>
      <w:r w:rsidRPr="00515484">
        <w:t xml:space="preserve">Approximately 2% of patients were estimated to be alive in the durvalumab + GemCis arm after 10 years, reflecting a cost-offset in the end-of-life care costs (4.3%). </w:t>
      </w:r>
    </w:p>
    <w:p w14:paraId="2AB9C6EC" w14:textId="72B9A4AE" w:rsidR="0027503F" w:rsidRPr="00515484" w:rsidRDefault="0027503F" w:rsidP="007C019C">
      <w:pPr>
        <w:pStyle w:val="3-BodyText"/>
        <w:numPr>
          <w:ilvl w:val="0"/>
          <w:numId w:val="14"/>
        </w:numPr>
      </w:pPr>
      <w:r w:rsidRPr="00515484">
        <w:t xml:space="preserve">The difference in health states was driven by the additional time spent in the PD health state for patients treated with durvalumab + GemCis compared to placebo + GemCis (69% of the incremental QALY gain). The total incremental QALY gain for durvalumab + GemCis was 0.312. </w:t>
      </w:r>
    </w:p>
    <w:p w14:paraId="34110727" w14:textId="22F599A8" w:rsidR="0027503F" w:rsidRPr="00515484" w:rsidRDefault="0027503F" w:rsidP="007C019C">
      <w:pPr>
        <w:pStyle w:val="3-BodyText"/>
        <w:numPr>
          <w:ilvl w:val="0"/>
          <w:numId w:val="14"/>
        </w:numPr>
      </w:pPr>
      <w:r w:rsidRPr="00515484">
        <w:t xml:space="preserve">Given the applicability issues described in paragraph </w:t>
      </w:r>
      <w:r w:rsidRPr="00515484">
        <w:fldChar w:fldCharType="begin"/>
      </w:r>
      <w:r w:rsidRPr="00515484">
        <w:instrText xml:space="preserve"> REF _Ref124169084 \r \h  \* MERGEFORMAT </w:instrText>
      </w:r>
      <w:r w:rsidRPr="00515484">
        <w:fldChar w:fldCharType="separate"/>
      </w:r>
      <w:r w:rsidR="000178EC">
        <w:t>3.4</w:t>
      </w:r>
      <w:r w:rsidRPr="00515484">
        <w:fldChar w:fldCharType="end"/>
      </w:r>
      <w:r w:rsidRPr="00515484">
        <w:t>, the survival advantage for durvalumab + GemCis observed in TOPAZ-1 may capture use beyond progression and may therefore exceed what might be expected in clinical practice in Australia (given the proposed PBS restriction excludes use in patients with PD).</w:t>
      </w:r>
    </w:p>
    <w:p w14:paraId="0C4C3E95" w14:textId="6E5D4458" w:rsidR="0027503F" w:rsidRPr="00A95754" w:rsidRDefault="0027503F" w:rsidP="00BA4874">
      <w:pPr>
        <w:pStyle w:val="TableFigureHeading"/>
        <w:rPr>
          <w:rStyle w:val="CommentReference"/>
          <w:b/>
          <w:szCs w:val="24"/>
        </w:rPr>
      </w:pPr>
      <w:bookmarkStart w:id="48" w:name="_Ref124492248"/>
      <w:r w:rsidRPr="00A95754">
        <w:lastRenderedPageBreak/>
        <w:t xml:space="preserve">Table </w:t>
      </w:r>
      <w:fldSimple w:instr=" SEQ Table \* ARABIC ">
        <w:r w:rsidR="000178EC">
          <w:rPr>
            <w:noProof/>
          </w:rPr>
          <w:t>13</w:t>
        </w:r>
      </w:fldSimple>
      <w:bookmarkEnd w:id="48"/>
      <w:r w:rsidRPr="00A95754">
        <w:rPr>
          <w:rStyle w:val="CommentReference"/>
          <w:b/>
          <w:szCs w:val="24"/>
        </w:rPr>
        <w:t>: Health care resource items: disaggregated summary of cost impacts and health outcome impacts</w:t>
      </w:r>
    </w:p>
    <w:tbl>
      <w:tblPr>
        <w:tblStyle w:val="Summarybox2"/>
        <w:tblW w:w="5000" w:type="pct"/>
        <w:tblLook w:val="04A0" w:firstRow="1" w:lastRow="0" w:firstColumn="1" w:lastColumn="0" w:noHBand="0" w:noVBand="1"/>
      </w:tblPr>
      <w:tblGrid>
        <w:gridCol w:w="3115"/>
        <w:gridCol w:w="1475"/>
        <w:gridCol w:w="1475"/>
        <w:gridCol w:w="1475"/>
        <w:gridCol w:w="1477"/>
      </w:tblGrid>
      <w:tr w:rsidR="0027503F" w:rsidRPr="00A95754" w14:paraId="339460B0" w14:textId="77777777" w:rsidTr="00094E2F">
        <w:tc>
          <w:tcPr>
            <w:tcW w:w="1727" w:type="pct"/>
            <w:shd w:val="clear" w:color="auto" w:fill="auto"/>
            <w:vAlign w:val="center"/>
          </w:tcPr>
          <w:p w14:paraId="6409A4AE" w14:textId="77777777" w:rsidR="0027503F" w:rsidRPr="00A95754" w:rsidRDefault="0027503F" w:rsidP="00094E2F">
            <w:pPr>
              <w:pStyle w:val="TableText0"/>
              <w:rPr>
                <w:sz w:val="20"/>
                <w:szCs w:val="20"/>
              </w:rPr>
            </w:pPr>
          </w:p>
        </w:tc>
        <w:tc>
          <w:tcPr>
            <w:tcW w:w="818" w:type="pct"/>
            <w:shd w:val="clear" w:color="auto" w:fill="auto"/>
            <w:vAlign w:val="center"/>
          </w:tcPr>
          <w:p w14:paraId="60FF9D25" w14:textId="77777777" w:rsidR="0027503F" w:rsidRPr="00A95754" w:rsidRDefault="0027503F" w:rsidP="00094E2F">
            <w:pPr>
              <w:pStyle w:val="TableText0"/>
              <w:jc w:val="center"/>
              <w:rPr>
                <w:b/>
                <w:sz w:val="20"/>
                <w:szCs w:val="20"/>
              </w:rPr>
            </w:pPr>
            <w:r w:rsidRPr="00A95754">
              <w:rPr>
                <w:b/>
                <w:sz w:val="20"/>
                <w:szCs w:val="20"/>
              </w:rPr>
              <w:t>Durvalumab + GemCis</w:t>
            </w:r>
          </w:p>
        </w:tc>
        <w:tc>
          <w:tcPr>
            <w:tcW w:w="818" w:type="pct"/>
            <w:shd w:val="clear" w:color="auto" w:fill="auto"/>
            <w:vAlign w:val="center"/>
          </w:tcPr>
          <w:p w14:paraId="493C90E6" w14:textId="77777777" w:rsidR="0027503F" w:rsidRPr="00A95754" w:rsidRDefault="0027503F" w:rsidP="00094E2F">
            <w:pPr>
              <w:pStyle w:val="TableText0"/>
              <w:jc w:val="center"/>
              <w:rPr>
                <w:b/>
                <w:sz w:val="20"/>
                <w:szCs w:val="20"/>
              </w:rPr>
            </w:pPr>
            <w:r w:rsidRPr="00A95754">
              <w:rPr>
                <w:b/>
                <w:sz w:val="20"/>
                <w:szCs w:val="20"/>
              </w:rPr>
              <w:t>Placebo + GemCis</w:t>
            </w:r>
          </w:p>
        </w:tc>
        <w:tc>
          <w:tcPr>
            <w:tcW w:w="818" w:type="pct"/>
            <w:shd w:val="clear" w:color="auto" w:fill="auto"/>
            <w:vAlign w:val="center"/>
          </w:tcPr>
          <w:p w14:paraId="338F9615" w14:textId="77777777" w:rsidR="0027503F" w:rsidRPr="00A95754" w:rsidRDefault="0027503F" w:rsidP="00094E2F">
            <w:pPr>
              <w:pStyle w:val="TableText0"/>
              <w:jc w:val="center"/>
              <w:rPr>
                <w:b/>
                <w:sz w:val="20"/>
                <w:szCs w:val="20"/>
              </w:rPr>
            </w:pPr>
            <w:r w:rsidRPr="00A95754">
              <w:rPr>
                <w:b/>
                <w:sz w:val="20"/>
                <w:szCs w:val="20"/>
              </w:rPr>
              <w:t>Incremental</w:t>
            </w:r>
          </w:p>
        </w:tc>
        <w:tc>
          <w:tcPr>
            <w:tcW w:w="819" w:type="pct"/>
            <w:shd w:val="clear" w:color="auto" w:fill="auto"/>
            <w:vAlign w:val="center"/>
          </w:tcPr>
          <w:p w14:paraId="267D64E5" w14:textId="77777777" w:rsidR="0027503F" w:rsidRPr="00A95754" w:rsidRDefault="0027503F" w:rsidP="00094E2F">
            <w:pPr>
              <w:pStyle w:val="TableText0"/>
              <w:jc w:val="center"/>
              <w:rPr>
                <w:b/>
                <w:sz w:val="20"/>
                <w:szCs w:val="20"/>
              </w:rPr>
            </w:pPr>
            <w:r w:rsidRPr="00A95754">
              <w:rPr>
                <w:b/>
                <w:sz w:val="20"/>
                <w:szCs w:val="20"/>
              </w:rPr>
              <w:t>% of total incremental</w:t>
            </w:r>
          </w:p>
        </w:tc>
      </w:tr>
      <w:tr w:rsidR="0027503F" w:rsidRPr="00A95754" w14:paraId="70C7AC6F" w14:textId="77777777" w:rsidTr="00094E2F">
        <w:tc>
          <w:tcPr>
            <w:tcW w:w="5000" w:type="pct"/>
            <w:gridSpan w:val="5"/>
            <w:shd w:val="clear" w:color="auto" w:fill="auto"/>
            <w:vAlign w:val="center"/>
          </w:tcPr>
          <w:p w14:paraId="5E4DFBF4" w14:textId="77777777" w:rsidR="0027503F" w:rsidRPr="00A95754" w:rsidRDefault="0027503F" w:rsidP="00094E2F">
            <w:pPr>
              <w:pStyle w:val="TableText0"/>
              <w:rPr>
                <w:b/>
                <w:sz w:val="20"/>
                <w:szCs w:val="20"/>
              </w:rPr>
            </w:pPr>
            <w:r w:rsidRPr="00A95754">
              <w:rPr>
                <w:b/>
                <w:sz w:val="20"/>
                <w:szCs w:val="20"/>
              </w:rPr>
              <w:t>Disaggregated summary of cost impacts</w:t>
            </w:r>
          </w:p>
        </w:tc>
      </w:tr>
      <w:tr w:rsidR="0027503F" w:rsidRPr="00A95754" w14:paraId="470EBF3E" w14:textId="77777777" w:rsidTr="00094E2F">
        <w:tc>
          <w:tcPr>
            <w:tcW w:w="1727" w:type="pct"/>
            <w:vAlign w:val="center"/>
          </w:tcPr>
          <w:p w14:paraId="372F14A3" w14:textId="77777777" w:rsidR="0027503F" w:rsidRPr="00A95754" w:rsidRDefault="0027503F" w:rsidP="00094E2F">
            <w:pPr>
              <w:pStyle w:val="TableText0"/>
              <w:rPr>
                <w:sz w:val="20"/>
                <w:szCs w:val="20"/>
              </w:rPr>
            </w:pPr>
            <w:r w:rsidRPr="00A95754">
              <w:rPr>
                <w:sz w:val="20"/>
                <w:szCs w:val="20"/>
              </w:rPr>
              <w:t>Intervention medicines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243783DD" w14:textId="5AE6034A"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4" w:id="-1233371133"/>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4" w:id="-1233371133"/>
                <w14:textFill>
                  <w14:solidFill>
                    <w14:srgbClr w14:val="000000">
                      <w14:alpha w14:val="100000"/>
                    </w14:srgbClr>
                  </w14:solidFill>
                </w14:textFill>
              </w:rPr>
              <w:t>|</w:t>
            </w:r>
            <w:r w:rsidR="003C043D" w:rsidRPr="003C043D">
              <w:rPr>
                <w:rFonts w:cs="Calibri" w:hint="eastAsia"/>
                <w:color w:val="000000"/>
                <w:spacing w:val="2"/>
                <w:w w:val="30"/>
                <w:sz w:val="20"/>
                <w:szCs w:val="20"/>
                <w:shd w:val="solid" w:color="000000" w:fill="000000"/>
                <w:fitText w:val="134" w:id="-1233371133"/>
                <w14:textFill>
                  <w14:solidFill>
                    <w14:srgbClr w14:val="000000">
                      <w14:alpha w14:val="100000"/>
                    </w14:srgbClr>
                  </w14:solidFill>
                </w14:textFill>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14:paraId="00CA762D" w14:textId="77777777" w:rsidR="0027503F" w:rsidRPr="00A95754" w:rsidRDefault="0027503F" w:rsidP="00094E2F">
            <w:pPr>
              <w:pStyle w:val="TableText0"/>
              <w:jc w:val="center"/>
              <w:rPr>
                <w:sz w:val="20"/>
                <w:szCs w:val="20"/>
              </w:rPr>
            </w:pPr>
            <w:r w:rsidRPr="00A95754">
              <w:rPr>
                <w:rFonts w:cs="Calibri"/>
                <w:sz w:val="20"/>
                <w:szCs w:val="20"/>
              </w:rPr>
              <w:t>$3,675</w:t>
            </w:r>
          </w:p>
        </w:tc>
        <w:tc>
          <w:tcPr>
            <w:tcW w:w="818" w:type="pct"/>
            <w:tcBorders>
              <w:top w:val="single" w:sz="4" w:space="0" w:color="auto"/>
              <w:left w:val="nil"/>
              <w:bottom w:val="single" w:sz="4" w:space="0" w:color="auto"/>
              <w:right w:val="single" w:sz="4" w:space="0" w:color="auto"/>
            </w:tcBorders>
            <w:shd w:val="clear" w:color="auto" w:fill="auto"/>
            <w:vAlign w:val="center"/>
          </w:tcPr>
          <w:p w14:paraId="72245B5C" w14:textId="0E5701A6"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3" w:id="-1233371132"/>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3" w:id="-1233371132"/>
                <w14:textFill>
                  <w14:solidFill>
                    <w14:srgbClr w14:val="000000">
                      <w14:alpha w14:val="100000"/>
                    </w14:srgbClr>
                  </w14:solidFill>
                </w14:textFill>
              </w:rPr>
              <w:t>|</w:t>
            </w:r>
            <w:r w:rsidR="003C043D" w:rsidRPr="003C043D">
              <w:rPr>
                <w:rFonts w:cs="Calibri" w:hint="eastAsia"/>
                <w:color w:val="000000"/>
                <w:spacing w:val="1"/>
                <w:w w:val="30"/>
                <w:sz w:val="20"/>
                <w:szCs w:val="20"/>
                <w:shd w:val="solid" w:color="000000" w:fill="000000"/>
                <w:fitText w:val="133" w:id="-1233371132"/>
                <w14:textFill>
                  <w14:solidFill>
                    <w14:srgbClr w14:val="000000">
                      <w14:alpha w14:val="100000"/>
                    </w14:srgbClr>
                  </w14:solidFill>
                </w14:textFill>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tcPr>
          <w:p w14:paraId="77D1CF68" w14:textId="77777777" w:rsidR="0027503F" w:rsidRPr="00BD05AE" w:rsidRDefault="0027503F" w:rsidP="00094E2F">
            <w:pPr>
              <w:pStyle w:val="TableText0"/>
              <w:jc w:val="center"/>
              <w:rPr>
                <w:sz w:val="20"/>
                <w:szCs w:val="20"/>
              </w:rPr>
            </w:pPr>
            <w:r w:rsidRPr="00BD05AE">
              <w:rPr>
                <w:rFonts w:cs="Calibri"/>
                <w:sz w:val="20"/>
                <w:szCs w:val="20"/>
              </w:rPr>
              <w:t>98.6%</w:t>
            </w:r>
          </w:p>
        </w:tc>
      </w:tr>
      <w:tr w:rsidR="0027503F" w:rsidRPr="00A95754" w14:paraId="10A36185" w14:textId="77777777" w:rsidTr="00094E2F">
        <w:tc>
          <w:tcPr>
            <w:tcW w:w="1727" w:type="pct"/>
            <w:vAlign w:val="center"/>
          </w:tcPr>
          <w:p w14:paraId="1BCB8E1C" w14:textId="77777777" w:rsidR="0027503F" w:rsidRPr="00A95754" w:rsidRDefault="0027503F" w:rsidP="00094E2F">
            <w:pPr>
              <w:pStyle w:val="TableText0"/>
              <w:rPr>
                <w:sz w:val="20"/>
                <w:szCs w:val="20"/>
              </w:rPr>
            </w:pPr>
            <w:r w:rsidRPr="00A95754">
              <w:rPr>
                <w:sz w:val="20"/>
                <w:szCs w:val="20"/>
              </w:rPr>
              <w:t xml:space="preserve">Subsequent treatments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B1780D1" w14:textId="69830531"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4" w:id="-1233371131"/>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4" w:id="-1233371131"/>
                <w14:textFill>
                  <w14:solidFill>
                    <w14:srgbClr w14:val="000000">
                      <w14:alpha w14:val="100000"/>
                    </w14:srgbClr>
                  </w14:solidFill>
                </w14:textFill>
              </w:rPr>
              <w:t>|</w:t>
            </w:r>
            <w:r w:rsidR="003C043D" w:rsidRPr="003C043D">
              <w:rPr>
                <w:rFonts w:cs="Calibri" w:hint="eastAsia"/>
                <w:color w:val="000000"/>
                <w:spacing w:val="2"/>
                <w:w w:val="30"/>
                <w:sz w:val="20"/>
                <w:szCs w:val="20"/>
                <w:shd w:val="solid" w:color="000000" w:fill="000000"/>
                <w:fitText w:val="134" w:id="-1233371131"/>
                <w14:textFill>
                  <w14:solidFill>
                    <w14:srgbClr w14:val="000000">
                      <w14:alpha w14:val="100000"/>
                    </w14:srgbClr>
                  </w14:solidFill>
                </w14:textFill>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14:paraId="7FB5B80D" w14:textId="77777777" w:rsidR="0027503F" w:rsidRPr="00A95754" w:rsidRDefault="0027503F" w:rsidP="00094E2F">
            <w:pPr>
              <w:pStyle w:val="TableText0"/>
              <w:jc w:val="center"/>
              <w:rPr>
                <w:sz w:val="20"/>
                <w:szCs w:val="20"/>
              </w:rPr>
            </w:pPr>
            <w:r w:rsidRPr="00A95754">
              <w:rPr>
                <w:rFonts w:cs="Calibri"/>
                <w:sz w:val="20"/>
                <w:szCs w:val="20"/>
              </w:rPr>
              <w:t>$2,107</w:t>
            </w:r>
          </w:p>
        </w:tc>
        <w:tc>
          <w:tcPr>
            <w:tcW w:w="818" w:type="pct"/>
            <w:tcBorders>
              <w:top w:val="single" w:sz="4" w:space="0" w:color="auto"/>
              <w:left w:val="nil"/>
              <w:bottom w:val="single" w:sz="4" w:space="0" w:color="auto"/>
              <w:right w:val="single" w:sz="4" w:space="0" w:color="auto"/>
            </w:tcBorders>
            <w:shd w:val="clear" w:color="auto" w:fill="auto"/>
            <w:vAlign w:val="center"/>
          </w:tcPr>
          <w:p w14:paraId="7962BABD" w14:textId="681E17D6"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3"/>
                <w:sz w:val="20"/>
                <w:szCs w:val="20"/>
                <w:shd w:val="solid" w:color="000000" w:fill="000000"/>
                <w:fitText w:val="149" w:id="-1233371130"/>
                <w14:textFill>
                  <w14:solidFill>
                    <w14:srgbClr w14:val="000000">
                      <w14:alpha w14:val="100000"/>
                    </w14:srgbClr>
                  </w14:solidFill>
                </w14:textFill>
              </w:rPr>
              <w:t xml:space="preserve">　</w:t>
            </w:r>
            <w:r w:rsidR="003C043D" w:rsidRPr="003C043D">
              <w:rPr>
                <w:rFonts w:cs="Calibri"/>
                <w:color w:val="000000"/>
                <w:w w:val="33"/>
                <w:sz w:val="20"/>
                <w:szCs w:val="20"/>
                <w:shd w:val="solid" w:color="000000" w:fill="000000"/>
                <w:fitText w:val="149" w:id="-1233371130"/>
                <w14:textFill>
                  <w14:solidFill>
                    <w14:srgbClr w14:val="000000">
                      <w14:alpha w14:val="100000"/>
                    </w14:srgbClr>
                  </w14:solidFill>
                </w14:textFill>
              </w:rPr>
              <w:t>|</w:t>
            </w:r>
            <w:r w:rsidR="003C043D" w:rsidRPr="003C043D">
              <w:rPr>
                <w:rFonts w:cs="Calibri" w:hint="eastAsia"/>
                <w:color w:val="000000"/>
                <w:spacing w:val="3"/>
                <w:w w:val="33"/>
                <w:sz w:val="20"/>
                <w:szCs w:val="20"/>
                <w:shd w:val="solid" w:color="000000" w:fill="000000"/>
                <w:fitText w:val="149" w:id="-1233371130"/>
                <w14:textFill>
                  <w14:solidFill>
                    <w14:srgbClr w14:val="000000">
                      <w14:alpha w14:val="100000"/>
                    </w14:srgbClr>
                  </w14:solidFill>
                </w14:textFill>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tcPr>
          <w:p w14:paraId="5BA2D3C7" w14:textId="77777777" w:rsidR="0027503F" w:rsidRPr="00BD05AE" w:rsidRDefault="0027503F" w:rsidP="00094E2F">
            <w:pPr>
              <w:pStyle w:val="TableText0"/>
              <w:jc w:val="center"/>
              <w:rPr>
                <w:sz w:val="20"/>
                <w:szCs w:val="20"/>
              </w:rPr>
            </w:pPr>
            <w:r w:rsidRPr="00BD05AE">
              <w:rPr>
                <w:rFonts w:cs="Calibri"/>
                <w:sz w:val="20"/>
                <w:szCs w:val="20"/>
              </w:rPr>
              <w:t>-0.6%</w:t>
            </w:r>
          </w:p>
        </w:tc>
      </w:tr>
      <w:tr w:rsidR="0027503F" w:rsidRPr="00A95754" w14:paraId="178BE439" w14:textId="77777777" w:rsidTr="00094E2F">
        <w:tc>
          <w:tcPr>
            <w:tcW w:w="1727" w:type="pct"/>
            <w:vAlign w:val="center"/>
          </w:tcPr>
          <w:p w14:paraId="66E0F831" w14:textId="77777777" w:rsidR="0027503F" w:rsidRPr="00A95754" w:rsidRDefault="0027503F" w:rsidP="00094E2F">
            <w:pPr>
              <w:pStyle w:val="TableText0"/>
              <w:rPr>
                <w:sz w:val="20"/>
                <w:szCs w:val="20"/>
              </w:rPr>
            </w:pPr>
            <w:r w:rsidRPr="00A95754">
              <w:rPr>
                <w:sz w:val="20"/>
                <w:szCs w:val="20"/>
              </w:rPr>
              <w:t>Administration costs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F9E5793" w14:textId="4CD98091"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4" w:id="-1233371129"/>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4" w:id="-1233371129"/>
                <w14:textFill>
                  <w14:solidFill>
                    <w14:srgbClr w14:val="000000">
                      <w14:alpha w14:val="100000"/>
                    </w14:srgbClr>
                  </w14:solidFill>
                </w14:textFill>
              </w:rPr>
              <w:t>|</w:t>
            </w:r>
            <w:r w:rsidR="003C043D" w:rsidRPr="003C043D">
              <w:rPr>
                <w:rFonts w:cs="Calibri" w:hint="eastAsia"/>
                <w:color w:val="000000"/>
                <w:spacing w:val="2"/>
                <w:w w:val="30"/>
                <w:sz w:val="20"/>
                <w:szCs w:val="20"/>
                <w:shd w:val="solid" w:color="000000" w:fill="000000"/>
                <w:fitText w:val="134" w:id="-1233371129"/>
                <w14:textFill>
                  <w14:solidFill>
                    <w14:srgbClr w14:val="000000">
                      <w14:alpha w14:val="100000"/>
                    </w14:srgbClr>
                  </w14:solidFill>
                </w14:textFill>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14:paraId="58929232" w14:textId="77777777" w:rsidR="0027503F" w:rsidRPr="00A95754" w:rsidRDefault="0027503F" w:rsidP="00094E2F">
            <w:pPr>
              <w:pStyle w:val="TableText0"/>
              <w:jc w:val="center"/>
              <w:rPr>
                <w:sz w:val="20"/>
                <w:szCs w:val="20"/>
              </w:rPr>
            </w:pPr>
            <w:r w:rsidRPr="00A95754">
              <w:rPr>
                <w:rFonts w:cs="Calibri"/>
                <w:sz w:val="20"/>
                <w:szCs w:val="20"/>
              </w:rPr>
              <w:t>$2,384</w:t>
            </w:r>
          </w:p>
        </w:tc>
        <w:tc>
          <w:tcPr>
            <w:tcW w:w="818" w:type="pct"/>
            <w:tcBorders>
              <w:top w:val="single" w:sz="4" w:space="0" w:color="auto"/>
              <w:left w:val="nil"/>
              <w:bottom w:val="single" w:sz="4" w:space="0" w:color="auto"/>
              <w:right w:val="single" w:sz="4" w:space="0" w:color="auto"/>
            </w:tcBorders>
            <w:shd w:val="clear" w:color="auto" w:fill="auto"/>
            <w:vAlign w:val="center"/>
          </w:tcPr>
          <w:p w14:paraId="09FF624E" w14:textId="671CCC04"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3" w:id="-1233371128"/>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3" w:id="-1233371128"/>
                <w14:textFill>
                  <w14:solidFill>
                    <w14:srgbClr w14:val="000000">
                      <w14:alpha w14:val="100000"/>
                    </w14:srgbClr>
                  </w14:solidFill>
                </w14:textFill>
              </w:rPr>
              <w:t>|</w:t>
            </w:r>
            <w:r w:rsidR="003C043D" w:rsidRPr="003C043D">
              <w:rPr>
                <w:rFonts w:cs="Calibri" w:hint="eastAsia"/>
                <w:color w:val="000000"/>
                <w:spacing w:val="1"/>
                <w:w w:val="30"/>
                <w:sz w:val="20"/>
                <w:szCs w:val="20"/>
                <w:shd w:val="solid" w:color="000000" w:fill="000000"/>
                <w:fitText w:val="133" w:id="-1233371128"/>
                <w14:textFill>
                  <w14:solidFill>
                    <w14:srgbClr w14:val="000000">
                      <w14:alpha w14:val="100000"/>
                    </w14:srgbClr>
                  </w14:solidFill>
                </w14:textFill>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tcPr>
          <w:p w14:paraId="256B1185" w14:textId="77777777" w:rsidR="0027503F" w:rsidRPr="00BD05AE" w:rsidRDefault="0027503F" w:rsidP="00094E2F">
            <w:pPr>
              <w:pStyle w:val="TableText0"/>
              <w:jc w:val="center"/>
              <w:rPr>
                <w:sz w:val="20"/>
                <w:szCs w:val="20"/>
              </w:rPr>
            </w:pPr>
            <w:r w:rsidRPr="00BD05AE">
              <w:rPr>
                <w:rFonts w:cs="Calibri"/>
                <w:sz w:val="20"/>
                <w:szCs w:val="20"/>
              </w:rPr>
              <w:t>1.3%</w:t>
            </w:r>
          </w:p>
        </w:tc>
      </w:tr>
      <w:tr w:rsidR="0027503F" w:rsidRPr="00A95754" w14:paraId="36B79057" w14:textId="77777777" w:rsidTr="00094E2F">
        <w:tc>
          <w:tcPr>
            <w:tcW w:w="1727" w:type="pct"/>
            <w:vAlign w:val="center"/>
          </w:tcPr>
          <w:p w14:paraId="6CBF2E6E" w14:textId="77777777" w:rsidR="0027503F" w:rsidRPr="00A95754" w:rsidRDefault="0027503F" w:rsidP="00094E2F">
            <w:pPr>
              <w:pStyle w:val="TableText0"/>
              <w:rPr>
                <w:sz w:val="20"/>
                <w:szCs w:val="20"/>
              </w:rPr>
            </w:pPr>
            <w:r w:rsidRPr="00A95754">
              <w:rPr>
                <w:sz w:val="20"/>
                <w:szCs w:val="20"/>
              </w:rPr>
              <w:t>Disease management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7D6515FD" w14:textId="2DDBC9C5"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4" w:id="-1233371127"/>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4" w:id="-1233371127"/>
                <w14:textFill>
                  <w14:solidFill>
                    <w14:srgbClr w14:val="000000">
                      <w14:alpha w14:val="100000"/>
                    </w14:srgbClr>
                  </w14:solidFill>
                </w14:textFill>
              </w:rPr>
              <w:t>|</w:t>
            </w:r>
            <w:r w:rsidR="003C043D" w:rsidRPr="003C043D">
              <w:rPr>
                <w:rFonts w:cs="Calibri" w:hint="eastAsia"/>
                <w:color w:val="000000"/>
                <w:spacing w:val="2"/>
                <w:w w:val="30"/>
                <w:sz w:val="20"/>
                <w:szCs w:val="20"/>
                <w:shd w:val="solid" w:color="000000" w:fill="000000"/>
                <w:fitText w:val="134" w:id="-1233371127"/>
                <w14:textFill>
                  <w14:solidFill>
                    <w14:srgbClr w14:val="000000">
                      <w14:alpha w14:val="100000"/>
                    </w14:srgbClr>
                  </w14:solidFill>
                </w14:textFill>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14:paraId="2A0977A2" w14:textId="77777777" w:rsidR="0027503F" w:rsidRPr="00A95754" w:rsidRDefault="0027503F" w:rsidP="00094E2F">
            <w:pPr>
              <w:pStyle w:val="TableText0"/>
              <w:jc w:val="center"/>
              <w:rPr>
                <w:sz w:val="20"/>
                <w:szCs w:val="20"/>
              </w:rPr>
            </w:pPr>
            <w:r w:rsidRPr="00A95754">
              <w:rPr>
                <w:rFonts w:cs="Calibri"/>
                <w:sz w:val="20"/>
                <w:szCs w:val="20"/>
              </w:rPr>
              <w:t>$5,578</w:t>
            </w:r>
          </w:p>
        </w:tc>
        <w:tc>
          <w:tcPr>
            <w:tcW w:w="818" w:type="pct"/>
            <w:tcBorders>
              <w:top w:val="single" w:sz="4" w:space="0" w:color="auto"/>
              <w:left w:val="nil"/>
              <w:bottom w:val="single" w:sz="4" w:space="0" w:color="auto"/>
              <w:right w:val="single" w:sz="4" w:space="0" w:color="auto"/>
            </w:tcBorders>
            <w:shd w:val="clear" w:color="auto" w:fill="auto"/>
            <w:vAlign w:val="center"/>
          </w:tcPr>
          <w:p w14:paraId="483F4AE8" w14:textId="6CDB9AFF"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3" w:id="-1233371126"/>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3" w:id="-1233371126"/>
                <w14:textFill>
                  <w14:solidFill>
                    <w14:srgbClr w14:val="000000">
                      <w14:alpha w14:val="100000"/>
                    </w14:srgbClr>
                  </w14:solidFill>
                </w14:textFill>
              </w:rPr>
              <w:t>|</w:t>
            </w:r>
            <w:r w:rsidR="003C043D" w:rsidRPr="003C043D">
              <w:rPr>
                <w:rFonts w:cs="Calibri" w:hint="eastAsia"/>
                <w:color w:val="000000"/>
                <w:spacing w:val="1"/>
                <w:w w:val="30"/>
                <w:sz w:val="20"/>
                <w:szCs w:val="20"/>
                <w:shd w:val="solid" w:color="000000" w:fill="000000"/>
                <w:fitText w:val="133" w:id="-1233371126"/>
                <w14:textFill>
                  <w14:solidFill>
                    <w14:srgbClr w14:val="000000">
                      <w14:alpha w14:val="100000"/>
                    </w14:srgbClr>
                  </w14:solidFill>
                </w14:textFill>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tcPr>
          <w:p w14:paraId="3F2983F1" w14:textId="77777777" w:rsidR="0027503F" w:rsidRPr="00BD05AE" w:rsidRDefault="0027503F" w:rsidP="00094E2F">
            <w:pPr>
              <w:pStyle w:val="TableText0"/>
              <w:jc w:val="center"/>
              <w:rPr>
                <w:sz w:val="20"/>
                <w:szCs w:val="20"/>
              </w:rPr>
            </w:pPr>
            <w:r w:rsidRPr="00BD05AE">
              <w:rPr>
                <w:rFonts w:cs="Calibri"/>
                <w:sz w:val="20"/>
                <w:szCs w:val="20"/>
              </w:rPr>
              <w:t>5.3%</w:t>
            </w:r>
          </w:p>
        </w:tc>
      </w:tr>
      <w:tr w:rsidR="0027503F" w:rsidRPr="00A95754" w14:paraId="5180B407" w14:textId="77777777" w:rsidTr="00094E2F">
        <w:tc>
          <w:tcPr>
            <w:tcW w:w="1727" w:type="pct"/>
            <w:vAlign w:val="center"/>
          </w:tcPr>
          <w:p w14:paraId="3B2920A3" w14:textId="77777777" w:rsidR="0027503F" w:rsidRPr="00A95754" w:rsidRDefault="0027503F" w:rsidP="00094E2F">
            <w:pPr>
              <w:pStyle w:val="TableText0"/>
              <w:rPr>
                <w:sz w:val="20"/>
                <w:szCs w:val="20"/>
              </w:rPr>
            </w:pPr>
            <w:r w:rsidRPr="00A95754">
              <w:rPr>
                <w:sz w:val="20"/>
                <w:szCs w:val="20"/>
              </w:rPr>
              <w:t>Adverse events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3D5EE8C" w14:textId="7DF4851E"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4" w:id="-1233371125"/>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4" w:id="-1233371125"/>
                <w14:textFill>
                  <w14:solidFill>
                    <w14:srgbClr w14:val="000000">
                      <w14:alpha w14:val="100000"/>
                    </w14:srgbClr>
                  </w14:solidFill>
                </w14:textFill>
              </w:rPr>
              <w:t>|</w:t>
            </w:r>
            <w:r w:rsidR="003C043D" w:rsidRPr="003C043D">
              <w:rPr>
                <w:rFonts w:cs="Calibri" w:hint="eastAsia"/>
                <w:color w:val="000000"/>
                <w:spacing w:val="2"/>
                <w:w w:val="30"/>
                <w:sz w:val="20"/>
                <w:szCs w:val="20"/>
                <w:shd w:val="solid" w:color="000000" w:fill="000000"/>
                <w:fitText w:val="134" w:id="-1233371125"/>
                <w14:textFill>
                  <w14:solidFill>
                    <w14:srgbClr w14:val="000000">
                      <w14:alpha w14:val="100000"/>
                    </w14:srgbClr>
                  </w14:solidFill>
                </w14:textFill>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14:paraId="312D48D4" w14:textId="77777777" w:rsidR="0027503F" w:rsidRPr="00A95754" w:rsidRDefault="0027503F" w:rsidP="00094E2F">
            <w:pPr>
              <w:pStyle w:val="TableText0"/>
              <w:jc w:val="center"/>
              <w:rPr>
                <w:sz w:val="20"/>
                <w:szCs w:val="20"/>
              </w:rPr>
            </w:pPr>
            <w:r w:rsidRPr="00A95754">
              <w:rPr>
                <w:rFonts w:cs="Calibri"/>
                <w:sz w:val="20"/>
                <w:szCs w:val="20"/>
              </w:rPr>
              <w:t>$3,734</w:t>
            </w:r>
          </w:p>
        </w:tc>
        <w:tc>
          <w:tcPr>
            <w:tcW w:w="818" w:type="pct"/>
            <w:tcBorders>
              <w:top w:val="single" w:sz="4" w:space="0" w:color="auto"/>
              <w:left w:val="nil"/>
              <w:bottom w:val="single" w:sz="4" w:space="0" w:color="auto"/>
              <w:right w:val="single" w:sz="4" w:space="0" w:color="auto"/>
            </w:tcBorders>
            <w:shd w:val="clear" w:color="auto" w:fill="auto"/>
            <w:vAlign w:val="center"/>
          </w:tcPr>
          <w:p w14:paraId="314FA9EF" w14:textId="093F6B3B"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3"/>
                <w:sz w:val="20"/>
                <w:szCs w:val="20"/>
                <w:shd w:val="solid" w:color="000000" w:fill="000000"/>
                <w:fitText w:val="149" w:id="-1233371124"/>
                <w14:textFill>
                  <w14:solidFill>
                    <w14:srgbClr w14:val="000000">
                      <w14:alpha w14:val="100000"/>
                    </w14:srgbClr>
                  </w14:solidFill>
                </w14:textFill>
              </w:rPr>
              <w:t xml:space="preserve">　</w:t>
            </w:r>
            <w:r w:rsidR="003C043D" w:rsidRPr="003C043D">
              <w:rPr>
                <w:rFonts w:cs="Calibri"/>
                <w:color w:val="000000"/>
                <w:w w:val="33"/>
                <w:sz w:val="20"/>
                <w:szCs w:val="20"/>
                <w:shd w:val="solid" w:color="000000" w:fill="000000"/>
                <w:fitText w:val="149" w:id="-1233371124"/>
                <w14:textFill>
                  <w14:solidFill>
                    <w14:srgbClr w14:val="000000">
                      <w14:alpha w14:val="100000"/>
                    </w14:srgbClr>
                  </w14:solidFill>
                </w14:textFill>
              </w:rPr>
              <w:t>|</w:t>
            </w:r>
            <w:r w:rsidR="003C043D" w:rsidRPr="003C043D">
              <w:rPr>
                <w:rFonts w:cs="Calibri" w:hint="eastAsia"/>
                <w:color w:val="000000"/>
                <w:spacing w:val="3"/>
                <w:w w:val="33"/>
                <w:sz w:val="20"/>
                <w:szCs w:val="20"/>
                <w:shd w:val="solid" w:color="000000" w:fill="000000"/>
                <w:fitText w:val="149" w:id="-1233371124"/>
                <w14:textFill>
                  <w14:solidFill>
                    <w14:srgbClr w14:val="000000">
                      <w14:alpha w14:val="100000"/>
                    </w14:srgbClr>
                  </w14:solidFill>
                </w14:textFill>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tcPr>
          <w:p w14:paraId="58370326" w14:textId="77777777" w:rsidR="0027503F" w:rsidRPr="00BD05AE" w:rsidRDefault="0027503F" w:rsidP="00094E2F">
            <w:pPr>
              <w:pStyle w:val="TableText0"/>
              <w:jc w:val="center"/>
              <w:rPr>
                <w:sz w:val="20"/>
                <w:szCs w:val="20"/>
              </w:rPr>
            </w:pPr>
            <w:r w:rsidRPr="00BD05AE">
              <w:rPr>
                <w:rFonts w:cs="Calibri"/>
                <w:sz w:val="20"/>
                <w:szCs w:val="20"/>
              </w:rPr>
              <w:t>-0.2%</w:t>
            </w:r>
          </w:p>
        </w:tc>
      </w:tr>
      <w:tr w:rsidR="0027503F" w:rsidRPr="00A95754" w14:paraId="2C101E32" w14:textId="77777777" w:rsidTr="00094E2F">
        <w:tc>
          <w:tcPr>
            <w:tcW w:w="1727" w:type="pct"/>
            <w:vAlign w:val="center"/>
          </w:tcPr>
          <w:p w14:paraId="5187479C" w14:textId="77777777" w:rsidR="0027503F" w:rsidRPr="00A95754" w:rsidRDefault="0027503F" w:rsidP="00094E2F">
            <w:pPr>
              <w:pStyle w:val="TableText0"/>
              <w:rPr>
                <w:sz w:val="20"/>
                <w:szCs w:val="20"/>
              </w:rPr>
            </w:pPr>
            <w:r w:rsidRPr="00A95754">
              <w:rPr>
                <w:sz w:val="20"/>
                <w:szCs w:val="20"/>
              </w:rPr>
              <w:t>End of life care</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4DD3080F" w14:textId="4AA7C8C4" w:rsidR="0027503F" w:rsidRPr="00A95754" w:rsidRDefault="0027503F" w:rsidP="00094E2F">
            <w:pPr>
              <w:pStyle w:val="TableText0"/>
              <w:jc w:val="center"/>
              <w:rPr>
                <w:sz w:val="20"/>
                <w:szCs w:val="20"/>
              </w:rPr>
            </w:pPr>
            <w:r w:rsidRPr="00BD05AE">
              <w:rPr>
                <w:rFonts w:cs="Calibri"/>
                <w:sz w:val="20"/>
                <w:szCs w:val="20"/>
              </w:rPr>
              <w:t>$</w:t>
            </w:r>
            <w:r w:rsidR="003C043D" w:rsidRPr="003C043D">
              <w:rPr>
                <w:rFonts w:cs="Calibri" w:hint="eastAsia"/>
                <w:color w:val="000000"/>
                <w:w w:val="30"/>
                <w:sz w:val="20"/>
                <w:szCs w:val="20"/>
                <w:shd w:val="solid" w:color="000000" w:fill="000000"/>
                <w:fitText w:val="134" w:id="-1233371123"/>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4" w:id="-1233371123"/>
                <w14:textFill>
                  <w14:solidFill>
                    <w14:srgbClr w14:val="000000">
                      <w14:alpha w14:val="100000"/>
                    </w14:srgbClr>
                  </w14:solidFill>
                </w14:textFill>
              </w:rPr>
              <w:t>|</w:t>
            </w:r>
            <w:r w:rsidR="003C043D" w:rsidRPr="003C043D">
              <w:rPr>
                <w:rFonts w:cs="Calibri" w:hint="eastAsia"/>
                <w:color w:val="000000"/>
                <w:spacing w:val="2"/>
                <w:w w:val="30"/>
                <w:sz w:val="20"/>
                <w:szCs w:val="20"/>
                <w:shd w:val="solid" w:color="000000" w:fill="000000"/>
                <w:fitText w:val="134" w:id="-1233371123"/>
                <w14:textFill>
                  <w14:solidFill>
                    <w14:srgbClr w14:val="000000">
                      <w14:alpha w14:val="100000"/>
                    </w14:srgbClr>
                  </w14:solidFill>
                </w14:textFill>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14:paraId="33E8FFDE" w14:textId="77777777" w:rsidR="0027503F" w:rsidRPr="00A95754" w:rsidRDefault="0027503F" w:rsidP="00094E2F">
            <w:pPr>
              <w:pStyle w:val="TableText0"/>
              <w:jc w:val="center"/>
              <w:rPr>
                <w:sz w:val="20"/>
                <w:szCs w:val="20"/>
              </w:rPr>
            </w:pPr>
            <w:r w:rsidRPr="00A95754">
              <w:rPr>
                <w:rFonts w:cs="Calibri"/>
                <w:sz w:val="20"/>
                <w:szCs w:val="20"/>
              </w:rPr>
              <w:t>$49,517</w:t>
            </w:r>
          </w:p>
        </w:tc>
        <w:tc>
          <w:tcPr>
            <w:tcW w:w="818" w:type="pct"/>
            <w:tcBorders>
              <w:top w:val="single" w:sz="4" w:space="0" w:color="auto"/>
              <w:left w:val="nil"/>
              <w:bottom w:val="single" w:sz="4" w:space="0" w:color="auto"/>
              <w:right w:val="single" w:sz="4" w:space="0" w:color="auto"/>
            </w:tcBorders>
            <w:shd w:val="clear" w:color="auto" w:fill="auto"/>
            <w:vAlign w:val="center"/>
          </w:tcPr>
          <w:p w14:paraId="0CACA804" w14:textId="3E063E07" w:rsidR="0027503F" w:rsidRPr="00A95754" w:rsidRDefault="0027503F" w:rsidP="00094E2F">
            <w:pPr>
              <w:pStyle w:val="TableText0"/>
              <w:jc w:val="center"/>
              <w:rPr>
                <w:sz w:val="20"/>
                <w:szCs w:val="20"/>
              </w:rPr>
            </w:pPr>
            <w:r w:rsidRPr="00BD05AE">
              <w:rPr>
                <w:rFonts w:cs="Calibri"/>
                <w:sz w:val="20"/>
                <w:szCs w:val="20"/>
              </w:rPr>
              <w:t>-$</w:t>
            </w:r>
            <w:r w:rsidR="003C043D" w:rsidRPr="003C043D">
              <w:rPr>
                <w:rFonts w:cs="Calibri" w:hint="eastAsia"/>
                <w:color w:val="000000"/>
                <w:w w:val="33"/>
                <w:sz w:val="20"/>
                <w:szCs w:val="20"/>
                <w:shd w:val="solid" w:color="000000" w:fill="000000"/>
                <w:fitText w:val="149" w:id="-1233371122"/>
                <w14:textFill>
                  <w14:solidFill>
                    <w14:srgbClr w14:val="000000">
                      <w14:alpha w14:val="100000"/>
                    </w14:srgbClr>
                  </w14:solidFill>
                </w14:textFill>
              </w:rPr>
              <w:t xml:space="preserve">　</w:t>
            </w:r>
            <w:r w:rsidR="003C043D" w:rsidRPr="003C043D">
              <w:rPr>
                <w:rFonts w:cs="Calibri"/>
                <w:color w:val="000000"/>
                <w:w w:val="33"/>
                <w:sz w:val="20"/>
                <w:szCs w:val="20"/>
                <w:shd w:val="solid" w:color="000000" w:fill="000000"/>
                <w:fitText w:val="149" w:id="-1233371122"/>
                <w14:textFill>
                  <w14:solidFill>
                    <w14:srgbClr w14:val="000000">
                      <w14:alpha w14:val="100000"/>
                    </w14:srgbClr>
                  </w14:solidFill>
                </w14:textFill>
              </w:rPr>
              <w:t>|</w:t>
            </w:r>
            <w:r w:rsidR="003C043D" w:rsidRPr="003C043D">
              <w:rPr>
                <w:rFonts w:cs="Calibri" w:hint="eastAsia"/>
                <w:color w:val="000000"/>
                <w:spacing w:val="3"/>
                <w:w w:val="33"/>
                <w:sz w:val="20"/>
                <w:szCs w:val="20"/>
                <w:shd w:val="solid" w:color="000000" w:fill="000000"/>
                <w:fitText w:val="149" w:id="-1233371122"/>
                <w14:textFill>
                  <w14:solidFill>
                    <w14:srgbClr w14:val="000000">
                      <w14:alpha w14:val="100000"/>
                    </w14:srgbClr>
                  </w14:solidFill>
                </w14:textFill>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tcPr>
          <w:p w14:paraId="56B6560D" w14:textId="77777777" w:rsidR="0027503F" w:rsidRPr="00BD05AE" w:rsidRDefault="0027503F" w:rsidP="00094E2F">
            <w:pPr>
              <w:pStyle w:val="TableText0"/>
              <w:jc w:val="center"/>
              <w:rPr>
                <w:sz w:val="20"/>
                <w:szCs w:val="20"/>
              </w:rPr>
            </w:pPr>
            <w:r w:rsidRPr="00BD05AE">
              <w:rPr>
                <w:rFonts w:cs="Calibri"/>
                <w:sz w:val="20"/>
                <w:szCs w:val="20"/>
              </w:rPr>
              <w:t>-4.3%</w:t>
            </w:r>
          </w:p>
        </w:tc>
      </w:tr>
      <w:tr w:rsidR="0027503F" w:rsidRPr="00A95754" w14:paraId="1E1B0220" w14:textId="77777777" w:rsidTr="00094E2F">
        <w:tc>
          <w:tcPr>
            <w:tcW w:w="1727" w:type="pct"/>
            <w:vAlign w:val="center"/>
          </w:tcPr>
          <w:p w14:paraId="0163261B" w14:textId="77777777" w:rsidR="0027503F" w:rsidRPr="00A95754" w:rsidRDefault="0027503F" w:rsidP="00094E2F">
            <w:pPr>
              <w:pStyle w:val="TableText0"/>
              <w:rPr>
                <w:sz w:val="20"/>
                <w:szCs w:val="20"/>
              </w:rPr>
            </w:pPr>
            <w:r w:rsidRPr="00A95754">
              <w:rPr>
                <w:sz w:val="20"/>
                <w:szCs w:val="20"/>
              </w:rPr>
              <w:t>Total</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3B9874A" w14:textId="3131ED06"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4" w:id="-1233371121"/>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4" w:id="-1233371121"/>
                <w14:textFill>
                  <w14:solidFill>
                    <w14:srgbClr w14:val="000000">
                      <w14:alpha w14:val="100000"/>
                    </w14:srgbClr>
                  </w14:solidFill>
                </w14:textFill>
              </w:rPr>
              <w:t>|</w:t>
            </w:r>
            <w:r w:rsidR="003C043D" w:rsidRPr="003C043D">
              <w:rPr>
                <w:rFonts w:cs="Calibri" w:hint="eastAsia"/>
                <w:color w:val="000000"/>
                <w:spacing w:val="2"/>
                <w:w w:val="30"/>
                <w:sz w:val="20"/>
                <w:szCs w:val="20"/>
                <w:shd w:val="solid" w:color="000000" w:fill="000000"/>
                <w:fitText w:val="134" w:id="-1233371121"/>
                <w14:textFill>
                  <w14:solidFill>
                    <w14:srgbClr w14:val="000000">
                      <w14:alpha w14:val="100000"/>
                    </w14:srgbClr>
                  </w14:solidFill>
                </w14:textFill>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14:paraId="0F88058B" w14:textId="77777777" w:rsidR="0027503F" w:rsidRPr="00A95754" w:rsidRDefault="0027503F" w:rsidP="00094E2F">
            <w:pPr>
              <w:pStyle w:val="TableText0"/>
              <w:jc w:val="center"/>
              <w:rPr>
                <w:sz w:val="20"/>
                <w:szCs w:val="20"/>
              </w:rPr>
            </w:pPr>
            <w:r w:rsidRPr="00A95754">
              <w:rPr>
                <w:rFonts w:cs="Calibri"/>
                <w:sz w:val="20"/>
                <w:szCs w:val="20"/>
              </w:rPr>
              <w:t>$66,995</w:t>
            </w:r>
          </w:p>
        </w:tc>
        <w:tc>
          <w:tcPr>
            <w:tcW w:w="818" w:type="pct"/>
            <w:tcBorders>
              <w:top w:val="single" w:sz="4" w:space="0" w:color="auto"/>
              <w:left w:val="nil"/>
              <w:bottom w:val="single" w:sz="4" w:space="0" w:color="auto"/>
              <w:right w:val="single" w:sz="4" w:space="0" w:color="auto"/>
            </w:tcBorders>
            <w:shd w:val="clear" w:color="auto" w:fill="auto"/>
            <w:vAlign w:val="center"/>
          </w:tcPr>
          <w:p w14:paraId="70495466" w14:textId="5869BC95" w:rsidR="0027503F" w:rsidRPr="00A95754" w:rsidRDefault="0027503F" w:rsidP="00094E2F">
            <w:pPr>
              <w:pStyle w:val="TableText0"/>
              <w:jc w:val="center"/>
              <w:rPr>
                <w:sz w:val="20"/>
                <w:szCs w:val="20"/>
              </w:rPr>
            </w:pPr>
            <w:r w:rsidRPr="00A95754">
              <w:rPr>
                <w:rFonts w:cs="Calibri"/>
                <w:sz w:val="20"/>
                <w:szCs w:val="20"/>
              </w:rPr>
              <w:t>$</w:t>
            </w:r>
            <w:r w:rsidR="003C043D" w:rsidRPr="003C043D">
              <w:rPr>
                <w:rFonts w:cs="Calibri" w:hint="eastAsia"/>
                <w:color w:val="000000"/>
                <w:w w:val="30"/>
                <w:sz w:val="20"/>
                <w:szCs w:val="20"/>
                <w:shd w:val="solid" w:color="000000" w:fill="000000"/>
                <w:fitText w:val="133" w:id="-1233371120"/>
                <w14:textFill>
                  <w14:solidFill>
                    <w14:srgbClr w14:val="000000">
                      <w14:alpha w14:val="100000"/>
                    </w14:srgbClr>
                  </w14:solidFill>
                </w14:textFill>
              </w:rPr>
              <w:t xml:space="preserve">　</w:t>
            </w:r>
            <w:r w:rsidR="003C043D" w:rsidRPr="003C043D">
              <w:rPr>
                <w:rFonts w:cs="Calibri"/>
                <w:color w:val="000000"/>
                <w:w w:val="30"/>
                <w:sz w:val="20"/>
                <w:szCs w:val="20"/>
                <w:shd w:val="solid" w:color="000000" w:fill="000000"/>
                <w:fitText w:val="133" w:id="-1233371120"/>
                <w14:textFill>
                  <w14:solidFill>
                    <w14:srgbClr w14:val="000000">
                      <w14:alpha w14:val="100000"/>
                    </w14:srgbClr>
                  </w14:solidFill>
                </w14:textFill>
              </w:rPr>
              <w:t>|</w:t>
            </w:r>
            <w:r w:rsidR="003C043D" w:rsidRPr="003C043D">
              <w:rPr>
                <w:rFonts w:cs="Calibri" w:hint="eastAsia"/>
                <w:color w:val="000000"/>
                <w:spacing w:val="1"/>
                <w:w w:val="30"/>
                <w:sz w:val="20"/>
                <w:szCs w:val="20"/>
                <w:shd w:val="solid" w:color="000000" w:fill="000000"/>
                <w:fitText w:val="133" w:id="-1233371120"/>
                <w14:textFill>
                  <w14:solidFill>
                    <w14:srgbClr w14:val="000000">
                      <w14:alpha w14:val="100000"/>
                    </w14:srgbClr>
                  </w14:solidFill>
                </w14:textFill>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tcPr>
          <w:p w14:paraId="4837C205" w14:textId="77777777" w:rsidR="0027503F" w:rsidRPr="00BD05AE" w:rsidRDefault="0027503F" w:rsidP="00094E2F">
            <w:pPr>
              <w:pStyle w:val="TableText0"/>
              <w:jc w:val="center"/>
              <w:rPr>
                <w:sz w:val="20"/>
                <w:szCs w:val="20"/>
              </w:rPr>
            </w:pPr>
            <w:r w:rsidRPr="00BD05AE">
              <w:rPr>
                <w:rFonts w:cs="Calibri"/>
                <w:sz w:val="20"/>
                <w:szCs w:val="20"/>
              </w:rPr>
              <w:t>100.0%</w:t>
            </w:r>
          </w:p>
        </w:tc>
      </w:tr>
      <w:tr w:rsidR="0027503F" w:rsidRPr="00A95754" w14:paraId="1C95395E" w14:textId="77777777" w:rsidTr="00094E2F">
        <w:tc>
          <w:tcPr>
            <w:tcW w:w="5000" w:type="pct"/>
            <w:gridSpan w:val="5"/>
            <w:tcBorders>
              <w:right w:val="single" w:sz="4" w:space="0" w:color="auto"/>
            </w:tcBorders>
            <w:vAlign w:val="center"/>
          </w:tcPr>
          <w:p w14:paraId="0D2D43F8" w14:textId="77777777" w:rsidR="0027503F" w:rsidRPr="00BD05AE" w:rsidRDefault="0027503F" w:rsidP="00094E2F">
            <w:pPr>
              <w:pStyle w:val="TableText0"/>
              <w:rPr>
                <w:rFonts w:cs="Calibri"/>
                <w:sz w:val="20"/>
                <w:szCs w:val="20"/>
              </w:rPr>
            </w:pPr>
            <w:r w:rsidRPr="00BD05AE">
              <w:rPr>
                <w:rStyle w:val="CommentReference"/>
                <w:szCs w:val="20"/>
              </w:rPr>
              <w:t>Disaggregated summary of health outcome impacts</w:t>
            </w:r>
          </w:p>
        </w:tc>
      </w:tr>
      <w:tr w:rsidR="0027503F" w:rsidRPr="00A95754" w14:paraId="13531683" w14:textId="77777777" w:rsidTr="00094E2F">
        <w:tc>
          <w:tcPr>
            <w:tcW w:w="5000" w:type="pct"/>
            <w:gridSpan w:val="5"/>
            <w:tcBorders>
              <w:right w:val="single" w:sz="4" w:space="0" w:color="auto"/>
            </w:tcBorders>
            <w:vAlign w:val="center"/>
          </w:tcPr>
          <w:p w14:paraId="23C68E70" w14:textId="77777777" w:rsidR="0027503F" w:rsidRPr="00BD05AE" w:rsidRDefault="0027503F" w:rsidP="002A5C66">
            <w:pPr>
              <w:pStyle w:val="TableText0"/>
              <w:rPr>
                <w:rFonts w:cs="Calibri"/>
                <w:b/>
                <w:sz w:val="20"/>
                <w:szCs w:val="20"/>
              </w:rPr>
            </w:pPr>
            <w:r w:rsidRPr="00BD05AE">
              <w:rPr>
                <w:b/>
                <w:sz w:val="20"/>
                <w:szCs w:val="20"/>
              </w:rPr>
              <w:t>QALYs (discounted)</w:t>
            </w:r>
          </w:p>
        </w:tc>
      </w:tr>
      <w:tr w:rsidR="0027503F" w:rsidRPr="00A95754" w14:paraId="5B83C782" w14:textId="77777777" w:rsidTr="00094E2F">
        <w:tc>
          <w:tcPr>
            <w:tcW w:w="1727" w:type="pct"/>
            <w:vAlign w:val="center"/>
          </w:tcPr>
          <w:p w14:paraId="75935F6D" w14:textId="77777777" w:rsidR="0027503F" w:rsidRPr="00A95754" w:rsidRDefault="0027503F" w:rsidP="00094E2F">
            <w:pPr>
              <w:pStyle w:val="TableText0"/>
              <w:rPr>
                <w:sz w:val="20"/>
                <w:szCs w:val="20"/>
              </w:rPr>
            </w:pPr>
            <w:r w:rsidRPr="00A95754">
              <w:rPr>
                <w:sz w:val="20"/>
                <w:szCs w:val="20"/>
              </w:rPr>
              <w:t xml:space="preserve">PFS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31C0CF83" w14:textId="77777777" w:rsidR="0027503F" w:rsidRPr="00BD05AE" w:rsidRDefault="0027503F" w:rsidP="00094E2F">
            <w:pPr>
              <w:pStyle w:val="TableText0"/>
              <w:jc w:val="center"/>
              <w:rPr>
                <w:rFonts w:cs="Calibri"/>
                <w:sz w:val="20"/>
                <w:szCs w:val="20"/>
              </w:rPr>
            </w:pPr>
            <w:r w:rsidRPr="00BD05AE">
              <w:rPr>
                <w:rFonts w:cs="Calibri"/>
                <w:sz w:val="20"/>
                <w:szCs w:val="20"/>
              </w:rPr>
              <w:t>0.551</w:t>
            </w:r>
          </w:p>
        </w:tc>
        <w:tc>
          <w:tcPr>
            <w:tcW w:w="818" w:type="pct"/>
            <w:tcBorders>
              <w:top w:val="single" w:sz="4" w:space="0" w:color="auto"/>
              <w:left w:val="nil"/>
              <w:bottom w:val="single" w:sz="4" w:space="0" w:color="auto"/>
              <w:right w:val="single" w:sz="4" w:space="0" w:color="auto"/>
            </w:tcBorders>
            <w:shd w:val="clear" w:color="auto" w:fill="auto"/>
            <w:vAlign w:val="bottom"/>
          </w:tcPr>
          <w:p w14:paraId="4CE59241" w14:textId="77777777" w:rsidR="0027503F" w:rsidRPr="00A95754" w:rsidRDefault="0027503F" w:rsidP="00094E2F">
            <w:pPr>
              <w:pStyle w:val="TableText0"/>
              <w:jc w:val="center"/>
              <w:rPr>
                <w:rFonts w:cs="Calibri"/>
                <w:sz w:val="20"/>
                <w:szCs w:val="20"/>
              </w:rPr>
            </w:pPr>
            <w:r w:rsidRPr="00A95754">
              <w:rPr>
                <w:rFonts w:cs="Calibri"/>
                <w:sz w:val="20"/>
                <w:szCs w:val="20"/>
              </w:rPr>
              <w:t>0.456</w:t>
            </w:r>
          </w:p>
        </w:tc>
        <w:tc>
          <w:tcPr>
            <w:tcW w:w="818" w:type="pct"/>
            <w:tcBorders>
              <w:top w:val="single" w:sz="4" w:space="0" w:color="auto"/>
              <w:left w:val="nil"/>
              <w:bottom w:val="single" w:sz="4" w:space="0" w:color="auto"/>
              <w:right w:val="single" w:sz="4" w:space="0" w:color="auto"/>
            </w:tcBorders>
            <w:shd w:val="clear" w:color="auto" w:fill="auto"/>
            <w:vAlign w:val="bottom"/>
          </w:tcPr>
          <w:p w14:paraId="1E28B443" w14:textId="77777777" w:rsidR="0027503F" w:rsidRPr="00BD05AE" w:rsidRDefault="0027503F" w:rsidP="00094E2F">
            <w:pPr>
              <w:pStyle w:val="TableText0"/>
              <w:jc w:val="center"/>
              <w:rPr>
                <w:rFonts w:cs="Calibri"/>
                <w:sz w:val="20"/>
                <w:szCs w:val="20"/>
              </w:rPr>
            </w:pPr>
            <w:r w:rsidRPr="00BD05AE">
              <w:rPr>
                <w:rFonts w:cs="Calibri"/>
                <w:sz w:val="20"/>
                <w:szCs w:val="20"/>
              </w:rPr>
              <w:t>0.095</w:t>
            </w:r>
          </w:p>
        </w:tc>
        <w:tc>
          <w:tcPr>
            <w:tcW w:w="819" w:type="pct"/>
            <w:tcBorders>
              <w:top w:val="single" w:sz="4" w:space="0" w:color="auto"/>
              <w:left w:val="nil"/>
              <w:bottom w:val="single" w:sz="4" w:space="0" w:color="auto"/>
              <w:right w:val="single" w:sz="4" w:space="0" w:color="auto"/>
            </w:tcBorders>
            <w:shd w:val="clear" w:color="auto" w:fill="auto"/>
            <w:vAlign w:val="bottom"/>
          </w:tcPr>
          <w:p w14:paraId="1A98305B" w14:textId="77777777" w:rsidR="0027503F" w:rsidRPr="00BD05AE" w:rsidRDefault="0027503F" w:rsidP="00094E2F">
            <w:pPr>
              <w:pStyle w:val="TableText0"/>
              <w:jc w:val="center"/>
              <w:rPr>
                <w:rFonts w:cs="Calibri"/>
                <w:sz w:val="20"/>
                <w:szCs w:val="20"/>
              </w:rPr>
            </w:pPr>
            <w:r w:rsidRPr="00BD05AE">
              <w:rPr>
                <w:rFonts w:cs="Calibri"/>
                <w:sz w:val="20"/>
                <w:szCs w:val="20"/>
              </w:rPr>
              <w:t>31%</w:t>
            </w:r>
          </w:p>
        </w:tc>
      </w:tr>
      <w:tr w:rsidR="0027503F" w:rsidRPr="00A95754" w14:paraId="3E3B7DA2" w14:textId="77777777" w:rsidTr="00094E2F">
        <w:tc>
          <w:tcPr>
            <w:tcW w:w="1727" w:type="pct"/>
            <w:vAlign w:val="center"/>
          </w:tcPr>
          <w:p w14:paraId="6989A5C2" w14:textId="77777777" w:rsidR="0027503F" w:rsidRPr="00A95754" w:rsidRDefault="0027503F" w:rsidP="00094E2F">
            <w:pPr>
              <w:pStyle w:val="TableText0"/>
              <w:rPr>
                <w:sz w:val="20"/>
                <w:szCs w:val="20"/>
              </w:rPr>
            </w:pPr>
            <w:r w:rsidRPr="00A95754">
              <w:rPr>
                <w:sz w:val="20"/>
                <w:szCs w:val="20"/>
              </w:rPr>
              <w:t>PD</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60A8F404" w14:textId="77777777" w:rsidR="0027503F" w:rsidRPr="00BD05AE" w:rsidRDefault="0027503F" w:rsidP="00094E2F">
            <w:pPr>
              <w:pStyle w:val="TableText0"/>
              <w:jc w:val="center"/>
              <w:rPr>
                <w:rFonts w:cs="Calibri"/>
                <w:sz w:val="20"/>
                <w:szCs w:val="20"/>
              </w:rPr>
            </w:pPr>
            <w:r w:rsidRPr="00BD05AE">
              <w:rPr>
                <w:rFonts w:cs="Calibri"/>
                <w:sz w:val="20"/>
                <w:szCs w:val="20"/>
              </w:rPr>
              <w:t>0.709</w:t>
            </w:r>
          </w:p>
        </w:tc>
        <w:tc>
          <w:tcPr>
            <w:tcW w:w="818" w:type="pct"/>
            <w:tcBorders>
              <w:top w:val="single" w:sz="4" w:space="0" w:color="auto"/>
              <w:left w:val="nil"/>
              <w:bottom w:val="single" w:sz="4" w:space="0" w:color="auto"/>
              <w:right w:val="single" w:sz="4" w:space="0" w:color="auto"/>
            </w:tcBorders>
            <w:shd w:val="clear" w:color="auto" w:fill="auto"/>
            <w:vAlign w:val="bottom"/>
          </w:tcPr>
          <w:p w14:paraId="4CA636E9" w14:textId="77777777" w:rsidR="0027503F" w:rsidRPr="00A95754" w:rsidRDefault="0027503F" w:rsidP="00094E2F">
            <w:pPr>
              <w:pStyle w:val="TableText0"/>
              <w:jc w:val="center"/>
              <w:rPr>
                <w:rFonts w:cs="Calibri"/>
                <w:sz w:val="20"/>
                <w:szCs w:val="20"/>
              </w:rPr>
            </w:pPr>
            <w:r w:rsidRPr="00A95754">
              <w:rPr>
                <w:rFonts w:cs="Calibri"/>
                <w:sz w:val="20"/>
                <w:szCs w:val="20"/>
              </w:rPr>
              <w:t>0.492</w:t>
            </w:r>
          </w:p>
        </w:tc>
        <w:tc>
          <w:tcPr>
            <w:tcW w:w="818" w:type="pct"/>
            <w:tcBorders>
              <w:top w:val="single" w:sz="4" w:space="0" w:color="auto"/>
              <w:left w:val="nil"/>
              <w:bottom w:val="single" w:sz="4" w:space="0" w:color="auto"/>
              <w:right w:val="single" w:sz="4" w:space="0" w:color="auto"/>
            </w:tcBorders>
            <w:shd w:val="clear" w:color="auto" w:fill="auto"/>
            <w:vAlign w:val="bottom"/>
          </w:tcPr>
          <w:p w14:paraId="1F957358" w14:textId="77777777" w:rsidR="0027503F" w:rsidRPr="00BD05AE" w:rsidRDefault="0027503F" w:rsidP="00094E2F">
            <w:pPr>
              <w:pStyle w:val="TableText0"/>
              <w:jc w:val="center"/>
              <w:rPr>
                <w:rFonts w:cs="Calibri"/>
                <w:sz w:val="20"/>
                <w:szCs w:val="20"/>
              </w:rPr>
            </w:pPr>
            <w:r w:rsidRPr="00BD05AE">
              <w:rPr>
                <w:rFonts w:cs="Calibri"/>
                <w:sz w:val="20"/>
                <w:szCs w:val="20"/>
              </w:rPr>
              <w:t>0.216</w:t>
            </w:r>
          </w:p>
        </w:tc>
        <w:tc>
          <w:tcPr>
            <w:tcW w:w="819" w:type="pct"/>
            <w:tcBorders>
              <w:top w:val="single" w:sz="4" w:space="0" w:color="auto"/>
              <w:left w:val="nil"/>
              <w:bottom w:val="single" w:sz="4" w:space="0" w:color="auto"/>
              <w:right w:val="single" w:sz="4" w:space="0" w:color="auto"/>
            </w:tcBorders>
            <w:shd w:val="clear" w:color="auto" w:fill="auto"/>
            <w:vAlign w:val="bottom"/>
          </w:tcPr>
          <w:p w14:paraId="4376C39F" w14:textId="77777777" w:rsidR="0027503F" w:rsidRPr="00BD05AE" w:rsidRDefault="0027503F" w:rsidP="00094E2F">
            <w:pPr>
              <w:pStyle w:val="TableText0"/>
              <w:jc w:val="center"/>
              <w:rPr>
                <w:rFonts w:cs="Calibri"/>
                <w:sz w:val="20"/>
                <w:szCs w:val="20"/>
              </w:rPr>
            </w:pPr>
            <w:r w:rsidRPr="00BD05AE">
              <w:rPr>
                <w:rFonts w:cs="Calibri"/>
                <w:sz w:val="20"/>
                <w:szCs w:val="20"/>
              </w:rPr>
              <w:t>69%</w:t>
            </w:r>
          </w:p>
        </w:tc>
      </w:tr>
      <w:tr w:rsidR="0027503F" w:rsidRPr="00A95754" w14:paraId="00D84CED" w14:textId="77777777" w:rsidTr="00094E2F">
        <w:tc>
          <w:tcPr>
            <w:tcW w:w="1727" w:type="pct"/>
            <w:vAlign w:val="center"/>
          </w:tcPr>
          <w:p w14:paraId="0B4F85A6" w14:textId="77777777" w:rsidR="0027503F" w:rsidRPr="00A95754" w:rsidRDefault="0027503F" w:rsidP="00094E2F">
            <w:pPr>
              <w:pStyle w:val="TableText0"/>
              <w:rPr>
                <w:sz w:val="20"/>
                <w:szCs w:val="20"/>
              </w:rPr>
            </w:pPr>
            <w:r w:rsidRPr="00A95754">
              <w:rPr>
                <w:sz w:val="20"/>
                <w:szCs w:val="20"/>
              </w:rPr>
              <w:t>TEAEs</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04C6E3F6" w14:textId="77777777" w:rsidR="0027503F" w:rsidRPr="00BD05AE" w:rsidRDefault="0027503F" w:rsidP="00094E2F">
            <w:pPr>
              <w:pStyle w:val="TableText0"/>
              <w:jc w:val="center"/>
              <w:rPr>
                <w:rFonts w:cs="Calibri"/>
                <w:sz w:val="20"/>
                <w:szCs w:val="20"/>
              </w:rPr>
            </w:pPr>
            <w:r w:rsidRPr="00BD05AE">
              <w:rPr>
                <w:rFonts w:cs="Calibri"/>
                <w:sz w:val="20"/>
                <w:szCs w:val="20"/>
              </w:rPr>
              <w:t>0.000</w:t>
            </w:r>
          </w:p>
        </w:tc>
        <w:tc>
          <w:tcPr>
            <w:tcW w:w="818" w:type="pct"/>
            <w:tcBorders>
              <w:top w:val="single" w:sz="4" w:space="0" w:color="auto"/>
              <w:left w:val="nil"/>
              <w:bottom w:val="single" w:sz="4" w:space="0" w:color="auto"/>
              <w:right w:val="single" w:sz="4" w:space="0" w:color="auto"/>
            </w:tcBorders>
            <w:shd w:val="clear" w:color="auto" w:fill="auto"/>
            <w:vAlign w:val="bottom"/>
          </w:tcPr>
          <w:p w14:paraId="5D23FFC0" w14:textId="77777777" w:rsidR="0027503F" w:rsidRPr="00A95754" w:rsidRDefault="0027503F" w:rsidP="00094E2F">
            <w:pPr>
              <w:pStyle w:val="TableText0"/>
              <w:jc w:val="center"/>
              <w:rPr>
                <w:rFonts w:cs="Calibri"/>
                <w:sz w:val="20"/>
                <w:szCs w:val="20"/>
              </w:rPr>
            </w:pPr>
            <w:r w:rsidRPr="00A95754">
              <w:rPr>
                <w:rFonts w:cs="Calibri"/>
                <w:sz w:val="20"/>
                <w:szCs w:val="20"/>
              </w:rPr>
              <w:t>0.000</w:t>
            </w:r>
          </w:p>
        </w:tc>
        <w:tc>
          <w:tcPr>
            <w:tcW w:w="818" w:type="pct"/>
            <w:tcBorders>
              <w:top w:val="single" w:sz="4" w:space="0" w:color="auto"/>
              <w:left w:val="nil"/>
              <w:bottom w:val="single" w:sz="4" w:space="0" w:color="auto"/>
              <w:right w:val="single" w:sz="4" w:space="0" w:color="auto"/>
            </w:tcBorders>
            <w:shd w:val="clear" w:color="auto" w:fill="auto"/>
            <w:vAlign w:val="bottom"/>
          </w:tcPr>
          <w:p w14:paraId="4917491C" w14:textId="77777777" w:rsidR="0027503F" w:rsidRPr="00BD05AE" w:rsidRDefault="0027503F" w:rsidP="00094E2F">
            <w:pPr>
              <w:pStyle w:val="TableText0"/>
              <w:jc w:val="center"/>
              <w:rPr>
                <w:rFonts w:cs="Calibri"/>
                <w:sz w:val="20"/>
                <w:szCs w:val="20"/>
              </w:rPr>
            </w:pPr>
            <w:r w:rsidRPr="00BD05AE">
              <w:rPr>
                <w:rFonts w:cs="Calibri"/>
                <w:sz w:val="20"/>
                <w:szCs w:val="20"/>
              </w:rPr>
              <w:t>0.000</w:t>
            </w:r>
          </w:p>
        </w:tc>
        <w:tc>
          <w:tcPr>
            <w:tcW w:w="819" w:type="pct"/>
            <w:tcBorders>
              <w:top w:val="single" w:sz="4" w:space="0" w:color="auto"/>
              <w:left w:val="nil"/>
              <w:bottom w:val="single" w:sz="4" w:space="0" w:color="auto"/>
              <w:right w:val="single" w:sz="4" w:space="0" w:color="auto"/>
            </w:tcBorders>
            <w:shd w:val="clear" w:color="auto" w:fill="auto"/>
            <w:vAlign w:val="bottom"/>
          </w:tcPr>
          <w:p w14:paraId="1D5C8147" w14:textId="77777777" w:rsidR="0027503F" w:rsidRPr="00BD05AE" w:rsidRDefault="0027503F" w:rsidP="00094E2F">
            <w:pPr>
              <w:pStyle w:val="TableText0"/>
              <w:jc w:val="center"/>
              <w:rPr>
                <w:rFonts w:cs="Calibri"/>
                <w:sz w:val="20"/>
                <w:szCs w:val="20"/>
              </w:rPr>
            </w:pPr>
            <w:r w:rsidRPr="00BD05AE">
              <w:rPr>
                <w:rFonts w:cs="Calibri"/>
                <w:sz w:val="20"/>
                <w:szCs w:val="20"/>
              </w:rPr>
              <w:t>0%</w:t>
            </w:r>
          </w:p>
        </w:tc>
      </w:tr>
      <w:tr w:rsidR="0027503F" w:rsidRPr="00A95754" w14:paraId="7A4AD445" w14:textId="77777777" w:rsidTr="00094E2F">
        <w:tc>
          <w:tcPr>
            <w:tcW w:w="1727" w:type="pct"/>
            <w:vAlign w:val="center"/>
          </w:tcPr>
          <w:p w14:paraId="050BC232" w14:textId="77777777" w:rsidR="0027503F" w:rsidRPr="00A95754" w:rsidRDefault="0027503F" w:rsidP="00094E2F">
            <w:pPr>
              <w:pStyle w:val="TableText0"/>
              <w:rPr>
                <w:sz w:val="20"/>
                <w:szCs w:val="20"/>
              </w:rPr>
            </w:pPr>
            <w:r w:rsidRPr="00A95754">
              <w:rPr>
                <w:sz w:val="20"/>
                <w:szCs w:val="20"/>
              </w:rPr>
              <w:t>Total QALYs (discounted)</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2F259E15" w14:textId="77777777" w:rsidR="0027503F" w:rsidRPr="00BD05AE" w:rsidRDefault="0027503F" w:rsidP="00094E2F">
            <w:pPr>
              <w:pStyle w:val="TableText0"/>
              <w:jc w:val="center"/>
              <w:rPr>
                <w:rFonts w:cs="Calibri"/>
                <w:sz w:val="20"/>
                <w:szCs w:val="20"/>
              </w:rPr>
            </w:pPr>
            <w:r w:rsidRPr="00BD05AE">
              <w:rPr>
                <w:rFonts w:cs="Calibri"/>
                <w:sz w:val="20"/>
                <w:szCs w:val="20"/>
              </w:rPr>
              <w:t>1.259</w:t>
            </w:r>
          </w:p>
        </w:tc>
        <w:tc>
          <w:tcPr>
            <w:tcW w:w="818" w:type="pct"/>
            <w:tcBorders>
              <w:top w:val="single" w:sz="4" w:space="0" w:color="auto"/>
              <w:left w:val="nil"/>
              <w:bottom w:val="single" w:sz="4" w:space="0" w:color="auto"/>
              <w:right w:val="single" w:sz="4" w:space="0" w:color="auto"/>
            </w:tcBorders>
            <w:shd w:val="clear" w:color="auto" w:fill="auto"/>
            <w:vAlign w:val="bottom"/>
          </w:tcPr>
          <w:p w14:paraId="512E4727" w14:textId="77777777" w:rsidR="0027503F" w:rsidRPr="00A95754" w:rsidRDefault="0027503F" w:rsidP="00094E2F">
            <w:pPr>
              <w:pStyle w:val="TableText0"/>
              <w:jc w:val="center"/>
              <w:rPr>
                <w:rFonts w:cs="Calibri"/>
                <w:sz w:val="20"/>
                <w:szCs w:val="20"/>
              </w:rPr>
            </w:pPr>
            <w:r w:rsidRPr="00A95754">
              <w:rPr>
                <w:rFonts w:cs="Calibri"/>
                <w:sz w:val="20"/>
                <w:szCs w:val="20"/>
              </w:rPr>
              <w:t>0.947</w:t>
            </w:r>
          </w:p>
        </w:tc>
        <w:tc>
          <w:tcPr>
            <w:tcW w:w="818" w:type="pct"/>
            <w:tcBorders>
              <w:top w:val="single" w:sz="4" w:space="0" w:color="auto"/>
              <w:left w:val="nil"/>
              <w:bottom w:val="single" w:sz="4" w:space="0" w:color="auto"/>
              <w:right w:val="single" w:sz="4" w:space="0" w:color="auto"/>
            </w:tcBorders>
            <w:shd w:val="clear" w:color="auto" w:fill="auto"/>
            <w:vAlign w:val="bottom"/>
          </w:tcPr>
          <w:p w14:paraId="776C9492" w14:textId="77777777" w:rsidR="0027503F" w:rsidRPr="00BD05AE" w:rsidRDefault="0027503F" w:rsidP="00094E2F">
            <w:pPr>
              <w:pStyle w:val="TableText0"/>
              <w:jc w:val="center"/>
              <w:rPr>
                <w:rFonts w:cs="Calibri"/>
                <w:sz w:val="20"/>
                <w:szCs w:val="20"/>
              </w:rPr>
            </w:pPr>
            <w:r w:rsidRPr="00BD05AE">
              <w:rPr>
                <w:rFonts w:cs="Calibri"/>
                <w:sz w:val="20"/>
                <w:szCs w:val="20"/>
              </w:rPr>
              <w:t>0.312</w:t>
            </w:r>
          </w:p>
        </w:tc>
        <w:tc>
          <w:tcPr>
            <w:tcW w:w="819" w:type="pct"/>
            <w:tcBorders>
              <w:top w:val="single" w:sz="4" w:space="0" w:color="auto"/>
              <w:left w:val="nil"/>
              <w:bottom w:val="single" w:sz="4" w:space="0" w:color="auto"/>
              <w:right w:val="single" w:sz="4" w:space="0" w:color="auto"/>
            </w:tcBorders>
            <w:shd w:val="clear" w:color="auto" w:fill="auto"/>
            <w:vAlign w:val="bottom"/>
          </w:tcPr>
          <w:p w14:paraId="1B8C8EB1" w14:textId="77777777" w:rsidR="0027503F" w:rsidRPr="00BD05AE" w:rsidRDefault="0027503F" w:rsidP="00094E2F">
            <w:pPr>
              <w:pStyle w:val="TableText0"/>
              <w:jc w:val="center"/>
              <w:rPr>
                <w:rFonts w:cs="Calibri"/>
                <w:sz w:val="20"/>
                <w:szCs w:val="20"/>
              </w:rPr>
            </w:pPr>
            <w:r w:rsidRPr="00BD05AE">
              <w:rPr>
                <w:rFonts w:cs="Calibri"/>
                <w:sz w:val="20"/>
                <w:szCs w:val="20"/>
              </w:rPr>
              <w:t>100%</w:t>
            </w:r>
          </w:p>
        </w:tc>
      </w:tr>
      <w:tr w:rsidR="0027503F" w:rsidRPr="00A95754" w14:paraId="56F16CB5" w14:textId="77777777" w:rsidTr="00094E2F">
        <w:tc>
          <w:tcPr>
            <w:tcW w:w="5000" w:type="pct"/>
            <w:gridSpan w:val="5"/>
            <w:tcBorders>
              <w:right w:val="single" w:sz="4" w:space="0" w:color="auto"/>
            </w:tcBorders>
            <w:vAlign w:val="center"/>
          </w:tcPr>
          <w:p w14:paraId="23BE4F35" w14:textId="77777777" w:rsidR="0027503F" w:rsidRPr="00BD05AE" w:rsidRDefault="0027503F" w:rsidP="00094E2F">
            <w:pPr>
              <w:pStyle w:val="TableText0"/>
              <w:rPr>
                <w:rFonts w:cs="Calibri"/>
                <w:sz w:val="20"/>
                <w:szCs w:val="20"/>
              </w:rPr>
            </w:pPr>
            <w:r w:rsidRPr="00BD05AE">
              <w:rPr>
                <w:rFonts w:cs="Calibri"/>
                <w:sz w:val="20"/>
                <w:szCs w:val="20"/>
              </w:rPr>
              <w:t>LYs (discounted)</w:t>
            </w:r>
          </w:p>
        </w:tc>
      </w:tr>
      <w:tr w:rsidR="0027503F" w:rsidRPr="00377C1F" w14:paraId="7785B4C1" w14:textId="77777777" w:rsidTr="00094E2F">
        <w:tc>
          <w:tcPr>
            <w:tcW w:w="1727" w:type="pct"/>
            <w:vAlign w:val="center"/>
          </w:tcPr>
          <w:p w14:paraId="06E44E66" w14:textId="77777777" w:rsidR="0027503F" w:rsidRPr="00377C1F" w:rsidRDefault="0027503F" w:rsidP="00094E2F">
            <w:pPr>
              <w:pStyle w:val="TableText0"/>
              <w:rPr>
                <w:sz w:val="20"/>
                <w:szCs w:val="20"/>
              </w:rPr>
            </w:pPr>
            <w:r w:rsidRPr="00377C1F">
              <w:rPr>
                <w:sz w:val="20"/>
                <w:szCs w:val="20"/>
              </w:rPr>
              <w:t xml:space="preserve">PFS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7FA04F15" w14:textId="77777777" w:rsidR="0027503F" w:rsidRPr="00BD05AE" w:rsidRDefault="0027503F" w:rsidP="00094E2F">
            <w:pPr>
              <w:pStyle w:val="TableText0"/>
              <w:jc w:val="center"/>
              <w:rPr>
                <w:rFonts w:cs="Calibri"/>
                <w:sz w:val="20"/>
                <w:szCs w:val="20"/>
              </w:rPr>
            </w:pPr>
            <w:r w:rsidRPr="00BD05AE">
              <w:rPr>
                <w:rFonts w:cs="Calibri"/>
                <w:sz w:val="20"/>
                <w:szCs w:val="20"/>
              </w:rPr>
              <w:t>0.643</w:t>
            </w:r>
          </w:p>
        </w:tc>
        <w:tc>
          <w:tcPr>
            <w:tcW w:w="818" w:type="pct"/>
            <w:tcBorders>
              <w:top w:val="single" w:sz="4" w:space="0" w:color="auto"/>
              <w:left w:val="nil"/>
              <w:bottom w:val="single" w:sz="4" w:space="0" w:color="auto"/>
              <w:right w:val="single" w:sz="4" w:space="0" w:color="auto"/>
            </w:tcBorders>
            <w:shd w:val="clear" w:color="auto" w:fill="auto"/>
            <w:vAlign w:val="bottom"/>
          </w:tcPr>
          <w:p w14:paraId="4406C307" w14:textId="77777777" w:rsidR="0027503F" w:rsidRPr="00377C1F" w:rsidRDefault="0027503F" w:rsidP="00094E2F">
            <w:pPr>
              <w:pStyle w:val="TableText0"/>
              <w:jc w:val="center"/>
              <w:rPr>
                <w:rFonts w:cs="Calibri"/>
                <w:sz w:val="20"/>
                <w:szCs w:val="20"/>
              </w:rPr>
            </w:pPr>
            <w:r w:rsidRPr="00377C1F">
              <w:rPr>
                <w:rFonts w:cs="Calibri"/>
                <w:sz w:val="20"/>
                <w:szCs w:val="20"/>
              </w:rPr>
              <w:t>0.532</w:t>
            </w:r>
          </w:p>
        </w:tc>
        <w:tc>
          <w:tcPr>
            <w:tcW w:w="818" w:type="pct"/>
            <w:tcBorders>
              <w:top w:val="single" w:sz="4" w:space="0" w:color="auto"/>
              <w:left w:val="nil"/>
              <w:bottom w:val="single" w:sz="4" w:space="0" w:color="auto"/>
              <w:right w:val="single" w:sz="4" w:space="0" w:color="auto"/>
            </w:tcBorders>
            <w:shd w:val="clear" w:color="auto" w:fill="auto"/>
            <w:vAlign w:val="bottom"/>
          </w:tcPr>
          <w:p w14:paraId="5274BAAF" w14:textId="77777777" w:rsidR="0027503F" w:rsidRPr="00BD05AE" w:rsidRDefault="0027503F" w:rsidP="00094E2F">
            <w:pPr>
              <w:pStyle w:val="TableText0"/>
              <w:jc w:val="center"/>
              <w:rPr>
                <w:rFonts w:cs="Calibri"/>
                <w:sz w:val="20"/>
                <w:szCs w:val="20"/>
              </w:rPr>
            </w:pPr>
            <w:r w:rsidRPr="00BD05AE">
              <w:rPr>
                <w:sz w:val="20"/>
                <w:szCs w:val="20"/>
              </w:rPr>
              <w:t>0.111</w:t>
            </w:r>
          </w:p>
        </w:tc>
        <w:tc>
          <w:tcPr>
            <w:tcW w:w="819" w:type="pct"/>
            <w:tcBorders>
              <w:top w:val="single" w:sz="4" w:space="0" w:color="auto"/>
              <w:left w:val="nil"/>
              <w:bottom w:val="single" w:sz="4" w:space="0" w:color="auto"/>
              <w:right w:val="single" w:sz="4" w:space="0" w:color="auto"/>
            </w:tcBorders>
            <w:shd w:val="clear" w:color="auto" w:fill="auto"/>
            <w:vAlign w:val="bottom"/>
          </w:tcPr>
          <w:p w14:paraId="632AAEED" w14:textId="77777777" w:rsidR="0027503F" w:rsidRPr="00BD05AE" w:rsidRDefault="0027503F" w:rsidP="00094E2F">
            <w:pPr>
              <w:pStyle w:val="TableText0"/>
              <w:jc w:val="center"/>
              <w:rPr>
                <w:rFonts w:cs="Calibri"/>
                <w:sz w:val="20"/>
                <w:szCs w:val="20"/>
              </w:rPr>
            </w:pPr>
            <w:r w:rsidRPr="00BD05AE">
              <w:rPr>
                <w:rFonts w:cs="Calibri"/>
                <w:sz w:val="20"/>
                <w:szCs w:val="20"/>
              </w:rPr>
              <w:t>28%</w:t>
            </w:r>
          </w:p>
        </w:tc>
      </w:tr>
      <w:tr w:rsidR="0027503F" w:rsidRPr="00377C1F" w14:paraId="11423E57" w14:textId="77777777" w:rsidTr="00094E2F">
        <w:tc>
          <w:tcPr>
            <w:tcW w:w="1727" w:type="pct"/>
            <w:vAlign w:val="center"/>
          </w:tcPr>
          <w:p w14:paraId="5F743737" w14:textId="77777777" w:rsidR="0027503F" w:rsidRPr="00377C1F" w:rsidRDefault="0027503F" w:rsidP="00094E2F">
            <w:pPr>
              <w:pStyle w:val="TableText0"/>
              <w:rPr>
                <w:sz w:val="20"/>
                <w:szCs w:val="20"/>
              </w:rPr>
            </w:pPr>
            <w:r w:rsidRPr="00377C1F">
              <w:rPr>
                <w:sz w:val="20"/>
                <w:szCs w:val="20"/>
              </w:rPr>
              <w:t>PD</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0877106D" w14:textId="77777777" w:rsidR="0027503F" w:rsidRPr="00BD05AE" w:rsidRDefault="0027503F" w:rsidP="00094E2F">
            <w:pPr>
              <w:pStyle w:val="TableText0"/>
              <w:jc w:val="center"/>
              <w:rPr>
                <w:rFonts w:cs="Calibri"/>
                <w:sz w:val="20"/>
                <w:szCs w:val="20"/>
              </w:rPr>
            </w:pPr>
            <w:r w:rsidRPr="00BD05AE">
              <w:rPr>
                <w:rFonts w:cs="Calibri"/>
                <w:sz w:val="20"/>
                <w:szCs w:val="20"/>
              </w:rPr>
              <w:t>0.925</w:t>
            </w:r>
          </w:p>
        </w:tc>
        <w:tc>
          <w:tcPr>
            <w:tcW w:w="818" w:type="pct"/>
            <w:tcBorders>
              <w:top w:val="single" w:sz="4" w:space="0" w:color="auto"/>
              <w:left w:val="nil"/>
              <w:bottom w:val="single" w:sz="4" w:space="0" w:color="auto"/>
              <w:right w:val="single" w:sz="4" w:space="0" w:color="auto"/>
            </w:tcBorders>
            <w:shd w:val="clear" w:color="auto" w:fill="auto"/>
            <w:vAlign w:val="bottom"/>
          </w:tcPr>
          <w:p w14:paraId="5ABDD819" w14:textId="77777777" w:rsidR="0027503F" w:rsidRPr="00377C1F" w:rsidRDefault="0027503F" w:rsidP="00094E2F">
            <w:pPr>
              <w:pStyle w:val="TableText0"/>
              <w:jc w:val="center"/>
              <w:rPr>
                <w:rFonts w:cs="Calibri"/>
                <w:sz w:val="20"/>
                <w:szCs w:val="20"/>
              </w:rPr>
            </w:pPr>
            <w:r w:rsidRPr="00377C1F">
              <w:rPr>
                <w:rFonts w:cs="Calibri"/>
                <w:sz w:val="20"/>
                <w:szCs w:val="20"/>
              </w:rPr>
              <w:t>0.643</w:t>
            </w:r>
          </w:p>
        </w:tc>
        <w:tc>
          <w:tcPr>
            <w:tcW w:w="818" w:type="pct"/>
            <w:tcBorders>
              <w:top w:val="single" w:sz="4" w:space="0" w:color="auto"/>
              <w:left w:val="nil"/>
              <w:bottom w:val="single" w:sz="4" w:space="0" w:color="auto"/>
              <w:right w:val="single" w:sz="4" w:space="0" w:color="auto"/>
            </w:tcBorders>
            <w:shd w:val="clear" w:color="auto" w:fill="auto"/>
            <w:vAlign w:val="bottom"/>
          </w:tcPr>
          <w:p w14:paraId="40182141" w14:textId="77777777" w:rsidR="0027503F" w:rsidRPr="00BD05AE" w:rsidRDefault="0027503F" w:rsidP="00094E2F">
            <w:pPr>
              <w:pStyle w:val="TableText0"/>
              <w:jc w:val="center"/>
              <w:rPr>
                <w:rFonts w:cs="Calibri"/>
                <w:sz w:val="20"/>
                <w:szCs w:val="20"/>
              </w:rPr>
            </w:pPr>
            <w:r w:rsidRPr="00BD05AE">
              <w:rPr>
                <w:sz w:val="20"/>
                <w:szCs w:val="20"/>
              </w:rPr>
              <w:t>0.282</w:t>
            </w:r>
          </w:p>
        </w:tc>
        <w:tc>
          <w:tcPr>
            <w:tcW w:w="819" w:type="pct"/>
            <w:tcBorders>
              <w:top w:val="single" w:sz="4" w:space="0" w:color="auto"/>
              <w:left w:val="nil"/>
              <w:bottom w:val="single" w:sz="4" w:space="0" w:color="auto"/>
              <w:right w:val="single" w:sz="4" w:space="0" w:color="auto"/>
            </w:tcBorders>
            <w:shd w:val="clear" w:color="auto" w:fill="auto"/>
            <w:vAlign w:val="bottom"/>
          </w:tcPr>
          <w:p w14:paraId="78C0A336" w14:textId="77777777" w:rsidR="0027503F" w:rsidRPr="00BD05AE" w:rsidRDefault="0027503F" w:rsidP="00094E2F">
            <w:pPr>
              <w:pStyle w:val="TableText0"/>
              <w:jc w:val="center"/>
              <w:rPr>
                <w:rFonts w:cs="Calibri"/>
                <w:sz w:val="20"/>
                <w:szCs w:val="20"/>
              </w:rPr>
            </w:pPr>
            <w:r w:rsidRPr="00BD05AE">
              <w:rPr>
                <w:rFonts w:cs="Calibri"/>
                <w:sz w:val="20"/>
                <w:szCs w:val="20"/>
              </w:rPr>
              <w:t>72%</w:t>
            </w:r>
          </w:p>
        </w:tc>
      </w:tr>
      <w:tr w:rsidR="0027503F" w:rsidRPr="00A95754" w14:paraId="7748E591" w14:textId="77777777" w:rsidTr="00094E2F">
        <w:tc>
          <w:tcPr>
            <w:tcW w:w="1727" w:type="pct"/>
            <w:vAlign w:val="center"/>
          </w:tcPr>
          <w:p w14:paraId="355E3C7D" w14:textId="77777777" w:rsidR="0027503F" w:rsidRPr="00277ED2" w:rsidRDefault="0027503F" w:rsidP="00094E2F">
            <w:pPr>
              <w:pStyle w:val="TableText0"/>
              <w:rPr>
                <w:sz w:val="20"/>
                <w:szCs w:val="20"/>
              </w:rPr>
            </w:pPr>
            <w:r w:rsidRPr="00277ED2">
              <w:rPr>
                <w:sz w:val="20"/>
                <w:szCs w:val="20"/>
              </w:rPr>
              <w:t>Total LYs (discounted)</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14:paraId="7B4359AE" w14:textId="77777777" w:rsidR="0027503F" w:rsidRPr="00BD05AE" w:rsidRDefault="0027503F" w:rsidP="00094E2F">
            <w:pPr>
              <w:pStyle w:val="TableText0"/>
              <w:jc w:val="center"/>
              <w:rPr>
                <w:rFonts w:cs="Calibri"/>
                <w:sz w:val="20"/>
                <w:szCs w:val="20"/>
              </w:rPr>
            </w:pPr>
            <w:r w:rsidRPr="00BD05AE">
              <w:rPr>
                <w:rFonts w:cs="Calibri"/>
                <w:sz w:val="20"/>
                <w:szCs w:val="20"/>
              </w:rPr>
              <w:t>1.568</w:t>
            </w:r>
          </w:p>
        </w:tc>
        <w:tc>
          <w:tcPr>
            <w:tcW w:w="818" w:type="pct"/>
            <w:tcBorders>
              <w:top w:val="single" w:sz="4" w:space="0" w:color="auto"/>
              <w:left w:val="nil"/>
              <w:bottom w:val="single" w:sz="4" w:space="0" w:color="auto"/>
              <w:right w:val="single" w:sz="4" w:space="0" w:color="auto"/>
            </w:tcBorders>
            <w:shd w:val="clear" w:color="auto" w:fill="auto"/>
            <w:vAlign w:val="bottom"/>
          </w:tcPr>
          <w:p w14:paraId="61D452FB" w14:textId="77777777" w:rsidR="0027503F" w:rsidRPr="00277ED2" w:rsidRDefault="0027503F" w:rsidP="00094E2F">
            <w:pPr>
              <w:pStyle w:val="TableText0"/>
              <w:jc w:val="center"/>
              <w:rPr>
                <w:rFonts w:cs="Calibri"/>
                <w:sz w:val="20"/>
                <w:szCs w:val="20"/>
              </w:rPr>
            </w:pPr>
            <w:r w:rsidRPr="00277ED2">
              <w:rPr>
                <w:rFonts w:cs="Calibri"/>
                <w:sz w:val="20"/>
                <w:szCs w:val="20"/>
              </w:rPr>
              <w:t>1.174</w:t>
            </w:r>
          </w:p>
        </w:tc>
        <w:tc>
          <w:tcPr>
            <w:tcW w:w="818" w:type="pct"/>
            <w:tcBorders>
              <w:top w:val="single" w:sz="4" w:space="0" w:color="auto"/>
              <w:left w:val="nil"/>
              <w:bottom w:val="single" w:sz="4" w:space="0" w:color="auto"/>
              <w:right w:val="single" w:sz="4" w:space="0" w:color="auto"/>
            </w:tcBorders>
            <w:shd w:val="clear" w:color="auto" w:fill="auto"/>
            <w:vAlign w:val="bottom"/>
          </w:tcPr>
          <w:p w14:paraId="2980613E" w14:textId="1636C02C" w:rsidR="0027503F" w:rsidRPr="00BD05AE" w:rsidRDefault="0027503F" w:rsidP="00094E2F">
            <w:pPr>
              <w:pStyle w:val="TableText0"/>
              <w:jc w:val="center"/>
              <w:rPr>
                <w:rFonts w:cs="Calibri"/>
                <w:sz w:val="20"/>
                <w:szCs w:val="20"/>
              </w:rPr>
            </w:pPr>
            <w:r w:rsidRPr="00BD05AE">
              <w:rPr>
                <w:sz w:val="20"/>
                <w:szCs w:val="20"/>
              </w:rPr>
              <w:t>0.394</w:t>
            </w:r>
          </w:p>
        </w:tc>
        <w:tc>
          <w:tcPr>
            <w:tcW w:w="819" w:type="pct"/>
            <w:tcBorders>
              <w:top w:val="single" w:sz="4" w:space="0" w:color="auto"/>
              <w:left w:val="nil"/>
              <w:bottom w:val="single" w:sz="4" w:space="0" w:color="auto"/>
              <w:right w:val="single" w:sz="4" w:space="0" w:color="auto"/>
            </w:tcBorders>
            <w:shd w:val="clear" w:color="auto" w:fill="auto"/>
            <w:vAlign w:val="bottom"/>
          </w:tcPr>
          <w:p w14:paraId="3D1F5D3E" w14:textId="77777777" w:rsidR="0027503F" w:rsidRPr="00BD05AE" w:rsidRDefault="0027503F" w:rsidP="00094E2F">
            <w:pPr>
              <w:pStyle w:val="TableText0"/>
              <w:jc w:val="center"/>
              <w:rPr>
                <w:rFonts w:cs="Calibri"/>
                <w:sz w:val="20"/>
                <w:szCs w:val="20"/>
              </w:rPr>
            </w:pPr>
            <w:r w:rsidRPr="00BD05AE">
              <w:rPr>
                <w:rFonts w:cs="Calibri"/>
                <w:sz w:val="20"/>
                <w:szCs w:val="20"/>
              </w:rPr>
              <w:t>100%</w:t>
            </w:r>
          </w:p>
        </w:tc>
      </w:tr>
    </w:tbl>
    <w:p w14:paraId="429BE7E8" w14:textId="77777777" w:rsidR="0027503F" w:rsidRPr="00A95754" w:rsidRDefault="0027503F" w:rsidP="00BA4874">
      <w:pPr>
        <w:pStyle w:val="TableFigureFooter"/>
      </w:pPr>
      <w:r w:rsidRPr="00A95754">
        <w:t>Source: Table 3.24 and Table 3.25, p 183 of the submission.</w:t>
      </w:r>
    </w:p>
    <w:p w14:paraId="721C8F69" w14:textId="77777777" w:rsidR="0027503F" w:rsidRPr="00A95754" w:rsidRDefault="0027503F" w:rsidP="00BA4874">
      <w:pPr>
        <w:pStyle w:val="TableFigureFooter"/>
      </w:pPr>
      <w:r w:rsidRPr="00A95754">
        <w:t>GemCis = gemcitabine + cisplatin; LYs = life years; PFS = progression free survival; PD = progressive disease; QALYs = quality adjusted life years; TEAEs = treatment emergent adverse events.</w:t>
      </w:r>
    </w:p>
    <w:p w14:paraId="4CB6B112" w14:textId="64A709F1" w:rsidR="0027503F" w:rsidRPr="00A95754" w:rsidRDefault="0027503F" w:rsidP="00E40FB3">
      <w:pPr>
        <w:pStyle w:val="3-BodyText"/>
      </w:pPr>
      <w:bookmarkStart w:id="49" w:name="_Ref127369727"/>
      <w:r w:rsidRPr="00A95754">
        <w:t>Univariate and multivariate sensitivity analyses are presented in</w:t>
      </w:r>
      <w:r w:rsidR="00CA3710" w:rsidRPr="00A95754">
        <w:t xml:space="preserve"> </w:t>
      </w:r>
      <w:r w:rsidR="00CA3710" w:rsidRPr="00A95754">
        <w:fldChar w:fldCharType="begin"/>
      </w:r>
      <w:r w:rsidR="00CA3710" w:rsidRPr="00A95754">
        <w:instrText xml:space="preserve"> REF _Ref124492271 \h </w:instrText>
      </w:r>
      <w:r w:rsidR="00A95754">
        <w:instrText xml:space="preserve"> \* MERGEFORMAT </w:instrText>
      </w:r>
      <w:r w:rsidR="00CA3710" w:rsidRPr="00A95754">
        <w:fldChar w:fldCharType="separate"/>
      </w:r>
      <w:r w:rsidR="000178EC" w:rsidRPr="00A95754">
        <w:t xml:space="preserve">Table </w:t>
      </w:r>
      <w:r w:rsidR="000178EC">
        <w:rPr>
          <w:noProof/>
        </w:rPr>
        <w:t>14</w:t>
      </w:r>
      <w:r w:rsidR="00CA3710" w:rsidRPr="00A95754">
        <w:fldChar w:fldCharType="end"/>
      </w:r>
      <w:r w:rsidRPr="00A95754">
        <w:t xml:space="preserve">. The </w:t>
      </w:r>
      <w:r w:rsidR="00607F75" w:rsidRPr="00B96260">
        <w:t>ESC noted the</w:t>
      </w:r>
      <w:r w:rsidR="00607F75">
        <w:t xml:space="preserve"> </w:t>
      </w:r>
      <w:r w:rsidRPr="00A95754">
        <w:t>model was sensitive to the:</w:t>
      </w:r>
      <w:bookmarkEnd w:id="49"/>
      <w:r w:rsidRPr="00A95754">
        <w:t xml:space="preserve"> </w:t>
      </w:r>
    </w:p>
    <w:p w14:paraId="697931FA" w14:textId="0BCC0DBD" w:rsidR="0027503F" w:rsidRPr="00515484" w:rsidRDefault="0027503F" w:rsidP="00E40FB3">
      <w:pPr>
        <w:pStyle w:val="ListBullet"/>
        <w:numPr>
          <w:ilvl w:val="0"/>
          <w:numId w:val="4"/>
        </w:numPr>
        <w:tabs>
          <w:tab w:val="num" w:pos="720"/>
        </w:tabs>
        <w:spacing w:after="120"/>
        <w:ind w:left="1134" w:hanging="357"/>
        <w:contextualSpacing w:val="0"/>
      </w:pPr>
      <w:r w:rsidRPr="00A95754">
        <w:t xml:space="preserve">Utilities values: </w:t>
      </w:r>
      <w:r w:rsidRPr="00A95754">
        <w:rPr>
          <w:iCs/>
        </w:rPr>
        <w:t xml:space="preserve">The submission conducted </w:t>
      </w:r>
      <w:r w:rsidRPr="00A95754">
        <w:t>sensitivity analyses using utility values from other value sets derived from TOPAZ-1: (i) UK cross walk analysis (5L to 3L); (ii) US crosswalk analysis; and (iii) UK Devlin analysis. The submission argued that since health state utilities based on UK and US value sets were derived indirectly, these are used in sensitivity analyses</w:t>
      </w:r>
      <w:r w:rsidR="00377C1F">
        <w:t xml:space="preserve">. </w:t>
      </w:r>
    </w:p>
    <w:p w14:paraId="697F38C8" w14:textId="2CE1A650" w:rsidR="0027503F" w:rsidRPr="00A95754" w:rsidRDefault="0027503F" w:rsidP="00E40FB3">
      <w:pPr>
        <w:pStyle w:val="ListBullet"/>
        <w:numPr>
          <w:ilvl w:val="0"/>
          <w:numId w:val="4"/>
        </w:numPr>
        <w:tabs>
          <w:tab w:val="num" w:pos="720"/>
        </w:tabs>
        <w:spacing w:after="120"/>
        <w:ind w:left="1134" w:hanging="357"/>
        <w:contextualSpacing w:val="0"/>
        <w:rPr>
          <w:i/>
          <w:iCs/>
        </w:rPr>
      </w:pPr>
      <w:r w:rsidRPr="00A95754">
        <w:t xml:space="preserve">Time horizon: Reducing the time horizon to 7.5 years increased the ICER to </w:t>
      </w:r>
      <w:r w:rsidR="00E40FB3" w:rsidRPr="00E40FB3">
        <w:t>$115,000 to &lt; $135,000</w:t>
      </w:r>
      <w:r w:rsidRPr="00A95754">
        <w:t xml:space="preserve">/QALY and reducing it to 5 years increased the ICER to </w:t>
      </w:r>
      <w:r w:rsidR="00AC49EB" w:rsidRPr="00AC49EB">
        <w:t>$135,000 to &lt; $155,000</w:t>
      </w:r>
      <w:r w:rsidRPr="00A95754">
        <w:t xml:space="preserve">/QALY. </w:t>
      </w:r>
    </w:p>
    <w:p w14:paraId="50B23F40" w14:textId="67B608BA" w:rsidR="0027503F" w:rsidRPr="00A95754" w:rsidRDefault="0027503F" w:rsidP="00E40FB3">
      <w:pPr>
        <w:pStyle w:val="ListBullet"/>
        <w:numPr>
          <w:ilvl w:val="0"/>
          <w:numId w:val="4"/>
        </w:numPr>
        <w:tabs>
          <w:tab w:val="num" w:pos="720"/>
        </w:tabs>
        <w:spacing w:after="120"/>
        <w:ind w:left="1134" w:hanging="357"/>
        <w:contextualSpacing w:val="0"/>
        <w:rPr>
          <w:snapToGrid w:val="0"/>
        </w:rPr>
      </w:pPr>
      <w:r w:rsidRPr="00A95754">
        <w:t>Costs of end-of-life care</w:t>
      </w:r>
      <w:r w:rsidRPr="00515484">
        <w:t xml:space="preserve">: The impact of the terminal care costs in the ICER is driven by the difference in the surviving proportions at the end of the model time horizon. </w:t>
      </w:r>
      <w:r w:rsidRPr="00515484">
        <w:rPr>
          <w:iCs/>
        </w:rPr>
        <w:t xml:space="preserve">Removing the costs of terminal care increased the ICER to </w:t>
      </w:r>
      <w:r w:rsidR="00AC49EB" w:rsidRPr="00AC49EB">
        <w:rPr>
          <w:iCs/>
        </w:rPr>
        <w:t>$115,000 to &lt; $135,000</w:t>
      </w:r>
      <w:r w:rsidRPr="00515484">
        <w:rPr>
          <w:iCs/>
        </w:rPr>
        <w:t>/QALY</w:t>
      </w:r>
      <w:r w:rsidRPr="00A95754">
        <w:rPr>
          <w:i/>
          <w:iCs/>
        </w:rPr>
        <w:t xml:space="preserve">. </w:t>
      </w:r>
    </w:p>
    <w:p w14:paraId="613157FC" w14:textId="4D79B437" w:rsidR="0027503F" w:rsidRPr="00A95754" w:rsidRDefault="0027503F" w:rsidP="00E40FB3">
      <w:pPr>
        <w:pStyle w:val="ListBullet"/>
        <w:numPr>
          <w:ilvl w:val="0"/>
          <w:numId w:val="4"/>
        </w:numPr>
        <w:tabs>
          <w:tab w:val="num" w:pos="720"/>
        </w:tabs>
        <w:spacing w:after="120"/>
        <w:ind w:left="1134" w:hanging="357"/>
        <w:contextualSpacing w:val="0"/>
        <w:rPr>
          <w:snapToGrid w:val="0"/>
        </w:rPr>
      </w:pPr>
      <w:r w:rsidRPr="00A95754">
        <w:rPr>
          <w:snapToGrid w:val="0"/>
        </w:rPr>
        <w:t xml:space="preserve">Removal of post-progression use durvalumab: if it is assumed that durvalumab is ceased at disease progression, consistent with the proposed PBS listing, the ICER was </w:t>
      </w:r>
      <w:r w:rsidR="00AC49EB" w:rsidRPr="00AC49EB">
        <w:rPr>
          <w:snapToGrid w:val="0"/>
        </w:rPr>
        <w:t>$95,000 to &lt; $115,000</w:t>
      </w:r>
      <w:r w:rsidRPr="00A95754">
        <w:rPr>
          <w:snapToGrid w:val="0"/>
        </w:rPr>
        <w:t>/QALY.</w:t>
      </w:r>
      <w:r w:rsidRPr="00A95754">
        <w:rPr>
          <w:i/>
          <w:iCs/>
          <w:snapToGrid w:val="0"/>
        </w:rPr>
        <w:t xml:space="preserve"> </w:t>
      </w:r>
      <w:r w:rsidRPr="00515484">
        <w:rPr>
          <w:snapToGrid w:val="0"/>
        </w:rPr>
        <w:t>This sensitivity analysis assumed no change in clinical efficacy despite less cumulative durvalumab.</w:t>
      </w:r>
    </w:p>
    <w:p w14:paraId="3D09414E" w14:textId="77777777" w:rsidR="0027503F" w:rsidRPr="00A95754" w:rsidRDefault="0027503F" w:rsidP="00BA4874">
      <w:pPr>
        <w:pStyle w:val="ListBullet"/>
        <w:ind w:left="360"/>
        <w:rPr>
          <w:i/>
          <w:iCs/>
        </w:rPr>
      </w:pPr>
    </w:p>
    <w:p w14:paraId="617AF5A9" w14:textId="253EEE19" w:rsidR="0027503F" w:rsidRPr="00A95754" w:rsidRDefault="0027503F" w:rsidP="00C46AAD">
      <w:pPr>
        <w:pStyle w:val="TableFigureHeading"/>
        <w:pageBreakBefore/>
      </w:pPr>
      <w:bookmarkStart w:id="50" w:name="_Ref124492271"/>
      <w:r w:rsidRPr="00A95754">
        <w:lastRenderedPageBreak/>
        <w:t xml:space="preserve">Table </w:t>
      </w:r>
      <w:fldSimple w:instr=" SEQ Table \* ARABIC ">
        <w:r w:rsidR="000178EC">
          <w:rPr>
            <w:noProof/>
          </w:rPr>
          <w:t>14</w:t>
        </w:r>
      </w:fldSimple>
      <w:bookmarkEnd w:id="50"/>
      <w:r w:rsidRPr="00A95754">
        <w:rPr>
          <w:rStyle w:val="CommentReference"/>
          <w:b/>
          <w:szCs w:val="24"/>
        </w:rPr>
        <w:t>: Results of key univariate and multivariate sensitivity analyses</w:t>
      </w:r>
    </w:p>
    <w:tbl>
      <w:tblPr>
        <w:tblStyle w:val="TableGrid"/>
        <w:tblW w:w="4993" w:type="pct"/>
        <w:tblLayout w:type="fixed"/>
        <w:tblLook w:val="04A0" w:firstRow="1" w:lastRow="0" w:firstColumn="1" w:lastColumn="0" w:noHBand="0" w:noVBand="1"/>
      </w:tblPr>
      <w:tblGrid>
        <w:gridCol w:w="3964"/>
        <w:gridCol w:w="1181"/>
        <w:gridCol w:w="1288"/>
        <w:gridCol w:w="1343"/>
        <w:gridCol w:w="1228"/>
      </w:tblGrid>
      <w:tr w:rsidR="0027503F" w:rsidRPr="00A95754" w14:paraId="1E97C42D" w14:textId="77777777" w:rsidTr="002A5C66">
        <w:trPr>
          <w:tblHeader/>
        </w:trPr>
        <w:tc>
          <w:tcPr>
            <w:tcW w:w="2201" w:type="pct"/>
            <w:shd w:val="clear" w:color="auto" w:fill="auto"/>
            <w:vAlign w:val="center"/>
          </w:tcPr>
          <w:p w14:paraId="452F496F" w14:textId="77777777" w:rsidR="0027503F" w:rsidRPr="00A95754" w:rsidRDefault="0027503F" w:rsidP="002A5C66">
            <w:pPr>
              <w:pStyle w:val="TableText0"/>
              <w:keepNext w:val="0"/>
            </w:pPr>
            <w:bookmarkStart w:id="51" w:name="_Hlk124416456"/>
          </w:p>
        </w:tc>
        <w:tc>
          <w:tcPr>
            <w:tcW w:w="656" w:type="pct"/>
            <w:shd w:val="clear" w:color="auto" w:fill="auto"/>
            <w:tcMar>
              <w:left w:w="0" w:type="dxa"/>
              <w:right w:w="0" w:type="dxa"/>
            </w:tcMar>
            <w:vAlign w:val="center"/>
          </w:tcPr>
          <w:p w14:paraId="4220F686" w14:textId="77777777" w:rsidR="0027503F" w:rsidRPr="00A95754" w:rsidRDefault="0027503F" w:rsidP="002A5C66">
            <w:pPr>
              <w:pStyle w:val="TableText0"/>
              <w:keepNext w:val="0"/>
              <w:jc w:val="center"/>
              <w:rPr>
                <w:b/>
                <w:bCs w:val="0"/>
              </w:rPr>
            </w:pPr>
            <w:r w:rsidRPr="00A95754">
              <w:rPr>
                <w:b/>
              </w:rPr>
              <w:t>Incremental costs</w:t>
            </w:r>
          </w:p>
        </w:tc>
        <w:tc>
          <w:tcPr>
            <w:tcW w:w="715" w:type="pct"/>
            <w:shd w:val="clear" w:color="auto" w:fill="auto"/>
            <w:vAlign w:val="center"/>
          </w:tcPr>
          <w:p w14:paraId="059E4C4C" w14:textId="77777777" w:rsidR="0027503F" w:rsidRPr="00A95754" w:rsidRDefault="0027503F" w:rsidP="002A5C66">
            <w:pPr>
              <w:pStyle w:val="TableText0"/>
              <w:jc w:val="center"/>
              <w:rPr>
                <w:b/>
                <w:bCs w:val="0"/>
              </w:rPr>
            </w:pPr>
            <w:r w:rsidRPr="00A95754">
              <w:rPr>
                <w:b/>
                <w:bCs w:val="0"/>
              </w:rPr>
              <w:t>Incremental QALYs</w:t>
            </w:r>
          </w:p>
        </w:tc>
        <w:tc>
          <w:tcPr>
            <w:tcW w:w="746" w:type="pct"/>
            <w:shd w:val="clear" w:color="auto" w:fill="auto"/>
            <w:vAlign w:val="center"/>
          </w:tcPr>
          <w:p w14:paraId="24E1BC61" w14:textId="77777777" w:rsidR="0027503F" w:rsidRPr="00A95754" w:rsidRDefault="0027503F" w:rsidP="002A5C66">
            <w:pPr>
              <w:pStyle w:val="TableText0"/>
              <w:keepNext w:val="0"/>
              <w:jc w:val="center"/>
              <w:rPr>
                <w:b/>
                <w:bCs w:val="0"/>
              </w:rPr>
            </w:pPr>
            <w:r w:rsidRPr="00A95754">
              <w:rPr>
                <w:b/>
              </w:rPr>
              <w:t>ICER</w:t>
            </w:r>
          </w:p>
          <w:p w14:paraId="030494A2" w14:textId="77777777" w:rsidR="0027503F" w:rsidRPr="00A95754" w:rsidRDefault="0027503F" w:rsidP="002A5C66">
            <w:pPr>
              <w:pStyle w:val="TableText0"/>
              <w:keepNext w:val="0"/>
              <w:jc w:val="center"/>
              <w:rPr>
                <w:b/>
                <w:bCs w:val="0"/>
              </w:rPr>
            </w:pPr>
            <w:r w:rsidRPr="00A95754">
              <w:rPr>
                <w:b/>
              </w:rPr>
              <w:t>($/QALY)</w:t>
            </w:r>
          </w:p>
        </w:tc>
        <w:tc>
          <w:tcPr>
            <w:tcW w:w="682" w:type="pct"/>
          </w:tcPr>
          <w:p w14:paraId="61C6B196" w14:textId="77777777" w:rsidR="0027503F" w:rsidRPr="00A95754" w:rsidRDefault="0027503F" w:rsidP="002A5C66">
            <w:pPr>
              <w:pStyle w:val="TableText0"/>
              <w:keepNext w:val="0"/>
              <w:jc w:val="center"/>
              <w:rPr>
                <w:b/>
                <w:bCs w:val="0"/>
              </w:rPr>
            </w:pPr>
            <w:r w:rsidRPr="00A95754">
              <w:rPr>
                <w:rFonts w:cstheme="minorHAnsi"/>
                <w:b/>
                <w:color w:val="000000"/>
                <w:szCs w:val="20"/>
              </w:rPr>
              <w:t>Change (%) to base case ICER</w:t>
            </w:r>
          </w:p>
        </w:tc>
      </w:tr>
      <w:tr w:rsidR="0027503F" w:rsidRPr="00A95754" w14:paraId="4C331DA5" w14:textId="77777777" w:rsidTr="002A5C66">
        <w:tc>
          <w:tcPr>
            <w:tcW w:w="2201" w:type="pct"/>
            <w:tcBorders>
              <w:bottom w:val="single" w:sz="4" w:space="0" w:color="auto"/>
            </w:tcBorders>
            <w:vAlign w:val="center"/>
          </w:tcPr>
          <w:p w14:paraId="3F4DC66B" w14:textId="77777777" w:rsidR="0027503F" w:rsidRPr="00A95754" w:rsidRDefault="0027503F" w:rsidP="00094E2F">
            <w:pPr>
              <w:pStyle w:val="TableText0"/>
              <w:keepNext w:val="0"/>
            </w:pPr>
            <w:r w:rsidRPr="00A95754">
              <w:t>Base case</w:t>
            </w:r>
          </w:p>
        </w:tc>
        <w:tc>
          <w:tcPr>
            <w:tcW w:w="656" w:type="pct"/>
            <w:tcBorders>
              <w:bottom w:val="single" w:sz="4" w:space="0" w:color="auto"/>
            </w:tcBorders>
            <w:vAlign w:val="center"/>
          </w:tcPr>
          <w:p w14:paraId="25C1C912" w14:textId="30B5B6D8" w:rsidR="0027503F" w:rsidRPr="00A95754" w:rsidRDefault="0027503F" w:rsidP="00094E2F">
            <w:pPr>
              <w:pStyle w:val="TableText0"/>
              <w:keepNext w:val="0"/>
              <w:jc w:val="center"/>
            </w:pPr>
            <w:r w:rsidRPr="00A95754">
              <w:t>$</w:t>
            </w:r>
            <w:r w:rsidR="003C043D" w:rsidRPr="003C043D">
              <w:rPr>
                <w:color w:val="000000"/>
                <w:spacing w:val="180"/>
                <w:shd w:val="solid" w:color="000000" w:fill="000000"/>
                <w:fitText w:val="266" w:id="-1233371136"/>
                <w14:textFill>
                  <w14:solidFill>
                    <w14:srgbClr w14:val="000000">
                      <w14:alpha w14:val="100000"/>
                    </w14:srgbClr>
                  </w14:solidFill>
                </w14:textFill>
              </w:rPr>
              <w:t>|</w:t>
            </w:r>
            <w:r w:rsidR="003C043D" w:rsidRPr="003C043D">
              <w:rPr>
                <w:color w:val="000000"/>
                <w:spacing w:val="1"/>
                <w:shd w:val="solid" w:color="000000" w:fill="000000"/>
                <w:fitText w:val="266" w:id="-1233371136"/>
                <w14:textFill>
                  <w14:solidFill>
                    <w14:srgbClr w14:val="000000">
                      <w14:alpha w14:val="100000"/>
                    </w14:srgbClr>
                  </w14:solidFill>
                </w14:textFill>
              </w:rPr>
              <w:t>|</w:t>
            </w:r>
          </w:p>
        </w:tc>
        <w:tc>
          <w:tcPr>
            <w:tcW w:w="715" w:type="pct"/>
            <w:tcBorders>
              <w:bottom w:val="single" w:sz="4" w:space="0" w:color="auto"/>
            </w:tcBorders>
            <w:vAlign w:val="center"/>
          </w:tcPr>
          <w:p w14:paraId="164B74FC" w14:textId="77777777" w:rsidR="0027503F" w:rsidRPr="00A95754" w:rsidRDefault="0027503F" w:rsidP="00094E2F">
            <w:pPr>
              <w:pStyle w:val="TableText0"/>
              <w:keepNext w:val="0"/>
              <w:jc w:val="center"/>
            </w:pPr>
            <w:r w:rsidRPr="00A95754">
              <w:t>0.312</w:t>
            </w:r>
          </w:p>
        </w:tc>
        <w:tc>
          <w:tcPr>
            <w:tcW w:w="746" w:type="pct"/>
            <w:tcBorders>
              <w:bottom w:val="single" w:sz="4" w:space="0" w:color="auto"/>
            </w:tcBorders>
            <w:vAlign w:val="center"/>
          </w:tcPr>
          <w:p w14:paraId="67D398EC" w14:textId="677F002B" w:rsidR="0027503F" w:rsidRPr="00AC49EB" w:rsidRDefault="0027503F" w:rsidP="00094E2F">
            <w:pPr>
              <w:pStyle w:val="TableText0"/>
              <w:keepNext w:val="0"/>
              <w:jc w:val="center"/>
              <w:rPr>
                <w:vertAlign w:val="superscript"/>
              </w:rPr>
            </w:pPr>
            <w:r w:rsidRPr="00A95754">
              <w:t>$</w:t>
            </w:r>
            <w:r w:rsidR="003C043D" w:rsidRPr="003C043D">
              <w:rPr>
                <w:color w:val="000000"/>
                <w:spacing w:val="163"/>
                <w:shd w:val="solid" w:color="000000" w:fill="000000"/>
                <w:fitText w:val="249" w:id="-1233371135"/>
                <w14:textFill>
                  <w14:solidFill>
                    <w14:srgbClr w14:val="000000">
                      <w14:alpha w14:val="100000"/>
                    </w14:srgbClr>
                  </w14:solidFill>
                </w14:textFill>
              </w:rPr>
              <w:t>|</w:t>
            </w:r>
            <w:r w:rsidR="003C043D" w:rsidRPr="003C043D">
              <w:rPr>
                <w:color w:val="000000"/>
                <w:spacing w:val="1"/>
                <w:shd w:val="solid" w:color="000000" w:fill="000000"/>
                <w:fitText w:val="249" w:id="-1233371135"/>
                <w14:textFill>
                  <w14:solidFill>
                    <w14:srgbClr w14:val="000000">
                      <w14:alpha w14:val="100000"/>
                    </w14:srgbClr>
                  </w14:solidFill>
                </w14:textFill>
              </w:rPr>
              <w:t>|</w:t>
            </w:r>
            <w:r w:rsidR="00AC49EB">
              <w:t xml:space="preserve"> </w:t>
            </w:r>
            <w:r w:rsidR="00AC49EB">
              <w:rPr>
                <w:vertAlign w:val="superscript"/>
              </w:rPr>
              <w:t>1</w:t>
            </w:r>
          </w:p>
        </w:tc>
        <w:tc>
          <w:tcPr>
            <w:tcW w:w="682" w:type="pct"/>
            <w:tcBorders>
              <w:bottom w:val="single" w:sz="4" w:space="0" w:color="auto"/>
            </w:tcBorders>
          </w:tcPr>
          <w:p w14:paraId="3B9E8A79" w14:textId="77777777" w:rsidR="0027503F" w:rsidRPr="00A95754" w:rsidRDefault="0027503F" w:rsidP="00094E2F">
            <w:pPr>
              <w:pStyle w:val="TableText0"/>
              <w:keepNext w:val="0"/>
              <w:jc w:val="center"/>
            </w:pPr>
          </w:p>
        </w:tc>
      </w:tr>
      <w:tr w:rsidR="0027503F" w:rsidRPr="00A95754" w14:paraId="39D930DC" w14:textId="77777777" w:rsidTr="002A5C66">
        <w:tc>
          <w:tcPr>
            <w:tcW w:w="2201" w:type="pct"/>
            <w:tcBorders>
              <w:right w:val="nil"/>
            </w:tcBorders>
            <w:vAlign w:val="center"/>
          </w:tcPr>
          <w:p w14:paraId="60052D0A" w14:textId="77777777" w:rsidR="0027503F" w:rsidRPr="00A95754" w:rsidRDefault="0027503F" w:rsidP="00094E2F">
            <w:pPr>
              <w:pStyle w:val="TableText0"/>
              <w:keepNext w:val="0"/>
            </w:pPr>
            <w:r w:rsidRPr="00A95754">
              <w:rPr>
                <w:b/>
                <w:bCs w:val="0"/>
              </w:rPr>
              <w:t>Univariate analyses</w:t>
            </w:r>
          </w:p>
        </w:tc>
        <w:tc>
          <w:tcPr>
            <w:tcW w:w="656" w:type="pct"/>
            <w:tcBorders>
              <w:left w:val="nil"/>
              <w:right w:val="nil"/>
            </w:tcBorders>
            <w:vAlign w:val="center"/>
          </w:tcPr>
          <w:p w14:paraId="419DBA44" w14:textId="77777777" w:rsidR="0027503F" w:rsidRPr="00A95754" w:rsidRDefault="0027503F" w:rsidP="00094E2F">
            <w:pPr>
              <w:pStyle w:val="TableText0"/>
              <w:keepNext w:val="0"/>
              <w:jc w:val="center"/>
            </w:pPr>
          </w:p>
        </w:tc>
        <w:tc>
          <w:tcPr>
            <w:tcW w:w="715" w:type="pct"/>
            <w:tcBorders>
              <w:left w:val="nil"/>
              <w:right w:val="nil"/>
            </w:tcBorders>
            <w:vAlign w:val="center"/>
          </w:tcPr>
          <w:p w14:paraId="5AFF902D" w14:textId="77777777" w:rsidR="0027503F" w:rsidRPr="00A95754" w:rsidRDefault="0027503F" w:rsidP="00094E2F">
            <w:pPr>
              <w:pStyle w:val="TableText0"/>
              <w:keepNext w:val="0"/>
              <w:jc w:val="center"/>
            </w:pPr>
          </w:p>
        </w:tc>
        <w:tc>
          <w:tcPr>
            <w:tcW w:w="746" w:type="pct"/>
            <w:tcBorders>
              <w:left w:val="nil"/>
              <w:right w:val="nil"/>
            </w:tcBorders>
            <w:vAlign w:val="center"/>
          </w:tcPr>
          <w:p w14:paraId="194B0782" w14:textId="77777777" w:rsidR="0027503F" w:rsidRPr="00A95754" w:rsidRDefault="0027503F" w:rsidP="00094E2F">
            <w:pPr>
              <w:pStyle w:val="TableText0"/>
              <w:keepNext w:val="0"/>
              <w:jc w:val="center"/>
            </w:pPr>
          </w:p>
        </w:tc>
        <w:tc>
          <w:tcPr>
            <w:tcW w:w="682" w:type="pct"/>
            <w:tcBorders>
              <w:left w:val="nil"/>
            </w:tcBorders>
          </w:tcPr>
          <w:p w14:paraId="6E6BD50C" w14:textId="77777777" w:rsidR="0027503F" w:rsidRPr="00A95754" w:rsidRDefault="0027503F" w:rsidP="00094E2F">
            <w:pPr>
              <w:pStyle w:val="TableText0"/>
              <w:keepNext w:val="0"/>
              <w:jc w:val="center"/>
            </w:pPr>
          </w:p>
        </w:tc>
      </w:tr>
      <w:tr w:rsidR="0027503F" w:rsidRPr="00A95754" w14:paraId="12CF6C22" w14:textId="77777777" w:rsidTr="002A5C66">
        <w:tc>
          <w:tcPr>
            <w:tcW w:w="4318" w:type="pct"/>
            <w:gridSpan w:val="4"/>
            <w:tcBorders>
              <w:right w:val="nil"/>
            </w:tcBorders>
            <w:vAlign w:val="center"/>
          </w:tcPr>
          <w:p w14:paraId="538B1EB4" w14:textId="77777777" w:rsidR="0027503F" w:rsidRPr="00A95754" w:rsidRDefault="0027503F" w:rsidP="002A5C66">
            <w:pPr>
              <w:pStyle w:val="TableText0"/>
              <w:keepNext w:val="0"/>
              <w:rPr>
                <w:i/>
                <w:iCs/>
              </w:rPr>
            </w:pPr>
            <w:r w:rsidRPr="00A95754">
              <w:rPr>
                <w:b/>
                <w:bCs w:val="0"/>
              </w:rPr>
              <w:t>Discount rate (base case: 5% costs and outcomes)</w:t>
            </w:r>
          </w:p>
        </w:tc>
        <w:tc>
          <w:tcPr>
            <w:tcW w:w="682" w:type="pct"/>
            <w:tcBorders>
              <w:left w:val="nil"/>
            </w:tcBorders>
          </w:tcPr>
          <w:p w14:paraId="1B25C3A6" w14:textId="77777777" w:rsidR="0027503F" w:rsidRPr="00A95754" w:rsidRDefault="0027503F" w:rsidP="002A5C66">
            <w:pPr>
              <w:pStyle w:val="TableText0"/>
              <w:keepNext w:val="0"/>
              <w:jc w:val="center"/>
              <w:rPr>
                <w:i/>
                <w:iCs/>
              </w:rPr>
            </w:pPr>
          </w:p>
        </w:tc>
      </w:tr>
      <w:tr w:rsidR="0027503F" w:rsidRPr="00A95754" w14:paraId="0A347890" w14:textId="77777777" w:rsidTr="002A5C66">
        <w:tc>
          <w:tcPr>
            <w:tcW w:w="2201" w:type="pct"/>
            <w:vAlign w:val="center"/>
          </w:tcPr>
          <w:p w14:paraId="3A740A00" w14:textId="77777777" w:rsidR="0027503F" w:rsidRPr="00A95754" w:rsidRDefault="0027503F" w:rsidP="002A5C66">
            <w:pPr>
              <w:pStyle w:val="TableText0"/>
              <w:keepNext w:val="0"/>
              <w:ind w:left="186"/>
              <w:rPr>
                <w:iCs/>
              </w:rPr>
            </w:pPr>
            <w:r w:rsidRPr="00A95754">
              <w:rPr>
                <w:iCs/>
              </w:rPr>
              <w:t>Costs/outcomes: 3.5%</w:t>
            </w:r>
          </w:p>
        </w:tc>
        <w:tc>
          <w:tcPr>
            <w:tcW w:w="656" w:type="pct"/>
            <w:vAlign w:val="bottom"/>
          </w:tcPr>
          <w:p w14:paraId="10B07DF1" w14:textId="4176FB47" w:rsidR="0027503F" w:rsidRPr="00A95754" w:rsidRDefault="0027503F" w:rsidP="002A5C66">
            <w:pPr>
              <w:pStyle w:val="TableText0"/>
              <w:keepNext w:val="0"/>
              <w:jc w:val="center"/>
              <w:rPr>
                <w:iCs/>
              </w:rPr>
            </w:pPr>
            <w:r w:rsidRPr="00A95754">
              <w:rPr>
                <w:iCs/>
              </w:rPr>
              <w:t>$</w:t>
            </w:r>
            <w:r w:rsidR="003C043D" w:rsidRPr="003C043D">
              <w:rPr>
                <w:iCs/>
                <w:color w:val="000000"/>
                <w:spacing w:val="180"/>
                <w:shd w:val="solid" w:color="000000" w:fill="000000"/>
                <w:fitText w:val="266" w:id="-1233371134"/>
                <w14:textFill>
                  <w14:solidFill>
                    <w14:srgbClr w14:val="000000">
                      <w14:alpha w14:val="100000"/>
                    </w14:srgbClr>
                  </w14:solidFill>
                </w14:textFill>
              </w:rPr>
              <w:t>|</w:t>
            </w:r>
            <w:r w:rsidR="003C043D" w:rsidRPr="003C043D">
              <w:rPr>
                <w:iCs/>
                <w:color w:val="000000"/>
                <w:spacing w:val="1"/>
                <w:shd w:val="solid" w:color="000000" w:fill="000000"/>
                <w:fitText w:val="266" w:id="-1233371134"/>
                <w14:textFill>
                  <w14:solidFill>
                    <w14:srgbClr w14:val="000000">
                      <w14:alpha w14:val="100000"/>
                    </w14:srgbClr>
                  </w14:solidFill>
                </w14:textFill>
              </w:rPr>
              <w:t>|</w:t>
            </w:r>
          </w:p>
        </w:tc>
        <w:tc>
          <w:tcPr>
            <w:tcW w:w="715" w:type="pct"/>
            <w:vAlign w:val="bottom"/>
          </w:tcPr>
          <w:p w14:paraId="5DDC3528" w14:textId="77777777" w:rsidR="0027503F" w:rsidRPr="00A95754" w:rsidRDefault="0027503F" w:rsidP="002A5C66">
            <w:pPr>
              <w:pStyle w:val="TableText0"/>
              <w:keepNext w:val="0"/>
              <w:jc w:val="center"/>
              <w:rPr>
                <w:iCs/>
              </w:rPr>
            </w:pPr>
            <w:r w:rsidRPr="00A95754">
              <w:rPr>
                <w:iCs/>
              </w:rPr>
              <w:t>0.326</w:t>
            </w:r>
          </w:p>
        </w:tc>
        <w:tc>
          <w:tcPr>
            <w:tcW w:w="746" w:type="pct"/>
            <w:vAlign w:val="bottom"/>
          </w:tcPr>
          <w:p w14:paraId="63F0189E" w14:textId="1B49D535" w:rsidR="0027503F" w:rsidRPr="00A95754" w:rsidRDefault="0027503F" w:rsidP="002A5C66">
            <w:pPr>
              <w:pStyle w:val="TableText0"/>
              <w:keepNext w:val="0"/>
              <w:jc w:val="center"/>
              <w:rPr>
                <w:iCs/>
              </w:rPr>
            </w:pPr>
            <w:r w:rsidRPr="00A95754">
              <w:rPr>
                <w:iCs/>
              </w:rPr>
              <w:t>$</w:t>
            </w:r>
            <w:r w:rsidR="003C043D" w:rsidRPr="003C043D">
              <w:rPr>
                <w:iCs/>
                <w:color w:val="000000"/>
                <w:spacing w:val="163"/>
                <w:shd w:val="solid" w:color="000000" w:fill="000000"/>
                <w:fitText w:val="249" w:id="-1233371133"/>
                <w14:textFill>
                  <w14:solidFill>
                    <w14:srgbClr w14:val="000000">
                      <w14:alpha w14:val="100000"/>
                    </w14:srgbClr>
                  </w14:solidFill>
                </w14:textFill>
              </w:rPr>
              <w:t>|</w:t>
            </w:r>
            <w:r w:rsidR="003C043D" w:rsidRPr="003C043D">
              <w:rPr>
                <w:iCs/>
                <w:color w:val="000000"/>
                <w:spacing w:val="1"/>
                <w:shd w:val="solid" w:color="000000" w:fill="000000"/>
                <w:fitText w:val="249" w:id="-1233371133"/>
                <w14:textFill>
                  <w14:solidFill>
                    <w14:srgbClr w14:val="000000">
                      <w14:alpha w14:val="100000"/>
                    </w14:srgbClr>
                  </w14:solidFill>
                </w14:textFill>
              </w:rPr>
              <w:t>|</w:t>
            </w:r>
            <w:r w:rsidR="00AC49EB">
              <w:t xml:space="preserve"> </w:t>
            </w:r>
            <w:r w:rsidR="00AC49EB">
              <w:rPr>
                <w:vertAlign w:val="superscript"/>
              </w:rPr>
              <w:t>2</w:t>
            </w:r>
          </w:p>
        </w:tc>
        <w:tc>
          <w:tcPr>
            <w:tcW w:w="682" w:type="pct"/>
          </w:tcPr>
          <w:p w14:paraId="0CED647B" w14:textId="77777777" w:rsidR="0027503F" w:rsidRPr="00377C1F" w:rsidRDefault="0027503F" w:rsidP="002A5C66">
            <w:pPr>
              <w:pStyle w:val="TableText0"/>
              <w:keepNext w:val="0"/>
              <w:jc w:val="center"/>
            </w:pPr>
            <w:r w:rsidRPr="00377C1F">
              <w:t>-3%</w:t>
            </w:r>
          </w:p>
        </w:tc>
      </w:tr>
      <w:tr w:rsidR="0027503F" w:rsidRPr="00A95754" w14:paraId="3CD8E731" w14:textId="77777777" w:rsidTr="002A5C66">
        <w:tc>
          <w:tcPr>
            <w:tcW w:w="2201" w:type="pct"/>
            <w:vAlign w:val="center"/>
          </w:tcPr>
          <w:p w14:paraId="1A01D06E" w14:textId="77777777" w:rsidR="0027503F" w:rsidRPr="00A95754" w:rsidRDefault="0027503F" w:rsidP="002A5C66">
            <w:pPr>
              <w:pStyle w:val="TableText0"/>
              <w:keepNext w:val="0"/>
              <w:ind w:left="186"/>
              <w:rPr>
                <w:iCs/>
              </w:rPr>
            </w:pPr>
            <w:r w:rsidRPr="00A95754">
              <w:rPr>
                <w:iCs/>
              </w:rPr>
              <w:t>Costs/outcomes: 0%</w:t>
            </w:r>
          </w:p>
        </w:tc>
        <w:tc>
          <w:tcPr>
            <w:tcW w:w="656" w:type="pct"/>
            <w:vAlign w:val="bottom"/>
          </w:tcPr>
          <w:p w14:paraId="52A5D491" w14:textId="068F41B9" w:rsidR="0027503F" w:rsidRPr="00A95754" w:rsidRDefault="0027503F" w:rsidP="002A5C66">
            <w:pPr>
              <w:pStyle w:val="TableText0"/>
              <w:keepNext w:val="0"/>
              <w:jc w:val="center"/>
              <w:rPr>
                <w:iCs/>
              </w:rPr>
            </w:pPr>
            <w:r w:rsidRPr="00A95754">
              <w:rPr>
                <w:iCs/>
              </w:rPr>
              <w:t>$</w:t>
            </w:r>
            <w:r w:rsidR="003C043D" w:rsidRPr="003C043D">
              <w:rPr>
                <w:iCs/>
                <w:color w:val="000000"/>
                <w:spacing w:val="180"/>
                <w:shd w:val="solid" w:color="000000" w:fill="000000"/>
                <w:fitText w:val="266" w:id="-1233371132"/>
                <w14:textFill>
                  <w14:solidFill>
                    <w14:srgbClr w14:val="000000">
                      <w14:alpha w14:val="100000"/>
                    </w14:srgbClr>
                  </w14:solidFill>
                </w14:textFill>
              </w:rPr>
              <w:t>|</w:t>
            </w:r>
            <w:r w:rsidR="003C043D" w:rsidRPr="003C043D">
              <w:rPr>
                <w:iCs/>
                <w:color w:val="000000"/>
                <w:spacing w:val="1"/>
                <w:shd w:val="solid" w:color="000000" w:fill="000000"/>
                <w:fitText w:val="266" w:id="-1233371132"/>
                <w14:textFill>
                  <w14:solidFill>
                    <w14:srgbClr w14:val="000000">
                      <w14:alpha w14:val="100000"/>
                    </w14:srgbClr>
                  </w14:solidFill>
                </w14:textFill>
              </w:rPr>
              <w:t>|</w:t>
            </w:r>
          </w:p>
        </w:tc>
        <w:tc>
          <w:tcPr>
            <w:tcW w:w="715" w:type="pct"/>
            <w:vAlign w:val="bottom"/>
          </w:tcPr>
          <w:p w14:paraId="3ED898E4" w14:textId="77777777" w:rsidR="0027503F" w:rsidRPr="00A95754" w:rsidRDefault="0027503F" w:rsidP="002A5C66">
            <w:pPr>
              <w:pStyle w:val="TableText0"/>
              <w:keepNext w:val="0"/>
              <w:jc w:val="center"/>
              <w:rPr>
                <w:iCs/>
              </w:rPr>
            </w:pPr>
            <w:r w:rsidRPr="00A95754">
              <w:rPr>
                <w:iCs/>
              </w:rPr>
              <w:t>0.364</w:t>
            </w:r>
          </w:p>
        </w:tc>
        <w:tc>
          <w:tcPr>
            <w:tcW w:w="746" w:type="pct"/>
            <w:vAlign w:val="bottom"/>
          </w:tcPr>
          <w:p w14:paraId="166E30FB" w14:textId="3D47CCCA" w:rsidR="0027503F" w:rsidRPr="00A95754" w:rsidRDefault="0027503F" w:rsidP="002A5C66">
            <w:pPr>
              <w:pStyle w:val="TableText0"/>
              <w:keepNext w:val="0"/>
              <w:jc w:val="center"/>
              <w:rPr>
                <w:iCs/>
              </w:rPr>
            </w:pPr>
            <w:r w:rsidRPr="00A95754">
              <w:rPr>
                <w:iCs/>
              </w:rPr>
              <w:t>$</w:t>
            </w:r>
            <w:r w:rsidR="003C043D" w:rsidRPr="003C043D">
              <w:rPr>
                <w:iCs/>
                <w:color w:val="000000"/>
                <w:spacing w:val="163"/>
                <w:shd w:val="solid" w:color="000000" w:fill="000000"/>
                <w:fitText w:val="249" w:id="-1233371131"/>
                <w14:textFill>
                  <w14:solidFill>
                    <w14:srgbClr w14:val="000000">
                      <w14:alpha w14:val="100000"/>
                    </w14:srgbClr>
                  </w14:solidFill>
                </w14:textFill>
              </w:rPr>
              <w:t>|</w:t>
            </w:r>
            <w:r w:rsidR="003C043D" w:rsidRPr="003C043D">
              <w:rPr>
                <w:iCs/>
                <w:color w:val="000000"/>
                <w:spacing w:val="1"/>
                <w:shd w:val="solid" w:color="000000" w:fill="000000"/>
                <w:fitText w:val="249" w:id="-1233371131"/>
                <w14:textFill>
                  <w14:solidFill>
                    <w14:srgbClr w14:val="000000">
                      <w14:alpha w14:val="100000"/>
                    </w14:srgbClr>
                  </w14:solidFill>
                </w14:textFill>
              </w:rPr>
              <w:t>|</w:t>
            </w:r>
            <w:r w:rsidR="00AC49EB">
              <w:t xml:space="preserve"> </w:t>
            </w:r>
            <w:r w:rsidR="00AC49EB">
              <w:rPr>
                <w:vertAlign w:val="superscript"/>
              </w:rPr>
              <w:t>2</w:t>
            </w:r>
          </w:p>
        </w:tc>
        <w:tc>
          <w:tcPr>
            <w:tcW w:w="682" w:type="pct"/>
          </w:tcPr>
          <w:p w14:paraId="1C59D1F8" w14:textId="77777777" w:rsidR="0027503F" w:rsidRPr="00377C1F" w:rsidRDefault="0027503F" w:rsidP="002A5C66">
            <w:pPr>
              <w:pStyle w:val="TableText0"/>
              <w:keepNext w:val="0"/>
              <w:jc w:val="center"/>
            </w:pPr>
            <w:r w:rsidRPr="00377C1F">
              <w:t>-11%</w:t>
            </w:r>
          </w:p>
        </w:tc>
      </w:tr>
      <w:tr w:rsidR="00E560FF" w:rsidRPr="00A95754" w14:paraId="52DDD290" w14:textId="77777777" w:rsidTr="00DF2C5C">
        <w:tc>
          <w:tcPr>
            <w:tcW w:w="2201" w:type="pct"/>
            <w:tcBorders>
              <w:right w:val="nil"/>
            </w:tcBorders>
            <w:vAlign w:val="center"/>
          </w:tcPr>
          <w:p w14:paraId="07650963" w14:textId="77777777" w:rsidR="00E560FF" w:rsidRPr="008C72AC" w:rsidRDefault="00E560FF" w:rsidP="00DF2C5C">
            <w:pPr>
              <w:pStyle w:val="TableText0"/>
              <w:keepNext w:val="0"/>
            </w:pPr>
            <w:r w:rsidRPr="008C72AC">
              <w:rPr>
                <w:b/>
                <w:bCs w:val="0"/>
              </w:rPr>
              <w:t>Time horizon</w:t>
            </w:r>
          </w:p>
        </w:tc>
        <w:tc>
          <w:tcPr>
            <w:tcW w:w="656" w:type="pct"/>
            <w:tcBorders>
              <w:left w:val="nil"/>
              <w:right w:val="nil"/>
            </w:tcBorders>
            <w:vAlign w:val="center"/>
          </w:tcPr>
          <w:p w14:paraId="4A25D988" w14:textId="77777777" w:rsidR="00E560FF" w:rsidRPr="00A95754" w:rsidRDefault="00E560FF" w:rsidP="00DF2C5C">
            <w:pPr>
              <w:pStyle w:val="TableText0"/>
              <w:keepNext w:val="0"/>
              <w:jc w:val="center"/>
            </w:pPr>
          </w:p>
        </w:tc>
        <w:tc>
          <w:tcPr>
            <w:tcW w:w="715" w:type="pct"/>
            <w:tcBorders>
              <w:left w:val="nil"/>
              <w:right w:val="nil"/>
            </w:tcBorders>
            <w:vAlign w:val="center"/>
          </w:tcPr>
          <w:p w14:paraId="29170396" w14:textId="77777777" w:rsidR="00E560FF" w:rsidRPr="00A95754" w:rsidRDefault="00E560FF" w:rsidP="00DF2C5C">
            <w:pPr>
              <w:pStyle w:val="TableText0"/>
              <w:keepNext w:val="0"/>
              <w:jc w:val="center"/>
            </w:pPr>
          </w:p>
        </w:tc>
        <w:tc>
          <w:tcPr>
            <w:tcW w:w="746" w:type="pct"/>
            <w:tcBorders>
              <w:left w:val="nil"/>
              <w:right w:val="nil"/>
            </w:tcBorders>
            <w:vAlign w:val="center"/>
          </w:tcPr>
          <w:p w14:paraId="72F14869" w14:textId="77777777" w:rsidR="00E560FF" w:rsidRPr="00A95754" w:rsidRDefault="00E560FF" w:rsidP="00DF2C5C">
            <w:pPr>
              <w:pStyle w:val="TableText0"/>
              <w:keepNext w:val="0"/>
              <w:jc w:val="center"/>
            </w:pPr>
          </w:p>
        </w:tc>
        <w:tc>
          <w:tcPr>
            <w:tcW w:w="682" w:type="pct"/>
            <w:tcBorders>
              <w:left w:val="nil"/>
            </w:tcBorders>
          </w:tcPr>
          <w:p w14:paraId="2D73E9D1" w14:textId="77777777" w:rsidR="00E560FF" w:rsidRPr="00A95754" w:rsidRDefault="00E560FF" w:rsidP="00DF2C5C">
            <w:pPr>
              <w:pStyle w:val="TableText0"/>
              <w:keepNext w:val="0"/>
              <w:jc w:val="center"/>
            </w:pPr>
          </w:p>
        </w:tc>
      </w:tr>
      <w:tr w:rsidR="00E560FF" w:rsidRPr="00A61C79" w14:paraId="2CE1AF3F" w14:textId="77777777" w:rsidTr="00DF2C5C">
        <w:tc>
          <w:tcPr>
            <w:tcW w:w="2201" w:type="pct"/>
            <w:vAlign w:val="center"/>
          </w:tcPr>
          <w:p w14:paraId="22E3BDC6" w14:textId="47CC33BC" w:rsidR="00E560FF" w:rsidRPr="008C72AC" w:rsidRDefault="00E560FF" w:rsidP="00DF2C5C">
            <w:pPr>
              <w:pStyle w:val="TableText0"/>
              <w:keepNext w:val="0"/>
              <w:ind w:left="186"/>
            </w:pPr>
            <w:r w:rsidRPr="008C72AC">
              <w:t>5 years</w:t>
            </w:r>
            <w:r>
              <w:t xml:space="preserve"> </w:t>
            </w:r>
            <w:r w:rsidRPr="00E560FF">
              <w:rPr>
                <w:b/>
                <w:bCs w:val="0"/>
                <w:i/>
                <w:iCs/>
              </w:rPr>
              <w:t>(#1)</w:t>
            </w:r>
          </w:p>
        </w:tc>
        <w:tc>
          <w:tcPr>
            <w:tcW w:w="656" w:type="pct"/>
            <w:vAlign w:val="center"/>
          </w:tcPr>
          <w:p w14:paraId="15F41825" w14:textId="784CEA87" w:rsidR="00E560FF" w:rsidRPr="008C72AC" w:rsidRDefault="00E560FF" w:rsidP="00DF2C5C">
            <w:pPr>
              <w:pStyle w:val="TableText0"/>
              <w:keepNext w:val="0"/>
              <w:jc w:val="center"/>
            </w:pPr>
            <w:r w:rsidRPr="008C72AC">
              <w:t>$</w:t>
            </w:r>
            <w:r w:rsidR="003C043D" w:rsidRPr="003C043D">
              <w:rPr>
                <w:color w:val="000000"/>
                <w:spacing w:val="180"/>
                <w:shd w:val="solid" w:color="000000" w:fill="000000"/>
                <w:fitText w:val="266" w:id="-1233371130"/>
                <w14:textFill>
                  <w14:solidFill>
                    <w14:srgbClr w14:val="000000">
                      <w14:alpha w14:val="100000"/>
                    </w14:srgbClr>
                  </w14:solidFill>
                </w14:textFill>
              </w:rPr>
              <w:t>|</w:t>
            </w:r>
            <w:r w:rsidR="003C043D" w:rsidRPr="003C043D">
              <w:rPr>
                <w:color w:val="000000"/>
                <w:spacing w:val="1"/>
                <w:shd w:val="solid" w:color="000000" w:fill="000000"/>
                <w:fitText w:val="266" w:id="-1233371130"/>
                <w14:textFill>
                  <w14:solidFill>
                    <w14:srgbClr w14:val="000000">
                      <w14:alpha w14:val="100000"/>
                    </w14:srgbClr>
                  </w14:solidFill>
                </w14:textFill>
              </w:rPr>
              <w:t>|</w:t>
            </w:r>
          </w:p>
        </w:tc>
        <w:tc>
          <w:tcPr>
            <w:tcW w:w="715" w:type="pct"/>
            <w:vAlign w:val="center"/>
          </w:tcPr>
          <w:p w14:paraId="504EF44B" w14:textId="77777777" w:rsidR="00E560FF" w:rsidRPr="008C72AC" w:rsidRDefault="00E560FF" w:rsidP="00DF2C5C">
            <w:pPr>
              <w:pStyle w:val="TableText0"/>
              <w:keepNext w:val="0"/>
              <w:jc w:val="center"/>
            </w:pPr>
            <w:r w:rsidRPr="008C72AC">
              <w:t>0.238</w:t>
            </w:r>
          </w:p>
        </w:tc>
        <w:tc>
          <w:tcPr>
            <w:tcW w:w="746" w:type="pct"/>
            <w:vAlign w:val="center"/>
          </w:tcPr>
          <w:p w14:paraId="7FFECB91" w14:textId="28E58493" w:rsidR="00E560FF" w:rsidRPr="008C72AC" w:rsidRDefault="00E560FF" w:rsidP="00DF2C5C">
            <w:pPr>
              <w:pStyle w:val="TableText0"/>
              <w:keepNext w:val="0"/>
              <w:jc w:val="center"/>
            </w:pPr>
            <w:r w:rsidRPr="008C72AC">
              <w:t>$</w:t>
            </w:r>
            <w:r w:rsidR="003C043D" w:rsidRPr="003C043D">
              <w:rPr>
                <w:color w:val="000000"/>
                <w:spacing w:val="163"/>
                <w:shd w:val="solid" w:color="000000" w:fill="000000"/>
                <w:fitText w:val="249" w:id="-1233371129"/>
                <w14:textFill>
                  <w14:solidFill>
                    <w14:srgbClr w14:val="000000">
                      <w14:alpha w14:val="100000"/>
                    </w14:srgbClr>
                  </w14:solidFill>
                </w14:textFill>
              </w:rPr>
              <w:t>|</w:t>
            </w:r>
            <w:r w:rsidR="003C043D" w:rsidRPr="003C043D">
              <w:rPr>
                <w:color w:val="000000"/>
                <w:spacing w:val="1"/>
                <w:shd w:val="solid" w:color="000000" w:fill="000000"/>
                <w:fitText w:val="249" w:id="-1233371129"/>
                <w14:textFill>
                  <w14:solidFill>
                    <w14:srgbClr w14:val="000000">
                      <w14:alpha w14:val="100000"/>
                    </w14:srgbClr>
                  </w14:solidFill>
                </w14:textFill>
              </w:rPr>
              <w:t>|</w:t>
            </w:r>
            <w:r w:rsidR="00AC49EB">
              <w:t xml:space="preserve"> </w:t>
            </w:r>
            <w:r w:rsidR="00AC49EB">
              <w:rPr>
                <w:vertAlign w:val="superscript"/>
              </w:rPr>
              <w:t>3</w:t>
            </w:r>
          </w:p>
        </w:tc>
        <w:tc>
          <w:tcPr>
            <w:tcW w:w="682" w:type="pct"/>
            <w:vAlign w:val="center"/>
          </w:tcPr>
          <w:p w14:paraId="6CD47036" w14:textId="77777777" w:rsidR="00E560FF" w:rsidRPr="008C72AC" w:rsidRDefault="00E560FF" w:rsidP="00DF2C5C">
            <w:pPr>
              <w:pStyle w:val="TableText0"/>
              <w:keepNext w:val="0"/>
              <w:jc w:val="center"/>
            </w:pPr>
            <w:r w:rsidRPr="008C72AC">
              <w:t>25%</w:t>
            </w:r>
          </w:p>
        </w:tc>
      </w:tr>
      <w:tr w:rsidR="00E560FF" w:rsidRPr="00515484" w14:paraId="3E243C00" w14:textId="77777777" w:rsidTr="00DF2C5C">
        <w:tc>
          <w:tcPr>
            <w:tcW w:w="2201" w:type="pct"/>
            <w:tcBorders>
              <w:bottom w:val="single" w:sz="4" w:space="0" w:color="auto"/>
            </w:tcBorders>
            <w:vAlign w:val="center"/>
          </w:tcPr>
          <w:p w14:paraId="690CBF74" w14:textId="0C268E43" w:rsidR="00E560FF" w:rsidRPr="00515484" w:rsidRDefault="00E560FF" w:rsidP="00DF2C5C">
            <w:pPr>
              <w:pStyle w:val="TableText0"/>
              <w:keepNext w:val="0"/>
              <w:ind w:left="186"/>
            </w:pPr>
            <w:r w:rsidRPr="00515484">
              <w:t>7.5 years</w:t>
            </w:r>
            <w:r>
              <w:t xml:space="preserve"> </w:t>
            </w:r>
            <w:r w:rsidRPr="00E560FF">
              <w:rPr>
                <w:b/>
                <w:bCs w:val="0"/>
                <w:i/>
                <w:iCs/>
              </w:rPr>
              <w:t>(#2)</w:t>
            </w:r>
          </w:p>
        </w:tc>
        <w:tc>
          <w:tcPr>
            <w:tcW w:w="656" w:type="pct"/>
            <w:tcBorders>
              <w:bottom w:val="single" w:sz="4" w:space="0" w:color="auto"/>
            </w:tcBorders>
            <w:vAlign w:val="center"/>
          </w:tcPr>
          <w:p w14:paraId="2919AE7E" w14:textId="2ECBB3AC" w:rsidR="00E560FF" w:rsidRPr="00515484" w:rsidRDefault="00E560FF" w:rsidP="00DF2C5C">
            <w:pPr>
              <w:pStyle w:val="TableText0"/>
              <w:keepNext w:val="0"/>
              <w:jc w:val="center"/>
            </w:pPr>
            <w:r w:rsidRPr="00515484">
              <w:t>$</w:t>
            </w:r>
            <w:r w:rsidR="003C043D" w:rsidRPr="003C043D">
              <w:rPr>
                <w:color w:val="000000"/>
                <w:spacing w:val="180"/>
                <w:shd w:val="solid" w:color="000000" w:fill="000000"/>
                <w:fitText w:val="266" w:id="-1233371128"/>
                <w14:textFill>
                  <w14:solidFill>
                    <w14:srgbClr w14:val="000000">
                      <w14:alpha w14:val="100000"/>
                    </w14:srgbClr>
                  </w14:solidFill>
                </w14:textFill>
              </w:rPr>
              <w:t>|</w:t>
            </w:r>
            <w:r w:rsidR="003C043D" w:rsidRPr="003C043D">
              <w:rPr>
                <w:color w:val="000000"/>
                <w:spacing w:val="1"/>
                <w:shd w:val="solid" w:color="000000" w:fill="000000"/>
                <w:fitText w:val="266" w:id="-1233371128"/>
                <w14:textFill>
                  <w14:solidFill>
                    <w14:srgbClr w14:val="000000">
                      <w14:alpha w14:val="100000"/>
                    </w14:srgbClr>
                  </w14:solidFill>
                </w14:textFill>
              </w:rPr>
              <w:t>|</w:t>
            </w:r>
          </w:p>
        </w:tc>
        <w:tc>
          <w:tcPr>
            <w:tcW w:w="715" w:type="pct"/>
            <w:tcBorders>
              <w:bottom w:val="single" w:sz="4" w:space="0" w:color="auto"/>
            </w:tcBorders>
            <w:vAlign w:val="center"/>
          </w:tcPr>
          <w:p w14:paraId="5947DA15" w14:textId="77777777" w:rsidR="00E560FF" w:rsidRPr="00515484" w:rsidRDefault="00E560FF" w:rsidP="00DF2C5C">
            <w:pPr>
              <w:pStyle w:val="TableText0"/>
              <w:keepNext w:val="0"/>
              <w:jc w:val="center"/>
            </w:pPr>
            <w:r w:rsidRPr="00515484">
              <w:t>0.286</w:t>
            </w:r>
          </w:p>
        </w:tc>
        <w:tc>
          <w:tcPr>
            <w:tcW w:w="746" w:type="pct"/>
            <w:tcBorders>
              <w:bottom w:val="single" w:sz="4" w:space="0" w:color="auto"/>
            </w:tcBorders>
            <w:vAlign w:val="center"/>
          </w:tcPr>
          <w:p w14:paraId="34864E51" w14:textId="221F5145" w:rsidR="00E560FF" w:rsidRPr="00515484" w:rsidRDefault="00E560FF" w:rsidP="00DF2C5C">
            <w:pPr>
              <w:pStyle w:val="TableText0"/>
              <w:keepNext w:val="0"/>
              <w:jc w:val="center"/>
            </w:pPr>
            <w:r w:rsidRPr="00515484">
              <w:t>$</w:t>
            </w:r>
            <w:r w:rsidR="003C043D" w:rsidRPr="003C043D">
              <w:rPr>
                <w:color w:val="000000"/>
                <w:spacing w:val="163"/>
                <w:shd w:val="solid" w:color="000000" w:fill="000000"/>
                <w:fitText w:val="249" w:id="-1233371127"/>
                <w14:textFill>
                  <w14:solidFill>
                    <w14:srgbClr w14:val="000000">
                      <w14:alpha w14:val="100000"/>
                    </w14:srgbClr>
                  </w14:solidFill>
                </w14:textFill>
              </w:rPr>
              <w:t>|</w:t>
            </w:r>
            <w:r w:rsidR="003C043D" w:rsidRPr="003C043D">
              <w:rPr>
                <w:color w:val="000000"/>
                <w:spacing w:val="1"/>
                <w:shd w:val="solid" w:color="000000" w:fill="000000"/>
                <w:fitText w:val="249" w:id="-1233371127"/>
                <w14:textFill>
                  <w14:solidFill>
                    <w14:srgbClr w14:val="000000">
                      <w14:alpha w14:val="100000"/>
                    </w14:srgbClr>
                  </w14:solidFill>
                </w14:textFill>
              </w:rPr>
              <w:t>|</w:t>
            </w:r>
            <w:r w:rsidR="00AC49EB">
              <w:t xml:space="preserve"> </w:t>
            </w:r>
            <w:r w:rsidR="00AC49EB">
              <w:rPr>
                <w:vertAlign w:val="superscript"/>
              </w:rPr>
              <w:t>1</w:t>
            </w:r>
          </w:p>
        </w:tc>
        <w:tc>
          <w:tcPr>
            <w:tcW w:w="682" w:type="pct"/>
            <w:tcBorders>
              <w:bottom w:val="single" w:sz="4" w:space="0" w:color="auto"/>
            </w:tcBorders>
            <w:vAlign w:val="center"/>
          </w:tcPr>
          <w:p w14:paraId="1F77487A" w14:textId="77777777" w:rsidR="00E560FF" w:rsidRPr="00515484" w:rsidRDefault="00E560FF" w:rsidP="00DF2C5C">
            <w:pPr>
              <w:pStyle w:val="TableText0"/>
              <w:keepNext w:val="0"/>
              <w:jc w:val="center"/>
            </w:pPr>
            <w:r w:rsidRPr="00515484">
              <w:t>8%</w:t>
            </w:r>
          </w:p>
        </w:tc>
      </w:tr>
      <w:tr w:rsidR="00CF55B3" w:rsidRPr="00515484" w14:paraId="286C47F2" w14:textId="77777777" w:rsidTr="00CF55B3">
        <w:tc>
          <w:tcPr>
            <w:tcW w:w="5000" w:type="pct"/>
            <w:gridSpan w:val="5"/>
            <w:tcBorders>
              <w:bottom w:val="single" w:sz="4" w:space="0" w:color="auto"/>
            </w:tcBorders>
            <w:vAlign w:val="center"/>
          </w:tcPr>
          <w:p w14:paraId="1C133887" w14:textId="3C1D2197" w:rsidR="00CF55B3" w:rsidRPr="00515484" w:rsidRDefault="00CF55B3" w:rsidP="00CF55B3">
            <w:pPr>
              <w:pStyle w:val="TableText0"/>
              <w:keepNext w:val="0"/>
            </w:pPr>
            <w:r w:rsidRPr="00CF55B3">
              <w:rPr>
                <w:b/>
                <w:bCs w:val="0"/>
              </w:rPr>
              <w:t>Point of extrapolation</w:t>
            </w:r>
            <w:r>
              <w:rPr>
                <w:b/>
                <w:bCs w:val="0"/>
              </w:rPr>
              <w:t xml:space="preserve"> (base case: 24 months for both treatment arms)</w:t>
            </w:r>
          </w:p>
        </w:tc>
      </w:tr>
      <w:tr w:rsidR="00CF55B3" w:rsidRPr="00515484" w14:paraId="06E05C9B" w14:textId="77777777" w:rsidTr="00DF2C5C">
        <w:tc>
          <w:tcPr>
            <w:tcW w:w="2201" w:type="pct"/>
            <w:tcBorders>
              <w:bottom w:val="single" w:sz="4" w:space="0" w:color="auto"/>
            </w:tcBorders>
            <w:vAlign w:val="center"/>
          </w:tcPr>
          <w:p w14:paraId="59553E2B" w14:textId="2C880631" w:rsidR="00CF55B3" w:rsidRPr="00515484" w:rsidRDefault="00CF55B3" w:rsidP="00DF2C5C">
            <w:pPr>
              <w:pStyle w:val="TableText0"/>
              <w:keepNext w:val="0"/>
              <w:ind w:left="186"/>
            </w:pPr>
            <w:r>
              <w:t>21 months for placebo + GemCis treatment arm</w:t>
            </w:r>
          </w:p>
        </w:tc>
        <w:tc>
          <w:tcPr>
            <w:tcW w:w="656" w:type="pct"/>
            <w:tcBorders>
              <w:bottom w:val="single" w:sz="4" w:space="0" w:color="auto"/>
            </w:tcBorders>
            <w:vAlign w:val="center"/>
          </w:tcPr>
          <w:p w14:paraId="363ED6DB" w14:textId="0E5EABEA" w:rsidR="00CF55B3" w:rsidRPr="00CF55B3" w:rsidRDefault="00CF55B3" w:rsidP="00DF2C5C">
            <w:pPr>
              <w:pStyle w:val="TableText0"/>
              <w:keepNext w:val="0"/>
              <w:jc w:val="center"/>
            </w:pPr>
            <w:r w:rsidRPr="00CF55B3">
              <w:t>$</w:t>
            </w:r>
            <w:r w:rsidR="003C043D" w:rsidRPr="003C043D">
              <w:rPr>
                <w:color w:val="000000"/>
                <w:spacing w:val="180"/>
                <w:shd w:val="solid" w:color="000000" w:fill="000000"/>
                <w:fitText w:val="266" w:id="-1233371126"/>
                <w14:textFill>
                  <w14:solidFill>
                    <w14:srgbClr w14:val="000000">
                      <w14:alpha w14:val="100000"/>
                    </w14:srgbClr>
                  </w14:solidFill>
                </w14:textFill>
              </w:rPr>
              <w:t>|</w:t>
            </w:r>
            <w:r w:rsidR="003C043D" w:rsidRPr="003C043D">
              <w:rPr>
                <w:color w:val="000000"/>
                <w:spacing w:val="1"/>
                <w:shd w:val="solid" w:color="000000" w:fill="000000"/>
                <w:fitText w:val="266" w:id="-1233371126"/>
                <w14:textFill>
                  <w14:solidFill>
                    <w14:srgbClr w14:val="000000">
                      <w14:alpha w14:val="100000"/>
                    </w14:srgbClr>
                  </w14:solidFill>
                </w14:textFill>
              </w:rPr>
              <w:t>|</w:t>
            </w:r>
          </w:p>
        </w:tc>
        <w:tc>
          <w:tcPr>
            <w:tcW w:w="715" w:type="pct"/>
            <w:tcBorders>
              <w:bottom w:val="single" w:sz="4" w:space="0" w:color="auto"/>
            </w:tcBorders>
            <w:vAlign w:val="center"/>
          </w:tcPr>
          <w:p w14:paraId="23C5643B" w14:textId="10B1F8A0" w:rsidR="00CF55B3" w:rsidRPr="00CF55B3" w:rsidRDefault="00CF55B3" w:rsidP="00DF2C5C">
            <w:pPr>
              <w:pStyle w:val="TableText0"/>
              <w:keepNext w:val="0"/>
              <w:jc w:val="center"/>
            </w:pPr>
            <w:r w:rsidRPr="00CF55B3">
              <w:t>0.287</w:t>
            </w:r>
          </w:p>
        </w:tc>
        <w:tc>
          <w:tcPr>
            <w:tcW w:w="746" w:type="pct"/>
            <w:tcBorders>
              <w:bottom w:val="single" w:sz="4" w:space="0" w:color="auto"/>
            </w:tcBorders>
            <w:vAlign w:val="center"/>
          </w:tcPr>
          <w:p w14:paraId="66A2E8A6" w14:textId="6D1B8477" w:rsidR="00CF55B3" w:rsidRPr="00CF55B3" w:rsidRDefault="00CF55B3" w:rsidP="00DF2C5C">
            <w:pPr>
              <w:pStyle w:val="TableText0"/>
              <w:keepNext w:val="0"/>
              <w:jc w:val="center"/>
            </w:pPr>
            <w:r w:rsidRPr="00CF55B3">
              <w:t>$</w:t>
            </w:r>
            <w:r w:rsidR="003C043D" w:rsidRPr="003C043D">
              <w:rPr>
                <w:color w:val="000000"/>
                <w:spacing w:val="163"/>
                <w:shd w:val="solid" w:color="000000" w:fill="000000"/>
                <w:fitText w:val="249" w:id="-1233371125"/>
                <w14:textFill>
                  <w14:solidFill>
                    <w14:srgbClr w14:val="000000">
                      <w14:alpha w14:val="100000"/>
                    </w14:srgbClr>
                  </w14:solidFill>
                </w14:textFill>
              </w:rPr>
              <w:t>|</w:t>
            </w:r>
            <w:r w:rsidR="003C043D" w:rsidRPr="003C043D">
              <w:rPr>
                <w:color w:val="000000"/>
                <w:spacing w:val="1"/>
                <w:shd w:val="solid" w:color="000000" w:fill="000000"/>
                <w:fitText w:val="249" w:id="-1233371125"/>
                <w14:textFill>
                  <w14:solidFill>
                    <w14:srgbClr w14:val="000000">
                      <w14:alpha w14:val="100000"/>
                    </w14:srgbClr>
                  </w14:solidFill>
                </w14:textFill>
              </w:rPr>
              <w:t>|</w:t>
            </w:r>
            <w:r w:rsidR="00AC49EB">
              <w:t xml:space="preserve"> </w:t>
            </w:r>
            <w:r w:rsidR="00AC49EB">
              <w:rPr>
                <w:vertAlign w:val="superscript"/>
              </w:rPr>
              <w:t>1</w:t>
            </w:r>
          </w:p>
        </w:tc>
        <w:tc>
          <w:tcPr>
            <w:tcW w:w="682" w:type="pct"/>
            <w:tcBorders>
              <w:bottom w:val="single" w:sz="4" w:space="0" w:color="auto"/>
            </w:tcBorders>
            <w:vAlign w:val="center"/>
          </w:tcPr>
          <w:p w14:paraId="12C41182" w14:textId="4B714560" w:rsidR="00CF55B3" w:rsidRPr="00515484" w:rsidRDefault="00CF55B3" w:rsidP="00DF2C5C">
            <w:pPr>
              <w:pStyle w:val="TableText0"/>
              <w:keepNext w:val="0"/>
              <w:jc w:val="center"/>
            </w:pPr>
            <w:r>
              <w:t>8%</w:t>
            </w:r>
          </w:p>
        </w:tc>
      </w:tr>
      <w:tr w:rsidR="0027503F" w:rsidRPr="00A95754" w:rsidDel="00770E52" w14:paraId="03A6316C" w14:textId="77777777" w:rsidTr="002A5C66">
        <w:tc>
          <w:tcPr>
            <w:tcW w:w="4318" w:type="pct"/>
            <w:gridSpan w:val="4"/>
            <w:tcBorders>
              <w:right w:val="nil"/>
            </w:tcBorders>
            <w:vAlign w:val="center"/>
          </w:tcPr>
          <w:p w14:paraId="3E2ADE5D" w14:textId="77777777" w:rsidR="0027503F" w:rsidRPr="00A95754" w:rsidDel="00770E52" w:rsidRDefault="0027503F" w:rsidP="002A5C66">
            <w:pPr>
              <w:pStyle w:val="TableText0"/>
              <w:keepNext w:val="0"/>
            </w:pPr>
            <w:r w:rsidRPr="00A95754">
              <w:rPr>
                <w:b/>
              </w:rPr>
              <w:t>Health state utilities (base case: TOPAZ-1 Canadian value set; PFS 0.857 and PD 0.766)</w:t>
            </w:r>
          </w:p>
        </w:tc>
        <w:tc>
          <w:tcPr>
            <w:tcW w:w="682" w:type="pct"/>
            <w:tcBorders>
              <w:left w:val="nil"/>
            </w:tcBorders>
          </w:tcPr>
          <w:p w14:paraId="0DA164D7" w14:textId="77777777" w:rsidR="0027503F" w:rsidRPr="00A95754" w:rsidDel="00770E52" w:rsidRDefault="0027503F" w:rsidP="002A5C66">
            <w:pPr>
              <w:pStyle w:val="TableText0"/>
              <w:keepNext w:val="0"/>
              <w:jc w:val="center"/>
            </w:pPr>
          </w:p>
        </w:tc>
      </w:tr>
      <w:tr w:rsidR="0027503F" w:rsidRPr="00A95754" w14:paraId="00CF709C" w14:textId="77777777" w:rsidTr="002A5C66">
        <w:tc>
          <w:tcPr>
            <w:tcW w:w="2201" w:type="pct"/>
            <w:tcBorders>
              <w:bottom w:val="single" w:sz="4" w:space="0" w:color="auto"/>
            </w:tcBorders>
            <w:vAlign w:val="center"/>
          </w:tcPr>
          <w:p w14:paraId="19C2C13F" w14:textId="79D9A4AD" w:rsidR="0027503F" w:rsidRPr="008C72AC" w:rsidRDefault="0027503F" w:rsidP="00CF55B3">
            <w:pPr>
              <w:pStyle w:val="TableText0"/>
              <w:keepNext w:val="0"/>
              <w:ind w:left="171"/>
            </w:pPr>
            <w:r w:rsidRPr="008C72AC">
              <w:t>UK crosswalk analysis (PFS 0.795; PD 0.682)</w:t>
            </w:r>
            <w:r w:rsidR="00E560FF">
              <w:t xml:space="preserve"> </w:t>
            </w:r>
            <w:r w:rsidR="00E560FF" w:rsidRPr="00E560FF">
              <w:rPr>
                <w:b/>
                <w:bCs w:val="0"/>
                <w:i/>
                <w:iCs/>
              </w:rPr>
              <w:t>(#3)</w:t>
            </w:r>
          </w:p>
        </w:tc>
        <w:tc>
          <w:tcPr>
            <w:tcW w:w="656" w:type="pct"/>
            <w:tcBorders>
              <w:bottom w:val="single" w:sz="4" w:space="0" w:color="auto"/>
            </w:tcBorders>
            <w:vAlign w:val="center"/>
          </w:tcPr>
          <w:p w14:paraId="5F7C4C86" w14:textId="51D07190" w:rsidR="0027503F" w:rsidRPr="00A95754" w:rsidRDefault="0027503F" w:rsidP="002A5C66">
            <w:pPr>
              <w:pStyle w:val="TableText0"/>
              <w:keepNext w:val="0"/>
              <w:jc w:val="center"/>
            </w:pPr>
            <w:r w:rsidRPr="00A95754">
              <w:t>$</w:t>
            </w:r>
            <w:r w:rsidR="003C043D" w:rsidRPr="003C043D">
              <w:rPr>
                <w:color w:val="000000"/>
                <w:spacing w:val="180"/>
                <w:shd w:val="solid" w:color="000000" w:fill="000000"/>
                <w:fitText w:val="266" w:id="-1233371124"/>
                <w14:textFill>
                  <w14:solidFill>
                    <w14:srgbClr w14:val="000000">
                      <w14:alpha w14:val="100000"/>
                    </w14:srgbClr>
                  </w14:solidFill>
                </w14:textFill>
              </w:rPr>
              <w:t>|</w:t>
            </w:r>
            <w:r w:rsidR="003C043D" w:rsidRPr="003C043D">
              <w:rPr>
                <w:color w:val="000000"/>
                <w:spacing w:val="1"/>
                <w:shd w:val="solid" w:color="000000" w:fill="000000"/>
                <w:fitText w:val="266" w:id="-1233371124"/>
                <w14:textFill>
                  <w14:solidFill>
                    <w14:srgbClr w14:val="000000">
                      <w14:alpha w14:val="100000"/>
                    </w14:srgbClr>
                  </w14:solidFill>
                </w14:textFill>
              </w:rPr>
              <w:t>|</w:t>
            </w:r>
          </w:p>
        </w:tc>
        <w:tc>
          <w:tcPr>
            <w:tcW w:w="715" w:type="pct"/>
            <w:tcBorders>
              <w:bottom w:val="single" w:sz="4" w:space="0" w:color="auto"/>
            </w:tcBorders>
            <w:vAlign w:val="center"/>
          </w:tcPr>
          <w:p w14:paraId="3E90AB30" w14:textId="77777777" w:rsidR="0027503F" w:rsidRPr="00A95754" w:rsidRDefault="0027503F" w:rsidP="002A5C66">
            <w:pPr>
              <w:pStyle w:val="TableText0"/>
              <w:keepNext w:val="0"/>
              <w:jc w:val="center"/>
            </w:pPr>
            <w:r w:rsidRPr="00A95754">
              <w:t>0.281</w:t>
            </w:r>
          </w:p>
        </w:tc>
        <w:tc>
          <w:tcPr>
            <w:tcW w:w="746" w:type="pct"/>
            <w:tcBorders>
              <w:bottom w:val="single" w:sz="4" w:space="0" w:color="auto"/>
            </w:tcBorders>
            <w:vAlign w:val="center"/>
          </w:tcPr>
          <w:p w14:paraId="4F04299A" w14:textId="766B1382" w:rsidR="0027503F" w:rsidRPr="00A95754" w:rsidRDefault="0027503F" w:rsidP="002A5C66">
            <w:pPr>
              <w:pStyle w:val="TableText0"/>
              <w:keepNext w:val="0"/>
              <w:jc w:val="center"/>
            </w:pPr>
            <w:r w:rsidRPr="00A95754">
              <w:t>$</w:t>
            </w:r>
            <w:r w:rsidR="003C043D" w:rsidRPr="003C043D">
              <w:rPr>
                <w:color w:val="000000"/>
                <w:spacing w:val="163"/>
                <w:shd w:val="solid" w:color="000000" w:fill="000000"/>
                <w:fitText w:val="249" w:id="-1233371123"/>
                <w14:textFill>
                  <w14:solidFill>
                    <w14:srgbClr w14:val="000000">
                      <w14:alpha w14:val="100000"/>
                    </w14:srgbClr>
                  </w14:solidFill>
                </w14:textFill>
              </w:rPr>
              <w:t>|</w:t>
            </w:r>
            <w:r w:rsidR="003C043D" w:rsidRPr="003C043D">
              <w:rPr>
                <w:color w:val="000000"/>
                <w:spacing w:val="1"/>
                <w:shd w:val="solid" w:color="000000" w:fill="000000"/>
                <w:fitText w:val="249" w:id="-1233371123"/>
                <w14:textFill>
                  <w14:solidFill>
                    <w14:srgbClr w14:val="000000">
                      <w14:alpha w14:val="100000"/>
                    </w14:srgbClr>
                  </w14:solidFill>
                </w14:textFill>
              </w:rPr>
              <w:t>|</w:t>
            </w:r>
            <w:r w:rsidR="00AC49EB">
              <w:t xml:space="preserve"> </w:t>
            </w:r>
            <w:r w:rsidR="00AC49EB">
              <w:rPr>
                <w:vertAlign w:val="superscript"/>
              </w:rPr>
              <w:t>1</w:t>
            </w:r>
          </w:p>
        </w:tc>
        <w:tc>
          <w:tcPr>
            <w:tcW w:w="682" w:type="pct"/>
            <w:tcBorders>
              <w:bottom w:val="single" w:sz="4" w:space="0" w:color="auto"/>
            </w:tcBorders>
          </w:tcPr>
          <w:p w14:paraId="6DBCD8A0" w14:textId="77777777" w:rsidR="0027503F" w:rsidRPr="00377C1F" w:rsidRDefault="0027503F" w:rsidP="002A5C66">
            <w:pPr>
              <w:pStyle w:val="TableText0"/>
              <w:keepNext w:val="0"/>
              <w:jc w:val="center"/>
              <w:rPr>
                <w:iCs/>
              </w:rPr>
            </w:pPr>
            <w:r w:rsidRPr="00377C1F">
              <w:rPr>
                <w:iCs/>
              </w:rPr>
              <w:t>11%</w:t>
            </w:r>
          </w:p>
        </w:tc>
      </w:tr>
      <w:tr w:rsidR="00E560FF" w:rsidRPr="00515484" w14:paraId="079C744B" w14:textId="77777777" w:rsidTr="00DF2C5C">
        <w:tc>
          <w:tcPr>
            <w:tcW w:w="2201" w:type="pct"/>
            <w:tcBorders>
              <w:bottom w:val="single" w:sz="4" w:space="0" w:color="auto"/>
            </w:tcBorders>
            <w:vAlign w:val="center"/>
          </w:tcPr>
          <w:p w14:paraId="496FCA89" w14:textId="15E385B7" w:rsidR="00E560FF" w:rsidRPr="00E560FF" w:rsidRDefault="00E560FF" w:rsidP="00DF2C5C">
            <w:pPr>
              <w:pStyle w:val="TableText0"/>
              <w:keepNext w:val="0"/>
              <w:rPr>
                <w:b/>
                <w:bCs w:val="0"/>
              </w:rPr>
            </w:pPr>
            <w:r w:rsidRPr="00E560FF">
              <w:rPr>
                <w:b/>
                <w:bCs w:val="0"/>
              </w:rPr>
              <w:t>Terminal care costs (base case</w:t>
            </w:r>
            <w:r w:rsidRPr="00BD05AE">
              <w:rPr>
                <w:b/>
                <w:bCs w:val="0"/>
              </w:rPr>
              <w:t xml:space="preserve">: </w:t>
            </w:r>
            <w:r w:rsidRPr="00BD05AE">
              <w:rPr>
                <w:b/>
                <w:bCs w:val="0"/>
                <w:i/>
                <w:iCs/>
              </w:rPr>
              <w:t>$51,376</w:t>
            </w:r>
            <w:r>
              <w:rPr>
                <w:b/>
                <w:bCs w:val="0"/>
                <w:i/>
                <w:iCs/>
              </w:rPr>
              <w:t>)</w:t>
            </w:r>
          </w:p>
        </w:tc>
        <w:tc>
          <w:tcPr>
            <w:tcW w:w="656" w:type="pct"/>
            <w:tcBorders>
              <w:bottom w:val="single" w:sz="4" w:space="0" w:color="auto"/>
            </w:tcBorders>
            <w:vAlign w:val="center"/>
          </w:tcPr>
          <w:p w14:paraId="60B9CD33" w14:textId="77777777" w:rsidR="00E560FF" w:rsidRPr="00515484" w:rsidRDefault="00E560FF" w:rsidP="00DF2C5C">
            <w:pPr>
              <w:pStyle w:val="TableText0"/>
              <w:keepNext w:val="0"/>
              <w:jc w:val="center"/>
            </w:pPr>
          </w:p>
        </w:tc>
        <w:tc>
          <w:tcPr>
            <w:tcW w:w="715" w:type="pct"/>
            <w:tcBorders>
              <w:bottom w:val="single" w:sz="4" w:space="0" w:color="auto"/>
            </w:tcBorders>
            <w:vAlign w:val="center"/>
          </w:tcPr>
          <w:p w14:paraId="5301F8CA" w14:textId="77777777" w:rsidR="00E560FF" w:rsidRPr="00515484" w:rsidRDefault="00E560FF" w:rsidP="00DF2C5C">
            <w:pPr>
              <w:pStyle w:val="TableText0"/>
              <w:keepNext w:val="0"/>
              <w:jc w:val="center"/>
            </w:pPr>
          </w:p>
        </w:tc>
        <w:tc>
          <w:tcPr>
            <w:tcW w:w="746" w:type="pct"/>
            <w:tcBorders>
              <w:bottom w:val="single" w:sz="4" w:space="0" w:color="auto"/>
            </w:tcBorders>
            <w:vAlign w:val="center"/>
          </w:tcPr>
          <w:p w14:paraId="0DB2405E" w14:textId="77777777" w:rsidR="00E560FF" w:rsidRPr="00515484" w:rsidRDefault="00E560FF" w:rsidP="00DF2C5C">
            <w:pPr>
              <w:pStyle w:val="TableText0"/>
              <w:keepNext w:val="0"/>
              <w:jc w:val="center"/>
            </w:pPr>
          </w:p>
        </w:tc>
        <w:tc>
          <w:tcPr>
            <w:tcW w:w="682" w:type="pct"/>
            <w:tcBorders>
              <w:bottom w:val="single" w:sz="4" w:space="0" w:color="auto"/>
            </w:tcBorders>
          </w:tcPr>
          <w:p w14:paraId="0A5C079B" w14:textId="77777777" w:rsidR="00E560FF" w:rsidRPr="00515484" w:rsidRDefault="00E560FF" w:rsidP="00DF2C5C">
            <w:pPr>
              <w:pStyle w:val="TableText0"/>
              <w:keepNext w:val="0"/>
              <w:jc w:val="center"/>
            </w:pPr>
          </w:p>
        </w:tc>
      </w:tr>
      <w:tr w:rsidR="00E560FF" w:rsidRPr="00515484" w14:paraId="1FD0FA7B" w14:textId="77777777" w:rsidTr="00DF2C5C">
        <w:tc>
          <w:tcPr>
            <w:tcW w:w="2201" w:type="pct"/>
            <w:tcBorders>
              <w:bottom w:val="single" w:sz="4" w:space="0" w:color="auto"/>
            </w:tcBorders>
            <w:vAlign w:val="center"/>
          </w:tcPr>
          <w:p w14:paraId="18261074" w14:textId="3CF3A679" w:rsidR="00E560FF" w:rsidRPr="00515484" w:rsidRDefault="00E560FF" w:rsidP="00CF55B3">
            <w:pPr>
              <w:pStyle w:val="TableText0"/>
              <w:keepNext w:val="0"/>
              <w:ind w:left="171"/>
            </w:pPr>
            <w:r w:rsidRPr="00515484">
              <w:t xml:space="preserve">Exclude terminal care cost </w:t>
            </w:r>
            <w:r w:rsidRPr="00E560FF">
              <w:rPr>
                <w:b/>
                <w:bCs w:val="0"/>
                <w:i/>
                <w:iCs/>
              </w:rPr>
              <w:t>(#4)</w:t>
            </w:r>
          </w:p>
        </w:tc>
        <w:tc>
          <w:tcPr>
            <w:tcW w:w="656" w:type="pct"/>
            <w:tcBorders>
              <w:bottom w:val="single" w:sz="4" w:space="0" w:color="auto"/>
            </w:tcBorders>
            <w:vAlign w:val="center"/>
          </w:tcPr>
          <w:p w14:paraId="0751F641" w14:textId="7210742F" w:rsidR="00E560FF" w:rsidRPr="00515484" w:rsidRDefault="00E560FF" w:rsidP="00DF2C5C">
            <w:pPr>
              <w:pStyle w:val="TableText0"/>
              <w:keepNext w:val="0"/>
              <w:jc w:val="center"/>
            </w:pPr>
            <w:r w:rsidRPr="00515484">
              <w:t>$</w:t>
            </w:r>
            <w:r w:rsidR="003C043D" w:rsidRPr="003C043D">
              <w:rPr>
                <w:color w:val="000000"/>
                <w:spacing w:val="180"/>
                <w:shd w:val="solid" w:color="000000" w:fill="000000"/>
                <w:fitText w:val="266" w:id="-1233371122"/>
                <w14:textFill>
                  <w14:solidFill>
                    <w14:srgbClr w14:val="000000">
                      <w14:alpha w14:val="100000"/>
                    </w14:srgbClr>
                  </w14:solidFill>
                </w14:textFill>
              </w:rPr>
              <w:t>|</w:t>
            </w:r>
            <w:r w:rsidR="003C043D" w:rsidRPr="003C043D">
              <w:rPr>
                <w:color w:val="000000"/>
                <w:spacing w:val="1"/>
                <w:shd w:val="solid" w:color="000000" w:fill="000000"/>
                <w:fitText w:val="266" w:id="-1233371122"/>
                <w14:textFill>
                  <w14:solidFill>
                    <w14:srgbClr w14:val="000000">
                      <w14:alpha w14:val="100000"/>
                    </w14:srgbClr>
                  </w14:solidFill>
                </w14:textFill>
              </w:rPr>
              <w:t>|</w:t>
            </w:r>
          </w:p>
        </w:tc>
        <w:tc>
          <w:tcPr>
            <w:tcW w:w="715" w:type="pct"/>
            <w:tcBorders>
              <w:bottom w:val="single" w:sz="4" w:space="0" w:color="auto"/>
            </w:tcBorders>
            <w:vAlign w:val="center"/>
          </w:tcPr>
          <w:p w14:paraId="6E60D35C" w14:textId="77777777" w:rsidR="00E560FF" w:rsidRPr="00515484" w:rsidRDefault="00E560FF" w:rsidP="00DF2C5C">
            <w:pPr>
              <w:pStyle w:val="TableText0"/>
              <w:keepNext w:val="0"/>
              <w:jc w:val="center"/>
            </w:pPr>
            <w:r w:rsidRPr="00515484">
              <w:t>0.312</w:t>
            </w:r>
          </w:p>
        </w:tc>
        <w:tc>
          <w:tcPr>
            <w:tcW w:w="746" w:type="pct"/>
            <w:tcBorders>
              <w:bottom w:val="single" w:sz="4" w:space="0" w:color="auto"/>
            </w:tcBorders>
            <w:vAlign w:val="center"/>
          </w:tcPr>
          <w:p w14:paraId="13994FA9" w14:textId="5C46B9EE" w:rsidR="00E560FF" w:rsidRPr="00515484" w:rsidRDefault="00E560FF" w:rsidP="00DF2C5C">
            <w:pPr>
              <w:pStyle w:val="TableText0"/>
              <w:keepNext w:val="0"/>
              <w:jc w:val="center"/>
            </w:pPr>
            <w:r w:rsidRPr="00515484">
              <w:t>$</w:t>
            </w:r>
            <w:r w:rsidR="003C043D" w:rsidRPr="003C043D">
              <w:rPr>
                <w:color w:val="000000"/>
                <w:spacing w:val="163"/>
                <w:shd w:val="solid" w:color="000000" w:fill="000000"/>
                <w:fitText w:val="249" w:id="-1233371121"/>
                <w14:textFill>
                  <w14:solidFill>
                    <w14:srgbClr w14:val="000000">
                      <w14:alpha w14:val="100000"/>
                    </w14:srgbClr>
                  </w14:solidFill>
                </w14:textFill>
              </w:rPr>
              <w:t>|</w:t>
            </w:r>
            <w:r w:rsidR="003C043D" w:rsidRPr="003C043D">
              <w:rPr>
                <w:color w:val="000000"/>
                <w:spacing w:val="1"/>
                <w:shd w:val="solid" w:color="000000" w:fill="000000"/>
                <w:fitText w:val="249" w:id="-1233371121"/>
                <w14:textFill>
                  <w14:solidFill>
                    <w14:srgbClr w14:val="000000">
                      <w14:alpha w14:val="100000"/>
                    </w14:srgbClr>
                  </w14:solidFill>
                </w14:textFill>
              </w:rPr>
              <w:t>|</w:t>
            </w:r>
            <w:r w:rsidR="00AC49EB">
              <w:t xml:space="preserve"> </w:t>
            </w:r>
            <w:r w:rsidR="00AC49EB">
              <w:rPr>
                <w:vertAlign w:val="superscript"/>
              </w:rPr>
              <w:t>1</w:t>
            </w:r>
          </w:p>
        </w:tc>
        <w:tc>
          <w:tcPr>
            <w:tcW w:w="682" w:type="pct"/>
            <w:tcBorders>
              <w:bottom w:val="single" w:sz="4" w:space="0" w:color="auto"/>
            </w:tcBorders>
          </w:tcPr>
          <w:p w14:paraId="7B91B4C6" w14:textId="77777777" w:rsidR="00E560FF" w:rsidRPr="00515484" w:rsidRDefault="00E560FF" w:rsidP="00DF2C5C">
            <w:pPr>
              <w:pStyle w:val="TableText0"/>
              <w:keepNext w:val="0"/>
              <w:jc w:val="center"/>
            </w:pPr>
            <w:r w:rsidRPr="00515484">
              <w:t>4%</w:t>
            </w:r>
          </w:p>
        </w:tc>
      </w:tr>
      <w:tr w:rsidR="0027503F" w:rsidRPr="00A95754" w14:paraId="5F795672" w14:textId="77777777" w:rsidTr="002A5C66">
        <w:tc>
          <w:tcPr>
            <w:tcW w:w="5000" w:type="pct"/>
            <w:gridSpan w:val="5"/>
            <w:vAlign w:val="center"/>
          </w:tcPr>
          <w:p w14:paraId="4BF70B4D" w14:textId="77777777" w:rsidR="0027503F" w:rsidRPr="00A95754" w:rsidRDefault="0027503F" w:rsidP="002A5C66">
            <w:pPr>
              <w:pStyle w:val="TableText0"/>
              <w:keepNext w:val="0"/>
            </w:pPr>
            <w:r w:rsidRPr="00A95754">
              <w:rPr>
                <w:b/>
              </w:rPr>
              <w:t>Treatment discontinued at disease progression</w:t>
            </w:r>
          </w:p>
        </w:tc>
      </w:tr>
      <w:tr w:rsidR="0027503F" w:rsidRPr="00515484" w14:paraId="60A6D512" w14:textId="77777777" w:rsidTr="002A5C66">
        <w:tc>
          <w:tcPr>
            <w:tcW w:w="2201" w:type="pct"/>
            <w:tcBorders>
              <w:bottom w:val="single" w:sz="4" w:space="0" w:color="auto"/>
            </w:tcBorders>
            <w:vAlign w:val="center"/>
          </w:tcPr>
          <w:p w14:paraId="4CF64C93" w14:textId="77777777" w:rsidR="0027503F" w:rsidRPr="00515484" w:rsidRDefault="0027503F" w:rsidP="00CF55B3">
            <w:pPr>
              <w:pStyle w:val="TableText0"/>
              <w:keepNext w:val="0"/>
              <w:ind w:left="171"/>
            </w:pPr>
            <w:r w:rsidRPr="00515484">
              <w:t>Treatment duration: PFS ≥ TTD</w:t>
            </w:r>
          </w:p>
        </w:tc>
        <w:tc>
          <w:tcPr>
            <w:tcW w:w="656" w:type="pct"/>
            <w:tcBorders>
              <w:bottom w:val="single" w:sz="4" w:space="0" w:color="auto"/>
            </w:tcBorders>
            <w:vAlign w:val="center"/>
          </w:tcPr>
          <w:p w14:paraId="1FE4723B" w14:textId="531C86FC" w:rsidR="0027503F" w:rsidRPr="00515484" w:rsidRDefault="0027503F" w:rsidP="002A5C66">
            <w:pPr>
              <w:pStyle w:val="TableText0"/>
              <w:keepNext w:val="0"/>
              <w:jc w:val="center"/>
            </w:pPr>
            <w:r w:rsidRPr="00515484">
              <w:t>$</w:t>
            </w:r>
            <w:r w:rsidR="003C043D" w:rsidRPr="003C043D">
              <w:rPr>
                <w:color w:val="000000"/>
                <w:spacing w:val="180"/>
                <w:shd w:val="solid" w:color="000000" w:fill="000000"/>
                <w:fitText w:val="266" w:id="-1233371120"/>
                <w14:textFill>
                  <w14:solidFill>
                    <w14:srgbClr w14:val="000000">
                      <w14:alpha w14:val="100000"/>
                    </w14:srgbClr>
                  </w14:solidFill>
                </w14:textFill>
              </w:rPr>
              <w:t>|</w:t>
            </w:r>
            <w:r w:rsidR="003C043D" w:rsidRPr="003C043D">
              <w:rPr>
                <w:color w:val="000000"/>
                <w:spacing w:val="1"/>
                <w:shd w:val="solid" w:color="000000" w:fill="000000"/>
                <w:fitText w:val="266" w:id="-1233371120"/>
                <w14:textFill>
                  <w14:solidFill>
                    <w14:srgbClr w14:val="000000">
                      <w14:alpha w14:val="100000"/>
                    </w14:srgbClr>
                  </w14:solidFill>
                </w14:textFill>
              </w:rPr>
              <w:t>|</w:t>
            </w:r>
          </w:p>
        </w:tc>
        <w:tc>
          <w:tcPr>
            <w:tcW w:w="715" w:type="pct"/>
            <w:tcBorders>
              <w:bottom w:val="single" w:sz="4" w:space="0" w:color="auto"/>
            </w:tcBorders>
            <w:vAlign w:val="center"/>
          </w:tcPr>
          <w:p w14:paraId="19FEF835" w14:textId="77777777" w:rsidR="0027503F" w:rsidRPr="00515484" w:rsidRDefault="0027503F" w:rsidP="002A5C66">
            <w:pPr>
              <w:pStyle w:val="TableText0"/>
              <w:keepNext w:val="0"/>
              <w:jc w:val="center"/>
            </w:pPr>
            <w:r w:rsidRPr="00515484">
              <w:t>0.312</w:t>
            </w:r>
          </w:p>
        </w:tc>
        <w:tc>
          <w:tcPr>
            <w:tcW w:w="746" w:type="pct"/>
            <w:tcBorders>
              <w:bottom w:val="single" w:sz="4" w:space="0" w:color="auto"/>
            </w:tcBorders>
            <w:vAlign w:val="center"/>
          </w:tcPr>
          <w:p w14:paraId="6584DAA0" w14:textId="20167646" w:rsidR="0027503F" w:rsidRPr="00515484" w:rsidRDefault="0027503F" w:rsidP="002A5C66">
            <w:pPr>
              <w:pStyle w:val="TableText0"/>
              <w:keepNext w:val="0"/>
              <w:jc w:val="center"/>
            </w:pPr>
            <w:r w:rsidRPr="00515484">
              <w:t>$</w:t>
            </w:r>
            <w:r w:rsidR="003C043D" w:rsidRPr="003C043D">
              <w:rPr>
                <w:color w:val="000000"/>
                <w:spacing w:val="163"/>
                <w:shd w:val="solid" w:color="000000" w:fill="000000"/>
                <w:fitText w:val="249" w:id="-1233371136"/>
                <w14:textFill>
                  <w14:solidFill>
                    <w14:srgbClr w14:val="000000">
                      <w14:alpha w14:val="100000"/>
                    </w14:srgbClr>
                  </w14:solidFill>
                </w14:textFill>
              </w:rPr>
              <w:t>|</w:t>
            </w:r>
            <w:r w:rsidR="003C043D" w:rsidRPr="003C043D">
              <w:rPr>
                <w:color w:val="000000"/>
                <w:spacing w:val="1"/>
                <w:shd w:val="solid" w:color="000000" w:fill="000000"/>
                <w:fitText w:val="249" w:id="-1233371136"/>
                <w14:textFill>
                  <w14:solidFill>
                    <w14:srgbClr w14:val="000000">
                      <w14:alpha w14:val="100000"/>
                    </w14:srgbClr>
                  </w14:solidFill>
                </w14:textFill>
              </w:rPr>
              <w:t>|</w:t>
            </w:r>
            <w:r w:rsidR="00AC49EB">
              <w:t xml:space="preserve"> </w:t>
            </w:r>
            <w:r w:rsidR="00AC49EB">
              <w:rPr>
                <w:vertAlign w:val="superscript"/>
              </w:rPr>
              <w:t>2</w:t>
            </w:r>
          </w:p>
        </w:tc>
        <w:tc>
          <w:tcPr>
            <w:tcW w:w="682" w:type="pct"/>
            <w:tcBorders>
              <w:bottom w:val="single" w:sz="4" w:space="0" w:color="auto"/>
            </w:tcBorders>
          </w:tcPr>
          <w:p w14:paraId="34C41001" w14:textId="77777777" w:rsidR="0027503F" w:rsidRPr="00515484" w:rsidRDefault="0027503F" w:rsidP="002A5C66">
            <w:pPr>
              <w:pStyle w:val="TableText0"/>
              <w:keepNext w:val="0"/>
              <w:jc w:val="center"/>
            </w:pPr>
            <w:r w:rsidRPr="00515484">
              <w:t>-10%</w:t>
            </w:r>
          </w:p>
        </w:tc>
      </w:tr>
      <w:tr w:rsidR="0027503F" w:rsidRPr="00A95754" w14:paraId="072EC784" w14:textId="77777777" w:rsidTr="002A5C66">
        <w:tc>
          <w:tcPr>
            <w:tcW w:w="2201" w:type="pct"/>
            <w:tcBorders>
              <w:bottom w:val="single" w:sz="4" w:space="0" w:color="auto"/>
              <w:right w:val="nil"/>
            </w:tcBorders>
            <w:vAlign w:val="center"/>
          </w:tcPr>
          <w:p w14:paraId="7B490427" w14:textId="77777777" w:rsidR="0027503F" w:rsidRPr="00A95754" w:rsidRDefault="0027503F" w:rsidP="002A5C66">
            <w:pPr>
              <w:pStyle w:val="TableText0"/>
              <w:keepNext w:val="0"/>
              <w:rPr>
                <w:i/>
                <w:iCs/>
              </w:rPr>
            </w:pPr>
            <w:r w:rsidRPr="00A95754">
              <w:rPr>
                <w:b/>
                <w:bCs w:val="0"/>
              </w:rPr>
              <w:t>Multivariate analyses</w:t>
            </w:r>
          </w:p>
        </w:tc>
        <w:tc>
          <w:tcPr>
            <w:tcW w:w="656" w:type="pct"/>
            <w:tcBorders>
              <w:left w:val="nil"/>
              <w:bottom w:val="single" w:sz="4" w:space="0" w:color="auto"/>
              <w:right w:val="nil"/>
            </w:tcBorders>
            <w:vAlign w:val="center"/>
          </w:tcPr>
          <w:p w14:paraId="3B314C98" w14:textId="77777777" w:rsidR="0027503F" w:rsidRPr="00A95754" w:rsidRDefault="0027503F" w:rsidP="002A5C66">
            <w:pPr>
              <w:pStyle w:val="TableText0"/>
              <w:keepNext w:val="0"/>
              <w:jc w:val="center"/>
              <w:rPr>
                <w:i/>
                <w:iCs/>
              </w:rPr>
            </w:pPr>
          </w:p>
        </w:tc>
        <w:tc>
          <w:tcPr>
            <w:tcW w:w="715" w:type="pct"/>
            <w:tcBorders>
              <w:left w:val="nil"/>
              <w:bottom w:val="single" w:sz="4" w:space="0" w:color="auto"/>
              <w:right w:val="nil"/>
            </w:tcBorders>
            <w:vAlign w:val="center"/>
          </w:tcPr>
          <w:p w14:paraId="6D5449F1" w14:textId="77777777" w:rsidR="0027503F" w:rsidRPr="00A95754" w:rsidRDefault="0027503F" w:rsidP="002A5C66">
            <w:pPr>
              <w:pStyle w:val="TableText0"/>
              <w:keepNext w:val="0"/>
              <w:jc w:val="center"/>
              <w:rPr>
                <w:i/>
                <w:iCs/>
              </w:rPr>
            </w:pPr>
          </w:p>
        </w:tc>
        <w:tc>
          <w:tcPr>
            <w:tcW w:w="746" w:type="pct"/>
            <w:tcBorders>
              <w:left w:val="nil"/>
              <w:bottom w:val="single" w:sz="4" w:space="0" w:color="auto"/>
              <w:right w:val="nil"/>
            </w:tcBorders>
            <w:vAlign w:val="center"/>
          </w:tcPr>
          <w:p w14:paraId="55A5A3E0" w14:textId="77777777" w:rsidR="0027503F" w:rsidRPr="00A95754" w:rsidRDefault="0027503F" w:rsidP="002A5C66">
            <w:pPr>
              <w:pStyle w:val="TableText0"/>
              <w:keepNext w:val="0"/>
              <w:jc w:val="center"/>
              <w:rPr>
                <w:i/>
                <w:iCs/>
              </w:rPr>
            </w:pPr>
          </w:p>
        </w:tc>
        <w:tc>
          <w:tcPr>
            <w:tcW w:w="682" w:type="pct"/>
            <w:tcBorders>
              <w:left w:val="nil"/>
              <w:bottom w:val="single" w:sz="4" w:space="0" w:color="auto"/>
            </w:tcBorders>
          </w:tcPr>
          <w:p w14:paraId="4E8CB5FF" w14:textId="77777777" w:rsidR="0027503F" w:rsidRPr="00A95754" w:rsidRDefault="0027503F" w:rsidP="002A5C66">
            <w:pPr>
              <w:pStyle w:val="TableText0"/>
              <w:keepNext w:val="0"/>
              <w:jc w:val="center"/>
              <w:rPr>
                <w:i/>
                <w:iCs/>
              </w:rPr>
            </w:pPr>
          </w:p>
        </w:tc>
      </w:tr>
      <w:tr w:rsidR="0027503F" w:rsidRPr="00515484" w14:paraId="7D2402DA" w14:textId="77777777" w:rsidTr="00263742">
        <w:tc>
          <w:tcPr>
            <w:tcW w:w="2201" w:type="pct"/>
            <w:vAlign w:val="center"/>
          </w:tcPr>
          <w:p w14:paraId="17BF2686" w14:textId="122FAA4B" w:rsidR="00627DC0" w:rsidRPr="00BF581C" w:rsidRDefault="00E560FF" w:rsidP="00627DC0">
            <w:pPr>
              <w:pStyle w:val="TableText0"/>
              <w:keepNext w:val="0"/>
              <w:rPr>
                <w:bCs w:val="0"/>
              </w:rPr>
            </w:pPr>
            <w:r w:rsidRPr="00BF581C">
              <w:rPr>
                <w:bCs w:val="0"/>
              </w:rPr>
              <w:t>#1 + #3</w:t>
            </w:r>
          </w:p>
        </w:tc>
        <w:tc>
          <w:tcPr>
            <w:tcW w:w="656" w:type="pct"/>
            <w:vAlign w:val="center"/>
          </w:tcPr>
          <w:p w14:paraId="1B35AA63" w14:textId="32EEE3E1" w:rsidR="0027503F" w:rsidRPr="00BF581C" w:rsidRDefault="008C72AC" w:rsidP="008C72AC">
            <w:pPr>
              <w:pStyle w:val="TableText0"/>
              <w:keepNext w:val="0"/>
              <w:jc w:val="center"/>
            </w:pPr>
            <w:r w:rsidRPr="00BF581C">
              <w:t>$</w:t>
            </w:r>
            <w:r w:rsidR="003C043D" w:rsidRPr="003C043D">
              <w:rPr>
                <w:color w:val="000000"/>
                <w:spacing w:val="180"/>
                <w:shd w:val="solid" w:color="000000" w:fill="000000"/>
                <w:fitText w:val="266" w:id="-1233371135"/>
                <w14:textFill>
                  <w14:solidFill>
                    <w14:srgbClr w14:val="000000">
                      <w14:alpha w14:val="100000"/>
                    </w14:srgbClr>
                  </w14:solidFill>
                </w14:textFill>
              </w:rPr>
              <w:t>|</w:t>
            </w:r>
            <w:r w:rsidR="003C043D" w:rsidRPr="003C043D">
              <w:rPr>
                <w:color w:val="000000"/>
                <w:spacing w:val="1"/>
                <w:shd w:val="solid" w:color="000000" w:fill="000000"/>
                <w:fitText w:val="266" w:id="-1233371135"/>
                <w14:textFill>
                  <w14:solidFill>
                    <w14:srgbClr w14:val="000000">
                      <w14:alpha w14:val="100000"/>
                    </w14:srgbClr>
                  </w14:solidFill>
                </w14:textFill>
              </w:rPr>
              <w:t>|</w:t>
            </w:r>
          </w:p>
        </w:tc>
        <w:tc>
          <w:tcPr>
            <w:tcW w:w="715" w:type="pct"/>
            <w:vAlign w:val="center"/>
          </w:tcPr>
          <w:p w14:paraId="74D66B48" w14:textId="00110405" w:rsidR="0027503F" w:rsidRPr="00BF581C" w:rsidRDefault="008C72AC" w:rsidP="008C72AC">
            <w:pPr>
              <w:pStyle w:val="TableText0"/>
              <w:keepNext w:val="0"/>
              <w:jc w:val="center"/>
            </w:pPr>
            <w:r w:rsidRPr="00BF581C">
              <w:t>0.216</w:t>
            </w:r>
          </w:p>
        </w:tc>
        <w:tc>
          <w:tcPr>
            <w:tcW w:w="746" w:type="pct"/>
            <w:vAlign w:val="center"/>
          </w:tcPr>
          <w:p w14:paraId="60DEA8C2" w14:textId="44BE1A11" w:rsidR="0027503F" w:rsidRPr="00BF581C" w:rsidRDefault="008C72AC" w:rsidP="00E560FF">
            <w:pPr>
              <w:pStyle w:val="TableText0"/>
              <w:keepNext w:val="0"/>
              <w:jc w:val="center"/>
            </w:pPr>
            <w:r w:rsidRPr="00BF581C">
              <w:t>$</w:t>
            </w:r>
            <w:r w:rsidR="003C043D" w:rsidRPr="003C043D">
              <w:rPr>
                <w:color w:val="000000"/>
                <w:spacing w:val="163"/>
                <w:shd w:val="solid" w:color="000000" w:fill="000000"/>
                <w:fitText w:val="249" w:id="-1233371134"/>
                <w14:textFill>
                  <w14:solidFill>
                    <w14:srgbClr w14:val="000000">
                      <w14:alpha w14:val="100000"/>
                    </w14:srgbClr>
                  </w14:solidFill>
                </w14:textFill>
              </w:rPr>
              <w:t>|</w:t>
            </w:r>
            <w:r w:rsidR="003C043D" w:rsidRPr="003C043D">
              <w:rPr>
                <w:color w:val="000000"/>
                <w:spacing w:val="1"/>
                <w:shd w:val="solid" w:color="000000" w:fill="000000"/>
                <w:fitText w:val="249" w:id="-1233371134"/>
                <w14:textFill>
                  <w14:solidFill>
                    <w14:srgbClr w14:val="000000">
                      <w14:alpha w14:val="100000"/>
                    </w14:srgbClr>
                  </w14:solidFill>
                </w14:textFill>
              </w:rPr>
              <w:t>|</w:t>
            </w:r>
            <w:r w:rsidR="00AC49EB">
              <w:t xml:space="preserve"> </w:t>
            </w:r>
            <w:r w:rsidR="00AC49EB">
              <w:rPr>
                <w:vertAlign w:val="superscript"/>
              </w:rPr>
              <w:t>4</w:t>
            </w:r>
          </w:p>
        </w:tc>
        <w:tc>
          <w:tcPr>
            <w:tcW w:w="682" w:type="pct"/>
            <w:vAlign w:val="center"/>
          </w:tcPr>
          <w:p w14:paraId="58FD0134" w14:textId="11821596" w:rsidR="0027503F" w:rsidRPr="00BF581C" w:rsidRDefault="00263742" w:rsidP="002A5C66">
            <w:pPr>
              <w:pStyle w:val="TableText0"/>
              <w:keepNext w:val="0"/>
              <w:jc w:val="center"/>
            </w:pPr>
            <w:r w:rsidRPr="00BF581C">
              <w:t>38%</w:t>
            </w:r>
          </w:p>
        </w:tc>
      </w:tr>
      <w:tr w:rsidR="00E560FF" w:rsidRPr="00515484" w14:paraId="03B9CB90" w14:textId="77777777" w:rsidTr="00263742">
        <w:tc>
          <w:tcPr>
            <w:tcW w:w="2201" w:type="pct"/>
            <w:vAlign w:val="center"/>
          </w:tcPr>
          <w:p w14:paraId="7FFD9E2D" w14:textId="4F29CC37" w:rsidR="00E560FF" w:rsidRPr="00BF581C" w:rsidRDefault="00E560FF" w:rsidP="00E560FF">
            <w:pPr>
              <w:pStyle w:val="TableText0"/>
              <w:keepNext w:val="0"/>
              <w:rPr>
                <w:bCs w:val="0"/>
              </w:rPr>
            </w:pPr>
            <w:r w:rsidRPr="00BF581C">
              <w:rPr>
                <w:bCs w:val="0"/>
              </w:rPr>
              <w:t>#1 + #3 + #4</w:t>
            </w:r>
          </w:p>
        </w:tc>
        <w:tc>
          <w:tcPr>
            <w:tcW w:w="656" w:type="pct"/>
            <w:vAlign w:val="center"/>
          </w:tcPr>
          <w:p w14:paraId="3FAA2719" w14:textId="1E3F91B6" w:rsidR="00E560FF" w:rsidRPr="00BF581C" w:rsidRDefault="00E560FF" w:rsidP="00E560FF">
            <w:pPr>
              <w:jc w:val="center"/>
              <w:rPr>
                <w:rFonts w:ascii="Arial Narrow" w:eastAsiaTheme="majorEastAsia" w:hAnsi="Arial Narrow" w:cstheme="majorBidi"/>
                <w:sz w:val="20"/>
              </w:rPr>
            </w:pPr>
            <w:r w:rsidRPr="00BF581C">
              <w:rPr>
                <w:rFonts w:ascii="Arial Narrow" w:eastAsiaTheme="majorEastAsia" w:hAnsi="Arial Narrow" w:cstheme="majorBidi"/>
                <w:sz w:val="20"/>
              </w:rPr>
              <w:t>$</w:t>
            </w:r>
            <w:r w:rsidR="003C043D" w:rsidRPr="003C043D">
              <w:rPr>
                <w:rFonts w:ascii="Arial Narrow" w:eastAsiaTheme="majorEastAsia" w:hAnsi="Arial Narrow" w:cstheme="majorBidi"/>
                <w:color w:val="000000"/>
                <w:spacing w:val="180"/>
                <w:sz w:val="20"/>
                <w:shd w:val="solid" w:color="000000" w:fill="000000"/>
                <w:fitText w:val="266" w:id="-1233371133"/>
                <w14:textFill>
                  <w14:solidFill>
                    <w14:srgbClr w14:val="000000">
                      <w14:alpha w14:val="100000"/>
                    </w14:srgbClr>
                  </w14:solidFill>
                </w14:textFill>
              </w:rPr>
              <w:t>|</w:t>
            </w:r>
            <w:r w:rsidR="003C043D" w:rsidRPr="003C043D">
              <w:rPr>
                <w:rFonts w:ascii="Arial Narrow" w:eastAsiaTheme="majorEastAsia" w:hAnsi="Arial Narrow" w:cstheme="majorBidi"/>
                <w:color w:val="000000"/>
                <w:spacing w:val="1"/>
                <w:sz w:val="20"/>
                <w:shd w:val="solid" w:color="000000" w:fill="000000"/>
                <w:fitText w:val="266" w:id="-1233371133"/>
                <w14:textFill>
                  <w14:solidFill>
                    <w14:srgbClr w14:val="000000">
                      <w14:alpha w14:val="100000"/>
                    </w14:srgbClr>
                  </w14:solidFill>
                </w14:textFill>
              </w:rPr>
              <w:t>|</w:t>
            </w:r>
          </w:p>
        </w:tc>
        <w:tc>
          <w:tcPr>
            <w:tcW w:w="715" w:type="pct"/>
            <w:vAlign w:val="center"/>
          </w:tcPr>
          <w:p w14:paraId="7DAAC292" w14:textId="6B844681" w:rsidR="00E560FF" w:rsidRPr="00BF581C" w:rsidRDefault="00E560FF" w:rsidP="00E560FF">
            <w:pPr>
              <w:jc w:val="center"/>
              <w:rPr>
                <w:rFonts w:ascii="Arial Narrow" w:eastAsiaTheme="majorEastAsia" w:hAnsi="Arial Narrow" w:cstheme="majorBidi"/>
                <w:sz w:val="20"/>
              </w:rPr>
            </w:pPr>
            <w:r w:rsidRPr="00BF581C">
              <w:rPr>
                <w:rFonts w:ascii="Arial Narrow" w:eastAsiaTheme="majorEastAsia" w:hAnsi="Arial Narrow" w:cstheme="majorBidi"/>
                <w:sz w:val="20"/>
              </w:rPr>
              <w:t>0.216</w:t>
            </w:r>
          </w:p>
        </w:tc>
        <w:tc>
          <w:tcPr>
            <w:tcW w:w="746" w:type="pct"/>
            <w:vAlign w:val="center"/>
          </w:tcPr>
          <w:p w14:paraId="1AF748BD" w14:textId="3E0C292F" w:rsidR="00E560FF" w:rsidRPr="00BF581C" w:rsidRDefault="00E560FF" w:rsidP="00E560FF">
            <w:pPr>
              <w:pStyle w:val="TableText0"/>
              <w:keepNext w:val="0"/>
              <w:jc w:val="center"/>
              <w:rPr>
                <w:bCs w:val="0"/>
              </w:rPr>
            </w:pPr>
            <w:r w:rsidRPr="00BF581C">
              <w:rPr>
                <w:bCs w:val="0"/>
              </w:rPr>
              <w:t>$</w:t>
            </w:r>
            <w:r w:rsidR="003C043D" w:rsidRPr="003C043D">
              <w:rPr>
                <w:bCs w:val="0"/>
                <w:color w:val="000000"/>
                <w:spacing w:val="163"/>
                <w:shd w:val="solid" w:color="000000" w:fill="000000"/>
                <w:fitText w:val="249" w:id="-1233371132"/>
                <w14:textFill>
                  <w14:solidFill>
                    <w14:srgbClr w14:val="000000">
                      <w14:alpha w14:val="100000"/>
                    </w14:srgbClr>
                  </w14:solidFill>
                </w14:textFill>
              </w:rPr>
              <w:t>|</w:t>
            </w:r>
            <w:r w:rsidR="003C043D" w:rsidRPr="003C043D">
              <w:rPr>
                <w:bCs w:val="0"/>
                <w:color w:val="000000"/>
                <w:spacing w:val="1"/>
                <w:shd w:val="solid" w:color="000000" w:fill="000000"/>
                <w:fitText w:val="249" w:id="-1233371132"/>
                <w14:textFill>
                  <w14:solidFill>
                    <w14:srgbClr w14:val="000000">
                      <w14:alpha w14:val="100000"/>
                    </w14:srgbClr>
                  </w14:solidFill>
                </w14:textFill>
              </w:rPr>
              <w:t>|</w:t>
            </w:r>
            <w:r w:rsidR="00AC49EB">
              <w:t xml:space="preserve"> </w:t>
            </w:r>
            <w:r w:rsidR="00AC49EB">
              <w:rPr>
                <w:vertAlign w:val="superscript"/>
              </w:rPr>
              <w:t>4</w:t>
            </w:r>
          </w:p>
        </w:tc>
        <w:tc>
          <w:tcPr>
            <w:tcW w:w="682" w:type="pct"/>
            <w:vAlign w:val="center"/>
          </w:tcPr>
          <w:p w14:paraId="1BAE2B24" w14:textId="6BB7DF94" w:rsidR="00E560FF" w:rsidRPr="00BF581C" w:rsidRDefault="00E560FF" w:rsidP="002A5C66">
            <w:pPr>
              <w:pStyle w:val="TableText0"/>
              <w:keepNext w:val="0"/>
              <w:jc w:val="center"/>
              <w:rPr>
                <w:bCs w:val="0"/>
              </w:rPr>
            </w:pPr>
            <w:r w:rsidRPr="00BF581C">
              <w:rPr>
                <w:bCs w:val="0"/>
              </w:rPr>
              <w:t>49%</w:t>
            </w:r>
          </w:p>
        </w:tc>
      </w:tr>
      <w:tr w:rsidR="00263742" w:rsidRPr="00515484" w14:paraId="587E128B" w14:textId="77777777" w:rsidTr="00263742">
        <w:tc>
          <w:tcPr>
            <w:tcW w:w="2201" w:type="pct"/>
            <w:vAlign w:val="center"/>
          </w:tcPr>
          <w:p w14:paraId="6A1544E9" w14:textId="37AAC0DC" w:rsidR="00263742" w:rsidRPr="00BF581C" w:rsidRDefault="00E560FF" w:rsidP="00263742">
            <w:pPr>
              <w:pStyle w:val="TableText0"/>
              <w:keepNext w:val="0"/>
              <w:rPr>
                <w:bCs w:val="0"/>
              </w:rPr>
            </w:pPr>
            <w:r w:rsidRPr="00BF581C">
              <w:rPr>
                <w:bCs w:val="0"/>
              </w:rPr>
              <w:t>#1 + #3</w:t>
            </w:r>
          </w:p>
        </w:tc>
        <w:tc>
          <w:tcPr>
            <w:tcW w:w="656" w:type="pct"/>
            <w:vAlign w:val="center"/>
          </w:tcPr>
          <w:p w14:paraId="4D018393" w14:textId="2CF68A3F" w:rsidR="00263742" w:rsidRPr="00BF581C" w:rsidRDefault="00263742" w:rsidP="008C72AC">
            <w:pPr>
              <w:pStyle w:val="TableText0"/>
              <w:keepNext w:val="0"/>
              <w:jc w:val="center"/>
            </w:pPr>
            <w:r w:rsidRPr="00BF581C">
              <w:t>$</w:t>
            </w:r>
            <w:r w:rsidR="003C043D" w:rsidRPr="003C043D">
              <w:rPr>
                <w:color w:val="000000"/>
                <w:spacing w:val="180"/>
                <w:shd w:val="solid" w:color="000000" w:fill="000000"/>
                <w:fitText w:val="266" w:id="-1233371131"/>
                <w14:textFill>
                  <w14:solidFill>
                    <w14:srgbClr w14:val="000000">
                      <w14:alpha w14:val="100000"/>
                    </w14:srgbClr>
                  </w14:solidFill>
                </w14:textFill>
              </w:rPr>
              <w:t>|</w:t>
            </w:r>
            <w:r w:rsidR="003C043D" w:rsidRPr="003C043D">
              <w:rPr>
                <w:color w:val="000000"/>
                <w:spacing w:val="1"/>
                <w:shd w:val="solid" w:color="000000" w:fill="000000"/>
                <w:fitText w:val="266" w:id="-1233371131"/>
                <w14:textFill>
                  <w14:solidFill>
                    <w14:srgbClr w14:val="000000">
                      <w14:alpha w14:val="100000"/>
                    </w14:srgbClr>
                  </w14:solidFill>
                </w14:textFill>
              </w:rPr>
              <w:t>|</w:t>
            </w:r>
          </w:p>
        </w:tc>
        <w:tc>
          <w:tcPr>
            <w:tcW w:w="715" w:type="pct"/>
            <w:vAlign w:val="center"/>
          </w:tcPr>
          <w:p w14:paraId="4E216B94" w14:textId="7CD43318" w:rsidR="00263742" w:rsidRPr="00BF581C" w:rsidRDefault="00263742" w:rsidP="008C72AC">
            <w:pPr>
              <w:pStyle w:val="TableText0"/>
              <w:keepNext w:val="0"/>
              <w:jc w:val="center"/>
            </w:pPr>
            <w:r w:rsidRPr="00BF581C">
              <w:t>0.258</w:t>
            </w:r>
          </w:p>
        </w:tc>
        <w:tc>
          <w:tcPr>
            <w:tcW w:w="746" w:type="pct"/>
            <w:vAlign w:val="center"/>
          </w:tcPr>
          <w:p w14:paraId="7328EA0C" w14:textId="64209270" w:rsidR="00263742" w:rsidRPr="00BF581C" w:rsidRDefault="00263742" w:rsidP="00E560FF">
            <w:pPr>
              <w:pStyle w:val="TableText0"/>
              <w:keepNext w:val="0"/>
              <w:jc w:val="center"/>
            </w:pPr>
            <w:r w:rsidRPr="00BF581C">
              <w:t>$</w:t>
            </w:r>
            <w:r w:rsidR="003C043D" w:rsidRPr="003C043D">
              <w:rPr>
                <w:color w:val="000000"/>
                <w:spacing w:val="163"/>
                <w:shd w:val="solid" w:color="000000" w:fill="000000"/>
                <w:fitText w:val="249" w:id="-1233371130"/>
                <w14:textFill>
                  <w14:solidFill>
                    <w14:srgbClr w14:val="000000">
                      <w14:alpha w14:val="100000"/>
                    </w14:srgbClr>
                  </w14:solidFill>
                </w14:textFill>
              </w:rPr>
              <w:t>|</w:t>
            </w:r>
            <w:r w:rsidR="003C043D" w:rsidRPr="003C043D">
              <w:rPr>
                <w:color w:val="000000"/>
                <w:spacing w:val="1"/>
                <w:shd w:val="solid" w:color="000000" w:fill="000000"/>
                <w:fitText w:val="249" w:id="-1233371130"/>
                <w14:textFill>
                  <w14:solidFill>
                    <w14:srgbClr w14:val="000000">
                      <w14:alpha w14:val="100000"/>
                    </w14:srgbClr>
                  </w14:solidFill>
                </w14:textFill>
              </w:rPr>
              <w:t>|</w:t>
            </w:r>
            <w:r w:rsidR="00AC49EB">
              <w:t xml:space="preserve"> </w:t>
            </w:r>
            <w:r w:rsidR="00AC49EB">
              <w:rPr>
                <w:vertAlign w:val="superscript"/>
              </w:rPr>
              <w:t>3</w:t>
            </w:r>
          </w:p>
        </w:tc>
        <w:tc>
          <w:tcPr>
            <w:tcW w:w="682" w:type="pct"/>
            <w:vAlign w:val="center"/>
          </w:tcPr>
          <w:p w14:paraId="03A7D409" w14:textId="1896323F" w:rsidR="00263742" w:rsidRPr="00BF581C" w:rsidRDefault="00E560FF" w:rsidP="002A5C66">
            <w:pPr>
              <w:pStyle w:val="TableText0"/>
              <w:keepNext w:val="0"/>
              <w:jc w:val="center"/>
            </w:pPr>
            <w:r w:rsidRPr="00BF581C">
              <w:t>19%</w:t>
            </w:r>
          </w:p>
        </w:tc>
      </w:tr>
      <w:tr w:rsidR="00E560FF" w:rsidRPr="00515484" w14:paraId="26C8EA5B" w14:textId="77777777" w:rsidTr="00263742">
        <w:tc>
          <w:tcPr>
            <w:tcW w:w="2201" w:type="pct"/>
            <w:vAlign w:val="center"/>
          </w:tcPr>
          <w:p w14:paraId="7F709633" w14:textId="1C1D0C67" w:rsidR="00E560FF" w:rsidRPr="00BF581C" w:rsidRDefault="00E560FF" w:rsidP="00E560FF">
            <w:pPr>
              <w:pStyle w:val="TableText0"/>
              <w:keepNext w:val="0"/>
              <w:rPr>
                <w:bCs w:val="0"/>
              </w:rPr>
            </w:pPr>
            <w:r w:rsidRPr="00BF581C">
              <w:rPr>
                <w:bCs w:val="0"/>
              </w:rPr>
              <w:t>#2 + #3 + #4</w:t>
            </w:r>
          </w:p>
        </w:tc>
        <w:tc>
          <w:tcPr>
            <w:tcW w:w="656" w:type="pct"/>
            <w:vAlign w:val="center"/>
          </w:tcPr>
          <w:p w14:paraId="1D3F214F" w14:textId="0BDD585C" w:rsidR="00E560FF" w:rsidRPr="00BF581C" w:rsidRDefault="00E560FF" w:rsidP="00E560FF">
            <w:pPr>
              <w:jc w:val="center"/>
              <w:rPr>
                <w:rFonts w:ascii="Arial Narrow" w:eastAsiaTheme="majorEastAsia" w:hAnsi="Arial Narrow" w:cstheme="majorBidi"/>
                <w:bCs/>
                <w:sz w:val="20"/>
              </w:rPr>
            </w:pPr>
            <w:r w:rsidRPr="00BF581C">
              <w:rPr>
                <w:rFonts w:ascii="Arial Narrow" w:eastAsiaTheme="majorEastAsia" w:hAnsi="Arial Narrow" w:cstheme="majorBidi"/>
                <w:bCs/>
                <w:sz w:val="20"/>
              </w:rPr>
              <w:t>$</w:t>
            </w:r>
            <w:r w:rsidR="003C043D" w:rsidRPr="003C043D">
              <w:rPr>
                <w:rFonts w:ascii="Arial Narrow" w:eastAsiaTheme="majorEastAsia" w:hAnsi="Arial Narrow" w:cstheme="majorBidi"/>
                <w:bCs/>
                <w:color w:val="000000"/>
                <w:spacing w:val="180"/>
                <w:sz w:val="20"/>
                <w:shd w:val="solid" w:color="000000" w:fill="000000"/>
                <w:fitText w:val="266" w:id="-1233371129"/>
                <w14:textFill>
                  <w14:solidFill>
                    <w14:srgbClr w14:val="000000">
                      <w14:alpha w14:val="100000"/>
                    </w14:srgbClr>
                  </w14:solidFill>
                </w14:textFill>
              </w:rPr>
              <w:t>|</w:t>
            </w:r>
            <w:r w:rsidR="003C043D" w:rsidRPr="003C043D">
              <w:rPr>
                <w:rFonts w:ascii="Arial Narrow" w:eastAsiaTheme="majorEastAsia" w:hAnsi="Arial Narrow" w:cstheme="majorBidi"/>
                <w:bCs/>
                <w:color w:val="000000"/>
                <w:spacing w:val="1"/>
                <w:sz w:val="20"/>
                <w:shd w:val="solid" w:color="000000" w:fill="000000"/>
                <w:fitText w:val="266" w:id="-1233371129"/>
                <w14:textFill>
                  <w14:solidFill>
                    <w14:srgbClr w14:val="000000">
                      <w14:alpha w14:val="100000"/>
                    </w14:srgbClr>
                  </w14:solidFill>
                </w14:textFill>
              </w:rPr>
              <w:t>|</w:t>
            </w:r>
          </w:p>
        </w:tc>
        <w:tc>
          <w:tcPr>
            <w:tcW w:w="715" w:type="pct"/>
            <w:vAlign w:val="center"/>
          </w:tcPr>
          <w:p w14:paraId="19ED9411" w14:textId="5A07BECA" w:rsidR="00E560FF" w:rsidRPr="00BF581C" w:rsidRDefault="00E560FF" w:rsidP="00E560FF">
            <w:pPr>
              <w:jc w:val="center"/>
              <w:rPr>
                <w:rFonts w:ascii="Arial Narrow" w:eastAsiaTheme="majorEastAsia" w:hAnsi="Arial Narrow" w:cstheme="majorBidi"/>
                <w:bCs/>
                <w:sz w:val="20"/>
              </w:rPr>
            </w:pPr>
            <w:r w:rsidRPr="00BF581C">
              <w:rPr>
                <w:rFonts w:ascii="Arial Narrow" w:eastAsiaTheme="majorEastAsia" w:hAnsi="Arial Narrow" w:cstheme="majorBidi"/>
                <w:bCs/>
                <w:sz w:val="20"/>
              </w:rPr>
              <w:t>0.258</w:t>
            </w:r>
          </w:p>
        </w:tc>
        <w:tc>
          <w:tcPr>
            <w:tcW w:w="746" w:type="pct"/>
            <w:vAlign w:val="center"/>
          </w:tcPr>
          <w:p w14:paraId="4A5604C6" w14:textId="49BAE3A2" w:rsidR="00E560FF" w:rsidRPr="00BF581C" w:rsidRDefault="00E560FF" w:rsidP="00E560FF">
            <w:pPr>
              <w:pStyle w:val="TableText0"/>
              <w:keepNext w:val="0"/>
              <w:jc w:val="center"/>
            </w:pPr>
            <w:r w:rsidRPr="00BF581C">
              <w:t>$</w:t>
            </w:r>
            <w:r w:rsidR="003C043D" w:rsidRPr="003C043D">
              <w:rPr>
                <w:color w:val="000000"/>
                <w:spacing w:val="163"/>
                <w:shd w:val="solid" w:color="000000" w:fill="000000"/>
                <w:fitText w:val="249" w:id="-1233371128"/>
                <w14:textFill>
                  <w14:solidFill>
                    <w14:srgbClr w14:val="000000">
                      <w14:alpha w14:val="100000"/>
                    </w14:srgbClr>
                  </w14:solidFill>
                </w14:textFill>
              </w:rPr>
              <w:t>|</w:t>
            </w:r>
            <w:r w:rsidR="003C043D" w:rsidRPr="003C043D">
              <w:rPr>
                <w:color w:val="000000"/>
                <w:spacing w:val="1"/>
                <w:shd w:val="solid" w:color="000000" w:fill="000000"/>
                <w:fitText w:val="249" w:id="-1233371128"/>
                <w14:textFill>
                  <w14:solidFill>
                    <w14:srgbClr w14:val="000000">
                      <w14:alpha w14:val="100000"/>
                    </w14:srgbClr>
                  </w14:solidFill>
                </w14:textFill>
              </w:rPr>
              <w:t>|</w:t>
            </w:r>
            <w:r w:rsidR="00AC49EB">
              <w:t xml:space="preserve"> </w:t>
            </w:r>
            <w:r w:rsidR="00AC49EB">
              <w:rPr>
                <w:vertAlign w:val="superscript"/>
              </w:rPr>
              <w:t>3</w:t>
            </w:r>
          </w:p>
        </w:tc>
        <w:tc>
          <w:tcPr>
            <w:tcW w:w="682" w:type="pct"/>
            <w:vAlign w:val="center"/>
          </w:tcPr>
          <w:p w14:paraId="61020D66" w14:textId="4B6B0475" w:rsidR="00E560FF" w:rsidRPr="00BF581C" w:rsidRDefault="00E560FF" w:rsidP="002A5C66">
            <w:pPr>
              <w:pStyle w:val="TableText0"/>
              <w:keepNext w:val="0"/>
              <w:jc w:val="center"/>
            </w:pPr>
            <w:r w:rsidRPr="00BF581C">
              <w:t>25%</w:t>
            </w:r>
          </w:p>
        </w:tc>
      </w:tr>
    </w:tbl>
    <w:bookmarkEnd w:id="51"/>
    <w:p w14:paraId="115A11BA" w14:textId="47D8F38C" w:rsidR="0027503F" w:rsidRPr="00A95754" w:rsidRDefault="0027503F" w:rsidP="00F446B6">
      <w:pPr>
        <w:pStyle w:val="TableFigureFooter"/>
      </w:pPr>
      <w:r w:rsidRPr="00A95754">
        <w:t xml:space="preserve">Source: Compiled during the evaluation, including data extracted from Table 3.26 pp185-187 of the submission; </w:t>
      </w:r>
    </w:p>
    <w:p w14:paraId="4766B688" w14:textId="4425642C" w:rsidR="0027503F" w:rsidRDefault="0027503F" w:rsidP="00AC49EB">
      <w:pPr>
        <w:pStyle w:val="TableFigureFooter"/>
        <w:spacing w:after="0"/>
      </w:pPr>
      <w:r w:rsidRPr="00A95754">
        <w:t>D = durvalumab; GemCis = gemcitabine + cisplatin; ICER = incremental cost-effectiveness ratio; OS = overall survival; PD = progressive disease; PFS = progression free survival; PSD = Public Summary Document; QALYs = quality adjusted life years; TTD = time to treatment discontinuation; UK = United Kingdom.</w:t>
      </w:r>
    </w:p>
    <w:p w14:paraId="26F85D8F" w14:textId="77777777" w:rsidR="00AC49EB" w:rsidRPr="009A6D58" w:rsidRDefault="00AC49EB" w:rsidP="00AC49EB">
      <w:pPr>
        <w:rPr>
          <w:rFonts w:ascii="Arial Narrow" w:hAnsi="Arial Narrow"/>
          <w:i/>
          <w:sz w:val="18"/>
          <w:szCs w:val="18"/>
        </w:rPr>
      </w:pPr>
      <w:bookmarkStart w:id="52" w:name="_Hlk135050944"/>
      <w:r w:rsidRPr="009A6D58">
        <w:rPr>
          <w:rFonts w:ascii="Arial Narrow" w:hAnsi="Arial Narrow"/>
          <w:i/>
          <w:sz w:val="18"/>
          <w:szCs w:val="18"/>
        </w:rPr>
        <w:t xml:space="preserve">The redacted values correspond to the following ranges: </w:t>
      </w:r>
    </w:p>
    <w:p w14:paraId="2129F43E" w14:textId="08861E0D" w:rsidR="00AC49EB" w:rsidRPr="009A6D58" w:rsidRDefault="00AC49EB" w:rsidP="00AC49E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C49EB">
        <w:rPr>
          <w:rFonts w:ascii="Arial Narrow" w:hAnsi="Arial Narrow"/>
          <w:i/>
          <w:sz w:val="18"/>
          <w:szCs w:val="18"/>
        </w:rPr>
        <w:t>$115,000 to &lt; $135,000</w:t>
      </w:r>
    </w:p>
    <w:p w14:paraId="408AAC6B" w14:textId="77777777" w:rsidR="00AC49EB" w:rsidRDefault="00AC49EB" w:rsidP="00AC49E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53" w:name="_Hlk135051566"/>
      <w:r w:rsidRPr="00AC49EB">
        <w:rPr>
          <w:rFonts w:ascii="Arial Narrow" w:hAnsi="Arial Narrow"/>
          <w:i/>
          <w:sz w:val="18"/>
          <w:szCs w:val="18"/>
        </w:rPr>
        <w:t>$95,000 to &lt; $115,000</w:t>
      </w:r>
      <w:bookmarkEnd w:id="53"/>
    </w:p>
    <w:p w14:paraId="482B4522" w14:textId="2CE69E4B" w:rsidR="00AC49EB" w:rsidRDefault="00AC49EB" w:rsidP="00AC49E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C49EB">
        <w:rPr>
          <w:rFonts w:ascii="Arial Narrow" w:hAnsi="Arial Narrow"/>
          <w:i/>
          <w:sz w:val="18"/>
          <w:szCs w:val="18"/>
        </w:rPr>
        <w:t>$135,000 to &lt; $155,000</w:t>
      </w:r>
    </w:p>
    <w:bookmarkEnd w:id="52"/>
    <w:p w14:paraId="6980CA2B" w14:textId="1EAB1E05" w:rsidR="00124FF5" w:rsidRPr="00AC49EB" w:rsidRDefault="00AC49EB" w:rsidP="00AC49EB">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bookmarkStart w:id="54" w:name="_Hlk135051944"/>
      <w:r w:rsidRPr="00AC49EB">
        <w:rPr>
          <w:rFonts w:ascii="Arial Narrow" w:hAnsi="Arial Narrow"/>
          <w:i/>
          <w:sz w:val="18"/>
          <w:szCs w:val="18"/>
        </w:rPr>
        <w:t>$155,000 to &lt; $255,000</w:t>
      </w:r>
      <w:bookmarkEnd w:id="54"/>
    </w:p>
    <w:p w14:paraId="4B8BC328" w14:textId="6A9D5323" w:rsidR="00377C1F" w:rsidRPr="00B96260" w:rsidRDefault="00377C1F" w:rsidP="00377C1F">
      <w:pPr>
        <w:pStyle w:val="3-BodyText"/>
        <w:rPr>
          <w:iCs/>
        </w:rPr>
      </w:pPr>
      <w:r w:rsidRPr="00B96260">
        <w:rPr>
          <w:iCs/>
        </w:rPr>
        <w:t xml:space="preserve">The ESC noted a multivariate sensitivity analysis that (i) reduced the time horizon to 5 years (ii) applied utility values from TOPAZ-1 using the UK crosswalk analysis and (iii) removed the costs of terminal care increased the ICER from </w:t>
      </w:r>
      <w:r w:rsidR="00AC49EB" w:rsidRPr="00AC49EB">
        <w:t>$115,000 to &lt; $135,000</w:t>
      </w:r>
      <w:r w:rsidRPr="00B96260">
        <w:rPr>
          <w:iCs/>
        </w:rPr>
        <w:t xml:space="preserve">/ QALY to </w:t>
      </w:r>
      <w:r w:rsidR="00AC49EB" w:rsidRPr="00AC49EB">
        <w:t>$155,000 to &lt; $255,000</w:t>
      </w:r>
      <w:r w:rsidRPr="00B96260">
        <w:rPr>
          <w:iCs/>
        </w:rPr>
        <w:t xml:space="preserve">/ QALY. The ESC noted using the same assumptions with a 7.5 year time horizon resulted in an ICER of </w:t>
      </w:r>
      <w:r w:rsidR="00AC49EB">
        <w:rPr>
          <w:iCs/>
        </w:rPr>
        <w:t>$</w:t>
      </w:r>
      <w:r w:rsidR="00AC49EB" w:rsidRPr="00AC49EB">
        <w:t>135,000 to &lt; $155,000</w:t>
      </w:r>
      <w:r w:rsidRPr="00B96260">
        <w:rPr>
          <w:iCs/>
        </w:rPr>
        <w:t>/ QALY. The ESC considered noted the impact of using the Australian value set on this multivariate analysis should also be examined.</w:t>
      </w:r>
    </w:p>
    <w:p w14:paraId="55CEE56E" w14:textId="1BA2FE5B" w:rsidR="00377C1F" w:rsidRDefault="00377C1F" w:rsidP="00124FF5">
      <w:pPr>
        <w:pStyle w:val="3-BodyText"/>
      </w:pPr>
      <w:bookmarkStart w:id="55" w:name="_Ref132284042"/>
      <w:r>
        <w:t xml:space="preserve">The pre-PBAC response proposed a revised base case analysis that (i) included a reduced vial cost for durvalumab (see paragraph </w:t>
      </w:r>
      <w:r>
        <w:fldChar w:fldCharType="begin"/>
      </w:r>
      <w:r>
        <w:instrText xml:space="preserve"> REF _Ref132206716 \r \h </w:instrText>
      </w:r>
      <w:r>
        <w:fldChar w:fldCharType="separate"/>
      </w:r>
      <w:r w:rsidR="000178EC">
        <w:t>3.6</w:t>
      </w:r>
      <w:r>
        <w:fldChar w:fldCharType="end"/>
      </w:r>
      <w:r>
        <w:t xml:space="preserve">) and (ii) reduced the cost per patient by assuming treatment to progression. The pre-PBAC response stated </w:t>
      </w:r>
      <w:r w:rsidR="008A5DEA">
        <w:t xml:space="preserve">the </w:t>
      </w:r>
      <w:r>
        <w:t xml:space="preserve">revised base case ICER was </w:t>
      </w:r>
      <w:r w:rsidR="00AC49EB" w:rsidRPr="00AC49EB">
        <w:t>$75,000 to &lt; $95,000</w:t>
      </w:r>
      <w:r w:rsidR="00AC49EB">
        <w:t xml:space="preserve"> </w:t>
      </w:r>
      <w:r>
        <w:t>per QALY gained.</w:t>
      </w:r>
      <w:bookmarkEnd w:id="55"/>
      <w:r>
        <w:t xml:space="preserve"> </w:t>
      </w:r>
    </w:p>
    <w:p w14:paraId="0D7BF88F" w14:textId="30F40458" w:rsidR="00CF55B3" w:rsidRPr="00CF55B3" w:rsidRDefault="00CF55B3" w:rsidP="00124FF5">
      <w:pPr>
        <w:pStyle w:val="3-BodyText"/>
      </w:pPr>
      <w:r>
        <w:t xml:space="preserve">The PBAC recalled its consideration of atezolizumab for ES-SCLC, a condition with clinical need for effective treatments and a moderate clinical benefit observed in the clinical trials. The PBAC noted the 18 month overall survival estimates were similar </w:t>
      </w:r>
      <w:r>
        <w:lastRenderedPageBreak/>
        <w:t xml:space="preserve">(atezolizumab + chemotherapy 34% vs placebo + chemotherapy 21%; durvalumab + GemCis 35% vs placebo + GemCis 24%) (Table 5, atezolizumab PSD, July 2019 PBAC meeting). </w:t>
      </w:r>
    </w:p>
    <w:p w14:paraId="114FAA2F" w14:textId="77777777" w:rsidR="0027503F" w:rsidRPr="00A95754" w:rsidRDefault="0027503F" w:rsidP="00BA4874">
      <w:pPr>
        <w:pStyle w:val="4-SubsectionHeading"/>
      </w:pPr>
      <w:bookmarkStart w:id="56" w:name="_Toc124925615"/>
      <w:r w:rsidRPr="00A95754">
        <w:t>Drug cost/patient/year</w:t>
      </w:r>
      <w:bookmarkEnd w:id="56"/>
    </w:p>
    <w:p w14:paraId="38409215" w14:textId="449FB75B" w:rsidR="0027503F" w:rsidRPr="00515484" w:rsidRDefault="0027503F" w:rsidP="00BA4874">
      <w:pPr>
        <w:pStyle w:val="3-BodyText"/>
        <w:rPr>
          <w:rStyle w:val="CommentReference"/>
          <w:b w:val="0"/>
          <w:iCs/>
          <w:szCs w:val="24"/>
        </w:rPr>
      </w:pPr>
      <w:r w:rsidRPr="00A95754">
        <w:t>A summary of the drug cost per patient of durvalumab + GemCis and placebo + GemCis is presented in</w:t>
      </w:r>
      <w:r w:rsidR="00E8704D" w:rsidRPr="00A95754">
        <w:t xml:space="preserve"> </w:t>
      </w:r>
      <w:r w:rsidR="00E8704D" w:rsidRPr="00A95754">
        <w:fldChar w:fldCharType="begin"/>
      </w:r>
      <w:r w:rsidR="00E8704D" w:rsidRPr="00A95754">
        <w:instrText xml:space="preserve"> REF _Ref124492321 \h </w:instrText>
      </w:r>
      <w:r w:rsidR="001A29E7" w:rsidRPr="00A95754">
        <w:instrText xml:space="preserve"> \* MERGEFORMAT </w:instrText>
      </w:r>
      <w:r w:rsidR="00E8704D" w:rsidRPr="00A95754">
        <w:fldChar w:fldCharType="separate"/>
      </w:r>
      <w:r w:rsidR="000178EC" w:rsidRPr="00A95754">
        <w:t xml:space="preserve">Table </w:t>
      </w:r>
      <w:r w:rsidR="000178EC">
        <w:rPr>
          <w:noProof/>
        </w:rPr>
        <w:t>15</w:t>
      </w:r>
      <w:r w:rsidR="00E8704D" w:rsidRPr="00A95754">
        <w:fldChar w:fldCharType="end"/>
      </w:r>
      <w:r w:rsidRPr="00A95754">
        <w:t xml:space="preserve">. </w:t>
      </w:r>
      <w:r w:rsidRPr="00515484">
        <w:rPr>
          <w:iCs/>
        </w:rPr>
        <w:t xml:space="preserve">The cost per patient per month for durvalumab + GemCis estimated from the economic model was lower than that estimated from the financial estimates. This is </w:t>
      </w:r>
      <w:r w:rsidR="00071766" w:rsidRPr="00515484">
        <w:rPr>
          <w:iCs/>
        </w:rPr>
        <w:t xml:space="preserve">because the cost/patient/month in the </w:t>
      </w:r>
      <w:r w:rsidRPr="00515484">
        <w:rPr>
          <w:iCs/>
        </w:rPr>
        <w:t xml:space="preserve">financial </w:t>
      </w:r>
      <w:r w:rsidR="00071766" w:rsidRPr="00515484">
        <w:rPr>
          <w:iCs/>
        </w:rPr>
        <w:t xml:space="preserve">estimates section did </w:t>
      </w:r>
      <w:r w:rsidRPr="00515484">
        <w:rPr>
          <w:iCs/>
        </w:rPr>
        <w:t xml:space="preserve">not </w:t>
      </w:r>
      <w:r w:rsidR="00071766" w:rsidRPr="00515484">
        <w:rPr>
          <w:iCs/>
        </w:rPr>
        <w:t xml:space="preserve">include </w:t>
      </w:r>
      <w:r w:rsidRPr="00515484">
        <w:rPr>
          <w:iCs/>
        </w:rPr>
        <w:t>the concomitant use of GemCis, hence underestimating the total annual cost</w:t>
      </w:r>
      <w:r w:rsidR="00071766" w:rsidRPr="00515484">
        <w:rPr>
          <w:iCs/>
        </w:rPr>
        <w:t xml:space="preserve"> of treatment</w:t>
      </w:r>
      <w:r w:rsidRPr="00515484">
        <w:rPr>
          <w:iCs/>
        </w:rPr>
        <w:t xml:space="preserve">. </w:t>
      </w:r>
    </w:p>
    <w:p w14:paraId="203114A2" w14:textId="67A01EB0" w:rsidR="0027503F" w:rsidRPr="00A95754" w:rsidRDefault="0027503F" w:rsidP="00BA4874">
      <w:pPr>
        <w:pStyle w:val="TableFigureHeading"/>
        <w:rPr>
          <w:rStyle w:val="CommentReference"/>
          <w:b/>
          <w:szCs w:val="24"/>
        </w:rPr>
      </w:pPr>
      <w:bookmarkStart w:id="57" w:name="_Ref124492321"/>
      <w:r w:rsidRPr="00A95754">
        <w:t xml:space="preserve">Table </w:t>
      </w:r>
      <w:fldSimple w:instr=" SEQ Table \* ARABIC ">
        <w:r w:rsidR="000178EC">
          <w:rPr>
            <w:noProof/>
          </w:rPr>
          <w:t>15</w:t>
        </w:r>
      </w:fldSimple>
      <w:bookmarkEnd w:id="57"/>
      <w:r w:rsidRPr="00A95754">
        <w:rPr>
          <w:rStyle w:val="CommentReference"/>
          <w:b/>
          <w:szCs w:val="24"/>
        </w:rPr>
        <w:t>: Effective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275"/>
        <w:gridCol w:w="1151"/>
        <w:gridCol w:w="1259"/>
        <w:gridCol w:w="1255"/>
        <w:gridCol w:w="1261"/>
        <w:gridCol w:w="1261"/>
      </w:tblGrid>
      <w:tr w:rsidR="0027503F" w:rsidRPr="00A95754" w14:paraId="29C9ABA6" w14:textId="77777777" w:rsidTr="00094E2F">
        <w:trPr>
          <w:cantSplit/>
          <w:tblHeader/>
          <w:jc w:val="center"/>
        </w:trPr>
        <w:tc>
          <w:tcPr>
            <w:tcW w:w="862" w:type="pct"/>
            <w:shd w:val="clear" w:color="auto" w:fill="auto"/>
            <w:vAlign w:val="center"/>
          </w:tcPr>
          <w:p w14:paraId="15F15F00" w14:textId="77777777" w:rsidR="0027503F" w:rsidRPr="00A95754" w:rsidRDefault="0027503F" w:rsidP="00094E2F">
            <w:pPr>
              <w:pStyle w:val="In-tableHeading"/>
              <w:jc w:val="center"/>
            </w:pPr>
          </w:p>
        </w:tc>
        <w:tc>
          <w:tcPr>
            <w:tcW w:w="2043" w:type="pct"/>
            <w:gridSpan w:val="3"/>
            <w:shd w:val="clear" w:color="auto" w:fill="auto"/>
            <w:vAlign w:val="center"/>
          </w:tcPr>
          <w:p w14:paraId="67D635CD" w14:textId="77777777" w:rsidR="0027503F" w:rsidRPr="00A95754" w:rsidRDefault="0027503F" w:rsidP="00094E2F">
            <w:pPr>
              <w:pStyle w:val="In-tableHeading"/>
              <w:jc w:val="center"/>
            </w:pPr>
            <w:r w:rsidRPr="00A95754">
              <w:t>Durvalumab + GemCis</w:t>
            </w:r>
          </w:p>
        </w:tc>
        <w:tc>
          <w:tcPr>
            <w:tcW w:w="2094" w:type="pct"/>
            <w:gridSpan w:val="3"/>
            <w:shd w:val="clear" w:color="auto" w:fill="auto"/>
            <w:vAlign w:val="center"/>
          </w:tcPr>
          <w:p w14:paraId="1FDAD929" w14:textId="77777777" w:rsidR="0027503F" w:rsidRPr="00A95754" w:rsidRDefault="0027503F" w:rsidP="00094E2F">
            <w:pPr>
              <w:pStyle w:val="In-tableHeading"/>
              <w:jc w:val="center"/>
            </w:pPr>
            <w:r w:rsidRPr="00A95754">
              <w:t>Placebo + GemCis</w:t>
            </w:r>
          </w:p>
        </w:tc>
      </w:tr>
      <w:tr w:rsidR="0027503F" w:rsidRPr="00A95754" w14:paraId="76D74FD1" w14:textId="77777777" w:rsidTr="00094E2F">
        <w:trPr>
          <w:cantSplit/>
          <w:tblHeader/>
          <w:jc w:val="center"/>
        </w:trPr>
        <w:tc>
          <w:tcPr>
            <w:tcW w:w="862" w:type="pct"/>
            <w:shd w:val="clear" w:color="auto" w:fill="auto"/>
            <w:vAlign w:val="center"/>
          </w:tcPr>
          <w:p w14:paraId="38CACA29" w14:textId="77777777" w:rsidR="0027503F" w:rsidRPr="00A95754" w:rsidRDefault="0027503F" w:rsidP="00094E2F">
            <w:pPr>
              <w:pStyle w:val="In-tableHeading"/>
              <w:jc w:val="center"/>
            </w:pPr>
          </w:p>
        </w:tc>
        <w:tc>
          <w:tcPr>
            <w:tcW w:w="707" w:type="pct"/>
            <w:shd w:val="clear" w:color="auto" w:fill="auto"/>
            <w:vAlign w:val="center"/>
          </w:tcPr>
          <w:p w14:paraId="56BA4BFA" w14:textId="77777777" w:rsidR="0027503F" w:rsidRPr="00A95754" w:rsidRDefault="0027503F" w:rsidP="00094E2F">
            <w:pPr>
              <w:pStyle w:val="In-tableHeading"/>
              <w:jc w:val="center"/>
            </w:pPr>
            <w:r w:rsidRPr="00A95754">
              <w:t>Trial dose and duration</w:t>
            </w:r>
          </w:p>
        </w:tc>
        <w:tc>
          <w:tcPr>
            <w:tcW w:w="638" w:type="pct"/>
            <w:shd w:val="clear" w:color="auto" w:fill="auto"/>
            <w:vAlign w:val="center"/>
          </w:tcPr>
          <w:p w14:paraId="4401A1CB" w14:textId="77777777" w:rsidR="0027503F" w:rsidRPr="00A95754" w:rsidRDefault="0027503F" w:rsidP="00094E2F">
            <w:pPr>
              <w:pStyle w:val="In-tableHeading"/>
              <w:jc w:val="center"/>
            </w:pPr>
            <w:r w:rsidRPr="00A95754">
              <w:t>Model</w:t>
            </w:r>
          </w:p>
        </w:tc>
        <w:tc>
          <w:tcPr>
            <w:tcW w:w="698" w:type="pct"/>
            <w:shd w:val="clear" w:color="auto" w:fill="auto"/>
            <w:vAlign w:val="center"/>
          </w:tcPr>
          <w:p w14:paraId="0DA8B8C6" w14:textId="77777777" w:rsidR="0027503F" w:rsidRPr="00A95754" w:rsidRDefault="0027503F" w:rsidP="00094E2F">
            <w:pPr>
              <w:pStyle w:val="In-tableHeading"/>
              <w:jc w:val="center"/>
              <w:rPr>
                <w:vertAlign w:val="superscript"/>
              </w:rPr>
            </w:pPr>
            <w:r w:rsidRPr="00A95754">
              <w:t>Financial estimates</w:t>
            </w:r>
            <w:r w:rsidRPr="00A95754">
              <w:rPr>
                <w:vertAlign w:val="superscript"/>
              </w:rPr>
              <w:t>*</w:t>
            </w:r>
          </w:p>
        </w:tc>
        <w:tc>
          <w:tcPr>
            <w:tcW w:w="696" w:type="pct"/>
            <w:shd w:val="clear" w:color="auto" w:fill="auto"/>
            <w:vAlign w:val="center"/>
          </w:tcPr>
          <w:p w14:paraId="1CC5371C" w14:textId="77777777" w:rsidR="0027503F" w:rsidRPr="00A95754" w:rsidRDefault="0027503F" w:rsidP="00094E2F">
            <w:pPr>
              <w:pStyle w:val="In-tableHeading"/>
              <w:jc w:val="center"/>
            </w:pPr>
            <w:r w:rsidRPr="00A95754">
              <w:t>Trial dose and duration</w:t>
            </w:r>
          </w:p>
        </w:tc>
        <w:tc>
          <w:tcPr>
            <w:tcW w:w="699" w:type="pct"/>
            <w:shd w:val="clear" w:color="auto" w:fill="auto"/>
            <w:vAlign w:val="center"/>
          </w:tcPr>
          <w:p w14:paraId="54DFE2F8" w14:textId="77777777" w:rsidR="0027503F" w:rsidRPr="00A95754" w:rsidRDefault="0027503F" w:rsidP="00094E2F">
            <w:pPr>
              <w:pStyle w:val="In-tableHeading"/>
              <w:jc w:val="center"/>
            </w:pPr>
            <w:r w:rsidRPr="00A95754">
              <w:t>Model</w:t>
            </w:r>
          </w:p>
        </w:tc>
        <w:tc>
          <w:tcPr>
            <w:tcW w:w="699" w:type="pct"/>
            <w:vAlign w:val="center"/>
          </w:tcPr>
          <w:p w14:paraId="2C132DF8" w14:textId="77777777" w:rsidR="0027503F" w:rsidRPr="00A95754" w:rsidRDefault="0027503F" w:rsidP="00094E2F">
            <w:pPr>
              <w:pStyle w:val="In-tableHeading"/>
              <w:jc w:val="center"/>
            </w:pPr>
            <w:r w:rsidRPr="00A95754">
              <w:t>Financial estimates*</w:t>
            </w:r>
          </w:p>
        </w:tc>
      </w:tr>
      <w:tr w:rsidR="0027503F" w:rsidRPr="00A95754" w14:paraId="1C49EC66" w14:textId="77777777" w:rsidTr="00094E2F">
        <w:trPr>
          <w:cantSplit/>
          <w:jc w:val="center"/>
        </w:trPr>
        <w:tc>
          <w:tcPr>
            <w:tcW w:w="862" w:type="pct"/>
            <w:shd w:val="clear" w:color="auto" w:fill="auto"/>
            <w:vAlign w:val="center"/>
          </w:tcPr>
          <w:p w14:paraId="3D1E0521" w14:textId="77777777" w:rsidR="0027503F" w:rsidRPr="00A95754" w:rsidRDefault="0027503F" w:rsidP="00094E2F">
            <w:pPr>
              <w:pStyle w:val="TableText0"/>
              <w:jc w:val="center"/>
              <w:rPr>
                <w:lang w:val="en-US"/>
              </w:rPr>
            </w:pPr>
            <w:r w:rsidRPr="00A95754">
              <w:rPr>
                <w:lang w:val="en-US"/>
              </w:rPr>
              <w:t>Mean dose intensity (%)</w:t>
            </w:r>
          </w:p>
        </w:tc>
        <w:tc>
          <w:tcPr>
            <w:tcW w:w="707" w:type="pct"/>
            <w:shd w:val="clear" w:color="auto" w:fill="auto"/>
            <w:vAlign w:val="center"/>
          </w:tcPr>
          <w:p w14:paraId="43B794BC" w14:textId="77777777" w:rsidR="0027503F" w:rsidRPr="00A95754" w:rsidRDefault="0027503F" w:rsidP="00094E2F">
            <w:pPr>
              <w:pStyle w:val="TableText0"/>
              <w:jc w:val="center"/>
              <w:rPr>
                <w:bCs w:val="0"/>
                <w:lang w:val="en-US"/>
              </w:rPr>
            </w:pPr>
            <w:r w:rsidRPr="00A95754">
              <w:rPr>
                <w:bCs w:val="0"/>
                <w:lang w:val="en-US"/>
              </w:rPr>
              <w:t>D: 100</w:t>
            </w:r>
          </w:p>
          <w:p w14:paraId="74D1D0A7" w14:textId="77777777" w:rsidR="0027503F" w:rsidRPr="00A95754" w:rsidRDefault="0027503F" w:rsidP="00094E2F">
            <w:pPr>
              <w:pStyle w:val="TableText0"/>
              <w:jc w:val="center"/>
              <w:rPr>
                <w:bCs w:val="0"/>
                <w:lang w:val="en-US"/>
              </w:rPr>
            </w:pPr>
            <w:r w:rsidRPr="00A95754">
              <w:rPr>
                <w:bCs w:val="0"/>
                <w:lang w:val="en-US"/>
              </w:rPr>
              <w:t>G: 100</w:t>
            </w:r>
          </w:p>
          <w:p w14:paraId="303E8723" w14:textId="77777777" w:rsidR="0027503F" w:rsidRPr="00A95754" w:rsidRDefault="0027503F" w:rsidP="00094E2F">
            <w:pPr>
              <w:pStyle w:val="TableText0"/>
              <w:jc w:val="center"/>
              <w:rPr>
                <w:bCs w:val="0"/>
                <w:lang w:val="en-US"/>
              </w:rPr>
            </w:pPr>
            <w:r w:rsidRPr="00A95754">
              <w:rPr>
                <w:bCs w:val="0"/>
                <w:lang w:val="en-US"/>
              </w:rPr>
              <w:t>C: 100</w:t>
            </w:r>
          </w:p>
        </w:tc>
        <w:tc>
          <w:tcPr>
            <w:tcW w:w="638" w:type="pct"/>
            <w:shd w:val="clear" w:color="auto" w:fill="auto"/>
            <w:vAlign w:val="center"/>
          </w:tcPr>
          <w:p w14:paraId="69D315EA" w14:textId="77777777" w:rsidR="0027503F" w:rsidRPr="00A95754" w:rsidRDefault="0027503F" w:rsidP="00094E2F">
            <w:pPr>
              <w:pStyle w:val="TableText0"/>
              <w:jc w:val="center"/>
              <w:rPr>
                <w:bCs w:val="0"/>
                <w:lang w:val="en-US"/>
              </w:rPr>
            </w:pPr>
            <w:r w:rsidRPr="00A95754">
              <w:rPr>
                <w:bCs w:val="0"/>
                <w:lang w:val="en-US"/>
              </w:rPr>
              <w:t>D: 100</w:t>
            </w:r>
          </w:p>
          <w:p w14:paraId="61FCA7CB" w14:textId="77777777" w:rsidR="0027503F" w:rsidRPr="00A95754" w:rsidRDefault="0027503F" w:rsidP="00094E2F">
            <w:pPr>
              <w:pStyle w:val="TableText0"/>
              <w:jc w:val="center"/>
              <w:rPr>
                <w:bCs w:val="0"/>
                <w:lang w:val="en-US"/>
              </w:rPr>
            </w:pPr>
            <w:r w:rsidRPr="00A95754">
              <w:rPr>
                <w:bCs w:val="0"/>
                <w:lang w:val="en-US"/>
              </w:rPr>
              <w:t>G: 100</w:t>
            </w:r>
          </w:p>
          <w:p w14:paraId="34BE0544" w14:textId="77777777" w:rsidR="0027503F" w:rsidRPr="00A95754" w:rsidRDefault="0027503F" w:rsidP="00094E2F">
            <w:pPr>
              <w:pStyle w:val="TableText0"/>
              <w:jc w:val="center"/>
              <w:rPr>
                <w:bCs w:val="0"/>
                <w:lang w:val="en-US"/>
              </w:rPr>
            </w:pPr>
            <w:r w:rsidRPr="00A95754">
              <w:rPr>
                <w:bCs w:val="0"/>
                <w:lang w:val="en-US"/>
              </w:rPr>
              <w:t>C: 100</w:t>
            </w:r>
          </w:p>
        </w:tc>
        <w:tc>
          <w:tcPr>
            <w:tcW w:w="698" w:type="pct"/>
            <w:shd w:val="clear" w:color="auto" w:fill="auto"/>
            <w:vAlign w:val="center"/>
          </w:tcPr>
          <w:p w14:paraId="78DCD878" w14:textId="77777777" w:rsidR="0027503F" w:rsidRPr="00A95754" w:rsidRDefault="0027503F" w:rsidP="00094E2F">
            <w:pPr>
              <w:pStyle w:val="TableText0"/>
              <w:jc w:val="center"/>
              <w:rPr>
                <w:bCs w:val="0"/>
                <w:lang w:val="en-US"/>
              </w:rPr>
            </w:pPr>
            <w:r w:rsidRPr="00A95754">
              <w:rPr>
                <w:bCs w:val="0"/>
                <w:lang w:val="en-US"/>
              </w:rPr>
              <w:t>D: 100</w:t>
            </w:r>
          </w:p>
          <w:p w14:paraId="4B695A78" w14:textId="77777777" w:rsidR="0027503F" w:rsidRPr="00A95754" w:rsidRDefault="0027503F" w:rsidP="00094E2F">
            <w:pPr>
              <w:pStyle w:val="TableText0"/>
              <w:jc w:val="center"/>
              <w:rPr>
                <w:bCs w:val="0"/>
                <w:lang w:val="en-US"/>
              </w:rPr>
            </w:pPr>
            <w:r w:rsidRPr="00A95754">
              <w:rPr>
                <w:bCs w:val="0"/>
                <w:lang w:val="en-US"/>
              </w:rPr>
              <w:t>G: 100</w:t>
            </w:r>
          </w:p>
          <w:p w14:paraId="23C09692" w14:textId="77777777" w:rsidR="0027503F" w:rsidRPr="00A95754" w:rsidRDefault="0027503F" w:rsidP="00094E2F">
            <w:pPr>
              <w:pStyle w:val="TableText0"/>
              <w:jc w:val="center"/>
              <w:rPr>
                <w:bCs w:val="0"/>
                <w:lang w:val="en-US"/>
              </w:rPr>
            </w:pPr>
            <w:r w:rsidRPr="00A95754">
              <w:rPr>
                <w:bCs w:val="0"/>
                <w:lang w:val="en-US"/>
              </w:rPr>
              <w:t>C: 100</w:t>
            </w:r>
          </w:p>
        </w:tc>
        <w:tc>
          <w:tcPr>
            <w:tcW w:w="696" w:type="pct"/>
            <w:shd w:val="clear" w:color="auto" w:fill="auto"/>
            <w:vAlign w:val="center"/>
          </w:tcPr>
          <w:p w14:paraId="2E5D24E0" w14:textId="77777777" w:rsidR="0027503F" w:rsidRPr="00A95754" w:rsidRDefault="0027503F" w:rsidP="00094E2F">
            <w:pPr>
              <w:pStyle w:val="TableText0"/>
              <w:jc w:val="center"/>
              <w:rPr>
                <w:bCs w:val="0"/>
                <w:lang w:val="en-US"/>
              </w:rPr>
            </w:pPr>
            <w:r w:rsidRPr="00A95754">
              <w:rPr>
                <w:bCs w:val="0"/>
                <w:lang w:val="en-US"/>
              </w:rPr>
              <w:t>PBO: 100</w:t>
            </w:r>
          </w:p>
          <w:p w14:paraId="465C63F1" w14:textId="77777777" w:rsidR="0027503F" w:rsidRPr="00A95754" w:rsidRDefault="0027503F" w:rsidP="00094E2F">
            <w:pPr>
              <w:pStyle w:val="TableText0"/>
              <w:jc w:val="center"/>
              <w:rPr>
                <w:bCs w:val="0"/>
                <w:lang w:val="en-US"/>
              </w:rPr>
            </w:pPr>
            <w:r w:rsidRPr="00A95754">
              <w:rPr>
                <w:bCs w:val="0"/>
                <w:lang w:val="en-US"/>
              </w:rPr>
              <w:t>G: 95.2</w:t>
            </w:r>
          </w:p>
          <w:p w14:paraId="6172E1BA" w14:textId="77777777" w:rsidR="0027503F" w:rsidRPr="00A95754" w:rsidRDefault="0027503F" w:rsidP="00094E2F">
            <w:pPr>
              <w:pStyle w:val="TableText0"/>
              <w:jc w:val="center"/>
              <w:rPr>
                <w:bCs w:val="0"/>
                <w:lang w:val="en-US"/>
              </w:rPr>
            </w:pPr>
            <w:r w:rsidRPr="00A95754">
              <w:rPr>
                <w:bCs w:val="0"/>
                <w:lang w:val="en-US"/>
              </w:rPr>
              <w:t>C: 95.8</w:t>
            </w:r>
          </w:p>
        </w:tc>
        <w:tc>
          <w:tcPr>
            <w:tcW w:w="699" w:type="pct"/>
            <w:shd w:val="clear" w:color="auto" w:fill="auto"/>
            <w:vAlign w:val="center"/>
          </w:tcPr>
          <w:p w14:paraId="0F4A79DC" w14:textId="77777777" w:rsidR="0027503F" w:rsidRPr="00A95754" w:rsidRDefault="0027503F" w:rsidP="00094E2F">
            <w:pPr>
              <w:pStyle w:val="TableText0"/>
              <w:jc w:val="center"/>
              <w:rPr>
                <w:bCs w:val="0"/>
                <w:lang w:val="en-US"/>
              </w:rPr>
            </w:pPr>
            <w:r w:rsidRPr="00A95754">
              <w:rPr>
                <w:bCs w:val="0"/>
                <w:lang w:val="en-US"/>
              </w:rPr>
              <w:t>D: 100</w:t>
            </w:r>
          </w:p>
          <w:p w14:paraId="3731A5DE" w14:textId="77777777" w:rsidR="0027503F" w:rsidRPr="00A95754" w:rsidRDefault="0027503F" w:rsidP="00094E2F">
            <w:pPr>
              <w:pStyle w:val="TableText0"/>
              <w:jc w:val="center"/>
              <w:rPr>
                <w:bCs w:val="0"/>
                <w:lang w:val="en-US"/>
              </w:rPr>
            </w:pPr>
            <w:r w:rsidRPr="00A95754">
              <w:rPr>
                <w:bCs w:val="0"/>
                <w:lang w:val="en-US"/>
              </w:rPr>
              <w:t>G: 100</w:t>
            </w:r>
          </w:p>
          <w:p w14:paraId="06B5114A" w14:textId="77777777" w:rsidR="0027503F" w:rsidRPr="00A95754" w:rsidRDefault="0027503F" w:rsidP="00094E2F">
            <w:pPr>
              <w:pStyle w:val="TableText0"/>
              <w:jc w:val="center"/>
              <w:rPr>
                <w:lang w:val="en-US"/>
              </w:rPr>
            </w:pPr>
            <w:r w:rsidRPr="00A95754">
              <w:rPr>
                <w:bCs w:val="0"/>
                <w:lang w:val="en-US"/>
              </w:rPr>
              <w:t>C: 100</w:t>
            </w:r>
          </w:p>
        </w:tc>
        <w:tc>
          <w:tcPr>
            <w:tcW w:w="699" w:type="pct"/>
            <w:vAlign w:val="center"/>
          </w:tcPr>
          <w:p w14:paraId="6B64FCFA" w14:textId="77777777" w:rsidR="0027503F" w:rsidRPr="00A95754" w:rsidRDefault="0027503F" w:rsidP="00094E2F">
            <w:pPr>
              <w:pStyle w:val="TableText0"/>
              <w:jc w:val="center"/>
              <w:rPr>
                <w:lang w:val="en-US"/>
              </w:rPr>
            </w:pPr>
            <w:r w:rsidRPr="00A95754">
              <w:rPr>
                <w:lang w:val="en-US"/>
              </w:rPr>
              <w:t>Not included</w:t>
            </w:r>
          </w:p>
        </w:tc>
      </w:tr>
      <w:tr w:rsidR="0027503F" w:rsidRPr="00A95754" w14:paraId="2DCDA6F2" w14:textId="77777777" w:rsidTr="002A5C66">
        <w:trPr>
          <w:cantSplit/>
          <w:trHeight w:val="681"/>
          <w:jc w:val="center"/>
        </w:trPr>
        <w:tc>
          <w:tcPr>
            <w:tcW w:w="862" w:type="pct"/>
            <w:shd w:val="clear" w:color="auto" w:fill="auto"/>
            <w:vAlign w:val="center"/>
          </w:tcPr>
          <w:p w14:paraId="5AFEB5FB" w14:textId="77777777" w:rsidR="0027503F" w:rsidRPr="00A95754" w:rsidRDefault="0027503F" w:rsidP="00094E2F">
            <w:pPr>
              <w:pStyle w:val="TableText0"/>
              <w:jc w:val="center"/>
              <w:rPr>
                <w:lang w:val="en-US"/>
              </w:rPr>
            </w:pPr>
            <w:r w:rsidRPr="00A95754">
              <w:rPr>
                <w:lang w:val="en-US"/>
              </w:rPr>
              <w:t>Mean duration (months)</w:t>
            </w:r>
          </w:p>
        </w:tc>
        <w:tc>
          <w:tcPr>
            <w:tcW w:w="707" w:type="pct"/>
            <w:shd w:val="clear" w:color="auto" w:fill="auto"/>
            <w:vAlign w:val="center"/>
          </w:tcPr>
          <w:p w14:paraId="78984F79" w14:textId="77777777" w:rsidR="0027503F" w:rsidRPr="00A95754" w:rsidDel="00B451BE" w:rsidRDefault="0027503F" w:rsidP="00094E2F">
            <w:pPr>
              <w:pStyle w:val="TableText0"/>
              <w:jc w:val="center"/>
              <w:rPr>
                <w:bCs w:val="0"/>
                <w:lang w:val="en-US"/>
              </w:rPr>
            </w:pPr>
            <w:r w:rsidRPr="00A95754">
              <w:rPr>
                <w:rFonts w:cs="Calibri"/>
                <w:szCs w:val="20"/>
              </w:rPr>
              <w:t>DGC: 4.40</w:t>
            </w:r>
            <w:r w:rsidRPr="00A95754">
              <w:rPr>
                <w:rFonts w:cs="Calibri"/>
                <w:szCs w:val="20"/>
                <w:vertAlign w:val="superscript"/>
              </w:rPr>
              <w:t>a</w:t>
            </w:r>
          </w:p>
          <w:p w14:paraId="062DC760" w14:textId="77777777" w:rsidR="0027503F" w:rsidRPr="00A95754" w:rsidRDefault="0027503F" w:rsidP="00094E2F">
            <w:pPr>
              <w:jc w:val="center"/>
              <w:rPr>
                <w:rFonts w:ascii="Arial Narrow" w:hAnsi="Arial Narrow" w:cs="Calibri"/>
                <w:sz w:val="20"/>
                <w:szCs w:val="20"/>
                <w:vertAlign w:val="superscript"/>
              </w:rPr>
            </w:pPr>
            <w:r w:rsidRPr="00A95754">
              <w:rPr>
                <w:rFonts w:ascii="Arial Narrow" w:hAnsi="Arial Narrow" w:cs="Calibri"/>
                <w:sz w:val="20"/>
                <w:szCs w:val="20"/>
              </w:rPr>
              <w:t>D: 3.59</w:t>
            </w:r>
            <w:r w:rsidRPr="00A95754">
              <w:rPr>
                <w:rFonts w:ascii="Arial Narrow" w:hAnsi="Arial Narrow" w:cs="Calibri"/>
                <w:sz w:val="20"/>
                <w:szCs w:val="20"/>
                <w:vertAlign w:val="superscript"/>
              </w:rPr>
              <w:t>a</w:t>
            </w:r>
          </w:p>
          <w:p w14:paraId="25466F70" w14:textId="77777777" w:rsidR="0027503F" w:rsidRPr="00A95754" w:rsidRDefault="0027503F" w:rsidP="00094E2F">
            <w:pPr>
              <w:jc w:val="center"/>
              <w:rPr>
                <w:rFonts w:ascii="Arial Narrow" w:hAnsi="Arial Narrow" w:cs="Calibri"/>
                <w:sz w:val="20"/>
                <w:szCs w:val="20"/>
                <w:vertAlign w:val="superscript"/>
              </w:rPr>
            </w:pPr>
            <w:r w:rsidRPr="00A95754">
              <w:rPr>
                <w:rFonts w:ascii="Arial Narrow" w:hAnsi="Arial Narrow" w:cs="Calibri"/>
                <w:sz w:val="20"/>
                <w:szCs w:val="20"/>
              </w:rPr>
              <w:t>Total: 7.99</w:t>
            </w:r>
            <w:r w:rsidRPr="00A95754">
              <w:rPr>
                <w:rFonts w:ascii="Arial Narrow" w:hAnsi="Arial Narrow" w:cs="Calibri"/>
                <w:sz w:val="20"/>
                <w:szCs w:val="20"/>
                <w:vertAlign w:val="superscript"/>
              </w:rPr>
              <w:t>a</w:t>
            </w:r>
          </w:p>
        </w:tc>
        <w:tc>
          <w:tcPr>
            <w:tcW w:w="638" w:type="pct"/>
            <w:shd w:val="clear" w:color="auto" w:fill="auto"/>
            <w:vAlign w:val="center"/>
          </w:tcPr>
          <w:p w14:paraId="1A2DF30E" w14:textId="1F907222" w:rsidR="0027503F" w:rsidRPr="00A95754" w:rsidRDefault="0027503F" w:rsidP="00094E2F">
            <w:pPr>
              <w:pStyle w:val="TableText0"/>
              <w:jc w:val="center"/>
              <w:rPr>
                <w:bCs w:val="0"/>
                <w:lang w:val="en-US"/>
              </w:rPr>
            </w:pPr>
            <w:r w:rsidRPr="00A95754">
              <w:rPr>
                <w:rFonts w:cs="Calibri"/>
                <w:szCs w:val="20"/>
              </w:rPr>
              <w:t>8.82</w:t>
            </w:r>
            <w:r w:rsidRPr="00A95754">
              <w:rPr>
                <w:rFonts w:cs="Calibri"/>
                <w:szCs w:val="20"/>
                <w:vertAlign w:val="superscript"/>
              </w:rPr>
              <w:t>b</w:t>
            </w:r>
          </w:p>
        </w:tc>
        <w:tc>
          <w:tcPr>
            <w:tcW w:w="698" w:type="pct"/>
            <w:shd w:val="clear" w:color="auto" w:fill="auto"/>
            <w:vAlign w:val="center"/>
          </w:tcPr>
          <w:p w14:paraId="6FD231FB" w14:textId="4B0E6B12" w:rsidR="0027503F" w:rsidRPr="00BF581C" w:rsidRDefault="0027503F" w:rsidP="00094E2F">
            <w:pPr>
              <w:pStyle w:val="TableText0"/>
              <w:jc w:val="center"/>
              <w:rPr>
                <w:bCs w:val="0"/>
                <w:lang w:val="en-US"/>
              </w:rPr>
            </w:pPr>
            <w:r w:rsidRPr="00BF581C">
              <w:rPr>
                <w:rFonts w:cs="Calibri"/>
                <w:szCs w:val="20"/>
              </w:rPr>
              <w:t>9.05</w:t>
            </w:r>
            <w:r w:rsidRPr="00BF581C">
              <w:rPr>
                <w:rFonts w:cs="Calibri"/>
                <w:szCs w:val="20"/>
                <w:vertAlign w:val="superscript"/>
              </w:rPr>
              <w:t>c</w:t>
            </w:r>
            <w:r w:rsidRPr="00BF581C">
              <w:rPr>
                <w:rFonts w:cs="Calibri"/>
                <w:b/>
                <w:bCs w:val="0"/>
                <w:szCs w:val="20"/>
              </w:rPr>
              <w:t> </w:t>
            </w:r>
          </w:p>
        </w:tc>
        <w:tc>
          <w:tcPr>
            <w:tcW w:w="696" w:type="pct"/>
            <w:shd w:val="clear" w:color="auto" w:fill="auto"/>
            <w:vAlign w:val="center"/>
          </w:tcPr>
          <w:p w14:paraId="6DD4587A" w14:textId="03775467" w:rsidR="0027503F" w:rsidRPr="00A95754" w:rsidRDefault="0027503F" w:rsidP="00094E2F">
            <w:pPr>
              <w:pStyle w:val="TableText0"/>
              <w:jc w:val="center"/>
              <w:rPr>
                <w:bCs w:val="0"/>
                <w:lang w:val="en-US"/>
              </w:rPr>
            </w:pPr>
            <w:r w:rsidRPr="00A95754">
              <w:rPr>
                <w:rFonts w:cs="Calibri"/>
                <w:szCs w:val="20"/>
              </w:rPr>
              <w:t>4.18</w:t>
            </w:r>
            <w:r w:rsidRPr="00A95754">
              <w:rPr>
                <w:rFonts w:cs="Calibri"/>
                <w:szCs w:val="20"/>
                <w:vertAlign w:val="superscript"/>
              </w:rPr>
              <w:t>a</w:t>
            </w:r>
          </w:p>
        </w:tc>
        <w:tc>
          <w:tcPr>
            <w:tcW w:w="699" w:type="pct"/>
            <w:shd w:val="clear" w:color="auto" w:fill="auto"/>
            <w:vAlign w:val="center"/>
          </w:tcPr>
          <w:p w14:paraId="0653288D" w14:textId="13EDA2ED" w:rsidR="0027503F" w:rsidRPr="00A95754" w:rsidRDefault="0027503F" w:rsidP="00094E2F">
            <w:pPr>
              <w:pStyle w:val="TableText0"/>
              <w:jc w:val="center"/>
              <w:rPr>
                <w:bCs w:val="0"/>
                <w:lang w:val="en-US"/>
              </w:rPr>
            </w:pPr>
            <w:r w:rsidRPr="00A95754">
              <w:rPr>
                <w:rFonts w:cs="Calibri"/>
                <w:szCs w:val="20"/>
              </w:rPr>
              <w:t>4.56</w:t>
            </w:r>
            <w:r w:rsidRPr="00A95754">
              <w:rPr>
                <w:rFonts w:cs="Calibri"/>
                <w:szCs w:val="20"/>
                <w:vertAlign w:val="superscript"/>
              </w:rPr>
              <w:t>b</w:t>
            </w:r>
          </w:p>
        </w:tc>
        <w:tc>
          <w:tcPr>
            <w:tcW w:w="699" w:type="pct"/>
            <w:vAlign w:val="center"/>
          </w:tcPr>
          <w:p w14:paraId="3F474FD0" w14:textId="1E9017B8" w:rsidR="0027503F" w:rsidRPr="00A95754" w:rsidRDefault="0027503F" w:rsidP="00094E2F">
            <w:pPr>
              <w:pStyle w:val="TableText0"/>
              <w:jc w:val="center"/>
            </w:pPr>
            <w:r w:rsidRPr="00A95754">
              <w:rPr>
                <w:rFonts w:cs="Calibri"/>
                <w:szCs w:val="20"/>
              </w:rPr>
              <w:t>Not included</w:t>
            </w:r>
          </w:p>
        </w:tc>
      </w:tr>
      <w:tr w:rsidR="0027503F" w:rsidRPr="00A95754" w14:paraId="36AE6C59" w14:textId="77777777" w:rsidTr="00094E2F">
        <w:trPr>
          <w:cantSplit/>
          <w:jc w:val="center"/>
        </w:trPr>
        <w:tc>
          <w:tcPr>
            <w:tcW w:w="862" w:type="pct"/>
            <w:shd w:val="clear" w:color="auto" w:fill="auto"/>
            <w:vAlign w:val="center"/>
          </w:tcPr>
          <w:p w14:paraId="458A5739" w14:textId="77777777" w:rsidR="0027503F" w:rsidRPr="00A95754" w:rsidRDefault="0027503F" w:rsidP="00094E2F">
            <w:pPr>
              <w:pStyle w:val="TableText0"/>
              <w:jc w:val="center"/>
              <w:rPr>
                <w:lang w:val="en-US"/>
              </w:rPr>
            </w:pPr>
            <w:r w:rsidRPr="00A95754">
              <w:rPr>
                <w:lang w:val="en-US"/>
              </w:rPr>
              <w:t>Cost/patient/month</w:t>
            </w:r>
          </w:p>
        </w:tc>
        <w:tc>
          <w:tcPr>
            <w:tcW w:w="707" w:type="pct"/>
            <w:shd w:val="clear" w:color="auto" w:fill="auto"/>
            <w:vAlign w:val="center"/>
          </w:tcPr>
          <w:p w14:paraId="67410038" w14:textId="296E9521" w:rsidR="0027503F" w:rsidRPr="00A95754" w:rsidRDefault="0027503F" w:rsidP="00094E2F">
            <w:pPr>
              <w:pStyle w:val="TableText0"/>
              <w:jc w:val="center"/>
              <w:rPr>
                <w:lang w:val="en-US"/>
              </w:rPr>
            </w:pPr>
            <w:r w:rsidRPr="00A95754">
              <w:rPr>
                <w:lang w:val="en-US"/>
              </w:rPr>
              <w:t>DGC: $</w:t>
            </w:r>
            <w:r w:rsidR="003C043D" w:rsidRPr="003C043D">
              <w:rPr>
                <w:color w:val="000000"/>
                <w:spacing w:val="67"/>
                <w:shd w:val="solid" w:color="000000" w:fill="000000"/>
                <w:fitText w:val="374" w:id="-1233371127"/>
                <w:lang w:val="en-US"/>
                <w14:textFill>
                  <w14:solidFill>
                    <w14:srgbClr w14:val="000000">
                      <w14:alpha w14:val="100000"/>
                    </w14:srgbClr>
                  </w14:solidFill>
                </w14:textFill>
              </w:rPr>
              <w:t>|||</w:t>
            </w:r>
            <w:r w:rsidR="003C043D" w:rsidRPr="003C043D">
              <w:rPr>
                <w:color w:val="000000"/>
                <w:spacing w:val="3"/>
                <w:shd w:val="solid" w:color="000000" w:fill="000000"/>
                <w:fitText w:val="374" w:id="-1233371127"/>
                <w:lang w:val="en-US"/>
                <w14:textFill>
                  <w14:solidFill>
                    <w14:srgbClr w14:val="000000">
                      <w14:alpha w14:val="100000"/>
                    </w14:srgbClr>
                  </w14:solidFill>
                </w14:textFill>
              </w:rPr>
              <w:t>|</w:t>
            </w:r>
            <w:r w:rsidRPr="00A95754">
              <w:rPr>
                <w:lang w:val="en-US"/>
              </w:rPr>
              <w:t xml:space="preserve"> </w:t>
            </w:r>
          </w:p>
          <w:p w14:paraId="43B24E5E" w14:textId="6C343759" w:rsidR="0027503F" w:rsidRPr="00A95754" w:rsidRDefault="0027503F" w:rsidP="00094E2F">
            <w:pPr>
              <w:pStyle w:val="TableText0"/>
              <w:jc w:val="center"/>
              <w:rPr>
                <w:lang w:val="en-US"/>
              </w:rPr>
            </w:pPr>
            <w:r w:rsidRPr="00A95754">
              <w:rPr>
                <w:lang w:val="en-US"/>
              </w:rPr>
              <w:t>D: $</w:t>
            </w:r>
            <w:r w:rsidR="003C043D" w:rsidRPr="003C043D">
              <w:rPr>
                <w:color w:val="000000"/>
                <w:spacing w:val="164"/>
                <w:shd w:val="solid" w:color="000000" w:fill="000000"/>
                <w:fitText w:val="250" w:id="-1233371126"/>
                <w:lang w:val="en-US"/>
                <w14:textFill>
                  <w14:solidFill>
                    <w14:srgbClr w14:val="000000">
                      <w14:alpha w14:val="100000"/>
                    </w14:srgbClr>
                  </w14:solidFill>
                </w14:textFill>
              </w:rPr>
              <w:t>|</w:t>
            </w:r>
            <w:r w:rsidR="003C043D" w:rsidRPr="003C043D">
              <w:rPr>
                <w:color w:val="000000"/>
                <w:spacing w:val="1"/>
                <w:shd w:val="solid" w:color="000000" w:fill="000000"/>
                <w:fitText w:val="250" w:id="-1233371126"/>
                <w:lang w:val="en-US"/>
                <w14:textFill>
                  <w14:solidFill>
                    <w14:srgbClr w14:val="000000">
                      <w14:alpha w14:val="100000"/>
                    </w14:srgbClr>
                  </w14:solidFill>
                </w14:textFill>
              </w:rPr>
              <w:t>|</w:t>
            </w:r>
            <w:r w:rsidRPr="00A95754">
              <w:rPr>
                <w:lang w:val="en-US"/>
              </w:rPr>
              <w:t xml:space="preserve"> </w:t>
            </w:r>
          </w:p>
        </w:tc>
        <w:tc>
          <w:tcPr>
            <w:tcW w:w="638" w:type="pct"/>
            <w:shd w:val="clear" w:color="auto" w:fill="auto"/>
            <w:vAlign w:val="center"/>
          </w:tcPr>
          <w:p w14:paraId="2A7546D0" w14:textId="48516A7C" w:rsidR="0027503F" w:rsidRPr="00A95754" w:rsidRDefault="0027503F" w:rsidP="00094E2F">
            <w:pPr>
              <w:pStyle w:val="TableText0"/>
              <w:jc w:val="center"/>
              <w:rPr>
                <w:lang w:val="en-US"/>
              </w:rPr>
            </w:pPr>
            <w:r w:rsidRPr="00A95754">
              <w:rPr>
                <w:lang w:val="en-US"/>
              </w:rPr>
              <w:t>$</w:t>
            </w:r>
            <w:r w:rsidR="003C043D" w:rsidRPr="003C043D">
              <w:rPr>
                <w:color w:val="000000"/>
                <w:spacing w:val="155"/>
                <w:shd w:val="solid" w:color="000000" w:fill="000000"/>
                <w:fitText w:val="241" w:id="-1233371125"/>
                <w:lang w:val="en-US"/>
                <w14:textFill>
                  <w14:solidFill>
                    <w14:srgbClr w14:val="000000">
                      <w14:alpha w14:val="100000"/>
                    </w14:srgbClr>
                  </w14:solidFill>
                </w14:textFill>
              </w:rPr>
              <w:t>|</w:t>
            </w:r>
            <w:r w:rsidR="003C043D" w:rsidRPr="003C043D">
              <w:rPr>
                <w:color w:val="000000"/>
                <w:spacing w:val="1"/>
                <w:shd w:val="solid" w:color="000000" w:fill="000000"/>
                <w:fitText w:val="241" w:id="-1233371125"/>
                <w:lang w:val="en-US"/>
                <w14:textFill>
                  <w14:solidFill>
                    <w14:srgbClr w14:val="000000">
                      <w14:alpha w14:val="100000"/>
                    </w14:srgbClr>
                  </w14:solidFill>
                </w14:textFill>
              </w:rPr>
              <w:t>|</w:t>
            </w:r>
            <w:r w:rsidRPr="00A95754">
              <w:rPr>
                <w:vertAlign w:val="superscript"/>
                <w:lang w:val="en-US"/>
              </w:rPr>
              <w:t>e</w:t>
            </w:r>
            <w:r w:rsidRPr="00A95754">
              <w:rPr>
                <w:lang w:val="en-US"/>
              </w:rPr>
              <w:t xml:space="preserve"> </w:t>
            </w:r>
          </w:p>
        </w:tc>
        <w:tc>
          <w:tcPr>
            <w:tcW w:w="698" w:type="pct"/>
            <w:shd w:val="clear" w:color="auto" w:fill="auto"/>
            <w:vAlign w:val="center"/>
          </w:tcPr>
          <w:p w14:paraId="702A6B28" w14:textId="22501B3C" w:rsidR="0027503F" w:rsidRPr="00A95754" w:rsidRDefault="0027503F" w:rsidP="00094E2F">
            <w:pPr>
              <w:pStyle w:val="TableText0"/>
              <w:jc w:val="center"/>
              <w:rPr>
                <w:vertAlign w:val="superscript"/>
                <w:lang w:val="en-US"/>
              </w:rPr>
            </w:pPr>
            <w:r w:rsidRPr="00A95754">
              <w:rPr>
                <w:lang w:val="en-US"/>
              </w:rPr>
              <w:t>$</w:t>
            </w:r>
            <w:r w:rsidR="003C043D" w:rsidRPr="003C043D">
              <w:rPr>
                <w:color w:val="000000"/>
                <w:spacing w:val="105"/>
                <w:shd w:val="solid" w:color="000000" w:fill="000000"/>
                <w:fitText w:val="191" w:id="-1233371124"/>
                <w:lang w:val="en-US"/>
                <w14:textFill>
                  <w14:solidFill>
                    <w14:srgbClr w14:val="000000">
                      <w14:alpha w14:val="100000"/>
                    </w14:srgbClr>
                  </w14:solidFill>
                </w14:textFill>
              </w:rPr>
              <w:t>|</w:t>
            </w:r>
            <w:r w:rsidR="003C043D" w:rsidRPr="003C043D">
              <w:rPr>
                <w:color w:val="000000"/>
                <w:spacing w:val="1"/>
                <w:shd w:val="solid" w:color="000000" w:fill="000000"/>
                <w:fitText w:val="191" w:id="-1233371124"/>
                <w:lang w:val="en-US"/>
                <w14:textFill>
                  <w14:solidFill>
                    <w14:srgbClr w14:val="000000">
                      <w14:alpha w14:val="100000"/>
                    </w14:srgbClr>
                  </w14:solidFill>
                </w14:textFill>
              </w:rPr>
              <w:t>|</w:t>
            </w:r>
            <w:r w:rsidRPr="00A95754">
              <w:rPr>
                <w:vertAlign w:val="superscript"/>
                <w:lang w:val="en-US"/>
              </w:rPr>
              <w:t>d</w:t>
            </w:r>
          </w:p>
        </w:tc>
        <w:tc>
          <w:tcPr>
            <w:tcW w:w="696" w:type="pct"/>
            <w:shd w:val="clear" w:color="auto" w:fill="auto"/>
            <w:vAlign w:val="center"/>
          </w:tcPr>
          <w:p w14:paraId="265DD651" w14:textId="6A5B8361" w:rsidR="0027503F" w:rsidRPr="00A95754" w:rsidRDefault="0027503F" w:rsidP="00094E2F">
            <w:pPr>
              <w:pStyle w:val="TableText0"/>
              <w:jc w:val="center"/>
              <w:rPr>
                <w:lang w:val="en-US"/>
              </w:rPr>
            </w:pPr>
            <w:r w:rsidRPr="00A95754">
              <w:rPr>
                <w:lang w:val="en-US"/>
              </w:rPr>
              <w:t>$787</w:t>
            </w:r>
          </w:p>
        </w:tc>
        <w:tc>
          <w:tcPr>
            <w:tcW w:w="699" w:type="pct"/>
            <w:shd w:val="clear" w:color="auto" w:fill="auto"/>
            <w:vAlign w:val="center"/>
          </w:tcPr>
          <w:p w14:paraId="78F3B3C5" w14:textId="53CC1400" w:rsidR="0027503F" w:rsidRPr="00A95754" w:rsidRDefault="0027503F" w:rsidP="00094E2F">
            <w:pPr>
              <w:pStyle w:val="TableText0"/>
              <w:jc w:val="center"/>
              <w:rPr>
                <w:lang w:val="en-US"/>
              </w:rPr>
            </w:pPr>
            <w:r w:rsidRPr="00A95754">
              <w:rPr>
                <w:lang w:val="en-US"/>
              </w:rPr>
              <w:t>$806</w:t>
            </w:r>
            <w:r w:rsidRPr="00A95754">
              <w:rPr>
                <w:vertAlign w:val="superscript"/>
                <w:lang w:val="en-US"/>
              </w:rPr>
              <w:t>e</w:t>
            </w:r>
          </w:p>
        </w:tc>
        <w:tc>
          <w:tcPr>
            <w:tcW w:w="699" w:type="pct"/>
            <w:vAlign w:val="center"/>
          </w:tcPr>
          <w:p w14:paraId="38447E4F" w14:textId="77777777" w:rsidR="0027503F" w:rsidRPr="00A95754" w:rsidRDefault="0027503F" w:rsidP="00094E2F">
            <w:pPr>
              <w:pStyle w:val="TableText0"/>
              <w:jc w:val="center"/>
              <w:rPr>
                <w:lang w:val="en-US"/>
              </w:rPr>
            </w:pPr>
            <w:r w:rsidRPr="00A95754">
              <w:rPr>
                <w:lang w:val="en-US"/>
              </w:rPr>
              <w:t>Not included</w:t>
            </w:r>
          </w:p>
        </w:tc>
      </w:tr>
      <w:tr w:rsidR="0027503F" w:rsidRPr="00A95754" w14:paraId="5CF480A3" w14:textId="77777777" w:rsidTr="00094E2F">
        <w:trPr>
          <w:cantSplit/>
          <w:jc w:val="center"/>
        </w:trPr>
        <w:tc>
          <w:tcPr>
            <w:tcW w:w="862" w:type="pct"/>
            <w:shd w:val="clear" w:color="auto" w:fill="auto"/>
            <w:vAlign w:val="center"/>
          </w:tcPr>
          <w:p w14:paraId="5C7F6F64" w14:textId="77777777" w:rsidR="0027503F" w:rsidRPr="00A95754" w:rsidRDefault="0027503F" w:rsidP="00094E2F">
            <w:pPr>
              <w:pStyle w:val="TableText0"/>
              <w:jc w:val="center"/>
              <w:rPr>
                <w:lang w:val="en-US"/>
              </w:rPr>
            </w:pPr>
            <w:r w:rsidRPr="00A95754">
              <w:rPr>
                <w:lang w:val="en-US"/>
              </w:rPr>
              <w:t>Cost/patient/course</w:t>
            </w:r>
          </w:p>
        </w:tc>
        <w:tc>
          <w:tcPr>
            <w:tcW w:w="707" w:type="pct"/>
            <w:shd w:val="clear" w:color="auto" w:fill="auto"/>
            <w:vAlign w:val="center"/>
          </w:tcPr>
          <w:p w14:paraId="1FE14019" w14:textId="70060BD2" w:rsidR="0027503F" w:rsidRPr="00A95754" w:rsidRDefault="0027503F" w:rsidP="00094E2F">
            <w:pPr>
              <w:pStyle w:val="TableText0"/>
              <w:jc w:val="center"/>
              <w:rPr>
                <w:lang w:val="en-US"/>
              </w:rPr>
            </w:pPr>
            <w:r w:rsidRPr="00A95754">
              <w:rPr>
                <w:lang w:val="en-US"/>
              </w:rPr>
              <w:t>$</w:t>
            </w:r>
            <w:r w:rsidR="003C043D" w:rsidRPr="00FF4B8C">
              <w:rPr>
                <w:rFonts w:hint="eastAsia"/>
                <w:color w:val="000000"/>
                <w:w w:val="33"/>
                <w:shd w:val="solid" w:color="000000" w:fill="000000"/>
                <w:fitText w:val="150" w:id="-1233371123"/>
                <w:lang w:val="en-US"/>
                <w14:textFill>
                  <w14:solidFill>
                    <w14:srgbClr w14:val="000000">
                      <w14:alpha w14:val="100000"/>
                    </w14:srgbClr>
                  </w14:solidFill>
                </w14:textFill>
              </w:rPr>
              <w:t xml:space="preserve">　</w:t>
            </w:r>
            <w:r w:rsidR="003C043D" w:rsidRPr="00FF4B8C">
              <w:rPr>
                <w:color w:val="000000"/>
                <w:w w:val="33"/>
                <w:shd w:val="solid" w:color="000000" w:fill="000000"/>
                <w:fitText w:val="150" w:id="-1233371123"/>
                <w:lang w:val="en-US"/>
                <w14:textFill>
                  <w14:solidFill>
                    <w14:srgbClr w14:val="000000">
                      <w14:alpha w14:val="100000"/>
                    </w14:srgbClr>
                  </w14:solidFill>
                </w14:textFill>
              </w:rPr>
              <w:t>|</w:t>
            </w:r>
            <w:r w:rsidR="003C043D" w:rsidRPr="00FF4B8C">
              <w:rPr>
                <w:rFonts w:hint="eastAsia"/>
                <w:color w:val="000000"/>
                <w:w w:val="33"/>
                <w:shd w:val="solid" w:color="000000" w:fill="000000"/>
                <w:fitText w:val="150" w:id="-1233371123"/>
                <w:lang w:val="en-US"/>
                <w14:textFill>
                  <w14:solidFill>
                    <w14:srgbClr w14:val="000000">
                      <w14:alpha w14:val="100000"/>
                    </w14:srgbClr>
                  </w14:solidFill>
                </w14:textFill>
              </w:rPr>
              <w:t xml:space="preserve">　</w:t>
            </w:r>
          </w:p>
        </w:tc>
        <w:tc>
          <w:tcPr>
            <w:tcW w:w="638" w:type="pct"/>
            <w:shd w:val="clear" w:color="auto" w:fill="auto"/>
            <w:vAlign w:val="center"/>
          </w:tcPr>
          <w:p w14:paraId="1F64C0B9" w14:textId="7A6371EE" w:rsidR="0027503F" w:rsidRPr="00A95754" w:rsidRDefault="0027503F" w:rsidP="00094E2F">
            <w:pPr>
              <w:pStyle w:val="TableText0"/>
              <w:jc w:val="center"/>
              <w:rPr>
                <w:lang w:val="en-US"/>
              </w:rPr>
            </w:pPr>
            <w:r w:rsidRPr="00A95754">
              <w:rPr>
                <w:lang w:val="en-US"/>
              </w:rPr>
              <w:t>$</w:t>
            </w:r>
            <w:r w:rsidR="003C043D" w:rsidRPr="003C043D">
              <w:rPr>
                <w:color w:val="000000"/>
                <w:spacing w:val="44"/>
                <w:shd w:val="solid" w:color="000000" w:fill="000000"/>
                <w:fitText w:val="216" w:id="-1233371122"/>
                <w:lang w:val="en-US"/>
                <w14:textFill>
                  <w14:solidFill>
                    <w14:srgbClr w14:val="000000">
                      <w14:alpha w14:val="100000"/>
                    </w14:srgbClr>
                  </w14:solidFill>
                </w14:textFill>
              </w:rPr>
              <w:t>||</w:t>
            </w:r>
            <w:r w:rsidR="003C043D" w:rsidRPr="003C043D">
              <w:rPr>
                <w:color w:val="000000"/>
                <w:spacing w:val="1"/>
                <w:shd w:val="solid" w:color="000000" w:fill="000000"/>
                <w:fitText w:val="216" w:id="-1233371122"/>
                <w:lang w:val="en-US"/>
                <w14:textFill>
                  <w14:solidFill>
                    <w14:srgbClr w14:val="000000">
                      <w14:alpha w14:val="100000"/>
                    </w14:srgbClr>
                  </w14:solidFill>
                </w14:textFill>
              </w:rPr>
              <w:t>|</w:t>
            </w:r>
            <w:r w:rsidR="003C67AB">
              <w:rPr>
                <w:vertAlign w:val="superscript"/>
                <w:lang w:val="en-US"/>
              </w:rPr>
              <w:t>f</w:t>
            </w:r>
            <w:r w:rsidR="003C67AB" w:rsidRPr="00A95754">
              <w:rPr>
                <w:lang w:val="en-US"/>
              </w:rPr>
              <w:t xml:space="preserve"> </w:t>
            </w:r>
          </w:p>
        </w:tc>
        <w:tc>
          <w:tcPr>
            <w:tcW w:w="698" w:type="pct"/>
            <w:shd w:val="clear" w:color="auto" w:fill="auto"/>
            <w:vAlign w:val="center"/>
          </w:tcPr>
          <w:p w14:paraId="7742312D" w14:textId="7CEEFBB2" w:rsidR="0027503F" w:rsidRPr="00A95754" w:rsidRDefault="0027503F" w:rsidP="00094E2F">
            <w:pPr>
              <w:pStyle w:val="TableText0"/>
              <w:jc w:val="center"/>
              <w:rPr>
                <w:lang w:val="en-US"/>
              </w:rPr>
            </w:pPr>
            <w:r w:rsidRPr="00A95754">
              <w:rPr>
                <w:lang w:val="en-US"/>
              </w:rPr>
              <w:t>$</w:t>
            </w:r>
            <w:r w:rsidR="003C043D" w:rsidRPr="00FF4B8C">
              <w:rPr>
                <w:color w:val="000000"/>
                <w:spacing w:val="72"/>
                <w:shd w:val="solid" w:color="000000" w:fill="000000"/>
                <w:fitText w:val="158" w:id="-1233371121"/>
                <w:lang w:val="en-US"/>
                <w14:textFill>
                  <w14:solidFill>
                    <w14:srgbClr w14:val="000000">
                      <w14:alpha w14:val="100000"/>
                    </w14:srgbClr>
                  </w14:solidFill>
                </w14:textFill>
              </w:rPr>
              <w:t>|</w:t>
            </w:r>
            <w:r w:rsidR="003C043D" w:rsidRPr="00FF4B8C">
              <w:rPr>
                <w:color w:val="000000"/>
                <w:shd w:val="solid" w:color="000000" w:fill="000000"/>
                <w:fitText w:val="158" w:id="-1233371121"/>
                <w:lang w:val="en-US"/>
                <w14:textFill>
                  <w14:solidFill>
                    <w14:srgbClr w14:val="000000">
                      <w14:alpha w14:val="100000"/>
                    </w14:srgbClr>
                  </w14:solidFill>
                </w14:textFill>
              </w:rPr>
              <w:t>|</w:t>
            </w:r>
          </w:p>
        </w:tc>
        <w:tc>
          <w:tcPr>
            <w:tcW w:w="696" w:type="pct"/>
            <w:shd w:val="clear" w:color="auto" w:fill="auto"/>
            <w:vAlign w:val="center"/>
          </w:tcPr>
          <w:p w14:paraId="41657F7D" w14:textId="24A79727" w:rsidR="0027503F" w:rsidRPr="00A95754" w:rsidRDefault="0027503F" w:rsidP="00094E2F">
            <w:pPr>
              <w:pStyle w:val="TableText0"/>
              <w:jc w:val="center"/>
              <w:rPr>
                <w:lang w:val="en-US"/>
              </w:rPr>
            </w:pPr>
            <w:r w:rsidRPr="00A95754">
              <w:rPr>
                <w:lang w:val="en-US"/>
              </w:rPr>
              <w:t>$3,289</w:t>
            </w:r>
          </w:p>
        </w:tc>
        <w:tc>
          <w:tcPr>
            <w:tcW w:w="699" w:type="pct"/>
            <w:shd w:val="clear" w:color="auto" w:fill="auto"/>
            <w:vAlign w:val="center"/>
          </w:tcPr>
          <w:p w14:paraId="6DD8A6DD" w14:textId="4C5E69A4" w:rsidR="0027503F" w:rsidRPr="00A95754" w:rsidRDefault="0027503F" w:rsidP="00094E2F">
            <w:pPr>
              <w:pStyle w:val="TableText0"/>
              <w:jc w:val="center"/>
              <w:rPr>
                <w:lang w:val="en-US"/>
              </w:rPr>
            </w:pPr>
            <w:r w:rsidRPr="00A95754">
              <w:rPr>
                <w:lang w:val="en-US"/>
              </w:rPr>
              <w:t>$3,675</w:t>
            </w:r>
          </w:p>
        </w:tc>
        <w:tc>
          <w:tcPr>
            <w:tcW w:w="699" w:type="pct"/>
            <w:vAlign w:val="center"/>
          </w:tcPr>
          <w:p w14:paraId="2B865EED" w14:textId="77777777" w:rsidR="0027503F" w:rsidRPr="00A95754" w:rsidRDefault="0027503F" w:rsidP="00094E2F">
            <w:pPr>
              <w:pStyle w:val="TableText0"/>
              <w:jc w:val="center"/>
              <w:rPr>
                <w:lang w:val="en-US"/>
              </w:rPr>
            </w:pPr>
            <w:r w:rsidRPr="00A95754">
              <w:rPr>
                <w:lang w:val="en-US"/>
              </w:rPr>
              <w:t>Not included</w:t>
            </w:r>
          </w:p>
        </w:tc>
      </w:tr>
    </w:tbl>
    <w:p w14:paraId="2AF7E58D" w14:textId="77777777" w:rsidR="0027503F" w:rsidRPr="00A95754" w:rsidRDefault="0027503F" w:rsidP="00BA4874">
      <w:pPr>
        <w:pStyle w:val="TableFigureFooter"/>
      </w:pPr>
      <w:r w:rsidRPr="00A95754">
        <w:t xml:space="preserve">Source: Data extracted from Table 2.11, p 60 and Table 2.12, p 61 of the submission; Table 14.3.1.1.2, p45-46 of Attachment 4 ‘CSR section tables listings figures addendum’ for the 6.5-month follow-up’; Spreadsheet ‘Durvalumab + Gemcitabine’ of the CEA model; Spreadsheet ‘Gemcitabine + Cisplatin’ of the CEA model. </w:t>
      </w:r>
    </w:p>
    <w:p w14:paraId="032E2120" w14:textId="77777777" w:rsidR="0027503F" w:rsidRPr="00A95754" w:rsidRDefault="0027503F" w:rsidP="00BA4874">
      <w:pPr>
        <w:pStyle w:val="TableFigureFooter"/>
      </w:pPr>
      <w:r w:rsidRPr="00A95754">
        <w:t>C: cisplatin; D: durvalumab; G = gemcitabine; GemCis = gemcitabine + cisplatin.</w:t>
      </w:r>
    </w:p>
    <w:p w14:paraId="1BB9865E" w14:textId="24C612AE" w:rsidR="0027503F" w:rsidRPr="00A95754" w:rsidRDefault="0027503F" w:rsidP="00BA4874">
      <w:pPr>
        <w:pStyle w:val="TableFigureFooter"/>
      </w:pPr>
      <w:r w:rsidRPr="00A95754">
        <w:t>Effective AEMP of durvalumab $</w:t>
      </w:r>
      <w:r w:rsidR="003C043D" w:rsidRPr="003C043D">
        <w:rPr>
          <w:color w:val="000000"/>
          <w:spacing w:val="27"/>
          <w:shd w:val="solid" w:color="000000" w:fill="000000"/>
          <w:fitText w:val="371" w:id="-1233371120"/>
          <w14:textFill>
            <w14:solidFill>
              <w14:srgbClr w14:val="000000">
                <w14:alpha w14:val="100000"/>
              </w14:srgbClr>
            </w14:solidFill>
          </w14:textFill>
        </w:rPr>
        <w:t>||  |</w:t>
      </w:r>
      <w:r w:rsidR="003C043D" w:rsidRPr="003C043D">
        <w:rPr>
          <w:color w:val="000000"/>
          <w:spacing w:val="1"/>
          <w:shd w:val="solid" w:color="000000" w:fill="000000"/>
          <w:fitText w:val="371" w:id="-1233371120"/>
          <w14:textFill>
            <w14:solidFill>
              <w14:srgbClr w14:val="000000">
                <w14:alpha w14:val="100000"/>
              </w14:srgbClr>
            </w14:solidFill>
          </w14:textFill>
        </w:rPr>
        <w:t>|</w:t>
      </w:r>
      <w:r w:rsidRPr="00A95754">
        <w:t>; costs of durvalumab and GemCis per administration were estimated as a weighted average of the public and private hospital dispensed effective price for maximum amounts (DPMAs) (public hospital: 42%; private hospital: 58%). The weighted average cost per administration was $</w:t>
      </w:r>
      <w:r w:rsidR="003C043D" w:rsidRPr="003C043D">
        <w:rPr>
          <w:color w:val="000000"/>
          <w:spacing w:val="27"/>
          <w:shd w:val="solid" w:color="000000" w:fill="000000"/>
          <w:fitText w:val="371" w:id="-1233371136"/>
          <w14:textFill>
            <w14:solidFill>
              <w14:srgbClr w14:val="000000">
                <w14:alpha w14:val="100000"/>
              </w14:srgbClr>
            </w14:solidFill>
          </w14:textFill>
        </w:rPr>
        <w:t>||  |</w:t>
      </w:r>
      <w:r w:rsidR="003C043D" w:rsidRPr="003C043D">
        <w:rPr>
          <w:color w:val="000000"/>
          <w:spacing w:val="1"/>
          <w:shd w:val="solid" w:color="000000" w:fill="000000"/>
          <w:fitText w:val="371" w:id="-1233371136"/>
          <w14:textFill>
            <w14:solidFill>
              <w14:srgbClr w14:val="000000">
                <w14:alpha w14:val="100000"/>
              </w14:srgbClr>
            </w14:solidFill>
          </w14:textFill>
        </w:rPr>
        <w:t>|</w:t>
      </w:r>
      <w:r w:rsidRPr="00A95754">
        <w:t xml:space="preserve"> for durvalumab (effective price) and $544.56 for GemCis.; Treatment is delivered every 3 weeks (21 days) when in combination with GemCis and every 4 weeks in monotherapy. </w:t>
      </w:r>
    </w:p>
    <w:p w14:paraId="37649167" w14:textId="77777777" w:rsidR="0027503F" w:rsidRPr="00A95754" w:rsidRDefault="0027503F" w:rsidP="00BA4874">
      <w:pPr>
        <w:pStyle w:val="TableFigureFooter"/>
      </w:pPr>
      <w:r w:rsidRPr="00A95754">
        <w:t xml:space="preserve">*The financial estimated did not consider the use of GemCis in its calculations. </w:t>
      </w:r>
    </w:p>
    <w:p w14:paraId="282AF150" w14:textId="2794F2C2" w:rsidR="0027503F" w:rsidRPr="00A95754" w:rsidRDefault="0027503F" w:rsidP="00BA4874">
      <w:pPr>
        <w:pStyle w:val="TableFigureFooter"/>
      </w:pPr>
      <w:r w:rsidRPr="00A95754">
        <w:rPr>
          <w:vertAlign w:val="superscript"/>
        </w:rPr>
        <w:t>a</w:t>
      </w:r>
      <w:r w:rsidRPr="00A95754">
        <w:t xml:space="preserve"> From 6.5-month updated analysis; Table 5, p32 of Attachment 3. Table 14.3.1.1.1 pp42 of Attachment 4; Calculation applied to duration of treatment of durvalumab monotherapy as 7.99 – 4.40 = 3.59 months. Treatment duration of the comparator was based on duration of Gemcitabine (4.18 months) slightly lower compared to cisplatin (4.08 months)</w:t>
      </w:r>
    </w:p>
    <w:p w14:paraId="12785C30" w14:textId="1831C250" w:rsidR="0027503F" w:rsidRPr="00A95754" w:rsidRDefault="0027503F" w:rsidP="00BA4874">
      <w:pPr>
        <w:pStyle w:val="TableFigureFooter"/>
      </w:pPr>
      <w:r w:rsidRPr="00A95754">
        <w:rPr>
          <w:vertAlign w:val="superscript"/>
        </w:rPr>
        <w:t xml:space="preserve">b </w:t>
      </w:r>
      <w:r w:rsidRPr="00A95754">
        <w:t xml:space="preserve">Based on extrapolated TTD from economic model. </w:t>
      </w:r>
    </w:p>
    <w:p w14:paraId="6620ED81" w14:textId="3EC10D0B" w:rsidR="0027503F" w:rsidRPr="00A95754" w:rsidRDefault="0027503F" w:rsidP="002A5C66">
      <w:pPr>
        <w:pStyle w:val="TableFigureFooter"/>
      </w:pPr>
      <w:r w:rsidRPr="00A95754">
        <w:rPr>
          <w:vertAlign w:val="superscript"/>
        </w:rPr>
        <w:t xml:space="preserve">c </w:t>
      </w:r>
      <w:r w:rsidRPr="00A95754">
        <w:t xml:space="preserve">Calculation applied based on duration of treatment of 39.23 weeks (39.23*12/52 = 9.05 months). </w:t>
      </w:r>
    </w:p>
    <w:p w14:paraId="1844623B" w14:textId="12C65653" w:rsidR="0027503F" w:rsidRPr="00A95754" w:rsidRDefault="0027503F" w:rsidP="00BA4874">
      <w:pPr>
        <w:pStyle w:val="TableFigureFooter"/>
      </w:pPr>
      <w:r w:rsidRPr="00A95754">
        <w:rPr>
          <w:vertAlign w:val="superscript"/>
        </w:rPr>
        <w:t xml:space="preserve">d </w:t>
      </w:r>
      <w:r w:rsidRPr="00A95754">
        <w:t>Calculation applied based on total cost to PBS/RPBS in Year 1 $</w:t>
      </w:r>
      <w:r w:rsidR="003C043D" w:rsidRPr="003C043D">
        <w:rPr>
          <w:color w:val="000000"/>
          <w:spacing w:val="27"/>
          <w:shd w:val="solid" w:color="000000" w:fill="000000"/>
          <w:fitText w:val="371" w:id="-1233371135"/>
          <w14:textFill>
            <w14:solidFill>
              <w14:srgbClr w14:val="000000">
                <w14:alpha w14:val="100000"/>
              </w14:srgbClr>
            </w14:solidFill>
          </w14:textFill>
        </w:rPr>
        <w:t>||  |</w:t>
      </w:r>
      <w:r w:rsidR="003C043D" w:rsidRPr="003C043D">
        <w:rPr>
          <w:color w:val="000000"/>
          <w:spacing w:val="1"/>
          <w:shd w:val="solid" w:color="000000" w:fill="000000"/>
          <w:fitText w:val="371" w:id="-1233371135"/>
          <w14:textFill>
            <w14:solidFill>
              <w14:srgbClr w14:val="000000">
                <w14:alpha w14:val="100000"/>
              </w14:srgbClr>
            </w14:solidFill>
          </w14:textFill>
        </w:rPr>
        <w:t>|</w:t>
      </w:r>
      <w:r w:rsidRPr="00A95754">
        <w:t xml:space="preserve"> / </w:t>
      </w:r>
      <w:r w:rsidR="00610CFB" w:rsidRPr="00610CFB">
        <w:rPr>
          <w:i/>
        </w:rPr>
        <w:t xml:space="preserve">500 to &lt; 5,000 </w:t>
      </w:r>
      <w:r w:rsidRPr="00A95754">
        <w:t>patients / 9.05 months = $</w:t>
      </w:r>
      <w:r w:rsidR="003C043D" w:rsidRPr="003C043D">
        <w:rPr>
          <w:color w:val="000000"/>
          <w:spacing w:val="27"/>
          <w:shd w:val="solid" w:color="000000" w:fill="000000"/>
          <w:fitText w:val="371" w:id="-1233371134"/>
          <w14:textFill>
            <w14:solidFill>
              <w14:srgbClr w14:val="000000">
                <w14:alpha w14:val="100000"/>
              </w14:srgbClr>
            </w14:solidFill>
          </w14:textFill>
        </w:rPr>
        <w:t>||  |</w:t>
      </w:r>
      <w:r w:rsidR="003C043D" w:rsidRPr="003C043D">
        <w:rPr>
          <w:color w:val="000000"/>
          <w:spacing w:val="1"/>
          <w:shd w:val="solid" w:color="000000" w:fill="000000"/>
          <w:fitText w:val="371" w:id="-1233371134"/>
          <w14:textFill>
            <w14:solidFill>
              <w14:srgbClr w14:val="000000">
                <w14:alpha w14:val="100000"/>
              </w14:srgbClr>
            </w14:solidFill>
          </w14:textFill>
        </w:rPr>
        <w:t>|</w:t>
      </w:r>
      <w:r w:rsidRPr="00A95754">
        <w:t>. Cost does not include GemCis.</w:t>
      </w:r>
    </w:p>
    <w:p w14:paraId="33EC1548" w14:textId="77777777" w:rsidR="00B8009A" w:rsidRDefault="0027503F" w:rsidP="002A5C66">
      <w:pPr>
        <w:pStyle w:val="TableFigureFooter"/>
      </w:pPr>
      <w:r w:rsidRPr="00A95754">
        <w:rPr>
          <w:vertAlign w:val="superscript"/>
        </w:rPr>
        <w:t xml:space="preserve">e </w:t>
      </w:r>
      <w:r w:rsidRPr="00A95754">
        <w:t>Calculation applied: Cost per patient per course / mean duration.</w:t>
      </w:r>
    </w:p>
    <w:p w14:paraId="4D0B2A7F" w14:textId="4E8963ED" w:rsidR="0027503F" w:rsidRPr="00A95754" w:rsidRDefault="00B8009A" w:rsidP="002A5C66">
      <w:pPr>
        <w:pStyle w:val="TableFigureFooter"/>
      </w:pPr>
      <w:r>
        <w:rPr>
          <w:vertAlign w:val="superscript"/>
        </w:rPr>
        <w:t xml:space="preserve">f </w:t>
      </w:r>
      <w:r>
        <w:t>The total cost</w:t>
      </w:r>
      <w:r w:rsidR="0063588D">
        <w:t>/</w:t>
      </w:r>
      <w:r>
        <w:t>patient</w:t>
      </w:r>
      <w:r w:rsidR="0063588D">
        <w:t>/</w:t>
      </w:r>
      <w:r>
        <w:t>course without GemCis is $</w:t>
      </w:r>
      <w:r w:rsidR="003C043D" w:rsidRPr="003C043D">
        <w:rPr>
          <w:color w:val="000000"/>
          <w:spacing w:val="27"/>
          <w:shd w:val="solid" w:color="000000" w:fill="000000"/>
          <w:fitText w:val="371" w:id="-1233371133"/>
          <w14:textFill>
            <w14:solidFill>
              <w14:srgbClr w14:val="000000">
                <w14:alpha w14:val="100000"/>
              </w14:srgbClr>
            </w14:solidFill>
          </w14:textFill>
        </w:rPr>
        <w:t>||  |</w:t>
      </w:r>
      <w:r w:rsidR="003C043D" w:rsidRPr="003C043D">
        <w:rPr>
          <w:color w:val="000000"/>
          <w:spacing w:val="1"/>
          <w:shd w:val="solid" w:color="000000" w:fill="000000"/>
          <w:fitText w:val="371" w:id="-1233371133"/>
          <w14:textFill>
            <w14:solidFill>
              <w14:srgbClr w14:val="000000">
                <w14:alpha w14:val="100000"/>
              </w14:srgbClr>
            </w14:solidFill>
          </w14:textFill>
        </w:rPr>
        <w:t>|</w:t>
      </w:r>
      <w:r w:rsidR="0063588D">
        <w:t>.</w:t>
      </w:r>
      <w:r w:rsidR="0027503F" w:rsidRPr="00A95754">
        <w:t xml:space="preserve"> </w:t>
      </w:r>
    </w:p>
    <w:p w14:paraId="3221F9F5" w14:textId="41B3993F" w:rsidR="00BF581C" w:rsidRDefault="00BF581C" w:rsidP="00BF581C">
      <w:pPr>
        <w:pStyle w:val="3-BodyText"/>
      </w:pPr>
      <w:bookmarkStart w:id="58" w:name="_Toc124925616"/>
      <w:r>
        <w:t xml:space="preserve">The PBAC noted the </w:t>
      </w:r>
      <w:r w:rsidR="008A5DEA">
        <w:t xml:space="preserve">revised modelled </w:t>
      </w:r>
      <w:r>
        <w:t xml:space="preserve">cost per patient </w:t>
      </w:r>
      <w:r w:rsidR="008A5DEA">
        <w:t xml:space="preserve">for durvalumab incorporating the changes made in the pre-PBAC response (see paragraph </w:t>
      </w:r>
      <w:r w:rsidR="008A5DEA">
        <w:fldChar w:fldCharType="begin"/>
      </w:r>
      <w:r w:rsidR="008A5DEA">
        <w:instrText xml:space="preserve"> REF _Ref132284042 \r \h </w:instrText>
      </w:r>
      <w:r w:rsidR="008A5DEA">
        <w:fldChar w:fldCharType="separate"/>
      </w:r>
      <w:r w:rsidR="000178EC">
        <w:t>6.47</w:t>
      </w:r>
      <w:r w:rsidR="008A5DEA">
        <w:fldChar w:fldCharType="end"/>
      </w:r>
      <w:r w:rsidR="008A5DEA">
        <w:t>) was $</w:t>
      </w:r>
      <w:r w:rsidR="003C043D" w:rsidRPr="000178EC">
        <w:rPr>
          <w:color w:val="000000"/>
          <w:w w:val="15"/>
          <w:shd w:val="solid" w:color="000000" w:fill="000000"/>
          <w:fitText w:val="-20" w:id="-1233371132"/>
          <w14:textFill>
            <w14:solidFill>
              <w14:srgbClr w14:val="000000">
                <w14:alpha w14:val="100000"/>
              </w14:srgbClr>
            </w14:solidFill>
          </w14:textFill>
        </w:rPr>
        <w:t xml:space="preserve">|  </w:t>
      </w:r>
      <w:r w:rsidR="003C043D" w:rsidRPr="000178EC">
        <w:rPr>
          <w:color w:val="000000"/>
          <w:spacing w:val="-69"/>
          <w:w w:val="15"/>
          <w:shd w:val="solid" w:color="000000" w:fill="000000"/>
          <w:fitText w:val="-20" w:id="-1233371132"/>
          <w14:textFill>
            <w14:solidFill>
              <w14:srgbClr w14:val="000000">
                <w14:alpha w14:val="100000"/>
              </w14:srgbClr>
            </w14:solidFill>
          </w14:textFill>
        </w:rPr>
        <w:t>|</w:t>
      </w:r>
      <w:r w:rsidR="008A5DEA">
        <w:t>.</w:t>
      </w:r>
    </w:p>
    <w:p w14:paraId="406A29E5" w14:textId="027A303F" w:rsidR="0027503F" w:rsidRPr="00A95754" w:rsidRDefault="0027503F" w:rsidP="00BA4874">
      <w:pPr>
        <w:pStyle w:val="4-SubsectionHeading"/>
      </w:pPr>
      <w:r w:rsidRPr="00A95754">
        <w:t>Estimated PBS usage &amp; financial implications</w:t>
      </w:r>
      <w:bookmarkEnd w:id="58"/>
    </w:p>
    <w:p w14:paraId="6AAD8437" w14:textId="032E7622" w:rsidR="00BE18C5" w:rsidRPr="00A95754" w:rsidRDefault="00BE18C5" w:rsidP="00BE18C5">
      <w:pPr>
        <w:pStyle w:val="3-BodyText"/>
        <w:rPr>
          <w:rFonts w:ascii="Arial Narrow" w:hAnsi="Arial Narrow"/>
          <w:sz w:val="20"/>
        </w:rPr>
      </w:pPr>
      <w:r w:rsidRPr="00A95754">
        <w:t xml:space="preserve">This submission </w:t>
      </w:r>
      <w:r w:rsidR="00B96260">
        <w:t>was</w:t>
      </w:r>
      <w:r w:rsidRPr="00A95754">
        <w:t xml:space="preserve"> considered by DUSC. </w:t>
      </w:r>
    </w:p>
    <w:p w14:paraId="1DB6254C" w14:textId="7E839FEB" w:rsidR="00BE18C5" w:rsidRPr="00A95754" w:rsidRDefault="00BE18C5" w:rsidP="00BE18C5">
      <w:pPr>
        <w:pStyle w:val="3-BodyText"/>
        <w:rPr>
          <w:rFonts w:ascii="Arial Narrow" w:hAnsi="Arial Narrow"/>
          <w:sz w:val="20"/>
        </w:rPr>
      </w:pPr>
      <w:r w:rsidRPr="00A95754">
        <w:t xml:space="preserve">The submission used an epidemiological approach to estimate the use of durvalumab + GemCis as a first line therapy for patients with advanced BTC. The key inputs are presented in </w:t>
      </w:r>
      <w:r w:rsidRPr="00A95754">
        <w:fldChar w:fldCharType="begin"/>
      </w:r>
      <w:r w:rsidRPr="00A95754">
        <w:instrText xml:space="preserve"> REF _Ref124492346 \h </w:instrText>
      </w:r>
      <w:r>
        <w:instrText xml:space="preserve"> \* MERGEFORMAT </w:instrText>
      </w:r>
      <w:r w:rsidRPr="00A95754">
        <w:fldChar w:fldCharType="separate"/>
      </w:r>
      <w:r w:rsidR="000178EC" w:rsidRPr="00A95754">
        <w:t xml:space="preserve">Table </w:t>
      </w:r>
      <w:r w:rsidR="000178EC">
        <w:rPr>
          <w:noProof/>
        </w:rPr>
        <w:t>16</w:t>
      </w:r>
      <w:r w:rsidRPr="00A95754">
        <w:fldChar w:fldCharType="end"/>
      </w:r>
      <w:r w:rsidRPr="00A95754">
        <w:t>.</w:t>
      </w:r>
    </w:p>
    <w:p w14:paraId="6FC19CFD" w14:textId="2F66AABE" w:rsidR="00BE18C5" w:rsidRPr="00A95754" w:rsidRDefault="00BE18C5" w:rsidP="00BE18C5">
      <w:pPr>
        <w:pStyle w:val="TableFigureHeading"/>
      </w:pPr>
      <w:bookmarkStart w:id="59" w:name="_Ref124492346"/>
      <w:r w:rsidRPr="00A95754">
        <w:lastRenderedPageBreak/>
        <w:t xml:space="preserve">Table </w:t>
      </w:r>
      <w:fldSimple w:instr=" SEQ Table \* ARABIC ">
        <w:r w:rsidR="000178EC">
          <w:rPr>
            <w:noProof/>
          </w:rPr>
          <w:t>16</w:t>
        </w:r>
      </w:fldSimple>
      <w:bookmarkEnd w:id="59"/>
      <w:r w:rsidRPr="00A95754">
        <w:rPr>
          <w:rStyle w:val="CommentReference"/>
          <w:b/>
          <w:szCs w:val="24"/>
        </w:rPr>
        <w:t>: Key inputs for financial estimates</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3402"/>
        <w:gridCol w:w="2790"/>
      </w:tblGrid>
      <w:tr w:rsidR="00BE18C5" w:rsidRPr="00A95754" w14:paraId="6170BE5D" w14:textId="77777777" w:rsidTr="00FF4B8C">
        <w:trPr>
          <w:tblHeader/>
        </w:trPr>
        <w:tc>
          <w:tcPr>
            <w:tcW w:w="1555" w:type="dxa"/>
            <w:vAlign w:val="center"/>
          </w:tcPr>
          <w:p w14:paraId="71B08194" w14:textId="77777777" w:rsidR="00BE18C5" w:rsidRPr="00A95754" w:rsidRDefault="00BE18C5" w:rsidP="00DF2C5C">
            <w:pPr>
              <w:pStyle w:val="In-tableHeading"/>
              <w:keepNext w:val="0"/>
              <w:ind w:left="-23"/>
              <w:jc w:val="center"/>
            </w:pPr>
            <w:r w:rsidRPr="00A95754">
              <w:t>Data</w:t>
            </w:r>
          </w:p>
        </w:tc>
        <w:tc>
          <w:tcPr>
            <w:tcW w:w="1275" w:type="dxa"/>
            <w:vAlign w:val="center"/>
          </w:tcPr>
          <w:p w14:paraId="1B680BB8" w14:textId="77777777" w:rsidR="00BE18C5" w:rsidRPr="00A95754" w:rsidRDefault="00BE18C5" w:rsidP="00DF2C5C">
            <w:pPr>
              <w:pStyle w:val="In-tableHeading"/>
              <w:keepNext w:val="0"/>
              <w:jc w:val="center"/>
            </w:pPr>
            <w:r w:rsidRPr="00A95754">
              <w:t>Value</w:t>
            </w:r>
          </w:p>
        </w:tc>
        <w:tc>
          <w:tcPr>
            <w:tcW w:w="3402" w:type="dxa"/>
            <w:vAlign w:val="center"/>
          </w:tcPr>
          <w:p w14:paraId="01965C8D" w14:textId="77777777" w:rsidR="00BE18C5" w:rsidRPr="00A95754" w:rsidRDefault="00BE18C5" w:rsidP="00DF2C5C">
            <w:pPr>
              <w:pStyle w:val="In-tableHeading"/>
              <w:keepNext w:val="0"/>
              <w:jc w:val="center"/>
            </w:pPr>
            <w:r w:rsidRPr="00A95754">
              <w:t>Source</w:t>
            </w:r>
          </w:p>
        </w:tc>
        <w:tc>
          <w:tcPr>
            <w:tcW w:w="2790" w:type="dxa"/>
            <w:vAlign w:val="center"/>
          </w:tcPr>
          <w:p w14:paraId="00694460" w14:textId="77777777" w:rsidR="00BE18C5" w:rsidRPr="00A95754" w:rsidRDefault="00BE18C5" w:rsidP="00DF2C5C">
            <w:pPr>
              <w:pStyle w:val="In-tableHeading"/>
              <w:keepNext w:val="0"/>
              <w:jc w:val="center"/>
            </w:pPr>
            <w:r w:rsidRPr="00A95754">
              <w:t>Comment</w:t>
            </w:r>
          </w:p>
        </w:tc>
      </w:tr>
      <w:tr w:rsidR="00BE18C5" w:rsidRPr="00A95754" w14:paraId="6DA4D90F" w14:textId="77777777" w:rsidTr="00DF2C5C">
        <w:tc>
          <w:tcPr>
            <w:tcW w:w="9022" w:type="dxa"/>
            <w:gridSpan w:val="4"/>
            <w:vAlign w:val="center"/>
          </w:tcPr>
          <w:p w14:paraId="3D43D08F" w14:textId="77777777" w:rsidR="00BE18C5" w:rsidRPr="00A95754" w:rsidRDefault="00BE18C5" w:rsidP="00DF2C5C">
            <w:pPr>
              <w:pStyle w:val="In-tableHeading"/>
              <w:keepNext w:val="0"/>
              <w:ind w:left="-23"/>
            </w:pPr>
            <w:r w:rsidRPr="00A95754">
              <w:t>Eligible population</w:t>
            </w:r>
          </w:p>
        </w:tc>
      </w:tr>
      <w:tr w:rsidR="00BE18C5" w:rsidRPr="00A95754" w14:paraId="5B70C930" w14:textId="77777777" w:rsidTr="00FF4B8C">
        <w:tc>
          <w:tcPr>
            <w:tcW w:w="1555" w:type="dxa"/>
            <w:vAlign w:val="center"/>
          </w:tcPr>
          <w:p w14:paraId="3A7DF593" w14:textId="77777777" w:rsidR="00BE18C5" w:rsidRPr="00A95754" w:rsidRDefault="00BE18C5" w:rsidP="00DF2C5C">
            <w:pPr>
              <w:pStyle w:val="TableText0"/>
              <w:keepNext w:val="0"/>
              <w:ind w:left="-23"/>
            </w:pPr>
            <w:r w:rsidRPr="00A95754">
              <w:rPr>
                <w:lang w:eastAsia="en-US"/>
              </w:rPr>
              <w:t xml:space="preserve">GBC: All age-specific incidence (crude) rate per 100,000 </w:t>
            </w:r>
          </w:p>
        </w:tc>
        <w:tc>
          <w:tcPr>
            <w:tcW w:w="1275" w:type="dxa"/>
            <w:vAlign w:val="center"/>
          </w:tcPr>
          <w:p w14:paraId="0D42ED2F" w14:textId="77777777" w:rsidR="00BE18C5" w:rsidRPr="00A95754" w:rsidRDefault="00BE18C5" w:rsidP="00DF2C5C">
            <w:pPr>
              <w:pStyle w:val="TableText0"/>
              <w:keepNext w:val="0"/>
            </w:pPr>
            <w:r w:rsidRPr="00A95754">
              <w:t xml:space="preserve">Years 1-4: 1.6 </w:t>
            </w:r>
          </w:p>
          <w:p w14:paraId="5B91E350" w14:textId="77777777" w:rsidR="00BE18C5" w:rsidRPr="00A95754" w:rsidRDefault="00BE18C5" w:rsidP="00DF2C5C">
            <w:pPr>
              <w:pStyle w:val="TableText0"/>
              <w:keepNext w:val="0"/>
            </w:pPr>
            <w:r w:rsidRPr="00A95754">
              <w:t>Years 5-6: 1.7</w:t>
            </w:r>
          </w:p>
        </w:tc>
        <w:tc>
          <w:tcPr>
            <w:tcW w:w="3402" w:type="dxa"/>
            <w:tcBorders>
              <w:bottom w:val="single" w:sz="4" w:space="0" w:color="auto"/>
            </w:tcBorders>
            <w:vAlign w:val="center"/>
          </w:tcPr>
          <w:p w14:paraId="06CA5998" w14:textId="77777777" w:rsidR="00BE18C5" w:rsidRPr="00A95754" w:rsidRDefault="00BE18C5" w:rsidP="00DF2C5C">
            <w:pPr>
              <w:pStyle w:val="TableText0"/>
              <w:keepNext w:val="0"/>
            </w:pPr>
            <w:r w:rsidRPr="00A95754">
              <w:t>AIHW 2022, Cancer data in Australia</w:t>
            </w:r>
          </w:p>
        </w:tc>
        <w:tc>
          <w:tcPr>
            <w:tcW w:w="2790" w:type="dxa"/>
            <w:vAlign w:val="center"/>
          </w:tcPr>
          <w:p w14:paraId="1BDBD46B" w14:textId="77883282" w:rsidR="00BE18C5" w:rsidRPr="00BF581C" w:rsidRDefault="00BE18C5" w:rsidP="00DF2C5C">
            <w:pPr>
              <w:pStyle w:val="TableText0"/>
              <w:keepNext w:val="0"/>
            </w:pPr>
          </w:p>
        </w:tc>
      </w:tr>
      <w:tr w:rsidR="00BE18C5" w:rsidRPr="00A95754" w14:paraId="21242AEE" w14:textId="77777777" w:rsidTr="00FF4B8C">
        <w:tc>
          <w:tcPr>
            <w:tcW w:w="1555" w:type="dxa"/>
            <w:vAlign w:val="center"/>
          </w:tcPr>
          <w:p w14:paraId="10E318BF" w14:textId="77777777" w:rsidR="00BE18C5" w:rsidRPr="00A95754" w:rsidRDefault="00BE18C5" w:rsidP="00DF2C5C">
            <w:pPr>
              <w:pStyle w:val="TableText0"/>
              <w:keepNext w:val="0"/>
              <w:ind w:left="-23"/>
            </w:pPr>
            <w:r w:rsidRPr="00A95754">
              <w:rPr>
                <w:lang w:eastAsia="en-US"/>
              </w:rPr>
              <w:t>EHCC: All age-specific incidence (crude) rate per 100,000</w:t>
            </w:r>
          </w:p>
        </w:tc>
        <w:tc>
          <w:tcPr>
            <w:tcW w:w="1275" w:type="dxa"/>
            <w:vAlign w:val="center"/>
          </w:tcPr>
          <w:p w14:paraId="733916D9" w14:textId="77777777" w:rsidR="00BE18C5" w:rsidRPr="00A95754" w:rsidRDefault="00BE18C5" w:rsidP="00DF2C5C">
            <w:pPr>
              <w:pStyle w:val="TableText0"/>
              <w:keepNext w:val="0"/>
            </w:pPr>
            <w:r w:rsidRPr="00A95754">
              <w:t>Year 1-2: 1.7</w:t>
            </w:r>
          </w:p>
          <w:p w14:paraId="702E7D43" w14:textId="77777777" w:rsidR="00BE18C5" w:rsidRPr="00A95754" w:rsidRDefault="00BE18C5" w:rsidP="00DF2C5C">
            <w:pPr>
              <w:pStyle w:val="TableText0"/>
              <w:keepNext w:val="0"/>
            </w:pPr>
            <w:r w:rsidRPr="00A95754">
              <w:t>Year 3-4: 1.8</w:t>
            </w:r>
          </w:p>
          <w:p w14:paraId="42886C0D" w14:textId="77777777" w:rsidR="00BE18C5" w:rsidRPr="00A95754" w:rsidRDefault="00BE18C5" w:rsidP="00DF2C5C">
            <w:pPr>
              <w:pStyle w:val="TableText0"/>
              <w:keepNext w:val="0"/>
            </w:pPr>
            <w:r w:rsidRPr="00A95754">
              <w:t>Year 5 6: 1.9</w:t>
            </w:r>
          </w:p>
        </w:tc>
        <w:tc>
          <w:tcPr>
            <w:tcW w:w="3402" w:type="dxa"/>
            <w:tcBorders>
              <w:top w:val="single" w:sz="4" w:space="0" w:color="auto"/>
              <w:bottom w:val="single" w:sz="4" w:space="0" w:color="auto"/>
            </w:tcBorders>
            <w:vAlign w:val="center"/>
          </w:tcPr>
          <w:p w14:paraId="06A5FA2E" w14:textId="77777777" w:rsidR="00BE18C5" w:rsidRPr="00A95754" w:rsidRDefault="00BE18C5" w:rsidP="00DF2C5C">
            <w:pPr>
              <w:pStyle w:val="TableText0"/>
              <w:keepNext w:val="0"/>
            </w:pPr>
            <w:r w:rsidRPr="00A95754">
              <w:t>AIHW 2022, Cancer data in Australia</w:t>
            </w:r>
          </w:p>
        </w:tc>
        <w:tc>
          <w:tcPr>
            <w:tcW w:w="2790" w:type="dxa"/>
            <w:vAlign w:val="center"/>
          </w:tcPr>
          <w:p w14:paraId="287B66D1" w14:textId="3F06ABA6" w:rsidR="00BE18C5" w:rsidRPr="00BF581C" w:rsidRDefault="00BE18C5" w:rsidP="00DF2C5C">
            <w:pPr>
              <w:pStyle w:val="TableText0"/>
              <w:keepNext w:val="0"/>
            </w:pPr>
          </w:p>
        </w:tc>
      </w:tr>
      <w:tr w:rsidR="00BE18C5" w:rsidRPr="00A95754" w14:paraId="6E0010E1" w14:textId="77777777" w:rsidTr="00FF4B8C">
        <w:tc>
          <w:tcPr>
            <w:tcW w:w="1555" w:type="dxa"/>
            <w:vAlign w:val="center"/>
          </w:tcPr>
          <w:p w14:paraId="038FBF7C" w14:textId="77777777" w:rsidR="00BE18C5" w:rsidRPr="00A95754" w:rsidRDefault="00BE18C5" w:rsidP="00DF2C5C">
            <w:pPr>
              <w:pStyle w:val="TableText0"/>
              <w:keepNext w:val="0"/>
              <w:ind w:left="-23"/>
              <w:rPr>
                <w:lang w:eastAsia="en-US"/>
              </w:rPr>
            </w:pPr>
            <w:r w:rsidRPr="00A95754">
              <w:rPr>
                <w:lang w:eastAsia="en-US"/>
              </w:rPr>
              <w:t xml:space="preserve">Liver cancer: All age-specific incidence (crude) rate per 100,000 </w:t>
            </w:r>
          </w:p>
        </w:tc>
        <w:tc>
          <w:tcPr>
            <w:tcW w:w="1275" w:type="dxa"/>
            <w:vAlign w:val="center"/>
          </w:tcPr>
          <w:p w14:paraId="3CB1B56A" w14:textId="77777777" w:rsidR="00BE18C5" w:rsidRPr="00A95754" w:rsidRDefault="00BE18C5" w:rsidP="00DF2C5C">
            <w:pPr>
              <w:pStyle w:val="TableText0"/>
              <w:keepNext w:val="0"/>
            </w:pPr>
            <w:r w:rsidRPr="00A95754">
              <w:t>Year 1: 11.5</w:t>
            </w:r>
          </w:p>
          <w:p w14:paraId="08897449" w14:textId="77777777" w:rsidR="00BE18C5" w:rsidRPr="00A95754" w:rsidRDefault="00BE18C5" w:rsidP="00DF2C5C">
            <w:pPr>
              <w:pStyle w:val="TableText0"/>
              <w:keepNext w:val="0"/>
            </w:pPr>
            <w:r w:rsidRPr="00A95754">
              <w:t>Year 2: 11.8</w:t>
            </w:r>
          </w:p>
          <w:p w14:paraId="1C3EC0A8" w14:textId="77777777" w:rsidR="00BE18C5" w:rsidRPr="00A95754" w:rsidRDefault="00BE18C5" w:rsidP="00DF2C5C">
            <w:pPr>
              <w:pStyle w:val="TableText0"/>
              <w:keepNext w:val="0"/>
            </w:pPr>
            <w:r w:rsidRPr="00A95754">
              <w:t>Year 3: 12.1</w:t>
            </w:r>
          </w:p>
          <w:p w14:paraId="2E719FFC" w14:textId="77777777" w:rsidR="00BE18C5" w:rsidRPr="00A95754" w:rsidRDefault="00BE18C5" w:rsidP="00DF2C5C">
            <w:pPr>
              <w:pStyle w:val="TableText0"/>
              <w:keepNext w:val="0"/>
            </w:pPr>
            <w:r w:rsidRPr="00A95754">
              <w:t>Year 4: 12.3</w:t>
            </w:r>
          </w:p>
          <w:p w14:paraId="58134DCD" w14:textId="77777777" w:rsidR="00BE18C5" w:rsidRPr="00A95754" w:rsidRDefault="00BE18C5" w:rsidP="00DF2C5C">
            <w:pPr>
              <w:pStyle w:val="TableText0"/>
              <w:keepNext w:val="0"/>
            </w:pPr>
            <w:r w:rsidRPr="00A95754">
              <w:t>Year 5: 12.6</w:t>
            </w:r>
          </w:p>
          <w:p w14:paraId="779CA7B5" w14:textId="77777777" w:rsidR="00BE18C5" w:rsidRPr="00A95754" w:rsidRDefault="00BE18C5" w:rsidP="00DF2C5C">
            <w:pPr>
              <w:pStyle w:val="TableText0"/>
              <w:keepNext w:val="0"/>
            </w:pPr>
            <w:r w:rsidRPr="00A95754">
              <w:t>Year 6: 12.9</w:t>
            </w:r>
          </w:p>
        </w:tc>
        <w:tc>
          <w:tcPr>
            <w:tcW w:w="3402" w:type="dxa"/>
            <w:tcBorders>
              <w:top w:val="single" w:sz="4" w:space="0" w:color="auto"/>
            </w:tcBorders>
            <w:vAlign w:val="center"/>
          </w:tcPr>
          <w:p w14:paraId="4FDABCB8" w14:textId="77777777" w:rsidR="00BE18C5" w:rsidRPr="00A95754" w:rsidRDefault="00BE18C5" w:rsidP="00DF2C5C">
            <w:pPr>
              <w:pStyle w:val="TableText0"/>
              <w:keepNext w:val="0"/>
            </w:pPr>
            <w:r w:rsidRPr="00A95754">
              <w:t>AIHW 2022, Cancer data in Australia</w:t>
            </w:r>
          </w:p>
        </w:tc>
        <w:tc>
          <w:tcPr>
            <w:tcW w:w="2790" w:type="dxa"/>
            <w:vAlign w:val="center"/>
          </w:tcPr>
          <w:p w14:paraId="1586C353" w14:textId="10390BD9" w:rsidR="00BE18C5" w:rsidRPr="00A95754" w:rsidRDefault="00BE18C5" w:rsidP="00DF2C5C">
            <w:pPr>
              <w:pStyle w:val="TableText0"/>
              <w:keepNext w:val="0"/>
              <w:rPr>
                <w:i/>
                <w:iCs/>
              </w:rPr>
            </w:pPr>
          </w:p>
        </w:tc>
      </w:tr>
      <w:tr w:rsidR="00BE18C5" w:rsidRPr="00A95754" w14:paraId="775675A8" w14:textId="77777777" w:rsidTr="00FF4B8C">
        <w:tc>
          <w:tcPr>
            <w:tcW w:w="1555" w:type="dxa"/>
            <w:vAlign w:val="center"/>
          </w:tcPr>
          <w:p w14:paraId="13947DC1" w14:textId="77777777" w:rsidR="00BE18C5" w:rsidRPr="00A95754" w:rsidRDefault="00BE18C5" w:rsidP="00DF2C5C">
            <w:pPr>
              <w:pStyle w:val="TableText0"/>
              <w:keepNext w:val="0"/>
              <w:ind w:left="-23"/>
            </w:pPr>
            <w:r w:rsidRPr="00A95754">
              <w:t>Patients (%) with IHCC</w:t>
            </w:r>
          </w:p>
        </w:tc>
        <w:tc>
          <w:tcPr>
            <w:tcW w:w="1275" w:type="dxa"/>
            <w:vAlign w:val="center"/>
          </w:tcPr>
          <w:p w14:paraId="42A90BE3" w14:textId="25D92968" w:rsidR="00BE18C5" w:rsidRPr="00BF581C" w:rsidRDefault="00BE18C5" w:rsidP="00DF2C5C">
            <w:pPr>
              <w:pStyle w:val="TableText0"/>
              <w:keepNext w:val="0"/>
            </w:pPr>
            <w:r w:rsidRPr="00A95754">
              <w:t>15%</w:t>
            </w:r>
            <w:r w:rsidR="008A5DEA">
              <w:t xml:space="preserve"> of liver cancer </w:t>
            </w:r>
          </w:p>
          <w:p w14:paraId="6A39D4D6" w14:textId="77777777" w:rsidR="00BE18C5" w:rsidRPr="00A95754" w:rsidRDefault="00BE18C5" w:rsidP="00DF2C5C">
            <w:pPr>
              <w:pStyle w:val="TableText0"/>
              <w:keepNext w:val="0"/>
              <w:rPr>
                <w:i/>
                <w:iCs/>
              </w:rPr>
            </w:pPr>
            <w:r w:rsidRPr="00BF581C">
              <w:t>Estimated Incidence rate of 1.3 per 100,000</w:t>
            </w:r>
            <w:r w:rsidRPr="00A95754">
              <w:rPr>
                <w:i/>
                <w:iCs/>
              </w:rPr>
              <w:t xml:space="preserve"> </w:t>
            </w:r>
          </w:p>
        </w:tc>
        <w:tc>
          <w:tcPr>
            <w:tcW w:w="3402" w:type="dxa"/>
            <w:vAlign w:val="center"/>
          </w:tcPr>
          <w:p w14:paraId="47A6F99F" w14:textId="4C101B27" w:rsidR="00BE18C5" w:rsidRDefault="00BE18C5" w:rsidP="000507D9">
            <w:pPr>
              <w:pStyle w:val="TableText0"/>
              <w:keepNext w:val="0"/>
            </w:pPr>
            <w:r w:rsidRPr="00A95754">
              <w:t xml:space="preserve">Literature review </w:t>
            </w:r>
          </w:p>
          <w:p w14:paraId="20EE735F" w14:textId="77777777" w:rsidR="000507D9" w:rsidRPr="00A95754" w:rsidRDefault="000507D9" w:rsidP="000507D9">
            <w:pPr>
              <w:pStyle w:val="TableText0"/>
              <w:keepNext w:val="0"/>
            </w:pPr>
          </w:p>
          <w:p w14:paraId="6BC32778" w14:textId="1A93E449" w:rsidR="00BE18C5" w:rsidRPr="00A95754" w:rsidRDefault="00BE18C5" w:rsidP="000507D9">
            <w:pPr>
              <w:pStyle w:val="TableText0"/>
              <w:keepNext w:val="0"/>
            </w:pPr>
            <w:r w:rsidRPr="00A95754">
              <w:t xml:space="preserve">Advisory board </w:t>
            </w:r>
          </w:p>
        </w:tc>
        <w:tc>
          <w:tcPr>
            <w:tcW w:w="2790" w:type="dxa"/>
            <w:vAlign w:val="center"/>
          </w:tcPr>
          <w:p w14:paraId="555D4CC1" w14:textId="5D87B29C" w:rsidR="00BE18C5" w:rsidRPr="00A43070" w:rsidRDefault="00A43070" w:rsidP="00DF2C5C">
            <w:pPr>
              <w:pStyle w:val="TableText0"/>
              <w:keepNext w:val="0"/>
              <w:rPr>
                <w:iCs/>
              </w:rPr>
            </w:pPr>
            <w:r w:rsidRPr="00A43070">
              <w:rPr>
                <w:iCs/>
              </w:rPr>
              <w:t>Increased to 22% in PSCR</w:t>
            </w:r>
            <w:r>
              <w:rPr>
                <w:iCs/>
              </w:rPr>
              <w:t xml:space="preserve"> (and maintained in pre-PBAC response)</w:t>
            </w:r>
          </w:p>
        </w:tc>
      </w:tr>
      <w:tr w:rsidR="00BE18C5" w:rsidRPr="00A95754" w14:paraId="4F8F1910" w14:textId="77777777" w:rsidTr="00FF4B8C">
        <w:tc>
          <w:tcPr>
            <w:tcW w:w="1555" w:type="dxa"/>
            <w:vAlign w:val="center"/>
          </w:tcPr>
          <w:p w14:paraId="4AEC9D4D" w14:textId="77777777" w:rsidR="00BE18C5" w:rsidRPr="00A95754" w:rsidRDefault="00BE18C5" w:rsidP="00DF2C5C">
            <w:pPr>
              <w:pStyle w:val="TableText0"/>
              <w:keepNext w:val="0"/>
              <w:ind w:left="-23"/>
            </w:pPr>
            <w:r w:rsidRPr="00A95754">
              <w:t>Patients (%) diagnosed with advanced BTC (locally advanced, metastatic, recurrent)</w:t>
            </w:r>
          </w:p>
        </w:tc>
        <w:tc>
          <w:tcPr>
            <w:tcW w:w="1275" w:type="dxa"/>
            <w:vAlign w:val="center"/>
          </w:tcPr>
          <w:p w14:paraId="725B62C5" w14:textId="139D357E" w:rsidR="00BE18C5" w:rsidRPr="00A95754" w:rsidRDefault="003C043D" w:rsidP="00DF2C5C">
            <w:pPr>
              <w:pStyle w:val="TableText0"/>
              <w:keepNext w:val="0"/>
            </w:pPr>
            <w:r w:rsidRPr="003C043D">
              <w:rPr>
                <w:color w:val="000000"/>
                <w:spacing w:val="37"/>
                <w:shd w:val="solid" w:color="000000" w:fill="000000"/>
                <w:fitText w:val="441" w:id="-1233371131"/>
                <w14:textFill>
                  <w14:solidFill>
                    <w14:srgbClr w14:val="000000">
                      <w14:alpha w14:val="100000"/>
                    </w14:srgbClr>
                  </w14:solidFill>
                </w14:textFill>
              </w:rPr>
              <w:t>|||||</w:t>
            </w:r>
            <w:r w:rsidRPr="003C043D">
              <w:rPr>
                <w:color w:val="000000"/>
                <w:spacing w:val="1"/>
                <w:shd w:val="solid" w:color="000000" w:fill="000000"/>
                <w:fitText w:val="441" w:id="-1233371131"/>
                <w14:textFill>
                  <w14:solidFill>
                    <w14:srgbClr w14:val="000000">
                      <w14:alpha w14:val="100000"/>
                    </w14:srgbClr>
                  </w14:solidFill>
                </w14:textFill>
              </w:rPr>
              <w:t>|</w:t>
            </w:r>
            <w:r w:rsidR="00BE18C5" w:rsidRPr="00CF0C4E">
              <w:t>%</w:t>
            </w:r>
          </w:p>
        </w:tc>
        <w:tc>
          <w:tcPr>
            <w:tcW w:w="3402" w:type="dxa"/>
            <w:vAlign w:val="center"/>
          </w:tcPr>
          <w:p w14:paraId="36E90A91" w14:textId="76CCD2EF" w:rsidR="00BE18C5" w:rsidRDefault="00BE18C5" w:rsidP="000507D9">
            <w:pPr>
              <w:pStyle w:val="TableText0"/>
              <w:keepNext w:val="0"/>
              <w:rPr>
                <w:lang w:val="es-CL"/>
              </w:rPr>
            </w:pPr>
            <w:r w:rsidRPr="00A95754">
              <w:rPr>
                <w:lang w:val="es-CL"/>
              </w:rPr>
              <w:t xml:space="preserve">Literature review </w:t>
            </w:r>
          </w:p>
          <w:p w14:paraId="2AC50958" w14:textId="77777777" w:rsidR="000507D9" w:rsidRPr="00A95754" w:rsidRDefault="000507D9" w:rsidP="000507D9">
            <w:pPr>
              <w:pStyle w:val="TableText0"/>
              <w:keepNext w:val="0"/>
              <w:rPr>
                <w:lang w:val="es-CL"/>
              </w:rPr>
            </w:pPr>
          </w:p>
          <w:p w14:paraId="25471ED7" w14:textId="36A9808A" w:rsidR="00BE18C5" w:rsidRPr="00A95754" w:rsidRDefault="00BE18C5" w:rsidP="000507D9">
            <w:pPr>
              <w:pStyle w:val="TableText0"/>
              <w:keepNext w:val="0"/>
            </w:pPr>
            <w:r w:rsidRPr="00A95754">
              <w:t xml:space="preserve">Advisory board </w:t>
            </w:r>
          </w:p>
        </w:tc>
        <w:tc>
          <w:tcPr>
            <w:tcW w:w="2790" w:type="dxa"/>
            <w:vAlign w:val="center"/>
          </w:tcPr>
          <w:p w14:paraId="3476E07E" w14:textId="6F7554CA" w:rsidR="00BE18C5" w:rsidRPr="00A95754" w:rsidRDefault="008A5DEA" w:rsidP="00DF2C5C">
            <w:pPr>
              <w:pStyle w:val="TableText0"/>
              <w:keepNext w:val="0"/>
              <w:rPr>
                <w:i/>
                <w:iCs/>
              </w:rPr>
            </w:pPr>
            <w:r w:rsidRPr="008A5DEA">
              <w:rPr>
                <w:rFonts w:cs="Times New Roman"/>
                <w:iCs/>
              </w:rPr>
              <w:t>DUSC considered this assumption to be overestimated. DUSC noted the figures in each source and commented that it is likely to be 80%, including patients with upfront unresec</w:t>
            </w:r>
            <w:r w:rsidRPr="00DF0F8B">
              <w:rPr>
                <w:rFonts w:cs="Times New Roman"/>
                <w:iCs/>
              </w:rPr>
              <w:t>table and relapse disease</w:t>
            </w:r>
          </w:p>
        </w:tc>
      </w:tr>
      <w:tr w:rsidR="00BE18C5" w:rsidRPr="00A95754" w14:paraId="2F98991C" w14:textId="77777777" w:rsidTr="00FF4B8C">
        <w:tc>
          <w:tcPr>
            <w:tcW w:w="1555" w:type="dxa"/>
            <w:vAlign w:val="center"/>
          </w:tcPr>
          <w:p w14:paraId="3FC16C1B" w14:textId="77777777" w:rsidR="00BE18C5" w:rsidRPr="00A95754" w:rsidRDefault="00BE18C5" w:rsidP="00DF2C5C">
            <w:pPr>
              <w:pStyle w:val="TableText0"/>
              <w:keepNext w:val="0"/>
              <w:ind w:left="-23"/>
            </w:pPr>
            <w:r w:rsidRPr="00A95754">
              <w:t>Patients (%) with WHO PS 0-1</w:t>
            </w:r>
          </w:p>
        </w:tc>
        <w:tc>
          <w:tcPr>
            <w:tcW w:w="1275" w:type="dxa"/>
            <w:vAlign w:val="center"/>
          </w:tcPr>
          <w:p w14:paraId="7A5D13DC" w14:textId="5D7E87F3" w:rsidR="00BE18C5" w:rsidRPr="00A95754" w:rsidRDefault="003C043D" w:rsidP="00DF2C5C">
            <w:pPr>
              <w:pStyle w:val="TableText0"/>
              <w:keepNext w:val="0"/>
            </w:pPr>
            <w:r w:rsidRPr="003C043D">
              <w:rPr>
                <w:color w:val="000000"/>
                <w:spacing w:val="37"/>
                <w:shd w:val="solid" w:color="000000" w:fill="000000"/>
                <w:fitText w:val="441" w:id="-1233371130"/>
                <w14:textFill>
                  <w14:solidFill>
                    <w14:srgbClr w14:val="000000">
                      <w14:alpha w14:val="100000"/>
                    </w14:srgbClr>
                  </w14:solidFill>
                </w14:textFill>
              </w:rPr>
              <w:t>|||||</w:t>
            </w:r>
            <w:r w:rsidRPr="003C043D">
              <w:rPr>
                <w:color w:val="000000"/>
                <w:spacing w:val="1"/>
                <w:shd w:val="solid" w:color="000000" w:fill="000000"/>
                <w:fitText w:val="441" w:id="-1233371130"/>
                <w14:textFill>
                  <w14:solidFill>
                    <w14:srgbClr w14:val="000000">
                      <w14:alpha w14:val="100000"/>
                    </w14:srgbClr>
                  </w14:solidFill>
                </w14:textFill>
              </w:rPr>
              <w:t>|</w:t>
            </w:r>
            <w:r w:rsidR="00BE18C5" w:rsidRPr="00CF0C4E">
              <w:t>%</w:t>
            </w:r>
          </w:p>
        </w:tc>
        <w:tc>
          <w:tcPr>
            <w:tcW w:w="3402" w:type="dxa"/>
            <w:vAlign w:val="center"/>
          </w:tcPr>
          <w:p w14:paraId="5FCFC6C5" w14:textId="27D5B4C7" w:rsidR="00BE18C5" w:rsidRDefault="00BE18C5" w:rsidP="000507D9">
            <w:pPr>
              <w:pStyle w:val="TableText0"/>
              <w:keepNext w:val="0"/>
            </w:pPr>
            <w:r w:rsidRPr="00A95754">
              <w:t xml:space="preserve">Treatment guidelines (Brungs et al., 2017, Cancer Treatments Online eviQ, 2022, NCCN, 2022, Valle et al., 2010). </w:t>
            </w:r>
          </w:p>
          <w:p w14:paraId="4C84F588" w14:textId="77777777" w:rsidR="000507D9" w:rsidRPr="00A95754" w:rsidRDefault="000507D9" w:rsidP="000507D9">
            <w:pPr>
              <w:pStyle w:val="TableText0"/>
              <w:keepNext w:val="0"/>
            </w:pPr>
          </w:p>
          <w:p w14:paraId="13DD320C" w14:textId="6EF07A62" w:rsidR="00BE18C5" w:rsidRDefault="00BE18C5" w:rsidP="000507D9">
            <w:pPr>
              <w:pStyle w:val="TableText0"/>
              <w:keepNext w:val="0"/>
            </w:pPr>
            <w:r w:rsidRPr="00A95754">
              <w:t xml:space="preserve">Advisory board </w:t>
            </w:r>
          </w:p>
          <w:p w14:paraId="41096A7A" w14:textId="64044BCF" w:rsidR="000507D9" w:rsidRPr="00A95754" w:rsidRDefault="000507D9" w:rsidP="000507D9">
            <w:pPr>
              <w:pStyle w:val="TableText0"/>
              <w:keepNext w:val="0"/>
            </w:pPr>
          </w:p>
        </w:tc>
        <w:tc>
          <w:tcPr>
            <w:tcW w:w="2790" w:type="dxa"/>
            <w:vAlign w:val="center"/>
          </w:tcPr>
          <w:p w14:paraId="2146AE47" w14:textId="50A20F5C" w:rsidR="00BE18C5" w:rsidRPr="008A5DEA" w:rsidRDefault="008A5DEA" w:rsidP="00DF2C5C">
            <w:pPr>
              <w:pStyle w:val="TableText0"/>
              <w:keepNext w:val="0"/>
              <w:rPr>
                <w:iCs/>
              </w:rPr>
            </w:pPr>
            <w:r w:rsidRPr="008A5DEA">
              <w:rPr>
                <w:rFonts w:cs="Times New Roman"/>
                <w:iCs/>
              </w:rPr>
              <w:t>DUSC considered this assumption to be overestimated. DUSC commented that these patients are often older and frailer and noted Brungs et al. 2017 only included patients who received chemotherapy and did not include patients receiving best supportive care.</w:t>
            </w:r>
          </w:p>
        </w:tc>
      </w:tr>
      <w:tr w:rsidR="00BE18C5" w:rsidRPr="00A95754" w14:paraId="5838C8EA" w14:textId="77777777" w:rsidTr="00DF2C5C">
        <w:tc>
          <w:tcPr>
            <w:tcW w:w="9022" w:type="dxa"/>
            <w:gridSpan w:val="4"/>
            <w:vAlign w:val="center"/>
          </w:tcPr>
          <w:p w14:paraId="1C287C64" w14:textId="77777777" w:rsidR="00BE18C5" w:rsidRPr="00A95754" w:rsidRDefault="00BE18C5" w:rsidP="00DF2C5C">
            <w:pPr>
              <w:pStyle w:val="TableText0"/>
              <w:keepNext w:val="0"/>
              <w:ind w:left="-23"/>
              <w:rPr>
                <w:b/>
              </w:rPr>
            </w:pPr>
            <w:r w:rsidRPr="00A95754">
              <w:rPr>
                <w:b/>
              </w:rPr>
              <w:t>Treatment utilisation</w:t>
            </w:r>
          </w:p>
        </w:tc>
      </w:tr>
      <w:tr w:rsidR="00BE18C5" w:rsidRPr="00A95754" w14:paraId="3F2A1A65" w14:textId="77777777" w:rsidTr="00FF4B8C">
        <w:tc>
          <w:tcPr>
            <w:tcW w:w="1555" w:type="dxa"/>
            <w:vAlign w:val="center"/>
          </w:tcPr>
          <w:p w14:paraId="1580A8E1" w14:textId="77777777" w:rsidR="00BE18C5" w:rsidRPr="00A95754" w:rsidRDefault="00BE18C5" w:rsidP="00DF2C5C">
            <w:pPr>
              <w:pStyle w:val="TableText0"/>
              <w:keepNext w:val="0"/>
              <w:ind w:left="-23"/>
            </w:pPr>
            <w:r w:rsidRPr="00A95754">
              <w:t>Uptake rate</w:t>
            </w:r>
          </w:p>
        </w:tc>
        <w:tc>
          <w:tcPr>
            <w:tcW w:w="1275" w:type="dxa"/>
            <w:vAlign w:val="center"/>
          </w:tcPr>
          <w:p w14:paraId="03DB7A7C" w14:textId="06CD757A" w:rsidR="00BE18C5" w:rsidRPr="00A95754" w:rsidRDefault="003C043D" w:rsidP="00DF2C5C">
            <w:pPr>
              <w:pStyle w:val="TableText0"/>
              <w:keepNext w:val="0"/>
            </w:pPr>
            <w:r w:rsidRPr="003C043D">
              <w:rPr>
                <w:color w:val="000000"/>
                <w:spacing w:val="37"/>
                <w:shd w:val="solid" w:color="000000" w:fill="000000"/>
                <w:fitText w:val="441" w:id="-1233371129"/>
                <w14:textFill>
                  <w14:solidFill>
                    <w14:srgbClr w14:val="000000">
                      <w14:alpha w14:val="100000"/>
                    </w14:srgbClr>
                  </w14:solidFill>
                </w14:textFill>
              </w:rPr>
              <w:t>|||||</w:t>
            </w:r>
            <w:r w:rsidRPr="003C043D">
              <w:rPr>
                <w:color w:val="000000"/>
                <w:spacing w:val="1"/>
                <w:shd w:val="solid" w:color="000000" w:fill="000000"/>
                <w:fitText w:val="441" w:id="-1233371129"/>
                <w14:textFill>
                  <w14:solidFill>
                    <w14:srgbClr w14:val="000000">
                      <w14:alpha w14:val="100000"/>
                    </w14:srgbClr>
                  </w14:solidFill>
                </w14:textFill>
              </w:rPr>
              <w:t>|</w:t>
            </w:r>
            <w:r w:rsidR="00BE18C5" w:rsidRPr="00FF7EEA">
              <w:t>%</w:t>
            </w:r>
          </w:p>
        </w:tc>
        <w:tc>
          <w:tcPr>
            <w:tcW w:w="3402" w:type="dxa"/>
            <w:vAlign w:val="center"/>
          </w:tcPr>
          <w:p w14:paraId="15F6AA1C" w14:textId="7840DB27" w:rsidR="00BE18C5" w:rsidRDefault="00BE18C5" w:rsidP="000507D9">
            <w:pPr>
              <w:pStyle w:val="TableText0"/>
              <w:keepNext w:val="0"/>
            </w:pPr>
            <w:r w:rsidRPr="00A95754">
              <w:t>Submission assumption</w:t>
            </w:r>
          </w:p>
          <w:p w14:paraId="206482B3" w14:textId="77777777" w:rsidR="000507D9" w:rsidRPr="00A95754" w:rsidRDefault="000507D9" w:rsidP="000507D9">
            <w:pPr>
              <w:pStyle w:val="TableText0"/>
              <w:keepNext w:val="0"/>
            </w:pPr>
          </w:p>
          <w:p w14:paraId="32E8BD74" w14:textId="1FB4F491" w:rsidR="00BE18C5" w:rsidRPr="00A95754" w:rsidRDefault="00BE18C5" w:rsidP="000507D9">
            <w:pPr>
              <w:pStyle w:val="TableText0"/>
              <w:keepNext w:val="0"/>
            </w:pPr>
            <w:r w:rsidRPr="00A95754">
              <w:t xml:space="preserve">Advisory board </w:t>
            </w:r>
          </w:p>
        </w:tc>
        <w:tc>
          <w:tcPr>
            <w:tcW w:w="2790" w:type="dxa"/>
            <w:vAlign w:val="center"/>
          </w:tcPr>
          <w:p w14:paraId="25B8D758" w14:textId="0F003E91" w:rsidR="00BE18C5" w:rsidRPr="008A5DEA" w:rsidRDefault="008A5DEA" w:rsidP="00DF2C5C">
            <w:pPr>
              <w:pStyle w:val="TableText0"/>
              <w:keepNext w:val="0"/>
            </w:pPr>
            <w:r w:rsidRPr="008A5DEA">
              <w:rPr>
                <w:rFonts w:cs="Times New Roman"/>
              </w:rPr>
              <w:t>DUSC considered this assumption to be overestimated. DUSC commented that the high uptake rate assumes the majority of patients are eligible for cisplatin. However, DUSC noted the potential for patients to use cisplatin for a short period in order to initiate durvalumab treatment.</w:t>
            </w:r>
          </w:p>
        </w:tc>
      </w:tr>
      <w:tr w:rsidR="00BE18C5" w:rsidRPr="00A95754" w14:paraId="734D6BF6" w14:textId="77777777" w:rsidTr="00FF4B8C">
        <w:trPr>
          <w:cantSplit/>
        </w:trPr>
        <w:tc>
          <w:tcPr>
            <w:tcW w:w="1555" w:type="dxa"/>
            <w:vAlign w:val="center"/>
          </w:tcPr>
          <w:p w14:paraId="4767369A" w14:textId="5227F6EA" w:rsidR="00BE18C5" w:rsidRPr="004127E3" w:rsidRDefault="004127E3" w:rsidP="00DF2C5C">
            <w:pPr>
              <w:pStyle w:val="TableText0"/>
              <w:keepNext w:val="0"/>
              <w:ind w:left="-23"/>
            </w:pPr>
            <w:r w:rsidRPr="004127E3">
              <w:lastRenderedPageBreak/>
              <w:t>Average duration of treatment and s</w:t>
            </w:r>
            <w:r w:rsidR="00BE18C5" w:rsidRPr="004127E3">
              <w:t>cripts dispensed</w:t>
            </w:r>
          </w:p>
        </w:tc>
        <w:tc>
          <w:tcPr>
            <w:tcW w:w="1275" w:type="dxa"/>
            <w:vAlign w:val="center"/>
          </w:tcPr>
          <w:p w14:paraId="1F4C8ADC" w14:textId="77777777" w:rsidR="004127E3" w:rsidRPr="004127E3" w:rsidRDefault="004127E3" w:rsidP="00DF2C5C">
            <w:pPr>
              <w:pStyle w:val="TableText0"/>
              <w:keepNext w:val="0"/>
            </w:pPr>
            <w:r w:rsidRPr="004127E3">
              <w:t>39.23 weeks</w:t>
            </w:r>
          </w:p>
          <w:p w14:paraId="5DA67FDF" w14:textId="2188FC87" w:rsidR="00BE18C5" w:rsidRPr="004127E3" w:rsidRDefault="00BE18C5" w:rsidP="00DF2C5C">
            <w:pPr>
              <w:pStyle w:val="TableText0"/>
              <w:keepNext w:val="0"/>
            </w:pPr>
            <w:r w:rsidRPr="004127E3">
              <w:t>11.71 scripts per person</w:t>
            </w:r>
          </w:p>
        </w:tc>
        <w:tc>
          <w:tcPr>
            <w:tcW w:w="3402" w:type="dxa"/>
            <w:vAlign w:val="center"/>
          </w:tcPr>
          <w:p w14:paraId="57846441" w14:textId="140B5F70" w:rsidR="00BE18C5" w:rsidRPr="004127E3" w:rsidRDefault="00BE18C5" w:rsidP="00DF2C5C">
            <w:pPr>
              <w:pStyle w:val="TableText0"/>
              <w:keepNext w:val="0"/>
            </w:pPr>
            <w:r w:rsidRPr="004127E3">
              <w:t>Based on the extrapolated TTD</w:t>
            </w:r>
            <w:r w:rsidR="004127E3" w:rsidRPr="004127E3">
              <w:t xml:space="preserve"> from TOPAZ-1</w:t>
            </w:r>
            <w:r w:rsidRPr="004127E3">
              <w:t xml:space="preserve"> </w:t>
            </w:r>
          </w:p>
          <w:p w14:paraId="0D06EE14" w14:textId="1FC19CEB" w:rsidR="00BE18C5" w:rsidRPr="004127E3" w:rsidRDefault="00BE18C5" w:rsidP="007C019C">
            <w:pPr>
              <w:pStyle w:val="TableText0"/>
              <w:keepNext w:val="0"/>
              <w:numPr>
                <w:ilvl w:val="0"/>
                <w:numId w:val="7"/>
              </w:numPr>
              <w:ind w:left="170" w:hanging="266"/>
            </w:pPr>
            <w:r w:rsidRPr="004127E3">
              <w:t xml:space="preserve">Initiating treatment: </w:t>
            </w:r>
            <w:r w:rsidR="004127E3" w:rsidRPr="004127E3">
              <w:t xml:space="preserve">22.82 weeks, </w:t>
            </w:r>
            <w:r w:rsidRPr="004127E3">
              <w:t>7.61 scripts</w:t>
            </w:r>
          </w:p>
          <w:p w14:paraId="5DE82E49" w14:textId="1B90B79C" w:rsidR="00BE18C5" w:rsidRPr="004127E3" w:rsidRDefault="00BE18C5" w:rsidP="007C019C">
            <w:pPr>
              <w:pStyle w:val="TableText0"/>
              <w:keepNext w:val="0"/>
              <w:numPr>
                <w:ilvl w:val="0"/>
                <w:numId w:val="7"/>
              </w:numPr>
              <w:ind w:left="170" w:hanging="266"/>
            </w:pPr>
            <w:r w:rsidRPr="004127E3">
              <w:t xml:space="preserve">Continuing treatment: </w:t>
            </w:r>
            <w:r w:rsidR="004127E3" w:rsidRPr="004127E3">
              <w:t xml:space="preserve">16.41 weeks, </w:t>
            </w:r>
            <w:r w:rsidRPr="004127E3">
              <w:t>4.10 scripts</w:t>
            </w:r>
          </w:p>
        </w:tc>
        <w:tc>
          <w:tcPr>
            <w:tcW w:w="2790" w:type="dxa"/>
            <w:vAlign w:val="center"/>
          </w:tcPr>
          <w:p w14:paraId="4EE36C73" w14:textId="77777777" w:rsidR="004127E3" w:rsidRDefault="001A653C" w:rsidP="00DF2C5C">
            <w:pPr>
              <w:pStyle w:val="TableText0"/>
              <w:keepNext w:val="0"/>
            </w:pPr>
            <w:r w:rsidRPr="004127E3">
              <w:t>The PSCR updated</w:t>
            </w:r>
            <w:r>
              <w:t xml:space="preserve"> script numbers: </w:t>
            </w:r>
          </w:p>
          <w:p w14:paraId="6678B71C" w14:textId="77777777" w:rsidR="004127E3" w:rsidRDefault="004127E3" w:rsidP="00DF2C5C">
            <w:pPr>
              <w:pStyle w:val="TableText0"/>
              <w:keepNext w:val="0"/>
            </w:pPr>
            <w:r>
              <w:t xml:space="preserve">Initiating treatment: 20.74 weeks, </w:t>
            </w:r>
            <w:r w:rsidR="001A653C">
              <w:t xml:space="preserve">6.91 scripts </w:t>
            </w:r>
          </w:p>
          <w:p w14:paraId="7AF72447" w14:textId="19F90EAB" w:rsidR="00BE18C5" w:rsidRPr="008A5DEA" w:rsidRDefault="004127E3" w:rsidP="00DF2C5C">
            <w:pPr>
              <w:pStyle w:val="TableText0"/>
              <w:keepNext w:val="0"/>
            </w:pPr>
            <w:r w:rsidRPr="008A5DEA">
              <w:t xml:space="preserve">Continuing treatment; 18.49 weeks, </w:t>
            </w:r>
            <w:r w:rsidR="001A653C" w:rsidRPr="008A5DEA">
              <w:t xml:space="preserve">4.62 scripts </w:t>
            </w:r>
          </w:p>
          <w:p w14:paraId="2F448920" w14:textId="7657FE92" w:rsidR="004127E3" w:rsidRPr="004127E3" w:rsidRDefault="001A653C" w:rsidP="004127E3">
            <w:pPr>
              <w:pStyle w:val="TableText0"/>
              <w:keepNext w:val="0"/>
            </w:pPr>
            <w:r w:rsidRPr="008A5DEA">
              <w:t xml:space="preserve">The pre-PBAC response </w:t>
            </w:r>
            <w:r w:rsidR="004127E3" w:rsidRPr="008A5DEA">
              <w:t>revised to</w:t>
            </w:r>
            <w:r w:rsidR="008A5DEA" w:rsidRPr="008A5DEA">
              <w:t xml:space="preserve"> 35.7 weeks (6.7 initial scripts, 3.9 continuing scripts)</w:t>
            </w:r>
          </w:p>
        </w:tc>
      </w:tr>
      <w:tr w:rsidR="00BE18C5" w:rsidRPr="00A95754" w14:paraId="64804545" w14:textId="77777777" w:rsidTr="00DF2C5C">
        <w:tc>
          <w:tcPr>
            <w:tcW w:w="9022" w:type="dxa"/>
            <w:gridSpan w:val="4"/>
            <w:vAlign w:val="center"/>
          </w:tcPr>
          <w:p w14:paraId="7C33A650" w14:textId="77777777" w:rsidR="00BE18C5" w:rsidRPr="00A95754" w:rsidRDefault="00BE18C5" w:rsidP="00DF2C5C">
            <w:pPr>
              <w:pStyle w:val="TableText0"/>
              <w:keepNext w:val="0"/>
              <w:ind w:left="-23"/>
              <w:rPr>
                <w:b/>
              </w:rPr>
            </w:pPr>
            <w:r w:rsidRPr="00A95754">
              <w:rPr>
                <w:b/>
              </w:rPr>
              <w:t>Costs</w:t>
            </w:r>
          </w:p>
        </w:tc>
      </w:tr>
      <w:tr w:rsidR="00BE18C5" w:rsidRPr="00A95754" w14:paraId="7D8B0E86" w14:textId="77777777" w:rsidTr="00FF4B8C">
        <w:tc>
          <w:tcPr>
            <w:tcW w:w="1555" w:type="dxa"/>
            <w:vAlign w:val="center"/>
          </w:tcPr>
          <w:p w14:paraId="27EE4BCC" w14:textId="77777777" w:rsidR="00BE18C5" w:rsidRPr="00A95754" w:rsidRDefault="00BE18C5" w:rsidP="00DF2C5C">
            <w:pPr>
              <w:pStyle w:val="TableText0"/>
              <w:keepNext w:val="0"/>
              <w:ind w:left="-23"/>
            </w:pPr>
            <w:r w:rsidRPr="00A95754">
              <w:t>Durvalumab</w:t>
            </w:r>
          </w:p>
        </w:tc>
        <w:tc>
          <w:tcPr>
            <w:tcW w:w="1275" w:type="dxa"/>
            <w:vAlign w:val="center"/>
          </w:tcPr>
          <w:p w14:paraId="473AAE60" w14:textId="6FE44DA1" w:rsidR="00BE18C5" w:rsidRDefault="00BE18C5" w:rsidP="00DF2C5C">
            <w:pPr>
              <w:pStyle w:val="TableText0"/>
              <w:keepNext w:val="0"/>
            </w:pPr>
            <w:r w:rsidRPr="00A95754">
              <w:t>EMP: $</w:t>
            </w:r>
            <w:r w:rsidR="003C043D" w:rsidRPr="003C043D">
              <w:rPr>
                <w:color w:val="000000"/>
                <w:spacing w:val="37"/>
                <w:shd w:val="solid" w:color="000000" w:fill="000000"/>
                <w:fitText w:val="441" w:id="-1233371128"/>
                <w14:textFill>
                  <w14:solidFill>
                    <w14:srgbClr w14:val="000000">
                      <w14:alpha w14:val="100000"/>
                    </w14:srgbClr>
                  </w14:solidFill>
                </w14:textFill>
              </w:rPr>
              <w:t>|||||</w:t>
            </w:r>
            <w:r w:rsidR="003C043D" w:rsidRPr="003C043D">
              <w:rPr>
                <w:color w:val="000000"/>
                <w:spacing w:val="1"/>
                <w:shd w:val="solid" w:color="000000" w:fill="000000"/>
                <w:fitText w:val="441" w:id="-1233371128"/>
                <w14:textFill>
                  <w14:solidFill>
                    <w14:srgbClr w14:val="000000">
                      <w14:alpha w14:val="100000"/>
                    </w14:srgbClr>
                  </w14:solidFill>
                </w14:textFill>
              </w:rPr>
              <w:t>|</w:t>
            </w:r>
          </w:p>
          <w:p w14:paraId="62C21AC7" w14:textId="77777777" w:rsidR="004127E3" w:rsidRDefault="004127E3" w:rsidP="00DF2C5C">
            <w:pPr>
              <w:pStyle w:val="TableText0"/>
              <w:keepNext w:val="0"/>
            </w:pPr>
            <w:r>
              <w:t xml:space="preserve"> </w:t>
            </w:r>
          </w:p>
          <w:p w14:paraId="7BDEA1E1" w14:textId="25460C47" w:rsidR="004127E3" w:rsidRPr="00A95754" w:rsidRDefault="004127E3" w:rsidP="00DF2C5C">
            <w:pPr>
              <w:pStyle w:val="TableText0"/>
              <w:keepNext w:val="0"/>
            </w:pPr>
            <w:r>
              <w:t>Revised to $</w:t>
            </w:r>
            <w:r w:rsidR="003C043D" w:rsidRPr="003C043D">
              <w:rPr>
                <w:color w:val="000000"/>
                <w:spacing w:val="37"/>
                <w:shd w:val="solid" w:color="000000" w:fill="000000"/>
                <w:fitText w:val="441" w:id="-1233371127"/>
                <w14:textFill>
                  <w14:solidFill>
                    <w14:srgbClr w14:val="000000">
                      <w14:alpha w14:val="100000"/>
                    </w14:srgbClr>
                  </w14:solidFill>
                </w14:textFill>
              </w:rPr>
              <w:t>|||||</w:t>
            </w:r>
            <w:r w:rsidR="003C043D" w:rsidRPr="003C043D">
              <w:rPr>
                <w:color w:val="000000"/>
                <w:spacing w:val="1"/>
                <w:shd w:val="solid" w:color="000000" w:fill="000000"/>
                <w:fitText w:val="441" w:id="-1233371127"/>
                <w14:textFill>
                  <w14:solidFill>
                    <w14:srgbClr w14:val="000000">
                      <w14:alpha w14:val="100000"/>
                    </w14:srgbClr>
                  </w14:solidFill>
                </w14:textFill>
              </w:rPr>
              <w:t>|</w:t>
            </w:r>
            <w:r>
              <w:t xml:space="preserve"> in pre-PBAC response</w:t>
            </w:r>
          </w:p>
        </w:tc>
        <w:tc>
          <w:tcPr>
            <w:tcW w:w="3402" w:type="dxa"/>
            <w:vAlign w:val="center"/>
          </w:tcPr>
          <w:p w14:paraId="26E31FF9" w14:textId="77777777" w:rsidR="00BE18C5" w:rsidRPr="004127E3" w:rsidRDefault="00BE18C5" w:rsidP="00DF2C5C">
            <w:pPr>
              <w:pStyle w:val="TableText0"/>
              <w:keepNext w:val="0"/>
            </w:pPr>
            <w:r w:rsidRPr="004127E3">
              <w:t xml:space="preserve">The submission is requesting two vials sizes of durvalumab to be listed: </w:t>
            </w:r>
          </w:p>
          <w:p w14:paraId="724E61AE" w14:textId="77777777" w:rsidR="00BE18C5" w:rsidRPr="004127E3" w:rsidRDefault="00BE18C5" w:rsidP="007C019C">
            <w:pPr>
              <w:pStyle w:val="TableText0"/>
              <w:keepNext w:val="0"/>
              <w:numPr>
                <w:ilvl w:val="0"/>
                <w:numId w:val="7"/>
              </w:numPr>
              <w:ind w:left="170" w:hanging="266"/>
            </w:pPr>
            <w:r w:rsidRPr="004127E3">
              <w:t>500 mg/10 mL; 10 mL</w:t>
            </w:r>
          </w:p>
          <w:p w14:paraId="44064254" w14:textId="77777777" w:rsidR="00BE18C5" w:rsidRPr="00A95754" w:rsidRDefault="00BE18C5" w:rsidP="007C019C">
            <w:pPr>
              <w:pStyle w:val="TableText0"/>
              <w:keepNext w:val="0"/>
              <w:numPr>
                <w:ilvl w:val="0"/>
                <w:numId w:val="7"/>
              </w:numPr>
              <w:ind w:left="170" w:hanging="266"/>
              <w:rPr>
                <w:i/>
                <w:iCs/>
              </w:rPr>
            </w:pPr>
            <w:r w:rsidRPr="004127E3">
              <w:t>120 mg/2.4 mL; 2.4 mL</w:t>
            </w:r>
          </w:p>
        </w:tc>
        <w:tc>
          <w:tcPr>
            <w:tcW w:w="2790" w:type="dxa"/>
            <w:vAlign w:val="center"/>
          </w:tcPr>
          <w:p w14:paraId="3F2B5C91" w14:textId="02B473B7" w:rsidR="00BE18C5" w:rsidRPr="00A95754" w:rsidRDefault="00BE18C5" w:rsidP="00DF2C5C">
            <w:pPr>
              <w:pStyle w:val="TableText0"/>
              <w:keepNext w:val="0"/>
              <w:ind w:right="-198"/>
              <w:rPr>
                <w:i/>
                <w:iCs/>
              </w:rPr>
            </w:pPr>
            <w:r w:rsidRPr="004127E3">
              <w:t>Submission assumed patients would only receive the 500 mg/mL and patients’ weight was &gt;30 kg</w:t>
            </w:r>
            <w:r w:rsidRPr="00A95754">
              <w:rPr>
                <w:i/>
                <w:iCs/>
              </w:rPr>
              <w:t xml:space="preserve">. </w:t>
            </w:r>
          </w:p>
        </w:tc>
      </w:tr>
    </w:tbl>
    <w:p w14:paraId="5AB92171" w14:textId="77777777" w:rsidR="00BE18C5" w:rsidRPr="00A95754" w:rsidRDefault="00BE18C5" w:rsidP="00BE18C5">
      <w:pPr>
        <w:pStyle w:val="TableFigureFooter"/>
      </w:pPr>
      <w:r w:rsidRPr="00A95754">
        <w:t>Source: Table 4.1 pp191-192, pp196-197 of the submission.</w:t>
      </w:r>
    </w:p>
    <w:p w14:paraId="0B44C226" w14:textId="418AA35A" w:rsidR="00BE18C5" w:rsidRPr="00A95754" w:rsidRDefault="00BE18C5" w:rsidP="00BE18C5">
      <w:pPr>
        <w:pStyle w:val="TableFigureFooter"/>
      </w:pPr>
      <w:r w:rsidRPr="00A95754">
        <w:t xml:space="preserve">AIHW = Australian Institute of Health and Welfare; BTC = biliary tract cancer; </w:t>
      </w:r>
      <w:r w:rsidR="004127E3" w:rsidRPr="00A95754">
        <w:t xml:space="preserve">EMP = ex-manufacturer price; </w:t>
      </w:r>
      <w:r w:rsidRPr="00A95754">
        <w:t>GemCis = gemcitabine plus cisplatin; IHCC = intrahepatic cholangiocarcinoma; NCCN = National Comprehensive Cancer Network; PBS = Pharmaceutical Benefit Scheme; PI = product information; PS = performance status; TGA = Therapeutic Goods Administration; TTD = Time to treatment discontinuation; WHO = World Health Organisation.</w:t>
      </w:r>
    </w:p>
    <w:p w14:paraId="67D8D3F7" w14:textId="4C04A351" w:rsidR="00BE18C5" w:rsidRPr="00BF581C" w:rsidRDefault="00BE18C5" w:rsidP="00BE18C5">
      <w:pPr>
        <w:pStyle w:val="3-BodyText"/>
        <w:rPr>
          <w:iCs/>
        </w:rPr>
      </w:pPr>
      <w:bookmarkStart w:id="60" w:name="_Ref132284789"/>
      <w:r w:rsidRPr="00BF581C">
        <w:rPr>
          <w:iCs/>
        </w:rPr>
        <w:t xml:space="preserve">The </w:t>
      </w:r>
      <w:r w:rsidR="001A653C">
        <w:rPr>
          <w:iCs/>
        </w:rPr>
        <w:t xml:space="preserve">evaluation considered the </w:t>
      </w:r>
      <w:r w:rsidRPr="00BF581C">
        <w:rPr>
          <w:iCs/>
        </w:rPr>
        <w:t>number of patients with intrahepatic cholangiocarcinoma may be underestimated, as it relied on the assumption that they comprise 15% of hepatocellular carcinomas. A study (Rutherford 2021) was identified during the evaluation that provided a comparison of liver cancer by histological subgroup for seven countries (including Australia). Of liver cancer cases diagnosed in Australia between 1995 to 2014, 22% were IHCC (Rutherford et al 2021, Table 3 p2026). Increasing the proportion of liver cancer cases corresponding to IHCC to 22%, the eligible patient population in Year 1 from 977 to 1,134 patients.</w:t>
      </w:r>
      <w:bookmarkEnd w:id="60"/>
      <w:r w:rsidRPr="00BF581C">
        <w:rPr>
          <w:iCs/>
        </w:rPr>
        <w:t xml:space="preserve"> </w:t>
      </w:r>
    </w:p>
    <w:p w14:paraId="0448925C" w14:textId="5834F784" w:rsidR="00BE18C5" w:rsidRPr="00BF581C" w:rsidRDefault="00BE18C5" w:rsidP="00BE18C5">
      <w:pPr>
        <w:pStyle w:val="3-BodyText"/>
        <w:rPr>
          <w:iCs/>
        </w:rPr>
      </w:pPr>
      <w:r w:rsidRPr="00BF581C">
        <w:rPr>
          <w:iCs/>
        </w:rPr>
        <w:t>The number of scripts per patient (11.7) may be overestimated, as they assumed treatment beyond progression, which is not reflective of the proposed PBS listing.</w:t>
      </w:r>
      <w:r w:rsidR="008A5DEA">
        <w:rPr>
          <w:iCs/>
        </w:rPr>
        <w:t xml:space="preserve"> </w:t>
      </w:r>
      <w:r w:rsidR="008A5DEA" w:rsidRPr="008A5DEA">
        <w:rPr>
          <w:iCs/>
        </w:rPr>
        <w:t xml:space="preserve">The pre-PBAC response revised to </w:t>
      </w:r>
      <w:r w:rsidR="008A5DEA">
        <w:rPr>
          <w:iCs/>
        </w:rPr>
        <w:t>10.6</w:t>
      </w:r>
      <w:r w:rsidR="008A5DEA" w:rsidRPr="008A5DEA">
        <w:rPr>
          <w:iCs/>
        </w:rPr>
        <w:t xml:space="preserve"> scripts</w:t>
      </w:r>
      <w:r w:rsidR="008A5DEA">
        <w:rPr>
          <w:iCs/>
        </w:rPr>
        <w:t xml:space="preserve"> assuming treatment to progression. </w:t>
      </w:r>
    </w:p>
    <w:p w14:paraId="6F238EEA" w14:textId="4FB833D9" w:rsidR="00BE18C5" w:rsidRPr="00BF581C" w:rsidRDefault="00BE18C5" w:rsidP="00BE18C5">
      <w:pPr>
        <w:pStyle w:val="3-BodyText"/>
        <w:rPr>
          <w:iCs/>
        </w:rPr>
      </w:pPr>
      <w:r w:rsidRPr="00BF581C">
        <w:rPr>
          <w:iCs/>
        </w:rPr>
        <w:t xml:space="preserve">The financial estimates excluded the use of GemCis, which implies that the utilisation of GemCis (current practice) or in combination with durvalumab (proposed listing) is the same. This will have marginal impact in the incremental cost to the government. </w:t>
      </w:r>
    </w:p>
    <w:p w14:paraId="422E8964" w14:textId="1B227518" w:rsidR="00BE18C5" w:rsidRPr="00A95754" w:rsidRDefault="00BE18C5" w:rsidP="00BE18C5">
      <w:pPr>
        <w:pStyle w:val="3-BodyText"/>
      </w:pPr>
      <w:r w:rsidRPr="00A95754">
        <w:t xml:space="preserve">The submission’s estimated number of scripts and estimated net cost to the PBS/RPBS are provided in </w:t>
      </w:r>
      <w:r w:rsidRPr="00A95754">
        <w:fldChar w:fldCharType="begin"/>
      </w:r>
      <w:r w:rsidRPr="00A95754">
        <w:instrText xml:space="preserve"> REF _Ref124492370 \h </w:instrText>
      </w:r>
      <w:r>
        <w:instrText xml:space="preserve"> \* MERGEFORMAT </w:instrText>
      </w:r>
      <w:r w:rsidRPr="00A95754">
        <w:fldChar w:fldCharType="separate"/>
      </w:r>
      <w:r w:rsidR="000178EC" w:rsidRPr="00A95754">
        <w:t xml:space="preserve">Table </w:t>
      </w:r>
      <w:r w:rsidR="000178EC">
        <w:rPr>
          <w:noProof/>
        </w:rPr>
        <w:t>17</w:t>
      </w:r>
      <w:r w:rsidRPr="00A95754">
        <w:fldChar w:fldCharType="end"/>
      </w:r>
      <w:r w:rsidRPr="00A95754">
        <w:t xml:space="preserve"> and </w:t>
      </w:r>
      <w:r w:rsidRPr="00A95754">
        <w:fldChar w:fldCharType="begin"/>
      </w:r>
      <w:r w:rsidRPr="00A95754">
        <w:instrText xml:space="preserve"> REF _Ref124492372 \h </w:instrText>
      </w:r>
      <w:r>
        <w:instrText xml:space="preserve"> \* MERGEFORMAT </w:instrText>
      </w:r>
      <w:r w:rsidRPr="00A95754">
        <w:fldChar w:fldCharType="separate"/>
      </w:r>
      <w:r w:rsidR="000178EC" w:rsidRPr="00A95754">
        <w:t xml:space="preserve">Table </w:t>
      </w:r>
      <w:r w:rsidR="000178EC">
        <w:rPr>
          <w:noProof/>
        </w:rPr>
        <w:t>18</w:t>
      </w:r>
      <w:r w:rsidRPr="00A95754">
        <w:fldChar w:fldCharType="end"/>
      </w:r>
      <w:r>
        <w:t>.</w:t>
      </w:r>
      <w:r w:rsidRPr="00A95754">
        <w:t xml:space="preserve"> </w:t>
      </w:r>
    </w:p>
    <w:p w14:paraId="0E5987D7" w14:textId="7F6A5075" w:rsidR="00BE18C5" w:rsidRPr="00A95754" w:rsidRDefault="00BE18C5" w:rsidP="00BE18C5">
      <w:pPr>
        <w:pStyle w:val="TableHeading0"/>
        <w:pageBreakBefore/>
      </w:pPr>
      <w:bookmarkStart w:id="61" w:name="_Ref124492370"/>
      <w:r w:rsidRPr="00A95754">
        <w:lastRenderedPageBreak/>
        <w:t xml:space="preserve">Table </w:t>
      </w:r>
      <w:fldSimple w:instr=" SEQ Table \* ARABIC ">
        <w:r w:rsidR="000178EC">
          <w:rPr>
            <w:noProof/>
          </w:rPr>
          <w:t>17</w:t>
        </w:r>
      </w:fldSimple>
      <w:bookmarkEnd w:id="61"/>
      <w:r w:rsidRPr="00A95754">
        <w:t>: Estimation of number of treated patients and scripts</w:t>
      </w:r>
    </w:p>
    <w:tbl>
      <w:tblPr>
        <w:tblStyle w:val="AZTable"/>
        <w:tblW w:w="5000" w:type="pct"/>
        <w:tblLayout w:type="fixed"/>
        <w:tblLook w:val="04A0" w:firstRow="1" w:lastRow="0" w:firstColumn="1" w:lastColumn="0" w:noHBand="0" w:noVBand="1"/>
      </w:tblPr>
      <w:tblGrid>
        <w:gridCol w:w="363"/>
        <w:gridCol w:w="1768"/>
        <w:gridCol w:w="886"/>
        <w:gridCol w:w="1006"/>
        <w:gridCol w:w="1006"/>
        <w:gridCol w:w="1008"/>
        <w:gridCol w:w="1006"/>
        <w:gridCol w:w="1006"/>
        <w:gridCol w:w="968"/>
      </w:tblGrid>
      <w:tr w:rsidR="00BE18C5" w:rsidRPr="00A95754" w14:paraId="55E64125" w14:textId="77777777" w:rsidTr="00DF2C5C">
        <w:trPr>
          <w:cnfStyle w:val="100000000000" w:firstRow="1" w:lastRow="0" w:firstColumn="0" w:lastColumn="0" w:oddVBand="0" w:evenVBand="0" w:oddHBand="0" w:evenHBand="0" w:firstRowFirstColumn="0" w:firstRowLastColumn="0" w:lastRowFirstColumn="0" w:lastRowLastColumn="0"/>
          <w:tblHeader/>
        </w:trPr>
        <w:tc>
          <w:tcPr>
            <w:tcW w:w="201" w:type="pct"/>
            <w:tcBorders>
              <w:right w:val="nil"/>
            </w:tcBorders>
          </w:tcPr>
          <w:p w14:paraId="1BBCF3A9" w14:textId="77777777" w:rsidR="00BE18C5" w:rsidRPr="00A95754" w:rsidRDefault="00BE18C5" w:rsidP="00DF2C5C">
            <w:pPr>
              <w:pStyle w:val="TableText0"/>
              <w:keepNext w:val="0"/>
              <w:rPr>
                <w:b/>
              </w:rPr>
            </w:pPr>
          </w:p>
        </w:tc>
        <w:tc>
          <w:tcPr>
            <w:tcW w:w="980" w:type="pct"/>
            <w:tcBorders>
              <w:left w:val="nil"/>
              <w:right w:val="nil"/>
            </w:tcBorders>
          </w:tcPr>
          <w:p w14:paraId="3ADC68D8" w14:textId="77777777" w:rsidR="00BE18C5" w:rsidRPr="00A95754" w:rsidRDefault="00BE18C5" w:rsidP="00DF2C5C">
            <w:pPr>
              <w:pStyle w:val="In-tableHeading"/>
              <w:keepNext w:val="0"/>
              <w:ind w:right="-102"/>
              <w:jc w:val="center"/>
              <w:rPr>
                <w:rFonts w:cs="Times New Roman"/>
                <w:bCs/>
                <w:sz w:val="20"/>
                <w:lang w:eastAsia="en-AU"/>
              </w:rPr>
            </w:pPr>
          </w:p>
        </w:tc>
        <w:tc>
          <w:tcPr>
            <w:tcW w:w="491" w:type="pct"/>
            <w:tcBorders>
              <w:left w:val="nil"/>
            </w:tcBorders>
          </w:tcPr>
          <w:p w14:paraId="34AF0721" w14:textId="77777777" w:rsidR="00BE18C5" w:rsidRPr="00A95754" w:rsidRDefault="00BE18C5" w:rsidP="00DF2C5C">
            <w:pPr>
              <w:pStyle w:val="In-tableHeading"/>
              <w:keepNext w:val="0"/>
              <w:ind w:left="-106" w:right="-74"/>
              <w:jc w:val="center"/>
              <w:rPr>
                <w:rFonts w:cs="Times New Roman"/>
                <w:bCs/>
                <w:sz w:val="20"/>
                <w:lang w:eastAsia="en-AU"/>
              </w:rPr>
            </w:pPr>
          </w:p>
        </w:tc>
        <w:tc>
          <w:tcPr>
            <w:tcW w:w="558" w:type="pct"/>
          </w:tcPr>
          <w:p w14:paraId="5F6EC1F3" w14:textId="27CEEB3E" w:rsidR="00BE18C5" w:rsidRPr="00A95754" w:rsidRDefault="00BE18C5" w:rsidP="00BF581C">
            <w:pPr>
              <w:pStyle w:val="In-tableHeading"/>
              <w:keepNext w:val="0"/>
              <w:jc w:val="center"/>
              <w:rPr>
                <w:rFonts w:cs="Times New Roman"/>
                <w:bCs/>
                <w:sz w:val="20"/>
                <w:lang w:eastAsia="en-AU"/>
              </w:rPr>
            </w:pPr>
            <w:r w:rsidRPr="00A95754">
              <w:rPr>
                <w:rFonts w:cs="Times New Roman"/>
                <w:bCs/>
                <w:sz w:val="20"/>
                <w:lang w:eastAsia="en-AU"/>
              </w:rPr>
              <w:t>Year 1</w:t>
            </w:r>
          </w:p>
        </w:tc>
        <w:tc>
          <w:tcPr>
            <w:tcW w:w="558" w:type="pct"/>
          </w:tcPr>
          <w:p w14:paraId="00DFE6C7" w14:textId="482384A3" w:rsidR="00BE18C5" w:rsidRPr="00A95754" w:rsidRDefault="00BE18C5" w:rsidP="00BF581C">
            <w:pPr>
              <w:pStyle w:val="In-tableHeading"/>
              <w:keepNext w:val="0"/>
              <w:jc w:val="center"/>
              <w:rPr>
                <w:rFonts w:cs="Times New Roman"/>
                <w:bCs/>
                <w:sz w:val="20"/>
                <w:lang w:eastAsia="en-AU"/>
              </w:rPr>
            </w:pPr>
            <w:r w:rsidRPr="00A95754">
              <w:rPr>
                <w:rFonts w:cs="Times New Roman"/>
                <w:bCs/>
                <w:sz w:val="20"/>
                <w:lang w:eastAsia="en-AU"/>
              </w:rPr>
              <w:t>Year 2</w:t>
            </w:r>
          </w:p>
        </w:tc>
        <w:tc>
          <w:tcPr>
            <w:tcW w:w="559" w:type="pct"/>
          </w:tcPr>
          <w:p w14:paraId="5E958E04" w14:textId="15A43643" w:rsidR="00BE18C5" w:rsidRPr="00A95754" w:rsidRDefault="00BE18C5" w:rsidP="00BF581C">
            <w:pPr>
              <w:pStyle w:val="In-tableHeading"/>
              <w:keepNext w:val="0"/>
              <w:jc w:val="center"/>
              <w:rPr>
                <w:rFonts w:cs="Times New Roman"/>
                <w:bCs/>
                <w:sz w:val="20"/>
                <w:lang w:eastAsia="en-AU"/>
              </w:rPr>
            </w:pPr>
            <w:r w:rsidRPr="00A95754">
              <w:rPr>
                <w:rFonts w:cs="Times New Roman"/>
                <w:bCs/>
                <w:sz w:val="20"/>
                <w:lang w:eastAsia="en-AU"/>
              </w:rPr>
              <w:t>Year 3</w:t>
            </w:r>
          </w:p>
        </w:tc>
        <w:tc>
          <w:tcPr>
            <w:tcW w:w="558" w:type="pct"/>
          </w:tcPr>
          <w:p w14:paraId="0F9289E6" w14:textId="57C26209" w:rsidR="00BE18C5" w:rsidRPr="00A95754" w:rsidRDefault="00BE18C5" w:rsidP="00BF581C">
            <w:pPr>
              <w:pStyle w:val="In-tableHeading"/>
              <w:keepNext w:val="0"/>
              <w:jc w:val="center"/>
              <w:rPr>
                <w:rFonts w:cs="Times New Roman"/>
                <w:bCs/>
                <w:sz w:val="20"/>
                <w:lang w:eastAsia="en-AU"/>
              </w:rPr>
            </w:pPr>
            <w:r w:rsidRPr="00A95754">
              <w:rPr>
                <w:rFonts w:cs="Times New Roman"/>
                <w:bCs/>
                <w:sz w:val="20"/>
                <w:lang w:eastAsia="en-AU"/>
              </w:rPr>
              <w:t>Year 4</w:t>
            </w:r>
          </w:p>
        </w:tc>
        <w:tc>
          <w:tcPr>
            <w:tcW w:w="558" w:type="pct"/>
          </w:tcPr>
          <w:p w14:paraId="1E4357DF" w14:textId="5737C7DD" w:rsidR="00BE18C5" w:rsidRPr="00A95754" w:rsidRDefault="00BE18C5" w:rsidP="00BF581C">
            <w:pPr>
              <w:pStyle w:val="In-tableHeading"/>
              <w:keepNext w:val="0"/>
              <w:jc w:val="center"/>
              <w:rPr>
                <w:rFonts w:cs="Times New Roman"/>
                <w:bCs/>
                <w:sz w:val="20"/>
                <w:lang w:eastAsia="en-AU"/>
              </w:rPr>
            </w:pPr>
            <w:r w:rsidRPr="00A95754">
              <w:rPr>
                <w:rFonts w:cs="Times New Roman"/>
                <w:bCs/>
                <w:sz w:val="20"/>
                <w:lang w:eastAsia="en-AU"/>
              </w:rPr>
              <w:t>Year 5</w:t>
            </w:r>
          </w:p>
        </w:tc>
        <w:tc>
          <w:tcPr>
            <w:tcW w:w="537" w:type="pct"/>
          </w:tcPr>
          <w:p w14:paraId="373DB8C5" w14:textId="11FB45E6" w:rsidR="00BE18C5" w:rsidRPr="00A95754" w:rsidRDefault="00BE18C5" w:rsidP="00BF581C">
            <w:pPr>
              <w:pStyle w:val="In-tableHeading"/>
              <w:keepNext w:val="0"/>
              <w:jc w:val="center"/>
              <w:rPr>
                <w:rFonts w:cs="Times New Roman"/>
                <w:bCs/>
                <w:sz w:val="20"/>
                <w:lang w:eastAsia="en-AU"/>
              </w:rPr>
            </w:pPr>
            <w:r w:rsidRPr="00A95754">
              <w:rPr>
                <w:rFonts w:cs="Times New Roman"/>
                <w:bCs/>
                <w:sz w:val="20"/>
                <w:lang w:eastAsia="en-AU"/>
              </w:rPr>
              <w:t>Year 6</w:t>
            </w:r>
          </w:p>
        </w:tc>
      </w:tr>
      <w:tr w:rsidR="00BE18C5" w:rsidRPr="00A95754" w14:paraId="0F905BF5" w14:textId="77777777" w:rsidTr="00DF2C5C">
        <w:tc>
          <w:tcPr>
            <w:tcW w:w="201" w:type="pct"/>
          </w:tcPr>
          <w:p w14:paraId="7D5E11A3" w14:textId="77777777" w:rsidR="00BE18C5" w:rsidRPr="00A95754" w:rsidRDefault="00BE18C5" w:rsidP="00DF2C5C">
            <w:pPr>
              <w:pStyle w:val="TableText0"/>
              <w:keepNext w:val="0"/>
              <w:jc w:val="center"/>
              <w:rPr>
                <w:sz w:val="20"/>
                <w:lang w:eastAsia="en-AU"/>
              </w:rPr>
            </w:pPr>
            <w:r w:rsidRPr="00A95754">
              <w:rPr>
                <w:sz w:val="20"/>
                <w:lang w:eastAsia="en-AU"/>
              </w:rPr>
              <w:t>A</w:t>
            </w:r>
          </w:p>
        </w:tc>
        <w:tc>
          <w:tcPr>
            <w:tcW w:w="980" w:type="pct"/>
          </w:tcPr>
          <w:p w14:paraId="1CD79B52" w14:textId="77777777" w:rsidR="00BE18C5" w:rsidRPr="00A95754" w:rsidRDefault="00BE18C5" w:rsidP="00DF2C5C">
            <w:pPr>
              <w:pStyle w:val="TableText0"/>
              <w:keepNext w:val="0"/>
              <w:ind w:right="-102"/>
              <w:rPr>
                <w:sz w:val="20"/>
                <w:lang w:eastAsia="en-AU"/>
              </w:rPr>
            </w:pPr>
            <w:r w:rsidRPr="00A95754">
              <w:rPr>
                <w:sz w:val="20"/>
                <w:lang w:eastAsia="en-AU"/>
              </w:rPr>
              <w:t xml:space="preserve">Australian pop. </w:t>
            </w:r>
          </w:p>
        </w:tc>
        <w:tc>
          <w:tcPr>
            <w:tcW w:w="491" w:type="pct"/>
            <w:vAlign w:val="center"/>
          </w:tcPr>
          <w:p w14:paraId="166E4B12" w14:textId="77777777" w:rsidR="00BE18C5" w:rsidRPr="00A95754" w:rsidRDefault="00BE18C5" w:rsidP="00DF2C5C">
            <w:pPr>
              <w:pStyle w:val="TableText0"/>
              <w:keepNext w:val="0"/>
              <w:ind w:left="-106" w:right="-74"/>
              <w:jc w:val="center"/>
              <w:rPr>
                <w:sz w:val="20"/>
                <w:lang w:eastAsia="en-AU"/>
              </w:rPr>
            </w:pPr>
            <w:r w:rsidRPr="00A95754">
              <w:rPr>
                <w:sz w:val="20"/>
                <w:lang w:eastAsia="en-AU"/>
              </w:rPr>
              <w:t>A</w:t>
            </w:r>
          </w:p>
        </w:tc>
        <w:tc>
          <w:tcPr>
            <w:tcW w:w="558" w:type="pct"/>
            <w:vAlign w:val="center"/>
          </w:tcPr>
          <w:p w14:paraId="2042A072" w14:textId="1A56BAC3" w:rsidR="00BE18C5" w:rsidRPr="008232F4" w:rsidRDefault="003C043D" w:rsidP="00DF2C5C">
            <w:pPr>
              <w:pStyle w:val="TableText0"/>
              <w:keepNext w:val="0"/>
              <w:ind w:left="-108"/>
              <w:jc w:val="center"/>
              <w:rPr>
                <w:sz w:val="20"/>
                <w:vertAlign w:val="superscript"/>
                <w:lang w:eastAsia="en-AU"/>
              </w:rPr>
            </w:pPr>
            <w:r w:rsidRPr="003C043D">
              <w:rPr>
                <w:color w:val="000000"/>
                <w:spacing w:val="33"/>
                <w:sz w:val="20"/>
                <w:shd w:val="solid" w:color="000000" w:fill="000000"/>
                <w:fitText w:val="424" w:id="-1233371126"/>
                <w:lang w:eastAsia="en-AU"/>
                <w14:textFill>
                  <w14:solidFill>
                    <w14:srgbClr w14:val="000000">
                      <w14:alpha w14:val="100000"/>
                    </w14:srgbClr>
                  </w14:solidFill>
                </w14:textFill>
              </w:rPr>
              <w:t>|||||</w:t>
            </w:r>
            <w:r w:rsidRPr="003C043D">
              <w:rPr>
                <w:color w:val="000000"/>
                <w:spacing w:val="4"/>
                <w:sz w:val="20"/>
                <w:shd w:val="solid" w:color="000000" w:fill="000000"/>
                <w:fitText w:val="424" w:id="-1233371126"/>
                <w:lang w:eastAsia="en-AU"/>
                <w14:textFill>
                  <w14:solidFill>
                    <w14:srgbClr w14:val="000000">
                      <w14:alpha w14:val="100000"/>
                    </w14:srgbClr>
                  </w14:solidFill>
                </w14:textFill>
              </w:rPr>
              <w:t>|</w:t>
            </w:r>
            <w:r w:rsidR="008232F4">
              <w:rPr>
                <w:sz w:val="20"/>
                <w:lang w:eastAsia="en-AU"/>
              </w:rPr>
              <w:t xml:space="preserve"> </w:t>
            </w:r>
            <w:r w:rsidR="008232F4">
              <w:rPr>
                <w:sz w:val="20"/>
                <w:vertAlign w:val="superscript"/>
                <w:lang w:eastAsia="en-AU"/>
              </w:rPr>
              <w:t>1</w:t>
            </w:r>
          </w:p>
        </w:tc>
        <w:tc>
          <w:tcPr>
            <w:tcW w:w="558" w:type="pct"/>
            <w:vAlign w:val="center"/>
          </w:tcPr>
          <w:p w14:paraId="37120404" w14:textId="15C05B22" w:rsidR="00BE18C5" w:rsidRPr="00A95754" w:rsidRDefault="003C043D" w:rsidP="00DF2C5C">
            <w:pPr>
              <w:pStyle w:val="TableText0"/>
              <w:keepNext w:val="0"/>
              <w:ind w:left="-108"/>
              <w:jc w:val="center"/>
              <w:rPr>
                <w:sz w:val="20"/>
                <w:lang w:eastAsia="en-AU"/>
              </w:rPr>
            </w:pPr>
            <w:r w:rsidRPr="003C043D">
              <w:rPr>
                <w:color w:val="000000"/>
                <w:spacing w:val="33"/>
                <w:sz w:val="20"/>
                <w:shd w:val="solid" w:color="000000" w:fill="000000"/>
                <w:fitText w:val="424" w:id="-1233371125"/>
                <w:lang w:eastAsia="en-AU"/>
                <w14:textFill>
                  <w14:solidFill>
                    <w14:srgbClr w14:val="000000">
                      <w14:alpha w14:val="100000"/>
                    </w14:srgbClr>
                  </w14:solidFill>
                </w14:textFill>
              </w:rPr>
              <w:t>|||||</w:t>
            </w:r>
            <w:r w:rsidRPr="003C043D">
              <w:rPr>
                <w:color w:val="000000"/>
                <w:spacing w:val="4"/>
                <w:sz w:val="20"/>
                <w:shd w:val="solid" w:color="000000" w:fill="000000"/>
                <w:fitText w:val="424" w:id="-1233371125"/>
                <w:lang w:eastAsia="en-AU"/>
                <w14:textFill>
                  <w14:solidFill>
                    <w14:srgbClr w14:val="000000">
                      <w14:alpha w14:val="100000"/>
                    </w14:srgbClr>
                  </w14:solidFill>
                </w14:textFill>
              </w:rPr>
              <w:t>|</w:t>
            </w:r>
            <w:r w:rsidR="008232F4">
              <w:rPr>
                <w:sz w:val="20"/>
                <w:lang w:eastAsia="en-AU"/>
              </w:rPr>
              <w:t xml:space="preserve"> </w:t>
            </w:r>
            <w:r w:rsidR="008232F4">
              <w:rPr>
                <w:sz w:val="20"/>
                <w:vertAlign w:val="superscript"/>
                <w:lang w:eastAsia="en-AU"/>
              </w:rPr>
              <w:t>1</w:t>
            </w:r>
          </w:p>
        </w:tc>
        <w:tc>
          <w:tcPr>
            <w:tcW w:w="559" w:type="pct"/>
            <w:vAlign w:val="center"/>
          </w:tcPr>
          <w:p w14:paraId="4930D5AF" w14:textId="239EAF10" w:rsidR="00BE18C5" w:rsidRPr="00A95754" w:rsidRDefault="003C043D" w:rsidP="00DF2C5C">
            <w:pPr>
              <w:pStyle w:val="TableText0"/>
              <w:keepNext w:val="0"/>
              <w:ind w:left="-108"/>
              <w:jc w:val="center"/>
              <w:rPr>
                <w:sz w:val="20"/>
                <w:lang w:eastAsia="en-AU"/>
              </w:rPr>
            </w:pPr>
            <w:r w:rsidRPr="003C043D">
              <w:rPr>
                <w:color w:val="000000"/>
                <w:spacing w:val="33"/>
                <w:sz w:val="20"/>
                <w:shd w:val="solid" w:color="000000" w:fill="000000"/>
                <w:fitText w:val="424" w:id="-1233371124"/>
                <w:lang w:eastAsia="en-AU"/>
                <w14:textFill>
                  <w14:solidFill>
                    <w14:srgbClr w14:val="000000">
                      <w14:alpha w14:val="100000"/>
                    </w14:srgbClr>
                  </w14:solidFill>
                </w14:textFill>
              </w:rPr>
              <w:t>|||||</w:t>
            </w:r>
            <w:r w:rsidRPr="003C043D">
              <w:rPr>
                <w:color w:val="000000"/>
                <w:spacing w:val="4"/>
                <w:sz w:val="20"/>
                <w:shd w:val="solid" w:color="000000" w:fill="000000"/>
                <w:fitText w:val="424" w:id="-1233371124"/>
                <w:lang w:eastAsia="en-AU"/>
                <w14:textFill>
                  <w14:solidFill>
                    <w14:srgbClr w14:val="000000">
                      <w14:alpha w14:val="100000"/>
                    </w14:srgbClr>
                  </w14:solidFill>
                </w14:textFill>
              </w:rPr>
              <w:t>|</w:t>
            </w:r>
            <w:r w:rsidR="008232F4">
              <w:rPr>
                <w:sz w:val="20"/>
                <w:lang w:eastAsia="en-AU"/>
              </w:rPr>
              <w:t xml:space="preserve"> </w:t>
            </w:r>
            <w:r w:rsidR="008232F4">
              <w:rPr>
                <w:sz w:val="20"/>
                <w:vertAlign w:val="superscript"/>
                <w:lang w:eastAsia="en-AU"/>
              </w:rPr>
              <w:t>1</w:t>
            </w:r>
          </w:p>
        </w:tc>
        <w:tc>
          <w:tcPr>
            <w:tcW w:w="558" w:type="pct"/>
            <w:vAlign w:val="center"/>
          </w:tcPr>
          <w:p w14:paraId="7182784F" w14:textId="25161256" w:rsidR="00BE18C5" w:rsidRPr="00A95754" w:rsidRDefault="003C043D" w:rsidP="00DF2C5C">
            <w:pPr>
              <w:pStyle w:val="TableText0"/>
              <w:keepNext w:val="0"/>
              <w:ind w:left="-108"/>
              <w:jc w:val="center"/>
              <w:rPr>
                <w:sz w:val="20"/>
                <w:lang w:eastAsia="en-AU"/>
              </w:rPr>
            </w:pPr>
            <w:r w:rsidRPr="003C043D">
              <w:rPr>
                <w:color w:val="000000"/>
                <w:spacing w:val="33"/>
                <w:sz w:val="20"/>
                <w:shd w:val="solid" w:color="000000" w:fill="000000"/>
                <w:fitText w:val="425" w:id="-1233371123"/>
                <w:lang w:eastAsia="en-AU"/>
                <w14:textFill>
                  <w14:solidFill>
                    <w14:srgbClr w14:val="000000">
                      <w14:alpha w14:val="100000"/>
                    </w14:srgbClr>
                  </w14:solidFill>
                </w14:textFill>
              </w:rPr>
              <w:t>|||||</w:t>
            </w:r>
            <w:r w:rsidRPr="003C043D">
              <w:rPr>
                <w:color w:val="000000"/>
                <w:spacing w:val="5"/>
                <w:sz w:val="20"/>
                <w:shd w:val="solid" w:color="000000" w:fill="000000"/>
                <w:fitText w:val="425" w:id="-1233371123"/>
                <w:lang w:eastAsia="en-AU"/>
                <w14:textFill>
                  <w14:solidFill>
                    <w14:srgbClr w14:val="000000">
                      <w14:alpha w14:val="100000"/>
                    </w14:srgbClr>
                  </w14:solidFill>
                </w14:textFill>
              </w:rPr>
              <w:t>|</w:t>
            </w:r>
            <w:r w:rsidR="008232F4">
              <w:rPr>
                <w:sz w:val="20"/>
                <w:lang w:eastAsia="en-AU"/>
              </w:rPr>
              <w:t xml:space="preserve"> </w:t>
            </w:r>
            <w:r w:rsidR="008232F4">
              <w:rPr>
                <w:sz w:val="20"/>
                <w:vertAlign w:val="superscript"/>
                <w:lang w:eastAsia="en-AU"/>
              </w:rPr>
              <w:t>1</w:t>
            </w:r>
          </w:p>
        </w:tc>
        <w:tc>
          <w:tcPr>
            <w:tcW w:w="558" w:type="pct"/>
            <w:vAlign w:val="center"/>
          </w:tcPr>
          <w:p w14:paraId="354E5175" w14:textId="6EA00756" w:rsidR="00BE18C5" w:rsidRPr="00A95754" w:rsidRDefault="003C043D" w:rsidP="00DF2C5C">
            <w:pPr>
              <w:pStyle w:val="TableText0"/>
              <w:keepNext w:val="0"/>
              <w:ind w:left="-108"/>
              <w:jc w:val="center"/>
              <w:rPr>
                <w:sz w:val="20"/>
                <w:lang w:eastAsia="en-AU"/>
              </w:rPr>
            </w:pPr>
            <w:r w:rsidRPr="003C043D">
              <w:rPr>
                <w:color w:val="000000"/>
                <w:spacing w:val="33"/>
                <w:sz w:val="20"/>
                <w:shd w:val="solid" w:color="000000" w:fill="000000"/>
                <w:fitText w:val="425" w:id="-1233371122"/>
                <w:lang w:eastAsia="en-AU"/>
                <w14:textFill>
                  <w14:solidFill>
                    <w14:srgbClr w14:val="000000">
                      <w14:alpha w14:val="100000"/>
                    </w14:srgbClr>
                  </w14:solidFill>
                </w14:textFill>
              </w:rPr>
              <w:t>|||||</w:t>
            </w:r>
            <w:r w:rsidRPr="003C043D">
              <w:rPr>
                <w:color w:val="000000"/>
                <w:spacing w:val="5"/>
                <w:sz w:val="20"/>
                <w:shd w:val="solid" w:color="000000" w:fill="000000"/>
                <w:fitText w:val="425" w:id="-1233371122"/>
                <w:lang w:eastAsia="en-AU"/>
                <w14:textFill>
                  <w14:solidFill>
                    <w14:srgbClr w14:val="000000">
                      <w14:alpha w14:val="100000"/>
                    </w14:srgbClr>
                  </w14:solidFill>
                </w14:textFill>
              </w:rPr>
              <w:t>|</w:t>
            </w:r>
            <w:r w:rsidR="008232F4">
              <w:rPr>
                <w:sz w:val="20"/>
                <w:lang w:eastAsia="en-AU"/>
              </w:rPr>
              <w:t xml:space="preserve"> </w:t>
            </w:r>
            <w:r w:rsidR="008232F4">
              <w:rPr>
                <w:sz w:val="20"/>
                <w:vertAlign w:val="superscript"/>
                <w:lang w:eastAsia="en-AU"/>
              </w:rPr>
              <w:t>1</w:t>
            </w:r>
          </w:p>
        </w:tc>
        <w:tc>
          <w:tcPr>
            <w:tcW w:w="537" w:type="pct"/>
            <w:vAlign w:val="center"/>
          </w:tcPr>
          <w:p w14:paraId="1897B891" w14:textId="6C405B83" w:rsidR="00BE18C5" w:rsidRPr="00A95754" w:rsidRDefault="003C043D" w:rsidP="00DF2C5C">
            <w:pPr>
              <w:pStyle w:val="TableText0"/>
              <w:keepNext w:val="0"/>
              <w:ind w:left="-108"/>
              <w:jc w:val="center"/>
              <w:rPr>
                <w:sz w:val="20"/>
                <w:szCs w:val="20"/>
                <w:lang w:eastAsia="en-AU"/>
              </w:rPr>
            </w:pPr>
            <w:r w:rsidRPr="003C043D">
              <w:rPr>
                <w:color w:val="000000"/>
                <w:spacing w:val="33"/>
                <w:sz w:val="20"/>
                <w:szCs w:val="20"/>
                <w:shd w:val="solid" w:color="000000" w:fill="000000"/>
                <w:fitText w:val="424" w:id="-1233371121"/>
                <w:lang w:eastAsia="en-AU"/>
                <w14:textFill>
                  <w14:solidFill>
                    <w14:srgbClr w14:val="000000">
                      <w14:alpha w14:val="100000"/>
                    </w14:srgbClr>
                  </w14:solidFill>
                </w14:textFill>
              </w:rPr>
              <w:t>|||||</w:t>
            </w:r>
            <w:r w:rsidRPr="003C043D">
              <w:rPr>
                <w:color w:val="000000"/>
                <w:spacing w:val="4"/>
                <w:sz w:val="20"/>
                <w:szCs w:val="20"/>
                <w:shd w:val="solid" w:color="000000" w:fill="000000"/>
                <w:fitText w:val="424" w:id="-1233371121"/>
                <w:lang w:eastAsia="en-AU"/>
                <w14:textFill>
                  <w14:solidFill>
                    <w14:srgbClr w14:val="000000">
                      <w14:alpha w14:val="100000"/>
                    </w14:srgbClr>
                  </w14:solidFill>
                </w14:textFill>
              </w:rPr>
              <w:t>|</w:t>
            </w:r>
            <w:r w:rsidR="008232F4" w:rsidRPr="3095CAEB">
              <w:rPr>
                <w:sz w:val="20"/>
                <w:szCs w:val="20"/>
                <w:lang w:eastAsia="en-AU"/>
              </w:rPr>
              <w:t xml:space="preserve"> </w:t>
            </w:r>
            <w:r w:rsidR="008232F4" w:rsidRPr="3095CAEB">
              <w:rPr>
                <w:sz w:val="20"/>
                <w:szCs w:val="20"/>
                <w:vertAlign w:val="superscript"/>
                <w:lang w:eastAsia="en-AU"/>
              </w:rPr>
              <w:t>1</w:t>
            </w:r>
          </w:p>
        </w:tc>
      </w:tr>
      <w:tr w:rsidR="00BE18C5" w:rsidRPr="00A95754" w14:paraId="48ED429F" w14:textId="77777777" w:rsidTr="00DF2C5C">
        <w:tc>
          <w:tcPr>
            <w:tcW w:w="201" w:type="pct"/>
          </w:tcPr>
          <w:p w14:paraId="30249235" w14:textId="77777777" w:rsidR="00BE18C5" w:rsidRPr="00A95754" w:rsidRDefault="00BE18C5" w:rsidP="00DF2C5C">
            <w:pPr>
              <w:pStyle w:val="TableText0"/>
              <w:keepNext w:val="0"/>
              <w:jc w:val="center"/>
              <w:rPr>
                <w:sz w:val="20"/>
                <w:lang w:eastAsia="en-AU"/>
              </w:rPr>
            </w:pPr>
            <w:r w:rsidRPr="00A95754">
              <w:rPr>
                <w:sz w:val="20"/>
                <w:lang w:eastAsia="en-AU"/>
              </w:rPr>
              <w:t>B</w:t>
            </w:r>
          </w:p>
        </w:tc>
        <w:tc>
          <w:tcPr>
            <w:tcW w:w="980" w:type="pct"/>
          </w:tcPr>
          <w:p w14:paraId="0609CAAF" w14:textId="77777777" w:rsidR="00BE18C5" w:rsidRPr="00A95754" w:rsidRDefault="00BE18C5" w:rsidP="00DF2C5C">
            <w:pPr>
              <w:pStyle w:val="TableText0"/>
              <w:keepNext w:val="0"/>
              <w:ind w:right="-102"/>
              <w:rPr>
                <w:sz w:val="20"/>
                <w:lang w:eastAsia="en-AU"/>
              </w:rPr>
            </w:pPr>
            <w:r w:rsidRPr="00A95754">
              <w:rPr>
                <w:sz w:val="20"/>
                <w:lang w:eastAsia="en-AU"/>
              </w:rPr>
              <w:t>GBC, incidence per 100,000</w:t>
            </w:r>
            <w:r w:rsidRPr="00A95754">
              <w:rPr>
                <w:sz w:val="20"/>
                <w:vertAlign w:val="superscript"/>
                <w:lang w:eastAsia="en-AU"/>
              </w:rPr>
              <w:t>a</w:t>
            </w:r>
          </w:p>
        </w:tc>
        <w:tc>
          <w:tcPr>
            <w:tcW w:w="491" w:type="pct"/>
            <w:vAlign w:val="center"/>
          </w:tcPr>
          <w:p w14:paraId="40B13D5E" w14:textId="77777777" w:rsidR="00BE18C5" w:rsidRPr="00A95754" w:rsidRDefault="00BE18C5" w:rsidP="00DF2C5C">
            <w:pPr>
              <w:pStyle w:val="TableText0"/>
              <w:keepNext w:val="0"/>
              <w:ind w:left="-106" w:right="-74"/>
              <w:jc w:val="center"/>
              <w:rPr>
                <w:sz w:val="20"/>
                <w:lang w:eastAsia="en-AU"/>
              </w:rPr>
            </w:pPr>
            <w:r w:rsidRPr="00A95754">
              <w:rPr>
                <w:sz w:val="20"/>
                <w:lang w:eastAsia="en-AU"/>
              </w:rPr>
              <w:t>B</w:t>
            </w:r>
          </w:p>
        </w:tc>
        <w:tc>
          <w:tcPr>
            <w:tcW w:w="558" w:type="pct"/>
            <w:vAlign w:val="center"/>
          </w:tcPr>
          <w:p w14:paraId="6A8C15EA" w14:textId="77777777" w:rsidR="00BE18C5" w:rsidRPr="00A95754" w:rsidRDefault="00BE18C5" w:rsidP="00DF2C5C">
            <w:pPr>
              <w:pStyle w:val="TableText0"/>
              <w:keepNext w:val="0"/>
              <w:jc w:val="center"/>
              <w:rPr>
                <w:sz w:val="20"/>
                <w:lang w:eastAsia="en-AU"/>
              </w:rPr>
            </w:pPr>
            <w:r w:rsidRPr="00A95754">
              <w:rPr>
                <w:sz w:val="20"/>
                <w:lang w:eastAsia="en-AU"/>
              </w:rPr>
              <w:t>1.6</w:t>
            </w:r>
          </w:p>
        </w:tc>
        <w:tc>
          <w:tcPr>
            <w:tcW w:w="558" w:type="pct"/>
            <w:vAlign w:val="center"/>
          </w:tcPr>
          <w:p w14:paraId="1B3198E3" w14:textId="77777777" w:rsidR="00BE18C5" w:rsidRPr="00A95754" w:rsidRDefault="00BE18C5" w:rsidP="00DF2C5C">
            <w:pPr>
              <w:pStyle w:val="TableText0"/>
              <w:keepNext w:val="0"/>
              <w:jc w:val="center"/>
              <w:rPr>
                <w:sz w:val="20"/>
                <w:lang w:eastAsia="en-AU"/>
              </w:rPr>
            </w:pPr>
            <w:r w:rsidRPr="00A95754">
              <w:rPr>
                <w:sz w:val="20"/>
                <w:lang w:eastAsia="en-AU"/>
              </w:rPr>
              <w:t>1.6</w:t>
            </w:r>
          </w:p>
        </w:tc>
        <w:tc>
          <w:tcPr>
            <w:tcW w:w="559" w:type="pct"/>
            <w:vAlign w:val="center"/>
          </w:tcPr>
          <w:p w14:paraId="58C2FF00" w14:textId="77777777" w:rsidR="00BE18C5" w:rsidRPr="00A95754" w:rsidRDefault="00BE18C5" w:rsidP="00DF2C5C">
            <w:pPr>
              <w:pStyle w:val="TableText0"/>
              <w:keepNext w:val="0"/>
              <w:jc w:val="center"/>
              <w:rPr>
                <w:sz w:val="20"/>
                <w:lang w:eastAsia="en-AU"/>
              </w:rPr>
            </w:pPr>
            <w:r w:rsidRPr="00A95754">
              <w:rPr>
                <w:sz w:val="20"/>
                <w:lang w:eastAsia="en-AU"/>
              </w:rPr>
              <w:t>1.6</w:t>
            </w:r>
          </w:p>
        </w:tc>
        <w:tc>
          <w:tcPr>
            <w:tcW w:w="558" w:type="pct"/>
            <w:vAlign w:val="center"/>
          </w:tcPr>
          <w:p w14:paraId="4BBD883A" w14:textId="77777777" w:rsidR="00BE18C5" w:rsidRPr="00A95754" w:rsidRDefault="00BE18C5" w:rsidP="00DF2C5C">
            <w:pPr>
              <w:pStyle w:val="TableText0"/>
              <w:keepNext w:val="0"/>
              <w:jc w:val="center"/>
              <w:rPr>
                <w:sz w:val="20"/>
                <w:lang w:eastAsia="en-AU"/>
              </w:rPr>
            </w:pPr>
            <w:r w:rsidRPr="00A95754">
              <w:rPr>
                <w:sz w:val="20"/>
                <w:lang w:eastAsia="en-AU"/>
              </w:rPr>
              <w:t>1.6</w:t>
            </w:r>
          </w:p>
        </w:tc>
        <w:tc>
          <w:tcPr>
            <w:tcW w:w="558" w:type="pct"/>
            <w:vAlign w:val="center"/>
          </w:tcPr>
          <w:p w14:paraId="4120021F" w14:textId="77777777" w:rsidR="00BE18C5" w:rsidRPr="00A95754" w:rsidRDefault="00BE18C5" w:rsidP="00DF2C5C">
            <w:pPr>
              <w:pStyle w:val="TableText0"/>
              <w:keepNext w:val="0"/>
              <w:jc w:val="center"/>
              <w:rPr>
                <w:sz w:val="20"/>
                <w:lang w:eastAsia="en-AU"/>
              </w:rPr>
            </w:pPr>
            <w:r w:rsidRPr="00A95754">
              <w:rPr>
                <w:sz w:val="20"/>
                <w:lang w:eastAsia="en-AU"/>
              </w:rPr>
              <w:t>1.7</w:t>
            </w:r>
          </w:p>
        </w:tc>
        <w:tc>
          <w:tcPr>
            <w:tcW w:w="537" w:type="pct"/>
            <w:vAlign w:val="center"/>
          </w:tcPr>
          <w:p w14:paraId="03FE2C11" w14:textId="77777777" w:rsidR="00BE18C5" w:rsidRPr="00A95754" w:rsidRDefault="00BE18C5" w:rsidP="00DF2C5C">
            <w:pPr>
              <w:pStyle w:val="TableText0"/>
              <w:keepNext w:val="0"/>
              <w:jc w:val="center"/>
              <w:rPr>
                <w:sz w:val="20"/>
                <w:lang w:eastAsia="en-AU"/>
              </w:rPr>
            </w:pPr>
            <w:r w:rsidRPr="00A95754">
              <w:rPr>
                <w:sz w:val="20"/>
                <w:lang w:eastAsia="en-AU"/>
              </w:rPr>
              <w:t>1.7</w:t>
            </w:r>
          </w:p>
        </w:tc>
      </w:tr>
      <w:tr w:rsidR="00BE18C5" w:rsidRPr="00A95754" w14:paraId="06007447" w14:textId="77777777" w:rsidTr="00DF2C5C">
        <w:tc>
          <w:tcPr>
            <w:tcW w:w="201" w:type="pct"/>
          </w:tcPr>
          <w:p w14:paraId="51219B50" w14:textId="77777777" w:rsidR="00BE18C5" w:rsidRPr="00A95754" w:rsidRDefault="00BE18C5" w:rsidP="00DF2C5C">
            <w:pPr>
              <w:pStyle w:val="TableText0"/>
              <w:keepNext w:val="0"/>
              <w:jc w:val="center"/>
              <w:rPr>
                <w:sz w:val="20"/>
                <w:lang w:eastAsia="en-AU"/>
              </w:rPr>
            </w:pPr>
            <w:r w:rsidRPr="00A95754">
              <w:rPr>
                <w:sz w:val="20"/>
                <w:lang w:eastAsia="en-AU"/>
              </w:rPr>
              <w:t>C</w:t>
            </w:r>
          </w:p>
        </w:tc>
        <w:tc>
          <w:tcPr>
            <w:tcW w:w="980" w:type="pct"/>
          </w:tcPr>
          <w:p w14:paraId="115025D4" w14:textId="77777777" w:rsidR="00BE18C5" w:rsidRPr="00A95754" w:rsidRDefault="00BE18C5" w:rsidP="00DF2C5C">
            <w:pPr>
              <w:pStyle w:val="TableText0"/>
              <w:keepNext w:val="0"/>
              <w:ind w:right="-102"/>
              <w:rPr>
                <w:sz w:val="20"/>
                <w:lang w:eastAsia="en-AU"/>
              </w:rPr>
            </w:pPr>
            <w:r w:rsidRPr="00A95754">
              <w:rPr>
                <w:sz w:val="20"/>
                <w:lang w:eastAsia="en-AU"/>
              </w:rPr>
              <w:t>GBC patients, incident cases</w:t>
            </w:r>
          </w:p>
        </w:tc>
        <w:tc>
          <w:tcPr>
            <w:tcW w:w="491" w:type="pct"/>
            <w:vAlign w:val="center"/>
          </w:tcPr>
          <w:p w14:paraId="4AC800B8" w14:textId="77777777" w:rsidR="00BE18C5" w:rsidRPr="00A95754" w:rsidRDefault="00BE18C5" w:rsidP="00DF2C5C">
            <w:pPr>
              <w:pStyle w:val="TableText0"/>
              <w:keepNext w:val="0"/>
              <w:ind w:left="-106" w:right="-74"/>
              <w:jc w:val="center"/>
              <w:rPr>
                <w:sz w:val="20"/>
                <w:lang w:eastAsia="en-AU"/>
              </w:rPr>
            </w:pPr>
            <w:r w:rsidRPr="00A95754">
              <w:rPr>
                <w:sz w:val="20"/>
                <w:lang w:eastAsia="en-AU"/>
              </w:rPr>
              <w:t>C= (A x B) /100,000</w:t>
            </w:r>
          </w:p>
        </w:tc>
        <w:tc>
          <w:tcPr>
            <w:tcW w:w="558" w:type="pct"/>
            <w:vAlign w:val="center"/>
          </w:tcPr>
          <w:p w14:paraId="75D0705A" w14:textId="7C26F484" w:rsidR="00BE18C5" w:rsidRPr="008232F4" w:rsidRDefault="003C043D" w:rsidP="00DF2C5C">
            <w:pPr>
              <w:pStyle w:val="TableText0"/>
              <w:keepNext w:val="0"/>
              <w:jc w:val="center"/>
              <w:rPr>
                <w:sz w:val="20"/>
                <w:vertAlign w:val="superscript"/>
                <w:lang w:eastAsia="en-AU"/>
              </w:rPr>
            </w:pPr>
            <w:r w:rsidRPr="003C043D">
              <w:rPr>
                <w:color w:val="000000"/>
                <w:spacing w:val="67"/>
                <w:sz w:val="20"/>
                <w:shd w:val="solid" w:color="000000" w:fill="000000"/>
                <w:fitText w:val="374" w:id="-1233371120"/>
                <w:lang w:eastAsia="en-AU"/>
                <w14:textFill>
                  <w14:solidFill>
                    <w14:srgbClr w14:val="000000">
                      <w14:alpha w14:val="100000"/>
                    </w14:srgbClr>
                  </w14:solidFill>
                </w14:textFill>
              </w:rPr>
              <w:t>|||</w:t>
            </w:r>
            <w:r w:rsidRPr="003C043D">
              <w:rPr>
                <w:color w:val="000000"/>
                <w:spacing w:val="3"/>
                <w:sz w:val="20"/>
                <w:shd w:val="solid" w:color="000000" w:fill="000000"/>
                <w:fitText w:val="374" w:id="-1233371120"/>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2</w:t>
            </w:r>
          </w:p>
        </w:tc>
        <w:tc>
          <w:tcPr>
            <w:tcW w:w="558" w:type="pct"/>
            <w:vAlign w:val="center"/>
          </w:tcPr>
          <w:p w14:paraId="587320E8" w14:textId="38049D73"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36"/>
                <w:lang w:eastAsia="en-AU"/>
                <w14:textFill>
                  <w14:solidFill>
                    <w14:srgbClr w14:val="000000">
                      <w14:alpha w14:val="100000"/>
                    </w14:srgbClr>
                  </w14:solidFill>
                </w14:textFill>
              </w:rPr>
              <w:t>|||</w:t>
            </w:r>
            <w:r w:rsidRPr="003C043D">
              <w:rPr>
                <w:color w:val="000000"/>
                <w:spacing w:val="3"/>
                <w:sz w:val="20"/>
                <w:shd w:val="solid" w:color="000000" w:fill="000000"/>
                <w:fitText w:val="374" w:id="-1233371136"/>
                <w:lang w:eastAsia="en-AU"/>
                <w14:textFill>
                  <w14:solidFill>
                    <w14:srgbClr w14:val="000000">
                      <w14:alpha w14:val="100000"/>
                    </w14:srgbClr>
                  </w14:solidFill>
                </w14:textFill>
              </w:rPr>
              <w:t>|</w:t>
            </w:r>
            <w:r w:rsidR="008232F4" w:rsidRPr="00A95754">
              <w:rPr>
                <w:sz w:val="20"/>
                <w:lang w:eastAsia="en-AU"/>
              </w:rPr>
              <w:t xml:space="preserve"> </w:t>
            </w:r>
            <w:r w:rsidR="008232F4">
              <w:rPr>
                <w:sz w:val="20"/>
                <w:vertAlign w:val="superscript"/>
                <w:lang w:eastAsia="en-AU"/>
              </w:rPr>
              <w:t>2</w:t>
            </w:r>
          </w:p>
        </w:tc>
        <w:tc>
          <w:tcPr>
            <w:tcW w:w="559" w:type="pct"/>
            <w:vAlign w:val="center"/>
          </w:tcPr>
          <w:p w14:paraId="53C259FE" w14:textId="2DF4737C"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1135"/>
                <w:lang w:eastAsia="en-AU"/>
                <w14:textFill>
                  <w14:solidFill>
                    <w14:srgbClr w14:val="000000">
                      <w14:alpha w14:val="100000"/>
                    </w14:srgbClr>
                  </w14:solidFill>
                </w14:textFill>
              </w:rPr>
              <w:t>|||</w:t>
            </w:r>
            <w:r w:rsidRPr="003C043D">
              <w:rPr>
                <w:color w:val="000000"/>
                <w:spacing w:val="1"/>
                <w:sz w:val="20"/>
                <w:shd w:val="solid" w:color="000000" w:fill="000000"/>
                <w:fitText w:val="366" w:id="-1233371135"/>
                <w:lang w:eastAsia="en-AU"/>
                <w14:textFill>
                  <w14:solidFill>
                    <w14:srgbClr w14:val="000000">
                      <w14:alpha w14:val="100000"/>
                    </w14:srgbClr>
                  </w14:solidFill>
                </w14:textFill>
              </w:rPr>
              <w:t>|</w:t>
            </w:r>
            <w:r w:rsidR="008232F4" w:rsidRPr="00A95754">
              <w:rPr>
                <w:sz w:val="20"/>
                <w:lang w:eastAsia="en-AU"/>
              </w:rPr>
              <w:t xml:space="preserve"> </w:t>
            </w:r>
            <w:r w:rsidR="008232F4">
              <w:rPr>
                <w:sz w:val="20"/>
                <w:vertAlign w:val="superscript"/>
                <w:lang w:eastAsia="en-AU"/>
              </w:rPr>
              <w:t>2</w:t>
            </w:r>
          </w:p>
        </w:tc>
        <w:tc>
          <w:tcPr>
            <w:tcW w:w="558" w:type="pct"/>
            <w:vAlign w:val="center"/>
          </w:tcPr>
          <w:p w14:paraId="62034CD3" w14:textId="3CD20B7A"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34"/>
                <w:lang w:eastAsia="en-AU"/>
                <w14:textFill>
                  <w14:solidFill>
                    <w14:srgbClr w14:val="000000">
                      <w14:alpha w14:val="100000"/>
                    </w14:srgbClr>
                  </w14:solidFill>
                </w14:textFill>
              </w:rPr>
              <w:t>|||</w:t>
            </w:r>
            <w:r w:rsidRPr="003C043D">
              <w:rPr>
                <w:color w:val="000000"/>
                <w:spacing w:val="1"/>
                <w:sz w:val="20"/>
                <w:shd w:val="solid" w:color="000000" w:fill="000000"/>
                <w:fitText w:val="375" w:id="-1233371134"/>
                <w:lang w:eastAsia="en-AU"/>
                <w14:textFill>
                  <w14:solidFill>
                    <w14:srgbClr w14:val="000000">
                      <w14:alpha w14:val="100000"/>
                    </w14:srgbClr>
                  </w14:solidFill>
                </w14:textFill>
              </w:rPr>
              <w:t>|</w:t>
            </w:r>
            <w:r w:rsidR="008232F4" w:rsidRPr="00A95754">
              <w:rPr>
                <w:sz w:val="20"/>
                <w:lang w:eastAsia="en-AU"/>
              </w:rPr>
              <w:t xml:space="preserve"> </w:t>
            </w:r>
            <w:r w:rsidR="008232F4">
              <w:rPr>
                <w:sz w:val="20"/>
                <w:vertAlign w:val="superscript"/>
                <w:lang w:eastAsia="en-AU"/>
              </w:rPr>
              <w:t>2</w:t>
            </w:r>
          </w:p>
        </w:tc>
        <w:tc>
          <w:tcPr>
            <w:tcW w:w="558" w:type="pct"/>
            <w:vAlign w:val="center"/>
          </w:tcPr>
          <w:p w14:paraId="33A7158B" w14:textId="3195127F"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33"/>
                <w:lang w:eastAsia="en-AU"/>
                <w14:textFill>
                  <w14:solidFill>
                    <w14:srgbClr w14:val="000000">
                      <w14:alpha w14:val="100000"/>
                    </w14:srgbClr>
                  </w14:solidFill>
                </w14:textFill>
              </w:rPr>
              <w:t>|||</w:t>
            </w:r>
            <w:r w:rsidRPr="003C043D">
              <w:rPr>
                <w:color w:val="000000"/>
                <w:spacing w:val="1"/>
                <w:sz w:val="20"/>
                <w:shd w:val="solid" w:color="000000" w:fill="000000"/>
                <w:fitText w:val="375" w:id="-1233371133"/>
                <w:lang w:eastAsia="en-AU"/>
                <w14:textFill>
                  <w14:solidFill>
                    <w14:srgbClr w14:val="000000">
                      <w14:alpha w14:val="100000"/>
                    </w14:srgbClr>
                  </w14:solidFill>
                </w14:textFill>
              </w:rPr>
              <w:t>|</w:t>
            </w:r>
            <w:r w:rsidR="008232F4" w:rsidRPr="00A95754">
              <w:rPr>
                <w:sz w:val="20"/>
                <w:lang w:eastAsia="en-AU"/>
              </w:rPr>
              <w:t xml:space="preserve"> </w:t>
            </w:r>
            <w:r w:rsidR="008232F4">
              <w:rPr>
                <w:sz w:val="20"/>
                <w:vertAlign w:val="superscript"/>
                <w:lang w:eastAsia="en-AU"/>
              </w:rPr>
              <w:t>2</w:t>
            </w:r>
          </w:p>
        </w:tc>
        <w:tc>
          <w:tcPr>
            <w:tcW w:w="537" w:type="pct"/>
            <w:vAlign w:val="center"/>
          </w:tcPr>
          <w:p w14:paraId="2BF235A3" w14:textId="68E3EFDC"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1132"/>
                <w:lang w:eastAsia="en-AU"/>
                <w14:textFill>
                  <w14:solidFill>
                    <w14:srgbClr w14:val="000000">
                      <w14:alpha w14:val="100000"/>
                    </w14:srgbClr>
                  </w14:solidFill>
                </w14:textFill>
              </w:rPr>
              <w:t>|||</w:t>
            </w:r>
            <w:r w:rsidRPr="003C043D">
              <w:rPr>
                <w:color w:val="000000"/>
                <w:spacing w:val="2"/>
                <w:sz w:val="20"/>
                <w:shd w:val="solid" w:color="000000" w:fill="000000"/>
                <w:fitText w:val="391" w:id="-1233371132"/>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2</w:t>
            </w:r>
          </w:p>
        </w:tc>
      </w:tr>
      <w:tr w:rsidR="00BE18C5" w:rsidRPr="00A95754" w14:paraId="767A95B7" w14:textId="77777777" w:rsidTr="00DF2C5C">
        <w:tc>
          <w:tcPr>
            <w:tcW w:w="201" w:type="pct"/>
          </w:tcPr>
          <w:p w14:paraId="5A7974E6" w14:textId="77777777" w:rsidR="00BE18C5" w:rsidRPr="00A95754" w:rsidRDefault="00BE18C5" w:rsidP="00DF2C5C">
            <w:pPr>
              <w:pStyle w:val="TableText0"/>
              <w:keepNext w:val="0"/>
              <w:jc w:val="center"/>
              <w:rPr>
                <w:sz w:val="20"/>
                <w:lang w:eastAsia="en-AU"/>
              </w:rPr>
            </w:pPr>
            <w:r w:rsidRPr="00A95754">
              <w:rPr>
                <w:sz w:val="20"/>
                <w:lang w:eastAsia="en-AU"/>
              </w:rPr>
              <w:t>D</w:t>
            </w:r>
          </w:p>
        </w:tc>
        <w:tc>
          <w:tcPr>
            <w:tcW w:w="980" w:type="pct"/>
          </w:tcPr>
          <w:p w14:paraId="008682BC" w14:textId="77777777" w:rsidR="00BE18C5" w:rsidRPr="00A95754" w:rsidRDefault="00BE18C5" w:rsidP="00DF2C5C">
            <w:pPr>
              <w:pStyle w:val="TableText0"/>
              <w:keepNext w:val="0"/>
              <w:ind w:right="-102"/>
              <w:rPr>
                <w:sz w:val="20"/>
                <w:lang w:eastAsia="en-AU"/>
              </w:rPr>
            </w:pPr>
            <w:r w:rsidRPr="00A95754">
              <w:rPr>
                <w:sz w:val="20"/>
                <w:lang w:eastAsia="en-AU"/>
              </w:rPr>
              <w:t>EHCC, incidence per 100,000</w:t>
            </w:r>
            <w:r w:rsidRPr="00A95754">
              <w:rPr>
                <w:sz w:val="20"/>
                <w:vertAlign w:val="superscript"/>
                <w:lang w:eastAsia="en-AU"/>
              </w:rPr>
              <w:t xml:space="preserve">a </w:t>
            </w:r>
          </w:p>
        </w:tc>
        <w:tc>
          <w:tcPr>
            <w:tcW w:w="491" w:type="pct"/>
            <w:vAlign w:val="center"/>
          </w:tcPr>
          <w:p w14:paraId="43521E58" w14:textId="77777777" w:rsidR="00BE18C5" w:rsidRPr="00A95754" w:rsidRDefault="00BE18C5" w:rsidP="00DF2C5C">
            <w:pPr>
              <w:pStyle w:val="TableText0"/>
              <w:keepNext w:val="0"/>
              <w:ind w:left="-106" w:right="-74"/>
              <w:jc w:val="center"/>
              <w:rPr>
                <w:sz w:val="20"/>
                <w:lang w:eastAsia="en-AU"/>
              </w:rPr>
            </w:pPr>
            <w:r w:rsidRPr="00A95754">
              <w:rPr>
                <w:sz w:val="20"/>
                <w:lang w:eastAsia="en-AU"/>
              </w:rPr>
              <w:t>D</w:t>
            </w:r>
          </w:p>
        </w:tc>
        <w:tc>
          <w:tcPr>
            <w:tcW w:w="558" w:type="pct"/>
            <w:vAlign w:val="center"/>
          </w:tcPr>
          <w:p w14:paraId="4062EAB7" w14:textId="77777777" w:rsidR="00BE18C5" w:rsidRPr="00A95754" w:rsidRDefault="00BE18C5" w:rsidP="00DF2C5C">
            <w:pPr>
              <w:pStyle w:val="TableText0"/>
              <w:keepNext w:val="0"/>
              <w:jc w:val="center"/>
              <w:rPr>
                <w:sz w:val="20"/>
                <w:lang w:eastAsia="en-AU"/>
              </w:rPr>
            </w:pPr>
            <w:r w:rsidRPr="00A95754">
              <w:rPr>
                <w:sz w:val="20"/>
                <w:lang w:eastAsia="en-AU"/>
              </w:rPr>
              <w:t>1.7</w:t>
            </w:r>
          </w:p>
        </w:tc>
        <w:tc>
          <w:tcPr>
            <w:tcW w:w="558" w:type="pct"/>
            <w:vAlign w:val="center"/>
          </w:tcPr>
          <w:p w14:paraId="2DD33E21" w14:textId="77777777" w:rsidR="00BE18C5" w:rsidRPr="00A95754" w:rsidRDefault="00BE18C5" w:rsidP="00DF2C5C">
            <w:pPr>
              <w:pStyle w:val="TableText0"/>
              <w:keepNext w:val="0"/>
              <w:jc w:val="center"/>
              <w:rPr>
                <w:sz w:val="20"/>
                <w:lang w:eastAsia="en-AU"/>
              </w:rPr>
            </w:pPr>
            <w:r w:rsidRPr="00A95754">
              <w:rPr>
                <w:sz w:val="20"/>
                <w:lang w:eastAsia="en-AU"/>
              </w:rPr>
              <w:t>1.7</w:t>
            </w:r>
          </w:p>
        </w:tc>
        <w:tc>
          <w:tcPr>
            <w:tcW w:w="559" w:type="pct"/>
            <w:vAlign w:val="center"/>
          </w:tcPr>
          <w:p w14:paraId="1C03550D" w14:textId="77777777" w:rsidR="00BE18C5" w:rsidRPr="00A95754" w:rsidRDefault="00BE18C5" w:rsidP="00DF2C5C">
            <w:pPr>
              <w:pStyle w:val="TableText0"/>
              <w:keepNext w:val="0"/>
              <w:jc w:val="center"/>
              <w:rPr>
                <w:sz w:val="20"/>
                <w:lang w:eastAsia="en-AU"/>
              </w:rPr>
            </w:pPr>
            <w:r w:rsidRPr="00A95754">
              <w:rPr>
                <w:sz w:val="20"/>
                <w:lang w:eastAsia="en-AU"/>
              </w:rPr>
              <w:t>1.8</w:t>
            </w:r>
          </w:p>
        </w:tc>
        <w:tc>
          <w:tcPr>
            <w:tcW w:w="558" w:type="pct"/>
            <w:vAlign w:val="center"/>
          </w:tcPr>
          <w:p w14:paraId="46E29E20" w14:textId="77777777" w:rsidR="00BE18C5" w:rsidRPr="00A95754" w:rsidRDefault="00BE18C5" w:rsidP="00DF2C5C">
            <w:pPr>
              <w:pStyle w:val="TableText0"/>
              <w:keepNext w:val="0"/>
              <w:jc w:val="center"/>
              <w:rPr>
                <w:sz w:val="20"/>
                <w:lang w:eastAsia="en-AU"/>
              </w:rPr>
            </w:pPr>
            <w:r w:rsidRPr="00A95754">
              <w:rPr>
                <w:sz w:val="20"/>
                <w:lang w:eastAsia="en-AU"/>
              </w:rPr>
              <w:t>1.8</w:t>
            </w:r>
          </w:p>
        </w:tc>
        <w:tc>
          <w:tcPr>
            <w:tcW w:w="558" w:type="pct"/>
            <w:vAlign w:val="center"/>
          </w:tcPr>
          <w:p w14:paraId="7ED9199F" w14:textId="77777777" w:rsidR="00BE18C5" w:rsidRPr="00A95754" w:rsidRDefault="00BE18C5" w:rsidP="00DF2C5C">
            <w:pPr>
              <w:pStyle w:val="TableText0"/>
              <w:keepNext w:val="0"/>
              <w:jc w:val="center"/>
              <w:rPr>
                <w:sz w:val="20"/>
                <w:lang w:eastAsia="en-AU"/>
              </w:rPr>
            </w:pPr>
            <w:r w:rsidRPr="00A95754">
              <w:rPr>
                <w:sz w:val="20"/>
                <w:lang w:eastAsia="en-AU"/>
              </w:rPr>
              <w:t>1.9</w:t>
            </w:r>
          </w:p>
        </w:tc>
        <w:tc>
          <w:tcPr>
            <w:tcW w:w="537" w:type="pct"/>
            <w:vAlign w:val="center"/>
          </w:tcPr>
          <w:p w14:paraId="69B8ED75" w14:textId="77777777" w:rsidR="00BE18C5" w:rsidRPr="00A95754" w:rsidRDefault="00BE18C5" w:rsidP="00DF2C5C">
            <w:pPr>
              <w:pStyle w:val="TableText0"/>
              <w:keepNext w:val="0"/>
              <w:jc w:val="center"/>
              <w:rPr>
                <w:sz w:val="20"/>
                <w:lang w:eastAsia="en-AU"/>
              </w:rPr>
            </w:pPr>
            <w:r w:rsidRPr="00A95754">
              <w:rPr>
                <w:sz w:val="20"/>
                <w:lang w:eastAsia="en-AU"/>
              </w:rPr>
              <w:t>1.9</w:t>
            </w:r>
          </w:p>
        </w:tc>
      </w:tr>
      <w:tr w:rsidR="00BE18C5" w:rsidRPr="00A95754" w14:paraId="738897AF" w14:textId="77777777" w:rsidTr="00DF2C5C">
        <w:tc>
          <w:tcPr>
            <w:tcW w:w="201" w:type="pct"/>
          </w:tcPr>
          <w:p w14:paraId="57CE831E" w14:textId="77777777" w:rsidR="00BE18C5" w:rsidRPr="00A95754" w:rsidRDefault="00BE18C5" w:rsidP="00DF2C5C">
            <w:pPr>
              <w:pStyle w:val="TableText0"/>
              <w:keepNext w:val="0"/>
              <w:jc w:val="center"/>
              <w:rPr>
                <w:sz w:val="20"/>
                <w:lang w:eastAsia="en-AU"/>
              </w:rPr>
            </w:pPr>
            <w:r w:rsidRPr="00A95754">
              <w:rPr>
                <w:sz w:val="20"/>
                <w:lang w:eastAsia="en-AU"/>
              </w:rPr>
              <w:t>E</w:t>
            </w:r>
          </w:p>
        </w:tc>
        <w:tc>
          <w:tcPr>
            <w:tcW w:w="980" w:type="pct"/>
          </w:tcPr>
          <w:p w14:paraId="2888F6A2" w14:textId="77777777" w:rsidR="00BE18C5" w:rsidRPr="00A95754" w:rsidRDefault="00BE18C5" w:rsidP="00DF2C5C">
            <w:pPr>
              <w:pStyle w:val="TableText0"/>
              <w:keepNext w:val="0"/>
              <w:ind w:right="-102"/>
              <w:rPr>
                <w:sz w:val="20"/>
                <w:lang w:eastAsia="en-AU"/>
              </w:rPr>
            </w:pPr>
            <w:r w:rsidRPr="00A95754">
              <w:rPr>
                <w:sz w:val="20"/>
                <w:lang w:eastAsia="en-AU"/>
              </w:rPr>
              <w:t>EHCC patients, incident cases</w:t>
            </w:r>
          </w:p>
        </w:tc>
        <w:tc>
          <w:tcPr>
            <w:tcW w:w="491" w:type="pct"/>
            <w:vAlign w:val="center"/>
          </w:tcPr>
          <w:p w14:paraId="296A6B70" w14:textId="77777777" w:rsidR="00BE18C5" w:rsidRPr="00A95754" w:rsidRDefault="00BE18C5" w:rsidP="00DF2C5C">
            <w:pPr>
              <w:pStyle w:val="TableText0"/>
              <w:keepNext w:val="0"/>
              <w:ind w:left="-106" w:right="-74"/>
              <w:jc w:val="center"/>
              <w:rPr>
                <w:sz w:val="20"/>
                <w:lang w:eastAsia="en-AU"/>
              </w:rPr>
            </w:pPr>
            <w:r w:rsidRPr="00A95754">
              <w:rPr>
                <w:sz w:val="20"/>
                <w:lang w:eastAsia="en-AU"/>
              </w:rPr>
              <w:t>E= (A x D) /100,000</w:t>
            </w:r>
          </w:p>
        </w:tc>
        <w:tc>
          <w:tcPr>
            <w:tcW w:w="558" w:type="pct"/>
            <w:vAlign w:val="center"/>
          </w:tcPr>
          <w:p w14:paraId="72A85F35" w14:textId="592A0A86"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31"/>
                <w:lang w:eastAsia="en-AU"/>
                <w14:textFill>
                  <w14:solidFill>
                    <w14:srgbClr w14:val="000000">
                      <w14:alpha w14:val="100000"/>
                    </w14:srgbClr>
                  </w14:solidFill>
                </w14:textFill>
              </w:rPr>
              <w:t>|||</w:t>
            </w:r>
            <w:r w:rsidRPr="003C043D">
              <w:rPr>
                <w:color w:val="000000"/>
                <w:spacing w:val="3"/>
                <w:sz w:val="20"/>
                <w:shd w:val="solid" w:color="000000" w:fill="000000"/>
                <w:fitText w:val="374" w:id="-1233371131"/>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2</w:t>
            </w:r>
          </w:p>
        </w:tc>
        <w:tc>
          <w:tcPr>
            <w:tcW w:w="558" w:type="pct"/>
            <w:vAlign w:val="center"/>
          </w:tcPr>
          <w:p w14:paraId="405964F2" w14:textId="2A9BCBFD"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30"/>
                <w:lang w:eastAsia="en-AU"/>
                <w14:textFill>
                  <w14:solidFill>
                    <w14:srgbClr w14:val="000000">
                      <w14:alpha w14:val="100000"/>
                    </w14:srgbClr>
                  </w14:solidFill>
                </w14:textFill>
              </w:rPr>
              <w:t>|||</w:t>
            </w:r>
            <w:r w:rsidRPr="003C043D">
              <w:rPr>
                <w:color w:val="000000"/>
                <w:spacing w:val="3"/>
                <w:sz w:val="20"/>
                <w:shd w:val="solid" w:color="000000" w:fill="000000"/>
                <w:fitText w:val="374" w:id="-1233371130"/>
                <w:lang w:eastAsia="en-AU"/>
                <w14:textFill>
                  <w14:solidFill>
                    <w14:srgbClr w14:val="000000">
                      <w14:alpha w14:val="100000"/>
                    </w14:srgbClr>
                  </w14:solidFill>
                </w14:textFill>
              </w:rPr>
              <w:t>|</w:t>
            </w:r>
            <w:r w:rsidR="008232F4" w:rsidRPr="00A95754">
              <w:rPr>
                <w:sz w:val="20"/>
                <w:lang w:eastAsia="en-AU"/>
              </w:rPr>
              <w:t xml:space="preserve"> </w:t>
            </w:r>
            <w:r w:rsidR="008232F4">
              <w:rPr>
                <w:sz w:val="20"/>
                <w:vertAlign w:val="superscript"/>
                <w:lang w:eastAsia="en-AU"/>
              </w:rPr>
              <w:t>2</w:t>
            </w:r>
          </w:p>
        </w:tc>
        <w:tc>
          <w:tcPr>
            <w:tcW w:w="559" w:type="pct"/>
            <w:vAlign w:val="center"/>
          </w:tcPr>
          <w:p w14:paraId="408278F2" w14:textId="3E8F31AD"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1129"/>
                <w:lang w:eastAsia="en-AU"/>
                <w14:textFill>
                  <w14:solidFill>
                    <w14:srgbClr w14:val="000000">
                      <w14:alpha w14:val="100000"/>
                    </w14:srgbClr>
                  </w14:solidFill>
                </w14:textFill>
              </w:rPr>
              <w:t>|||</w:t>
            </w:r>
            <w:r w:rsidRPr="003C043D">
              <w:rPr>
                <w:color w:val="000000"/>
                <w:spacing w:val="1"/>
                <w:sz w:val="20"/>
                <w:shd w:val="solid" w:color="000000" w:fill="000000"/>
                <w:fitText w:val="366" w:id="-1233371129"/>
                <w:lang w:eastAsia="en-AU"/>
                <w14:textFill>
                  <w14:solidFill>
                    <w14:srgbClr w14:val="000000">
                      <w14:alpha w14:val="100000"/>
                    </w14:srgbClr>
                  </w14:solidFill>
                </w14:textFill>
              </w:rPr>
              <w:t>|</w:t>
            </w:r>
            <w:r w:rsidR="008232F4" w:rsidRPr="00A95754">
              <w:rPr>
                <w:sz w:val="20"/>
                <w:lang w:eastAsia="en-AU"/>
              </w:rPr>
              <w:t xml:space="preserve"> </w:t>
            </w:r>
            <w:r w:rsidR="008232F4">
              <w:rPr>
                <w:sz w:val="20"/>
                <w:vertAlign w:val="superscript"/>
                <w:lang w:eastAsia="en-AU"/>
              </w:rPr>
              <w:t>2</w:t>
            </w:r>
          </w:p>
        </w:tc>
        <w:tc>
          <w:tcPr>
            <w:tcW w:w="558" w:type="pct"/>
            <w:vAlign w:val="center"/>
          </w:tcPr>
          <w:p w14:paraId="6866BE5E" w14:textId="2AA3695D"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28"/>
                <w:lang w:eastAsia="en-AU"/>
                <w14:textFill>
                  <w14:solidFill>
                    <w14:srgbClr w14:val="000000">
                      <w14:alpha w14:val="100000"/>
                    </w14:srgbClr>
                  </w14:solidFill>
                </w14:textFill>
              </w:rPr>
              <w:t>|||</w:t>
            </w:r>
            <w:r w:rsidRPr="003C043D">
              <w:rPr>
                <w:color w:val="000000"/>
                <w:spacing w:val="1"/>
                <w:sz w:val="20"/>
                <w:shd w:val="solid" w:color="000000" w:fill="000000"/>
                <w:fitText w:val="375" w:id="-1233371128"/>
                <w:lang w:eastAsia="en-AU"/>
                <w14:textFill>
                  <w14:solidFill>
                    <w14:srgbClr w14:val="000000">
                      <w14:alpha w14:val="100000"/>
                    </w14:srgbClr>
                  </w14:solidFill>
                </w14:textFill>
              </w:rPr>
              <w:t>|</w:t>
            </w:r>
            <w:r w:rsidR="008232F4" w:rsidRPr="00A95754">
              <w:rPr>
                <w:sz w:val="20"/>
                <w:lang w:eastAsia="en-AU"/>
              </w:rPr>
              <w:t xml:space="preserve"> </w:t>
            </w:r>
            <w:r w:rsidR="008232F4">
              <w:rPr>
                <w:sz w:val="20"/>
                <w:vertAlign w:val="superscript"/>
                <w:lang w:eastAsia="en-AU"/>
              </w:rPr>
              <w:t>3</w:t>
            </w:r>
          </w:p>
        </w:tc>
        <w:tc>
          <w:tcPr>
            <w:tcW w:w="558" w:type="pct"/>
            <w:vAlign w:val="center"/>
          </w:tcPr>
          <w:p w14:paraId="48A20FEA" w14:textId="3D1B253C"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27"/>
                <w:lang w:eastAsia="en-AU"/>
                <w14:textFill>
                  <w14:solidFill>
                    <w14:srgbClr w14:val="000000">
                      <w14:alpha w14:val="100000"/>
                    </w14:srgbClr>
                  </w14:solidFill>
                </w14:textFill>
              </w:rPr>
              <w:t>|||</w:t>
            </w:r>
            <w:r w:rsidRPr="003C043D">
              <w:rPr>
                <w:color w:val="000000"/>
                <w:spacing w:val="1"/>
                <w:sz w:val="20"/>
                <w:shd w:val="solid" w:color="000000" w:fill="000000"/>
                <w:fitText w:val="375" w:id="-1233371127"/>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0C494FD7" w14:textId="2B10E236"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1126"/>
                <w:lang w:eastAsia="en-AU"/>
                <w14:textFill>
                  <w14:solidFill>
                    <w14:srgbClr w14:val="000000">
                      <w14:alpha w14:val="100000"/>
                    </w14:srgbClr>
                  </w14:solidFill>
                </w14:textFill>
              </w:rPr>
              <w:t>|||</w:t>
            </w:r>
            <w:r w:rsidRPr="003C043D">
              <w:rPr>
                <w:color w:val="000000"/>
                <w:spacing w:val="2"/>
                <w:sz w:val="20"/>
                <w:shd w:val="solid" w:color="000000" w:fill="000000"/>
                <w:fitText w:val="391" w:id="-1233371126"/>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r>
      <w:tr w:rsidR="00BE18C5" w:rsidRPr="00A95754" w14:paraId="0D378780" w14:textId="77777777" w:rsidTr="00DF2C5C">
        <w:tc>
          <w:tcPr>
            <w:tcW w:w="201" w:type="pct"/>
          </w:tcPr>
          <w:p w14:paraId="5A3017B3" w14:textId="77777777" w:rsidR="00BE18C5" w:rsidRPr="00A95754" w:rsidRDefault="00BE18C5" w:rsidP="00DF2C5C">
            <w:pPr>
              <w:pStyle w:val="TableText0"/>
              <w:keepNext w:val="0"/>
              <w:jc w:val="center"/>
              <w:rPr>
                <w:sz w:val="20"/>
                <w:lang w:eastAsia="en-AU"/>
              </w:rPr>
            </w:pPr>
            <w:r w:rsidRPr="00A95754">
              <w:rPr>
                <w:sz w:val="20"/>
                <w:lang w:eastAsia="en-AU"/>
              </w:rPr>
              <w:t>F</w:t>
            </w:r>
          </w:p>
        </w:tc>
        <w:tc>
          <w:tcPr>
            <w:tcW w:w="980" w:type="pct"/>
          </w:tcPr>
          <w:p w14:paraId="020A0313" w14:textId="77777777" w:rsidR="00BE18C5" w:rsidRPr="00A95754" w:rsidRDefault="00BE18C5" w:rsidP="00DF2C5C">
            <w:pPr>
              <w:pStyle w:val="TableText0"/>
              <w:keepNext w:val="0"/>
              <w:ind w:right="-102"/>
              <w:rPr>
                <w:sz w:val="20"/>
                <w:lang w:eastAsia="en-AU"/>
              </w:rPr>
            </w:pPr>
            <w:r w:rsidRPr="00A95754">
              <w:rPr>
                <w:sz w:val="20"/>
                <w:lang w:eastAsia="en-AU"/>
              </w:rPr>
              <w:t>Liver cancer, incidence per 100,000</w:t>
            </w:r>
            <w:r w:rsidRPr="00A95754">
              <w:rPr>
                <w:sz w:val="20"/>
                <w:vertAlign w:val="superscript"/>
                <w:lang w:eastAsia="en-AU"/>
              </w:rPr>
              <w:t>a</w:t>
            </w:r>
            <w:r w:rsidRPr="00A95754">
              <w:rPr>
                <w:sz w:val="20"/>
                <w:lang w:eastAsia="en-AU"/>
              </w:rPr>
              <w:t xml:space="preserve"> </w:t>
            </w:r>
          </w:p>
        </w:tc>
        <w:tc>
          <w:tcPr>
            <w:tcW w:w="491" w:type="pct"/>
            <w:vAlign w:val="center"/>
          </w:tcPr>
          <w:p w14:paraId="5524A999" w14:textId="77777777" w:rsidR="00BE18C5" w:rsidRPr="00A95754" w:rsidRDefault="00BE18C5" w:rsidP="00DF2C5C">
            <w:pPr>
              <w:pStyle w:val="TableText0"/>
              <w:keepNext w:val="0"/>
              <w:ind w:left="-106" w:right="-74"/>
              <w:jc w:val="center"/>
              <w:rPr>
                <w:sz w:val="20"/>
                <w:lang w:eastAsia="en-AU"/>
              </w:rPr>
            </w:pPr>
            <w:r w:rsidRPr="00A95754">
              <w:rPr>
                <w:sz w:val="20"/>
                <w:lang w:eastAsia="en-AU"/>
              </w:rPr>
              <w:t>F</w:t>
            </w:r>
          </w:p>
        </w:tc>
        <w:tc>
          <w:tcPr>
            <w:tcW w:w="558" w:type="pct"/>
            <w:vAlign w:val="center"/>
          </w:tcPr>
          <w:p w14:paraId="7A8B272D" w14:textId="77777777" w:rsidR="00BE18C5" w:rsidRPr="00A95754" w:rsidRDefault="00BE18C5" w:rsidP="00DF2C5C">
            <w:pPr>
              <w:pStyle w:val="TableText0"/>
              <w:keepNext w:val="0"/>
              <w:jc w:val="center"/>
              <w:rPr>
                <w:sz w:val="20"/>
                <w:lang w:eastAsia="en-AU"/>
              </w:rPr>
            </w:pPr>
            <w:r w:rsidRPr="00A95754">
              <w:rPr>
                <w:sz w:val="20"/>
                <w:lang w:eastAsia="en-AU"/>
              </w:rPr>
              <w:t>11.5</w:t>
            </w:r>
          </w:p>
        </w:tc>
        <w:tc>
          <w:tcPr>
            <w:tcW w:w="558" w:type="pct"/>
            <w:vAlign w:val="center"/>
          </w:tcPr>
          <w:p w14:paraId="476ADCF6" w14:textId="77777777" w:rsidR="00BE18C5" w:rsidRPr="00A95754" w:rsidRDefault="00BE18C5" w:rsidP="00DF2C5C">
            <w:pPr>
              <w:pStyle w:val="TableText0"/>
              <w:keepNext w:val="0"/>
              <w:jc w:val="center"/>
              <w:rPr>
                <w:sz w:val="20"/>
                <w:lang w:eastAsia="en-AU"/>
              </w:rPr>
            </w:pPr>
            <w:r w:rsidRPr="00A95754">
              <w:rPr>
                <w:sz w:val="20"/>
                <w:lang w:eastAsia="en-AU"/>
              </w:rPr>
              <w:t>11.8</w:t>
            </w:r>
          </w:p>
        </w:tc>
        <w:tc>
          <w:tcPr>
            <w:tcW w:w="559" w:type="pct"/>
            <w:vAlign w:val="center"/>
          </w:tcPr>
          <w:p w14:paraId="69ABADB2" w14:textId="77777777" w:rsidR="00BE18C5" w:rsidRPr="00A95754" w:rsidRDefault="00BE18C5" w:rsidP="00DF2C5C">
            <w:pPr>
              <w:pStyle w:val="TableText0"/>
              <w:keepNext w:val="0"/>
              <w:jc w:val="center"/>
              <w:rPr>
                <w:sz w:val="20"/>
                <w:lang w:eastAsia="en-AU"/>
              </w:rPr>
            </w:pPr>
            <w:r w:rsidRPr="00A95754">
              <w:rPr>
                <w:sz w:val="20"/>
                <w:lang w:eastAsia="en-AU"/>
              </w:rPr>
              <w:t>12.1</w:t>
            </w:r>
          </w:p>
        </w:tc>
        <w:tc>
          <w:tcPr>
            <w:tcW w:w="558" w:type="pct"/>
            <w:vAlign w:val="center"/>
          </w:tcPr>
          <w:p w14:paraId="7A3367D1" w14:textId="77777777" w:rsidR="00BE18C5" w:rsidRPr="00A95754" w:rsidRDefault="00BE18C5" w:rsidP="00DF2C5C">
            <w:pPr>
              <w:pStyle w:val="TableText0"/>
              <w:keepNext w:val="0"/>
              <w:jc w:val="center"/>
              <w:rPr>
                <w:sz w:val="20"/>
                <w:lang w:eastAsia="en-AU"/>
              </w:rPr>
            </w:pPr>
            <w:r w:rsidRPr="00A95754">
              <w:rPr>
                <w:sz w:val="20"/>
                <w:lang w:eastAsia="en-AU"/>
              </w:rPr>
              <w:t>12.3</w:t>
            </w:r>
          </w:p>
        </w:tc>
        <w:tc>
          <w:tcPr>
            <w:tcW w:w="558" w:type="pct"/>
            <w:vAlign w:val="center"/>
          </w:tcPr>
          <w:p w14:paraId="2122BB2F" w14:textId="77777777" w:rsidR="00BE18C5" w:rsidRPr="00A95754" w:rsidRDefault="00BE18C5" w:rsidP="00DF2C5C">
            <w:pPr>
              <w:pStyle w:val="TableText0"/>
              <w:keepNext w:val="0"/>
              <w:jc w:val="center"/>
              <w:rPr>
                <w:sz w:val="20"/>
                <w:lang w:eastAsia="en-AU"/>
              </w:rPr>
            </w:pPr>
            <w:r w:rsidRPr="00A95754">
              <w:rPr>
                <w:sz w:val="20"/>
                <w:lang w:eastAsia="en-AU"/>
              </w:rPr>
              <w:t>12.6</w:t>
            </w:r>
          </w:p>
        </w:tc>
        <w:tc>
          <w:tcPr>
            <w:tcW w:w="537" w:type="pct"/>
            <w:vAlign w:val="center"/>
          </w:tcPr>
          <w:p w14:paraId="4C73B019" w14:textId="77777777" w:rsidR="00BE18C5" w:rsidRPr="00A95754" w:rsidRDefault="00BE18C5" w:rsidP="00DF2C5C">
            <w:pPr>
              <w:pStyle w:val="TableText0"/>
              <w:keepNext w:val="0"/>
              <w:jc w:val="center"/>
              <w:rPr>
                <w:sz w:val="20"/>
                <w:lang w:eastAsia="en-AU"/>
              </w:rPr>
            </w:pPr>
            <w:r w:rsidRPr="00A95754">
              <w:rPr>
                <w:sz w:val="20"/>
                <w:lang w:eastAsia="en-AU"/>
              </w:rPr>
              <w:t>12.9</w:t>
            </w:r>
          </w:p>
        </w:tc>
      </w:tr>
      <w:tr w:rsidR="00BE18C5" w:rsidRPr="00A95754" w14:paraId="20A00417" w14:textId="77777777" w:rsidTr="00DF2C5C">
        <w:tc>
          <w:tcPr>
            <w:tcW w:w="201" w:type="pct"/>
          </w:tcPr>
          <w:p w14:paraId="2655F9DE" w14:textId="77777777" w:rsidR="00BE18C5" w:rsidRPr="00A95754" w:rsidRDefault="00BE18C5" w:rsidP="00DF2C5C">
            <w:pPr>
              <w:pStyle w:val="TableText0"/>
              <w:keepNext w:val="0"/>
              <w:jc w:val="center"/>
              <w:rPr>
                <w:sz w:val="20"/>
                <w:lang w:eastAsia="en-AU"/>
              </w:rPr>
            </w:pPr>
            <w:r w:rsidRPr="00A95754">
              <w:rPr>
                <w:sz w:val="20"/>
                <w:lang w:eastAsia="en-AU"/>
              </w:rPr>
              <w:t>G</w:t>
            </w:r>
          </w:p>
        </w:tc>
        <w:tc>
          <w:tcPr>
            <w:tcW w:w="980" w:type="pct"/>
          </w:tcPr>
          <w:p w14:paraId="4B5F6E3F" w14:textId="77777777" w:rsidR="00BE18C5" w:rsidRPr="00A95754" w:rsidRDefault="00BE18C5" w:rsidP="00DF2C5C">
            <w:pPr>
              <w:pStyle w:val="TableText0"/>
              <w:keepNext w:val="0"/>
              <w:ind w:right="-102"/>
              <w:rPr>
                <w:sz w:val="20"/>
                <w:lang w:eastAsia="en-AU"/>
              </w:rPr>
            </w:pPr>
            <w:r w:rsidRPr="00A95754">
              <w:rPr>
                <w:sz w:val="20"/>
                <w:lang w:eastAsia="en-AU"/>
              </w:rPr>
              <w:t>Liver cancer patients, incident cases</w:t>
            </w:r>
          </w:p>
        </w:tc>
        <w:tc>
          <w:tcPr>
            <w:tcW w:w="491" w:type="pct"/>
            <w:vAlign w:val="center"/>
          </w:tcPr>
          <w:p w14:paraId="2715545C" w14:textId="77777777" w:rsidR="00BE18C5" w:rsidRPr="00A95754" w:rsidRDefault="00BE18C5" w:rsidP="00DF2C5C">
            <w:pPr>
              <w:pStyle w:val="TableText0"/>
              <w:keepNext w:val="0"/>
              <w:ind w:left="-106" w:right="-74"/>
              <w:jc w:val="center"/>
              <w:rPr>
                <w:sz w:val="20"/>
                <w:lang w:eastAsia="en-AU"/>
              </w:rPr>
            </w:pPr>
            <w:r w:rsidRPr="00A95754">
              <w:rPr>
                <w:sz w:val="20"/>
                <w:lang w:eastAsia="en-AU"/>
              </w:rPr>
              <w:t>G= (A x F) /100,000</w:t>
            </w:r>
          </w:p>
        </w:tc>
        <w:tc>
          <w:tcPr>
            <w:tcW w:w="558" w:type="pct"/>
            <w:vAlign w:val="center"/>
          </w:tcPr>
          <w:p w14:paraId="78520F5B" w14:textId="5B5B8934" w:rsidR="00BE18C5" w:rsidRPr="008232F4" w:rsidRDefault="003C043D" w:rsidP="00DF2C5C">
            <w:pPr>
              <w:pStyle w:val="TableText0"/>
              <w:keepNext w:val="0"/>
              <w:jc w:val="center"/>
              <w:rPr>
                <w:sz w:val="20"/>
                <w:highlight w:val="darkGray"/>
                <w:vertAlign w:val="superscript"/>
                <w:lang w:eastAsia="en-AU"/>
              </w:rPr>
            </w:pPr>
            <w:r w:rsidRPr="003C043D">
              <w:rPr>
                <w:color w:val="000000"/>
                <w:spacing w:val="67"/>
                <w:sz w:val="20"/>
                <w:shd w:val="solid" w:color="000000" w:fill="000000"/>
                <w:fitText w:val="374" w:id="-1233371125"/>
                <w:lang w:eastAsia="en-AU"/>
                <w14:textFill>
                  <w14:solidFill>
                    <w14:srgbClr w14:val="000000">
                      <w14:alpha w14:val="100000"/>
                    </w14:srgbClr>
                  </w14:solidFill>
                </w14:textFill>
              </w:rPr>
              <w:t>|||</w:t>
            </w:r>
            <w:r w:rsidRPr="003C043D">
              <w:rPr>
                <w:color w:val="000000"/>
                <w:spacing w:val="3"/>
                <w:sz w:val="20"/>
                <w:shd w:val="solid" w:color="000000" w:fill="000000"/>
                <w:fitText w:val="374" w:id="-1233371125"/>
                <w:lang w:eastAsia="en-AU"/>
                <w14:textFill>
                  <w14:solidFill>
                    <w14:srgbClr w14:val="000000">
                      <w14:alpha w14:val="100000"/>
                    </w14:srgbClr>
                  </w14:solidFill>
                </w14:textFill>
              </w:rPr>
              <w:t>|</w:t>
            </w:r>
            <w:r w:rsidR="00BE18C5" w:rsidRPr="008232F4">
              <w:rPr>
                <w:sz w:val="20"/>
                <w:lang w:eastAsia="en-AU"/>
              </w:rPr>
              <w:t xml:space="preserve"> </w:t>
            </w:r>
            <w:r w:rsidR="008232F4" w:rsidRPr="008232F4">
              <w:rPr>
                <w:sz w:val="20"/>
                <w:vertAlign w:val="superscript"/>
                <w:lang w:eastAsia="en-AU"/>
              </w:rPr>
              <w:t>3</w:t>
            </w:r>
          </w:p>
        </w:tc>
        <w:tc>
          <w:tcPr>
            <w:tcW w:w="558" w:type="pct"/>
            <w:vAlign w:val="center"/>
          </w:tcPr>
          <w:p w14:paraId="7F241043" w14:textId="5BD295E8"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24"/>
                <w:lang w:eastAsia="en-AU"/>
                <w14:textFill>
                  <w14:solidFill>
                    <w14:srgbClr w14:val="000000">
                      <w14:alpha w14:val="100000"/>
                    </w14:srgbClr>
                  </w14:solidFill>
                </w14:textFill>
              </w:rPr>
              <w:t>|||</w:t>
            </w:r>
            <w:r w:rsidRPr="003C043D">
              <w:rPr>
                <w:color w:val="000000"/>
                <w:spacing w:val="3"/>
                <w:sz w:val="20"/>
                <w:shd w:val="solid" w:color="000000" w:fill="000000"/>
                <w:fitText w:val="374" w:id="-1233371124"/>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9" w:type="pct"/>
            <w:vAlign w:val="center"/>
          </w:tcPr>
          <w:p w14:paraId="2590E46F" w14:textId="5112A5DB"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1123"/>
                <w:lang w:eastAsia="en-AU"/>
                <w14:textFill>
                  <w14:solidFill>
                    <w14:srgbClr w14:val="000000">
                      <w14:alpha w14:val="100000"/>
                    </w14:srgbClr>
                  </w14:solidFill>
                </w14:textFill>
              </w:rPr>
              <w:t>|||</w:t>
            </w:r>
            <w:r w:rsidRPr="003C043D">
              <w:rPr>
                <w:color w:val="000000"/>
                <w:spacing w:val="1"/>
                <w:sz w:val="20"/>
                <w:shd w:val="solid" w:color="000000" w:fill="000000"/>
                <w:fitText w:val="366" w:id="-1233371123"/>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4298472C" w14:textId="041AC18A"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22"/>
                <w:lang w:eastAsia="en-AU"/>
                <w14:textFill>
                  <w14:solidFill>
                    <w14:srgbClr w14:val="000000">
                      <w14:alpha w14:val="100000"/>
                    </w14:srgbClr>
                  </w14:solidFill>
                </w14:textFill>
              </w:rPr>
              <w:t>|||</w:t>
            </w:r>
            <w:r w:rsidRPr="003C043D">
              <w:rPr>
                <w:color w:val="000000"/>
                <w:spacing w:val="1"/>
                <w:sz w:val="20"/>
                <w:shd w:val="solid" w:color="000000" w:fill="000000"/>
                <w:fitText w:val="375" w:id="-1233371122"/>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66EF3C72" w14:textId="057F18E1"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21"/>
                <w:lang w:eastAsia="en-AU"/>
                <w14:textFill>
                  <w14:solidFill>
                    <w14:srgbClr w14:val="000000">
                      <w14:alpha w14:val="100000"/>
                    </w14:srgbClr>
                  </w14:solidFill>
                </w14:textFill>
              </w:rPr>
              <w:t>|||</w:t>
            </w:r>
            <w:r w:rsidRPr="003C043D">
              <w:rPr>
                <w:color w:val="000000"/>
                <w:spacing w:val="1"/>
                <w:sz w:val="20"/>
                <w:shd w:val="solid" w:color="000000" w:fill="000000"/>
                <w:fitText w:val="375" w:id="-1233371121"/>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02EEDCFA" w14:textId="0A3FA7B5"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1120"/>
                <w:lang w:eastAsia="en-AU"/>
                <w14:textFill>
                  <w14:solidFill>
                    <w14:srgbClr w14:val="000000">
                      <w14:alpha w14:val="100000"/>
                    </w14:srgbClr>
                  </w14:solidFill>
                </w14:textFill>
              </w:rPr>
              <w:t>|||</w:t>
            </w:r>
            <w:r w:rsidRPr="003C043D">
              <w:rPr>
                <w:color w:val="000000"/>
                <w:spacing w:val="2"/>
                <w:sz w:val="20"/>
                <w:shd w:val="solid" w:color="000000" w:fill="000000"/>
                <w:fitText w:val="391" w:id="-1233371120"/>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r>
      <w:tr w:rsidR="00BE18C5" w:rsidRPr="00A95754" w14:paraId="4640AB99" w14:textId="77777777" w:rsidTr="00DF2C5C">
        <w:tc>
          <w:tcPr>
            <w:tcW w:w="201" w:type="pct"/>
          </w:tcPr>
          <w:p w14:paraId="35C9B2B6" w14:textId="77777777" w:rsidR="00BE18C5" w:rsidRPr="00A95754" w:rsidRDefault="00BE18C5" w:rsidP="00DF2C5C">
            <w:pPr>
              <w:pStyle w:val="TableText0"/>
              <w:keepNext w:val="0"/>
              <w:jc w:val="center"/>
              <w:rPr>
                <w:sz w:val="20"/>
                <w:lang w:eastAsia="en-AU"/>
              </w:rPr>
            </w:pPr>
            <w:r w:rsidRPr="00A95754">
              <w:rPr>
                <w:sz w:val="20"/>
                <w:lang w:eastAsia="en-AU"/>
              </w:rPr>
              <w:t>H</w:t>
            </w:r>
          </w:p>
        </w:tc>
        <w:tc>
          <w:tcPr>
            <w:tcW w:w="980" w:type="pct"/>
          </w:tcPr>
          <w:p w14:paraId="15D9BE1F" w14:textId="77777777" w:rsidR="00BE18C5" w:rsidRPr="00A95754" w:rsidRDefault="00BE18C5" w:rsidP="00DF2C5C">
            <w:pPr>
              <w:pStyle w:val="TableText0"/>
              <w:keepNext w:val="0"/>
              <w:ind w:right="-102"/>
              <w:rPr>
                <w:sz w:val="20"/>
                <w:lang w:eastAsia="en-AU"/>
              </w:rPr>
            </w:pPr>
            <w:r w:rsidRPr="00A95754">
              <w:rPr>
                <w:sz w:val="20"/>
                <w:lang w:eastAsia="en-AU"/>
              </w:rPr>
              <w:t>Patients (%) with IHCC out of all liver cancer</w:t>
            </w:r>
          </w:p>
        </w:tc>
        <w:tc>
          <w:tcPr>
            <w:tcW w:w="491" w:type="pct"/>
            <w:vAlign w:val="center"/>
          </w:tcPr>
          <w:p w14:paraId="5D5F621C" w14:textId="77777777" w:rsidR="00BE18C5" w:rsidRPr="00A95754" w:rsidRDefault="00BE18C5" w:rsidP="00DF2C5C">
            <w:pPr>
              <w:pStyle w:val="TableText0"/>
              <w:keepNext w:val="0"/>
              <w:ind w:left="-106" w:right="-74"/>
              <w:jc w:val="center"/>
              <w:rPr>
                <w:sz w:val="20"/>
                <w:lang w:eastAsia="en-AU"/>
              </w:rPr>
            </w:pPr>
            <w:r w:rsidRPr="00A95754">
              <w:rPr>
                <w:sz w:val="20"/>
                <w:lang w:eastAsia="en-AU"/>
              </w:rPr>
              <w:t>H</w:t>
            </w:r>
          </w:p>
        </w:tc>
        <w:tc>
          <w:tcPr>
            <w:tcW w:w="558" w:type="pct"/>
            <w:vAlign w:val="center"/>
          </w:tcPr>
          <w:p w14:paraId="2F43A484" w14:textId="77777777" w:rsidR="00BE18C5" w:rsidRPr="00A95754" w:rsidRDefault="00BE18C5" w:rsidP="00DF2C5C">
            <w:pPr>
              <w:pStyle w:val="TableText0"/>
              <w:keepNext w:val="0"/>
              <w:jc w:val="center"/>
              <w:rPr>
                <w:sz w:val="20"/>
                <w:lang w:eastAsia="en-AU"/>
              </w:rPr>
            </w:pPr>
            <w:r w:rsidRPr="00A95754">
              <w:rPr>
                <w:sz w:val="20"/>
                <w:lang w:eastAsia="en-AU"/>
              </w:rPr>
              <w:t>15%</w:t>
            </w:r>
          </w:p>
        </w:tc>
        <w:tc>
          <w:tcPr>
            <w:tcW w:w="558" w:type="pct"/>
            <w:vAlign w:val="center"/>
          </w:tcPr>
          <w:p w14:paraId="510B1559" w14:textId="77777777" w:rsidR="00BE18C5" w:rsidRPr="00A95754" w:rsidRDefault="00BE18C5" w:rsidP="00DF2C5C">
            <w:pPr>
              <w:pStyle w:val="TableText0"/>
              <w:keepNext w:val="0"/>
              <w:jc w:val="center"/>
              <w:rPr>
                <w:sz w:val="20"/>
                <w:lang w:eastAsia="en-AU"/>
              </w:rPr>
            </w:pPr>
            <w:r w:rsidRPr="00A95754">
              <w:rPr>
                <w:sz w:val="20"/>
                <w:lang w:eastAsia="en-AU"/>
              </w:rPr>
              <w:t>15%</w:t>
            </w:r>
          </w:p>
        </w:tc>
        <w:tc>
          <w:tcPr>
            <w:tcW w:w="559" w:type="pct"/>
            <w:vAlign w:val="center"/>
          </w:tcPr>
          <w:p w14:paraId="313ED66B" w14:textId="77777777" w:rsidR="00BE18C5" w:rsidRPr="00A95754" w:rsidRDefault="00BE18C5" w:rsidP="00DF2C5C">
            <w:pPr>
              <w:pStyle w:val="TableText0"/>
              <w:keepNext w:val="0"/>
              <w:jc w:val="center"/>
              <w:rPr>
                <w:sz w:val="20"/>
                <w:lang w:eastAsia="en-AU"/>
              </w:rPr>
            </w:pPr>
            <w:r w:rsidRPr="00A95754">
              <w:rPr>
                <w:sz w:val="20"/>
                <w:lang w:eastAsia="en-AU"/>
              </w:rPr>
              <w:t>15%</w:t>
            </w:r>
          </w:p>
        </w:tc>
        <w:tc>
          <w:tcPr>
            <w:tcW w:w="558" w:type="pct"/>
            <w:vAlign w:val="center"/>
          </w:tcPr>
          <w:p w14:paraId="52B48D9A" w14:textId="77777777" w:rsidR="00BE18C5" w:rsidRPr="00A95754" w:rsidRDefault="00BE18C5" w:rsidP="00DF2C5C">
            <w:pPr>
              <w:pStyle w:val="TableText0"/>
              <w:keepNext w:val="0"/>
              <w:jc w:val="center"/>
              <w:rPr>
                <w:sz w:val="20"/>
                <w:lang w:eastAsia="en-AU"/>
              </w:rPr>
            </w:pPr>
            <w:r w:rsidRPr="00A95754">
              <w:rPr>
                <w:sz w:val="20"/>
                <w:lang w:eastAsia="en-AU"/>
              </w:rPr>
              <w:t>15%</w:t>
            </w:r>
          </w:p>
        </w:tc>
        <w:tc>
          <w:tcPr>
            <w:tcW w:w="558" w:type="pct"/>
            <w:vAlign w:val="center"/>
          </w:tcPr>
          <w:p w14:paraId="73A938C4" w14:textId="77777777" w:rsidR="00BE18C5" w:rsidRPr="00A95754" w:rsidRDefault="00BE18C5" w:rsidP="00DF2C5C">
            <w:pPr>
              <w:pStyle w:val="TableText0"/>
              <w:keepNext w:val="0"/>
              <w:jc w:val="center"/>
              <w:rPr>
                <w:sz w:val="20"/>
                <w:lang w:eastAsia="en-AU"/>
              </w:rPr>
            </w:pPr>
            <w:r w:rsidRPr="00A95754">
              <w:rPr>
                <w:sz w:val="20"/>
                <w:lang w:eastAsia="en-AU"/>
              </w:rPr>
              <w:t>15%</w:t>
            </w:r>
          </w:p>
        </w:tc>
        <w:tc>
          <w:tcPr>
            <w:tcW w:w="537" w:type="pct"/>
            <w:vAlign w:val="center"/>
          </w:tcPr>
          <w:p w14:paraId="3DF39FA7" w14:textId="77777777" w:rsidR="00BE18C5" w:rsidRPr="00A95754" w:rsidRDefault="00BE18C5" w:rsidP="00DF2C5C">
            <w:pPr>
              <w:pStyle w:val="TableText0"/>
              <w:keepNext w:val="0"/>
              <w:jc w:val="center"/>
              <w:rPr>
                <w:sz w:val="20"/>
                <w:lang w:eastAsia="en-AU"/>
              </w:rPr>
            </w:pPr>
            <w:r w:rsidRPr="00A95754">
              <w:rPr>
                <w:sz w:val="20"/>
                <w:lang w:eastAsia="en-AU"/>
              </w:rPr>
              <w:t>15%</w:t>
            </w:r>
          </w:p>
        </w:tc>
      </w:tr>
      <w:tr w:rsidR="00BE18C5" w:rsidRPr="00A95754" w14:paraId="5D9A90BA" w14:textId="77777777" w:rsidTr="00DF2C5C">
        <w:tc>
          <w:tcPr>
            <w:tcW w:w="201" w:type="pct"/>
          </w:tcPr>
          <w:p w14:paraId="3A03F5EF" w14:textId="77777777" w:rsidR="00BE18C5" w:rsidRPr="00A95754" w:rsidRDefault="00BE18C5" w:rsidP="00DF2C5C">
            <w:pPr>
              <w:pStyle w:val="TableText0"/>
              <w:keepNext w:val="0"/>
              <w:jc w:val="center"/>
              <w:rPr>
                <w:sz w:val="20"/>
                <w:lang w:eastAsia="en-AU"/>
              </w:rPr>
            </w:pPr>
            <w:r w:rsidRPr="00A95754">
              <w:rPr>
                <w:sz w:val="20"/>
                <w:lang w:eastAsia="en-AU"/>
              </w:rPr>
              <w:t>I</w:t>
            </w:r>
          </w:p>
        </w:tc>
        <w:tc>
          <w:tcPr>
            <w:tcW w:w="980" w:type="pct"/>
          </w:tcPr>
          <w:p w14:paraId="44FE9423" w14:textId="77777777" w:rsidR="00BE18C5" w:rsidRPr="00A95754" w:rsidRDefault="00BE18C5" w:rsidP="00DF2C5C">
            <w:pPr>
              <w:pStyle w:val="TableText0"/>
              <w:keepNext w:val="0"/>
              <w:ind w:right="-102"/>
              <w:rPr>
                <w:sz w:val="20"/>
                <w:lang w:eastAsia="en-AU"/>
              </w:rPr>
            </w:pPr>
            <w:r w:rsidRPr="00A95754">
              <w:rPr>
                <w:sz w:val="20"/>
                <w:lang w:eastAsia="en-AU"/>
              </w:rPr>
              <w:t>IHCC patients, incident cases</w:t>
            </w:r>
          </w:p>
        </w:tc>
        <w:tc>
          <w:tcPr>
            <w:tcW w:w="491" w:type="pct"/>
            <w:vAlign w:val="center"/>
          </w:tcPr>
          <w:p w14:paraId="7585D309" w14:textId="77777777" w:rsidR="00BE18C5" w:rsidRPr="00A95754" w:rsidRDefault="00BE18C5" w:rsidP="00DF2C5C">
            <w:pPr>
              <w:pStyle w:val="TableText0"/>
              <w:keepNext w:val="0"/>
              <w:ind w:left="-106" w:right="-74"/>
              <w:jc w:val="center"/>
              <w:rPr>
                <w:sz w:val="20"/>
                <w:lang w:eastAsia="en-AU"/>
              </w:rPr>
            </w:pPr>
            <w:r w:rsidRPr="00A95754">
              <w:rPr>
                <w:sz w:val="20"/>
                <w:lang w:eastAsia="en-AU"/>
              </w:rPr>
              <w:t>I= G x H</w:t>
            </w:r>
          </w:p>
        </w:tc>
        <w:tc>
          <w:tcPr>
            <w:tcW w:w="558" w:type="pct"/>
            <w:vAlign w:val="center"/>
          </w:tcPr>
          <w:p w14:paraId="29FDF5AF" w14:textId="2839DF2C"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36"/>
                <w:lang w:eastAsia="en-AU"/>
                <w14:textFill>
                  <w14:solidFill>
                    <w14:srgbClr w14:val="000000">
                      <w14:alpha w14:val="100000"/>
                    </w14:srgbClr>
                  </w14:solidFill>
                </w14:textFill>
              </w:rPr>
              <w:t>|||</w:t>
            </w:r>
            <w:r w:rsidRPr="003C043D">
              <w:rPr>
                <w:color w:val="000000"/>
                <w:spacing w:val="3"/>
                <w:sz w:val="20"/>
                <w:shd w:val="solid" w:color="000000" w:fill="000000"/>
                <w:fitText w:val="374" w:id="-1233371136"/>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2</w:t>
            </w:r>
          </w:p>
        </w:tc>
        <w:tc>
          <w:tcPr>
            <w:tcW w:w="558" w:type="pct"/>
            <w:vAlign w:val="center"/>
          </w:tcPr>
          <w:p w14:paraId="0EC70654" w14:textId="503AFF06"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35"/>
                <w:lang w:eastAsia="en-AU"/>
                <w14:textFill>
                  <w14:solidFill>
                    <w14:srgbClr w14:val="000000">
                      <w14:alpha w14:val="100000"/>
                    </w14:srgbClr>
                  </w14:solidFill>
                </w14:textFill>
              </w:rPr>
              <w:t>|||</w:t>
            </w:r>
            <w:r w:rsidRPr="003C043D">
              <w:rPr>
                <w:color w:val="000000"/>
                <w:spacing w:val="3"/>
                <w:sz w:val="20"/>
                <w:shd w:val="solid" w:color="000000" w:fill="000000"/>
                <w:fitText w:val="374" w:id="-1233371135"/>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2</w:t>
            </w:r>
          </w:p>
        </w:tc>
        <w:tc>
          <w:tcPr>
            <w:tcW w:w="559" w:type="pct"/>
            <w:vAlign w:val="center"/>
          </w:tcPr>
          <w:p w14:paraId="044A907F" w14:textId="7429C96A"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1134"/>
                <w:lang w:eastAsia="en-AU"/>
                <w14:textFill>
                  <w14:solidFill>
                    <w14:srgbClr w14:val="000000">
                      <w14:alpha w14:val="100000"/>
                    </w14:srgbClr>
                  </w14:solidFill>
                </w14:textFill>
              </w:rPr>
              <w:t>|||</w:t>
            </w:r>
            <w:r w:rsidRPr="003C043D">
              <w:rPr>
                <w:color w:val="000000"/>
                <w:spacing w:val="1"/>
                <w:sz w:val="20"/>
                <w:shd w:val="solid" w:color="000000" w:fill="000000"/>
                <w:fitText w:val="366" w:id="-1233371134"/>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3B9612A8" w14:textId="4433D490"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33"/>
                <w:lang w:eastAsia="en-AU"/>
                <w14:textFill>
                  <w14:solidFill>
                    <w14:srgbClr w14:val="000000">
                      <w14:alpha w14:val="100000"/>
                    </w14:srgbClr>
                  </w14:solidFill>
                </w14:textFill>
              </w:rPr>
              <w:t>|||</w:t>
            </w:r>
            <w:r w:rsidRPr="003C043D">
              <w:rPr>
                <w:color w:val="000000"/>
                <w:spacing w:val="1"/>
                <w:sz w:val="20"/>
                <w:shd w:val="solid" w:color="000000" w:fill="000000"/>
                <w:fitText w:val="375" w:id="-1233371133"/>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07568B8E" w14:textId="06301C38"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32"/>
                <w:lang w:eastAsia="en-AU"/>
                <w14:textFill>
                  <w14:solidFill>
                    <w14:srgbClr w14:val="000000">
                      <w14:alpha w14:val="100000"/>
                    </w14:srgbClr>
                  </w14:solidFill>
                </w14:textFill>
              </w:rPr>
              <w:t>|||</w:t>
            </w:r>
            <w:r w:rsidRPr="003C043D">
              <w:rPr>
                <w:color w:val="000000"/>
                <w:spacing w:val="1"/>
                <w:sz w:val="20"/>
                <w:shd w:val="solid" w:color="000000" w:fill="000000"/>
                <w:fitText w:val="375" w:id="-1233371132"/>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1E3475DE" w14:textId="0B3B0836"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1131"/>
                <w:lang w:eastAsia="en-AU"/>
                <w14:textFill>
                  <w14:solidFill>
                    <w14:srgbClr w14:val="000000">
                      <w14:alpha w14:val="100000"/>
                    </w14:srgbClr>
                  </w14:solidFill>
                </w14:textFill>
              </w:rPr>
              <w:t>|||</w:t>
            </w:r>
            <w:r w:rsidRPr="003C043D">
              <w:rPr>
                <w:color w:val="000000"/>
                <w:spacing w:val="2"/>
                <w:sz w:val="20"/>
                <w:shd w:val="solid" w:color="000000" w:fill="000000"/>
                <w:fitText w:val="391" w:id="-1233371131"/>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r>
      <w:tr w:rsidR="00BE18C5" w:rsidRPr="00A95754" w14:paraId="6926DDE5" w14:textId="77777777" w:rsidTr="00DF2C5C">
        <w:tc>
          <w:tcPr>
            <w:tcW w:w="201" w:type="pct"/>
          </w:tcPr>
          <w:p w14:paraId="0DAF0990" w14:textId="77777777" w:rsidR="00BE18C5" w:rsidRPr="00A95754" w:rsidRDefault="00BE18C5" w:rsidP="00DF2C5C">
            <w:pPr>
              <w:pStyle w:val="TableText0"/>
              <w:keepNext w:val="0"/>
              <w:jc w:val="center"/>
              <w:rPr>
                <w:sz w:val="20"/>
                <w:lang w:eastAsia="en-AU"/>
              </w:rPr>
            </w:pPr>
            <w:r w:rsidRPr="00A95754">
              <w:rPr>
                <w:sz w:val="20"/>
                <w:lang w:eastAsia="en-AU"/>
              </w:rPr>
              <w:t>J</w:t>
            </w:r>
          </w:p>
        </w:tc>
        <w:tc>
          <w:tcPr>
            <w:tcW w:w="980" w:type="pct"/>
          </w:tcPr>
          <w:p w14:paraId="0F0E9290" w14:textId="77777777" w:rsidR="00BE18C5" w:rsidRPr="00A95754" w:rsidRDefault="00BE18C5" w:rsidP="00DF2C5C">
            <w:pPr>
              <w:pStyle w:val="TableText0"/>
              <w:keepNext w:val="0"/>
              <w:ind w:right="-102"/>
              <w:rPr>
                <w:sz w:val="20"/>
                <w:lang w:eastAsia="en-AU"/>
              </w:rPr>
            </w:pPr>
            <w:r w:rsidRPr="00A95754">
              <w:rPr>
                <w:sz w:val="20"/>
                <w:lang w:eastAsia="en-AU"/>
              </w:rPr>
              <w:t>BTC patients, incident cases</w:t>
            </w:r>
          </w:p>
        </w:tc>
        <w:tc>
          <w:tcPr>
            <w:tcW w:w="491" w:type="pct"/>
            <w:vAlign w:val="center"/>
          </w:tcPr>
          <w:p w14:paraId="3D194919" w14:textId="77777777" w:rsidR="00BE18C5" w:rsidRPr="00A95754" w:rsidRDefault="00BE18C5" w:rsidP="00DF2C5C">
            <w:pPr>
              <w:pStyle w:val="TableText0"/>
              <w:keepNext w:val="0"/>
              <w:ind w:left="-106" w:right="-74"/>
              <w:jc w:val="center"/>
              <w:rPr>
                <w:sz w:val="20"/>
                <w:lang w:eastAsia="en-AU"/>
              </w:rPr>
            </w:pPr>
            <w:r w:rsidRPr="00A95754">
              <w:rPr>
                <w:sz w:val="20"/>
                <w:lang w:eastAsia="en-AU"/>
              </w:rPr>
              <w:t xml:space="preserve">J= </w:t>
            </w:r>
            <w:r w:rsidRPr="00A95754">
              <w:rPr>
                <w:sz w:val="20"/>
                <w:lang w:eastAsia="en-AU"/>
              </w:rPr>
              <w:br/>
              <w:t>C + E + I</w:t>
            </w:r>
          </w:p>
        </w:tc>
        <w:tc>
          <w:tcPr>
            <w:tcW w:w="558" w:type="pct"/>
            <w:vAlign w:val="center"/>
          </w:tcPr>
          <w:p w14:paraId="0E16130F" w14:textId="1B523122"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30"/>
                <w:lang w:eastAsia="en-AU"/>
                <w14:textFill>
                  <w14:solidFill>
                    <w14:srgbClr w14:val="000000">
                      <w14:alpha w14:val="100000"/>
                    </w14:srgbClr>
                  </w14:solidFill>
                </w14:textFill>
              </w:rPr>
              <w:t>|||</w:t>
            </w:r>
            <w:r w:rsidRPr="003C043D">
              <w:rPr>
                <w:color w:val="000000"/>
                <w:spacing w:val="3"/>
                <w:sz w:val="20"/>
                <w:shd w:val="solid" w:color="000000" w:fill="000000"/>
                <w:fitText w:val="374" w:id="-1233371130"/>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7FE5EB28" w14:textId="643CABD8"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1129"/>
                <w:lang w:eastAsia="en-AU"/>
                <w14:textFill>
                  <w14:solidFill>
                    <w14:srgbClr w14:val="000000">
                      <w14:alpha w14:val="100000"/>
                    </w14:srgbClr>
                  </w14:solidFill>
                </w14:textFill>
              </w:rPr>
              <w:t>|||</w:t>
            </w:r>
            <w:r w:rsidRPr="003C043D">
              <w:rPr>
                <w:color w:val="000000"/>
                <w:spacing w:val="3"/>
                <w:sz w:val="20"/>
                <w:shd w:val="solid" w:color="000000" w:fill="000000"/>
                <w:fitText w:val="374" w:id="-1233371129"/>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9" w:type="pct"/>
            <w:vAlign w:val="center"/>
          </w:tcPr>
          <w:p w14:paraId="327B4D07" w14:textId="0F21FAB7"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1128"/>
                <w:lang w:eastAsia="en-AU"/>
                <w14:textFill>
                  <w14:solidFill>
                    <w14:srgbClr w14:val="000000">
                      <w14:alpha w14:val="100000"/>
                    </w14:srgbClr>
                  </w14:solidFill>
                </w14:textFill>
              </w:rPr>
              <w:t>|||</w:t>
            </w:r>
            <w:r w:rsidRPr="003C043D">
              <w:rPr>
                <w:color w:val="000000"/>
                <w:spacing w:val="1"/>
                <w:sz w:val="20"/>
                <w:shd w:val="solid" w:color="000000" w:fill="000000"/>
                <w:fitText w:val="366" w:id="-1233371128"/>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3F46C3CF" w14:textId="5B5FAD6A"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27"/>
                <w:lang w:eastAsia="en-AU"/>
                <w14:textFill>
                  <w14:solidFill>
                    <w14:srgbClr w14:val="000000">
                      <w14:alpha w14:val="100000"/>
                    </w14:srgbClr>
                  </w14:solidFill>
                </w14:textFill>
              </w:rPr>
              <w:t>|||</w:t>
            </w:r>
            <w:r w:rsidRPr="003C043D">
              <w:rPr>
                <w:color w:val="000000"/>
                <w:spacing w:val="1"/>
                <w:sz w:val="20"/>
                <w:shd w:val="solid" w:color="000000" w:fill="000000"/>
                <w:fitText w:val="375" w:id="-1233371127"/>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18D2B3DE" w14:textId="204C5590"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1126"/>
                <w:lang w:eastAsia="en-AU"/>
                <w14:textFill>
                  <w14:solidFill>
                    <w14:srgbClr w14:val="000000">
                      <w14:alpha w14:val="100000"/>
                    </w14:srgbClr>
                  </w14:solidFill>
                </w14:textFill>
              </w:rPr>
              <w:t>|||</w:t>
            </w:r>
            <w:r w:rsidRPr="003C043D">
              <w:rPr>
                <w:color w:val="000000"/>
                <w:spacing w:val="1"/>
                <w:sz w:val="20"/>
                <w:shd w:val="solid" w:color="000000" w:fill="000000"/>
                <w:fitText w:val="375" w:id="-1233371126"/>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664B130E" w14:textId="3D8A2F93"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1125"/>
                <w:lang w:eastAsia="en-AU"/>
                <w14:textFill>
                  <w14:solidFill>
                    <w14:srgbClr w14:val="000000">
                      <w14:alpha w14:val="100000"/>
                    </w14:srgbClr>
                  </w14:solidFill>
                </w14:textFill>
              </w:rPr>
              <w:t>|||</w:t>
            </w:r>
            <w:r w:rsidRPr="003C043D">
              <w:rPr>
                <w:color w:val="000000"/>
                <w:spacing w:val="2"/>
                <w:sz w:val="20"/>
                <w:shd w:val="solid" w:color="000000" w:fill="000000"/>
                <w:fitText w:val="391" w:id="-1233371125"/>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r>
      <w:tr w:rsidR="00BE18C5" w:rsidRPr="00A95754" w14:paraId="4BC8115E" w14:textId="77777777" w:rsidTr="00DF2C5C">
        <w:tc>
          <w:tcPr>
            <w:tcW w:w="201" w:type="pct"/>
          </w:tcPr>
          <w:p w14:paraId="131B83EB" w14:textId="77777777" w:rsidR="00BE18C5" w:rsidRPr="00A95754" w:rsidRDefault="00BE18C5" w:rsidP="00DF2C5C">
            <w:pPr>
              <w:pStyle w:val="TableText0"/>
              <w:keepNext w:val="0"/>
              <w:jc w:val="center"/>
              <w:rPr>
                <w:sz w:val="20"/>
                <w:lang w:eastAsia="en-AU"/>
              </w:rPr>
            </w:pPr>
            <w:r w:rsidRPr="00A95754">
              <w:rPr>
                <w:sz w:val="20"/>
                <w:lang w:eastAsia="en-AU"/>
              </w:rPr>
              <w:t>K</w:t>
            </w:r>
          </w:p>
        </w:tc>
        <w:tc>
          <w:tcPr>
            <w:tcW w:w="980" w:type="pct"/>
          </w:tcPr>
          <w:p w14:paraId="21A08D2A" w14:textId="77777777" w:rsidR="00BE18C5" w:rsidRPr="00A95754" w:rsidRDefault="00BE18C5" w:rsidP="00DF2C5C">
            <w:pPr>
              <w:pStyle w:val="TableText0"/>
              <w:keepNext w:val="0"/>
              <w:ind w:right="-102"/>
              <w:rPr>
                <w:sz w:val="20"/>
                <w:lang w:eastAsia="en-AU"/>
              </w:rPr>
            </w:pPr>
            <w:r w:rsidRPr="00A95754">
              <w:rPr>
                <w:sz w:val="20"/>
                <w:lang w:eastAsia="en-AU"/>
              </w:rPr>
              <w:t>Patients (%) with locally advanced/ metastatic/ recurrent BTC</w:t>
            </w:r>
          </w:p>
        </w:tc>
        <w:tc>
          <w:tcPr>
            <w:tcW w:w="491" w:type="pct"/>
            <w:vAlign w:val="center"/>
          </w:tcPr>
          <w:p w14:paraId="27543FFA" w14:textId="77777777" w:rsidR="00BE18C5" w:rsidRPr="00A95754" w:rsidRDefault="00BE18C5" w:rsidP="00DF2C5C">
            <w:pPr>
              <w:pStyle w:val="TableText0"/>
              <w:keepNext w:val="0"/>
              <w:ind w:left="-106" w:right="-74"/>
              <w:jc w:val="center"/>
              <w:rPr>
                <w:sz w:val="20"/>
                <w:lang w:eastAsia="en-AU"/>
              </w:rPr>
            </w:pPr>
            <w:r w:rsidRPr="00A95754">
              <w:rPr>
                <w:sz w:val="20"/>
                <w:lang w:eastAsia="en-AU"/>
              </w:rPr>
              <w:t>K</w:t>
            </w:r>
          </w:p>
        </w:tc>
        <w:tc>
          <w:tcPr>
            <w:tcW w:w="558" w:type="pct"/>
            <w:vAlign w:val="center"/>
          </w:tcPr>
          <w:p w14:paraId="66272ABE" w14:textId="7051102C"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1124"/>
                <w:lang w:eastAsia="en-AU"/>
                <w14:textFill>
                  <w14:solidFill>
                    <w14:srgbClr w14:val="000000">
                      <w14:alpha w14:val="100000"/>
                    </w14:srgbClr>
                  </w14:solidFill>
                </w14:textFill>
              </w:rPr>
              <w:t>|||</w:t>
            </w:r>
            <w:r w:rsidRPr="003C043D">
              <w:rPr>
                <w:color w:val="000000"/>
                <w:spacing w:val="2"/>
                <w:sz w:val="20"/>
                <w:shd w:val="solid" w:color="000000" w:fill="000000"/>
                <w:fitText w:val="391" w:id="-1233371124"/>
                <w:lang w:eastAsia="en-AU"/>
                <w14:textFill>
                  <w14:solidFill>
                    <w14:srgbClr w14:val="000000">
                      <w14:alpha w14:val="100000"/>
                    </w14:srgbClr>
                  </w14:solidFill>
                </w14:textFill>
              </w:rPr>
              <w:t>|</w:t>
            </w:r>
            <w:r w:rsidR="00BE18C5" w:rsidRPr="00CF0C4E">
              <w:rPr>
                <w:sz w:val="20"/>
                <w:lang w:eastAsia="en-AU"/>
              </w:rPr>
              <w:t>%</w:t>
            </w:r>
          </w:p>
        </w:tc>
        <w:tc>
          <w:tcPr>
            <w:tcW w:w="558" w:type="pct"/>
            <w:vAlign w:val="center"/>
          </w:tcPr>
          <w:p w14:paraId="079F9B76" w14:textId="4CF537E8"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80"/>
                <w:lang w:eastAsia="en-AU"/>
                <w14:textFill>
                  <w14:solidFill>
                    <w14:srgbClr w14:val="000000">
                      <w14:alpha w14:val="100000"/>
                    </w14:srgbClr>
                  </w14:solidFill>
                </w14:textFill>
              </w:rPr>
              <w:t>|||</w:t>
            </w:r>
            <w:r w:rsidRPr="003C043D">
              <w:rPr>
                <w:color w:val="000000"/>
                <w:spacing w:val="2"/>
                <w:sz w:val="20"/>
                <w:shd w:val="solid" w:color="000000" w:fill="000000"/>
                <w:fitText w:val="391" w:id="-1233370880"/>
                <w:lang w:eastAsia="en-AU"/>
                <w14:textFill>
                  <w14:solidFill>
                    <w14:srgbClr w14:val="000000">
                      <w14:alpha w14:val="100000"/>
                    </w14:srgbClr>
                  </w14:solidFill>
                </w14:textFill>
              </w:rPr>
              <w:t>|</w:t>
            </w:r>
            <w:r w:rsidR="00BE18C5" w:rsidRPr="00CF0C4E">
              <w:rPr>
                <w:sz w:val="20"/>
                <w:lang w:eastAsia="en-AU"/>
              </w:rPr>
              <w:t>%</w:t>
            </w:r>
          </w:p>
        </w:tc>
        <w:tc>
          <w:tcPr>
            <w:tcW w:w="559" w:type="pct"/>
            <w:vAlign w:val="center"/>
          </w:tcPr>
          <w:p w14:paraId="111BA894" w14:textId="32DD1B1C"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79"/>
                <w:lang w:eastAsia="en-AU"/>
                <w14:textFill>
                  <w14:solidFill>
                    <w14:srgbClr w14:val="000000">
                      <w14:alpha w14:val="100000"/>
                    </w14:srgbClr>
                  </w14:solidFill>
                </w14:textFill>
              </w:rPr>
              <w:t>|||</w:t>
            </w:r>
            <w:r w:rsidRPr="003C043D">
              <w:rPr>
                <w:color w:val="000000"/>
                <w:spacing w:val="2"/>
                <w:sz w:val="20"/>
                <w:shd w:val="solid" w:color="000000" w:fill="000000"/>
                <w:fitText w:val="391" w:id="-1233370879"/>
                <w:lang w:eastAsia="en-AU"/>
                <w14:textFill>
                  <w14:solidFill>
                    <w14:srgbClr w14:val="000000">
                      <w14:alpha w14:val="100000"/>
                    </w14:srgbClr>
                  </w14:solidFill>
                </w14:textFill>
              </w:rPr>
              <w:t>|</w:t>
            </w:r>
            <w:r w:rsidR="00BE18C5" w:rsidRPr="00CF0C4E">
              <w:rPr>
                <w:sz w:val="20"/>
                <w:lang w:eastAsia="en-AU"/>
              </w:rPr>
              <w:t>%</w:t>
            </w:r>
          </w:p>
        </w:tc>
        <w:tc>
          <w:tcPr>
            <w:tcW w:w="558" w:type="pct"/>
            <w:vAlign w:val="center"/>
          </w:tcPr>
          <w:p w14:paraId="6D1EFDC5" w14:textId="0287EAC9"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2" w:id="-1233370878"/>
                <w:lang w:eastAsia="en-AU"/>
                <w14:textFill>
                  <w14:solidFill>
                    <w14:srgbClr w14:val="000000">
                      <w14:alpha w14:val="100000"/>
                    </w14:srgbClr>
                  </w14:solidFill>
                </w14:textFill>
              </w:rPr>
              <w:t>|||</w:t>
            </w:r>
            <w:r w:rsidRPr="003C043D">
              <w:rPr>
                <w:color w:val="000000"/>
                <w:spacing w:val="3"/>
                <w:sz w:val="20"/>
                <w:shd w:val="solid" w:color="000000" w:fill="000000"/>
                <w:fitText w:val="392" w:id="-1233370878"/>
                <w:lang w:eastAsia="en-AU"/>
                <w14:textFill>
                  <w14:solidFill>
                    <w14:srgbClr w14:val="000000">
                      <w14:alpha w14:val="100000"/>
                    </w14:srgbClr>
                  </w14:solidFill>
                </w14:textFill>
              </w:rPr>
              <w:t>|</w:t>
            </w:r>
            <w:r w:rsidR="00BE18C5" w:rsidRPr="00CF0C4E">
              <w:rPr>
                <w:sz w:val="20"/>
                <w:lang w:eastAsia="en-AU"/>
              </w:rPr>
              <w:t>%</w:t>
            </w:r>
          </w:p>
        </w:tc>
        <w:tc>
          <w:tcPr>
            <w:tcW w:w="558" w:type="pct"/>
            <w:vAlign w:val="center"/>
          </w:tcPr>
          <w:p w14:paraId="58FA5DC2" w14:textId="115EB209"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77"/>
                <w:lang w:eastAsia="en-AU"/>
                <w14:textFill>
                  <w14:solidFill>
                    <w14:srgbClr w14:val="000000">
                      <w14:alpha w14:val="100000"/>
                    </w14:srgbClr>
                  </w14:solidFill>
                </w14:textFill>
              </w:rPr>
              <w:t>|||</w:t>
            </w:r>
            <w:r w:rsidRPr="003C043D">
              <w:rPr>
                <w:color w:val="000000"/>
                <w:spacing w:val="2"/>
                <w:sz w:val="20"/>
                <w:shd w:val="solid" w:color="000000" w:fill="000000"/>
                <w:fitText w:val="391" w:id="-1233370877"/>
                <w:lang w:eastAsia="en-AU"/>
                <w14:textFill>
                  <w14:solidFill>
                    <w14:srgbClr w14:val="000000">
                      <w14:alpha w14:val="100000"/>
                    </w14:srgbClr>
                  </w14:solidFill>
                </w14:textFill>
              </w:rPr>
              <w:t>|</w:t>
            </w:r>
            <w:r w:rsidR="00BE18C5" w:rsidRPr="00CF0C4E">
              <w:rPr>
                <w:sz w:val="20"/>
                <w:lang w:eastAsia="en-AU"/>
              </w:rPr>
              <w:t>%</w:t>
            </w:r>
          </w:p>
        </w:tc>
        <w:tc>
          <w:tcPr>
            <w:tcW w:w="537" w:type="pct"/>
            <w:vAlign w:val="center"/>
          </w:tcPr>
          <w:p w14:paraId="17EBCA99" w14:textId="34C0E8AF" w:rsidR="00BE18C5" w:rsidRPr="00CF0C4E" w:rsidRDefault="003C043D" w:rsidP="00DF2C5C">
            <w:pPr>
              <w:pStyle w:val="TableText0"/>
              <w:keepNext w:val="0"/>
              <w:jc w:val="center"/>
              <w:rPr>
                <w:sz w:val="20"/>
                <w:lang w:eastAsia="en-AU"/>
              </w:rPr>
            </w:pPr>
            <w:r w:rsidRPr="003C043D">
              <w:rPr>
                <w:color w:val="000000"/>
                <w:spacing w:val="76"/>
                <w:sz w:val="20"/>
                <w:shd w:val="solid" w:color="000000" w:fill="000000"/>
                <w:fitText w:val="400" w:id="-1233370876"/>
                <w:lang w:eastAsia="en-AU"/>
                <w14:textFill>
                  <w14:solidFill>
                    <w14:srgbClr w14:val="000000">
                      <w14:alpha w14:val="100000"/>
                    </w14:srgbClr>
                  </w14:solidFill>
                </w14:textFill>
              </w:rPr>
              <w:t>|||</w:t>
            </w:r>
            <w:r w:rsidRPr="003C043D">
              <w:rPr>
                <w:color w:val="000000"/>
                <w:spacing w:val="2"/>
                <w:sz w:val="20"/>
                <w:shd w:val="solid" w:color="000000" w:fill="000000"/>
                <w:fitText w:val="400" w:id="-1233370876"/>
                <w:lang w:eastAsia="en-AU"/>
                <w14:textFill>
                  <w14:solidFill>
                    <w14:srgbClr w14:val="000000">
                      <w14:alpha w14:val="100000"/>
                    </w14:srgbClr>
                  </w14:solidFill>
                </w14:textFill>
              </w:rPr>
              <w:t>|</w:t>
            </w:r>
            <w:r w:rsidR="00BE18C5" w:rsidRPr="00CF0C4E">
              <w:rPr>
                <w:sz w:val="20"/>
                <w:lang w:eastAsia="en-AU"/>
              </w:rPr>
              <w:t>%</w:t>
            </w:r>
          </w:p>
        </w:tc>
      </w:tr>
      <w:tr w:rsidR="00BE18C5" w:rsidRPr="00A95754" w14:paraId="04119B0E" w14:textId="77777777" w:rsidTr="00DF2C5C">
        <w:tc>
          <w:tcPr>
            <w:tcW w:w="201" w:type="pct"/>
          </w:tcPr>
          <w:p w14:paraId="554F2F6B" w14:textId="77777777" w:rsidR="00BE18C5" w:rsidRPr="00A95754" w:rsidRDefault="00BE18C5" w:rsidP="00DF2C5C">
            <w:pPr>
              <w:pStyle w:val="TableText0"/>
              <w:keepNext w:val="0"/>
              <w:jc w:val="center"/>
              <w:rPr>
                <w:sz w:val="20"/>
                <w:lang w:eastAsia="en-AU"/>
              </w:rPr>
            </w:pPr>
            <w:r w:rsidRPr="00A95754">
              <w:rPr>
                <w:sz w:val="20"/>
                <w:lang w:eastAsia="en-AU"/>
              </w:rPr>
              <w:t>L</w:t>
            </w:r>
          </w:p>
        </w:tc>
        <w:tc>
          <w:tcPr>
            <w:tcW w:w="980" w:type="pct"/>
          </w:tcPr>
          <w:p w14:paraId="59DB07C4" w14:textId="77777777" w:rsidR="00BE18C5" w:rsidRPr="00A95754" w:rsidRDefault="00BE18C5" w:rsidP="00DF2C5C">
            <w:pPr>
              <w:pStyle w:val="TableText0"/>
              <w:keepNext w:val="0"/>
              <w:ind w:right="-102"/>
              <w:rPr>
                <w:sz w:val="20"/>
                <w:lang w:eastAsia="en-AU"/>
              </w:rPr>
            </w:pPr>
            <w:r w:rsidRPr="00A95754">
              <w:rPr>
                <w:sz w:val="20"/>
                <w:lang w:eastAsia="en-AU"/>
              </w:rPr>
              <w:t xml:space="preserve">Patients (n) with advanced BTC </w:t>
            </w:r>
          </w:p>
        </w:tc>
        <w:tc>
          <w:tcPr>
            <w:tcW w:w="491" w:type="pct"/>
            <w:vAlign w:val="center"/>
          </w:tcPr>
          <w:p w14:paraId="42C5D99F" w14:textId="77777777" w:rsidR="00BE18C5" w:rsidRPr="00A95754" w:rsidRDefault="00BE18C5" w:rsidP="00DF2C5C">
            <w:pPr>
              <w:pStyle w:val="TableText0"/>
              <w:keepNext w:val="0"/>
              <w:ind w:left="-106" w:right="-74"/>
              <w:jc w:val="center"/>
              <w:rPr>
                <w:sz w:val="20"/>
                <w:lang w:eastAsia="en-AU"/>
              </w:rPr>
            </w:pPr>
            <w:r w:rsidRPr="00A95754">
              <w:rPr>
                <w:sz w:val="20"/>
                <w:lang w:eastAsia="en-AU"/>
              </w:rPr>
              <w:t>L= J x K</w:t>
            </w:r>
          </w:p>
        </w:tc>
        <w:tc>
          <w:tcPr>
            <w:tcW w:w="558" w:type="pct"/>
            <w:vAlign w:val="center"/>
          </w:tcPr>
          <w:p w14:paraId="3B3A866C" w14:textId="53024590"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75"/>
                <w:lang w:eastAsia="en-AU"/>
                <w14:textFill>
                  <w14:solidFill>
                    <w14:srgbClr w14:val="000000">
                      <w14:alpha w14:val="100000"/>
                    </w14:srgbClr>
                  </w14:solidFill>
                </w14:textFill>
              </w:rPr>
              <w:t>|||</w:t>
            </w:r>
            <w:r w:rsidRPr="003C043D">
              <w:rPr>
                <w:color w:val="000000"/>
                <w:spacing w:val="3"/>
                <w:sz w:val="20"/>
                <w:shd w:val="solid" w:color="000000" w:fill="000000"/>
                <w:fitText w:val="374" w:id="-1233370875"/>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4F43B905" w14:textId="3ED25B46"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74"/>
                <w:lang w:eastAsia="en-AU"/>
                <w14:textFill>
                  <w14:solidFill>
                    <w14:srgbClr w14:val="000000">
                      <w14:alpha w14:val="100000"/>
                    </w14:srgbClr>
                  </w14:solidFill>
                </w14:textFill>
              </w:rPr>
              <w:t>|||</w:t>
            </w:r>
            <w:r w:rsidRPr="003C043D">
              <w:rPr>
                <w:color w:val="000000"/>
                <w:spacing w:val="3"/>
                <w:sz w:val="20"/>
                <w:shd w:val="solid" w:color="000000" w:fill="000000"/>
                <w:fitText w:val="374" w:id="-1233370874"/>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9" w:type="pct"/>
            <w:vAlign w:val="center"/>
          </w:tcPr>
          <w:p w14:paraId="741DE235" w14:textId="2C80E628"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0873"/>
                <w:lang w:eastAsia="en-AU"/>
                <w14:textFill>
                  <w14:solidFill>
                    <w14:srgbClr w14:val="000000">
                      <w14:alpha w14:val="100000"/>
                    </w14:srgbClr>
                  </w14:solidFill>
                </w14:textFill>
              </w:rPr>
              <w:t>|||</w:t>
            </w:r>
            <w:r w:rsidRPr="003C043D">
              <w:rPr>
                <w:color w:val="000000"/>
                <w:spacing w:val="1"/>
                <w:sz w:val="20"/>
                <w:shd w:val="solid" w:color="000000" w:fill="000000"/>
                <w:fitText w:val="366" w:id="-1233370873"/>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397C12F3" w14:textId="4025923C"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2"/>
                <w:lang w:eastAsia="en-AU"/>
                <w14:textFill>
                  <w14:solidFill>
                    <w14:srgbClr w14:val="000000">
                      <w14:alpha w14:val="100000"/>
                    </w14:srgbClr>
                  </w14:solidFill>
                </w14:textFill>
              </w:rPr>
              <w:t>|||</w:t>
            </w:r>
            <w:r w:rsidRPr="003C043D">
              <w:rPr>
                <w:color w:val="000000"/>
                <w:spacing w:val="1"/>
                <w:sz w:val="20"/>
                <w:shd w:val="solid" w:color="000000" w:fill="000000"/>
                <w:fitText w:val="375" w:id="-1233370872"/>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67EFCC51" w14:textId="1B8608D8"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1"/>
                <w:lang w:eastAsia="en-AU"/>
                <w14:textFill>
                  <w14:solidFill>
                    <w14:srgbClr w14:val="000000">
                      <w14:alpha w14:val="100000"/>
                    </w14:srgbClr>
                  </w14:solidFill>
                </w14:textFill>
              </w:rPr>
              <w:t>|||</w:t>
            </w:r>
            <w:r w:rsidRPr="003C043D">
              <w:rPr>
                <w:color w:val="000000"/>
                <w:spacing w:val="1"/>
                <w:sz w:val="20"/>
                <w:shd w:val="solid" w:color="000000" w:fill="000000"/>
                <w:fitText w:val="375" w:id="-1233370871"/>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757E29AC" w14:textId="026A346C" w:rsidR="00BE18C5" w:rsidRPr="008232F4" w:rsidRDefault="003C043D" w:rsidP="00DF2C5C">
            <w:pPr>
              <w:pStyle w:val="TableText0"/>
              <w:keepNext w:val="0"/>
              <w:jc w:val="center"/>
              <w:rPr>
                <w:sz w:val="20"/>
                <w:highlight w:val="darkGray"/>
                <w:lang w:eastAsia="en-AU"/>
              </w:rPr>
            </w:pPr>
            <w:r w:rsidRPr="003C043D">
              <w:rPr>
                <w:color w:val="000000"/>
                <w:spacing w:val="73"/>
                <w:sz w:val="20"/>
                <w:shd w:val="solid" w:color="000000" w:fill="000000"/>
                <w:fitText w:val="391" w:id="-1233370870"/>
                <w:lang w:eastAsia="en-AU"/>
                <w14:textFill>
                  <w14:solidFill>
                    <w14:srgbClr w14:val="000000">
                      <w14:alpha w14:val="100000"/>
                    </w14:srgbClr>
                  </w14:solidFill>
                </w14:textFill>
              </w:rPr>
              <w:t>|||</w:t>
            </w:r>
            <w:r w:rsidRPr="003C043D">
              <w:rPr>
                <w:color w:val="000000"/>
                <w:spacing w:val="2"/>
                <w:sz w:val="20"/>
                <w:shd w:val="solid" w:color="000000" w:fill="000000"/>
                <w:fitText w:val="391" w:id="-1233370870"/>
                <w:lang w:eastAsia="en-AU"/>
                <w14:textFill>
                  <w14:solidFill>
                    <w14:srgbClr w14:val="000000">
                      <w14:alpha w14:val="100000"/>
                    </w14:srgbClr>
                  </w14:solidFill>
                </w14:textFill>
              </w:rPr>
              <w:t>|</w:t>
            </w:r>
            <w:r w:rsidR="00BE18C5" w:rsidRPr="008232F4">
              <w:rPr>
                <w:sz w:val="20"/>
                <w:lang w:eastAsia="en-AU"/>
              </w:rPr>
              <w:t xml:space="preserve"> </w:t>
            </w:r>
            <w:r w:rsidR="008232F4" w:rsidRPr="008232F4">
              <w:rPr>
                <w:sz w:val="20"/>
                <w:vertAlign w:val="superscript"/>
                <w:lang w:eastAsia="en-AU"/>
              </w:rPr>
              <w:t>3</w:t>
            </w:r>
          </w:p>
        </w:tc>
      </w:tr>
      <w:tr w:rsidR="00BE18C5" w:rsidRPr="00A95754" w14:paraId="2EC4234B" w14:textId="77777777" w:rsidTr="00DF2C5C">
        <w:tc>
          <w:tcPr>
            <w:tcW w:w="201" w:type="pct"/>
          </w:tcPr>
          <w:p w14:paraId="32762D65" w14:textId="77777777" w:rsidR="00BE18C5" w:rsidRPr="00A95754" w:rsidRDefault="00BE18C5" w:rsidP="00DF2C5C">
            <w:pPr>
              <w:pStyle w:val="TableText0"/>
              <w:keepNext w:val="0"/>
              <w:jc w:val="center"/>
              <w:rPr>
                <w:sz w:val="20"/>
                <w:lang w:eastAsia="en-AU"/>
              </w:rPr>
            </w:pPr>
            <w:r w:rsidRPr="00A95754">
              <w:rPr>
                <w:sz w:val="20"/>
                <w:lang w:eastAsia="en-AU"/>
              </w:rPr>
              <w:t>M</w:t>
            </w:r>
          </w:p>
        </w:tc>
        <w:tc>
          <w:tcPr>
            <w:tcW w:w="980" w:type="pct"/>
          </w:tcPr>
          <w:p w14:paraId="7AB85634" w14:textId="77777777" w:rsidR="00BE18C5" w:rsidRPr="00A95754" w:rsidRDefault="00BE18C5" w:rsidP="00DF2C5C">
            <w:pPr>
              <w:pStyle w:val="TableText0"/>
              <w:keepNext w:val="0"/>
              <w:ind w:right="-102"/>
              <w:rPr>
                <w:sz w:val="20"/>
                <w:lang w:eastAsia="en-AU"/>
              </w:rPr>
            </w:pPr>
            <w:r w:rsidRPr="00A95754">
              <w:rPr>
                <w:sz w:val="20"/>
                <w:lang w:eastAsia="en-AU"/>
              </w:rPr>
              <w:t>Advanced BTC with WHO PS 0-1, patients (%)</w:t>
            </w:r>
          </w:p>
        </w:tc>
        <w:tc>
          <w:tcPr>
            <w:tcW w:w="491" w:type="pct"/>
            <w:vAlign w:val="center"/>
          </w:tcPr>
          <w:p w14:paraId="0CCFF2EB" w14:textId="77777777" w:rsidR="00BE18C5" w:rsidRPr="00A95754" w:rsidRDefault="00BE18C5" w:rsidP="00DF2C5C">
            <w:pPr>
              <w:pStyle w:val="TableText0"/>
              <w:keepNext w:val="0"/>
              <w:ind w:left="-106" w:right="-74"/>
              <w:jc w:val="center"/>
              <w:rPr>
                <w:sz w:val="20"/>
                <w:lang w:eastAsia="en-AU"/>
              </w:rPr>
            </w:pPr>
            <w:r w:rsidRPr="00A95754">
              <w:rPr>
                <w:sz w:val="20"/>
                <w:lang w:eastAsia="en-AU"/>
              </w:rPr>
              <w:t>M</w:t>
            </w:r>
          </w:p>
        </w:tc>
        <w:tc>
          <w:tcPr>
            <w:tcW w:w="558" w:type="pct"/>
            <w:vAlign w:val="center"/>
          </w:tcPr>
          <w:p w14:paraId="20A6D5C0" w14:textId="75F678AD"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9"/>
                <w:lang w:eastAsia="en-AU"/>
                <w14:textFill>
                  <w14:solidFill>
                    <w14:srgbClr w14:val="000000">
                      <w14:alpha w14:val="100000"/>
                    </w14:srgbClr>
                  </w14:solidFill>
                </w14:textFill>
              </w:rPr>
              <w:t>|||</w:t>
            </w:r>
            <w:r w:rsidRPr="003C043D">
              <w:rPr>
                <w:color w:val="000000"/>
                <w:spacing w:val="2"/>
                <w:sz w:val="20"/>
                <w:shd w:val="solid" w:color="000000" w:fill="000000"/>
                <w:fitText w:val="391" w:id="-1233370869"/>
                <w:lang w:eastAsia="en-AU"/>
                <w14:textFill>
                  <w14:solidFill>
                    <w14:srgbClr w14:val="000000">
                      <w14:alpha w14:val="100000"/>
                    </w14:srgbClr>
                  </w14:solidFill>
                </w14:textFill>
              </w:rPr>
              <w:t>|</w:t>
            </w:r>
            <w:r w:rsidR="00BE18C5" w:rsidRPr="00CF0C4E">
              <w:rPr>
                <w:sz w:val="20"/>
                <w:lang w:eastAsia="en-AU"/>
              </w:rPr>
              <w:t>%</w:t>
            </w:r>
          </w:p>
        </w:tc>
        <w:tc>
          <w:tcPr>
            <w:tcW w:w="558" w:type="pct"/>
            <w:vAlign w:val="center"/>
          </w:tcPr>
          <w:p w14:paraId="3B62D8F4" w14:textId="6881F4E7"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8"/>
                <w:lang w:eastAsia="en-AU"/>
                <w14:textFill>
                  <w14:solidFill>
                    <w14:srgbClr w14:val="000000">
                      <w14:alpha w14:val="100000"/>
                    </w14:srgbClr>
                  </w14:solidFill>
                </w14:textFill>
              </w:rPr>
              <w:t>|||</w:t>
            </w:r>
            <w:r w:rsidRPr="003C043D">
              <w:rPr>
                <w:color w:val="000000"/>
                <w:spacing w:val="2"/>
                <w:sz w:val="20"/>
                <w:shd w:val="solid" w:color="000000" w:fill="000000"/>
                <w:fitText w:val="391" w:id="-1233370868"/>
                <w:lang w:eastAsia="en-AU"/>
                <w14:textFill>
                  <w14:solidFill>
                    <w14:srgbClr w14:val="000000">
                      <w14:alpha w14:val="100000"/>
                    </w14:srgbClr>
                  </w14:solidFill>
                </w14:textFill>
              </w:rPr>
              <w:t>|</w:t>
            </w:r>
            <w:r w:rsidR="00BE18C5" w:rsidRPr="00CF0C4E">
              <w:rPr>
                <w:sz w:val="20"/>
                <w:lang w:eastAsia="en-AU"/>
              </w:rPr>
              <w:t>%</w:t>
            </w:r>
          </w:p>
        </w:tc>
        <w:tc>
          <w:tcPr>
            <w:tcW w:w="559" w:type="pct"/>
            <w:vAlign w:val="center"/>
          </w:tcPr>
          <w:p w14:paraId="5A29D6F0" w14:textId="250156A8"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7"/>
                <w:lang w:eastAsia="en-AU"/>
                <w14:textFill>
                  <w14:solidFill>
                    <w14:srgbClr w14:val="000000">
                      <w14:alpha w14:val="100000"/>
                    </w14:srgbClr>
                  </w14:solidFill>
                </w14:textFill>
              </w:rPr>
              <w:t>|||</w:t>
            </w:r>
            <w:r w:rsidRPr="003C043D">
              <w:rPr>
                <w:color w:val="000000"/>
                <w:spacing w:val="2"/>
                <w:sz w:val="20"/>
                <w:shd w:val="solid" w:color="000000" w:fill="000000"/>
                <w:fitText w:val="391" w:id="-1233370867"/>
                <w:lang w:eastAsia="en-AU"/>
                <w14:textFill>
                  <w14:solidFill>
                    <w14:srgbClr w14:val="000000">
                      <w14:alpha w14:val="100000"/>
                    </w14:srgbClr>
                  </w14:solidFill>
                </w14:textFill>
              </w:rPr>
              <w:t>|</w:t>
            </w:r>
            <w:r w:rsidR="00BE18C5" w:rsidRPr="00CF0C4E">
              <w:rPr>
                <w:sz w:val="20"/>
                <w:lang w:eastAsia="en-AU"/>
              </w:rPr>
              <w:t>%</w:t>
            </w:r>
          </w:p>
        </w:tc>
        <w:tc>
          <w:tcPr>
            <w:tcW w:w="558" w:type="pct"/>
            <w:vAlign w:val="center"/>
          </w:tcPr>
          <w:p w14:paraId="1227AE46" w14:textId="27FB3C3B"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2" w:id="-1233370866"/>
                <w:lang w:eastAsia="en-AU"/>
                <w14:textFill>
                  <w14:solidFill>
                    <w14:srgbClr w14:val="000000">
                      <w14:alpha w14:val="100000"/>
                    </w14:srgbClr>
                  </w14:solidFill>
                </w14:textFill>
              </w:rPr>
              <w:t>|||</w:t>
            </w:r>
            <w:r w:rsidRPr="003C043D">
              <w:rPr>
                <w:color w:val="000000"/>
                <w:spacing w:val="3"/>
                <w:sz w:val="20"/>
                <w:shd w:val="solid" w:color="000000" w:fill="000000"/>
                <w:fitText w:val="392" w:id="-1233370866"/>
                <w:lang w:eastAsia="en-AU"/>
                <w14:textFill>
                  <w14:solidFill>
                    <w14:srgbClr w14:val="000000">
                      <w14:alpha w14:val="100000"/>
                    </w14:srgbClr>
                  </w14:solidFill>
                </w14:textFill>
              </w:rPr>
              <w:t>|</w:t>
            </w:r>
            <w:r w:rsidR="00BE18C5" w:rsidRPr="00CF0C4E">
              <w:rPr>
                <w:sz w:val="20"/>
                <w:lang w:eastAsia="en-AU"/>
              </w:rPr>
              <w:t>%</w:t>
            </w:r>
          </w:p>
        </w:tc>
        <w:tc>
          <w:tcPr>
            <w:tcW w:w="558" w:type="pct"/>
            <w:vAlign w:val="center"/>
          </w:tcPr>
          <w:p w14:paraId="17557B4A" w14:textId="310C8051" w:rsidR="00BE18C5" w:rsidRPr="00CF0C4E"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5"/>
                <w:lang w:eastAsia="en-AU"/>
                <w14:textFill>
                  <w14:solidFill>
                    <w14:srgbClr w14:val="000000">
                      <w14:alpha w14:val="100000"/>
                    </w14:srgbClr>
                  </w14:solidFill>
                </w14:textFill>
              </w:rPr>
              <w:t>|||</w:t>
            </w:r>
            <w:r w:rsidRPr="003C043D">
              <w:rPr>
                <w:color w:val="000000"/>
                <w:spacing w:val="2"/>
                <w:sz w:val="20"/>
                <w:shd w:val="solid" w:color="000000" w:fill="000000"/>
                <w:fitText w:val="391" w:id="-1233370865"/>
                <w:lang w:eastAsia="en-AU"/>
                <w14:textFill>
                  <w14:solidFill>
                    <w14:srgbClr w14:val="000000">
                      <w14:alpha w14:val="100000"/>
                    </w14:srgbClr>
                  </w14:solidFill>
                </w14:textFill>
              </w:rPr>
              <w:t>|</w:t>
            </w:r>
            <w:r w:rsidR="00BE18C5" w:rsidRPr="00CF0C4E">
              <w:rPr>
                <w:sz w:val="20"/>
                <w:lang w:eastAsia="en-AU"/>
              </w:rPr>
              <w:t>%</w:t>
            </w:r>
          </w:p>
        </w:tc>
        <w:tc>
          <w:tcPr>
            <w:tcW w:w="537" w:type="pct"/>
            <w:vAlign w:val="center"/>
          </w:tcPr>
          <w:p w14:paraId="456780C7" w14:textId="37A8237A" w:rsidR="00BE18C5" w:rsidRPr="00CF0C4E" w:rsidRDefault="003C043D" w:rsidP="00DF2C5C">
            <w:pPr>
              <w:pStyle w:val="TableText0"/>
              <w:keepNext w:val="0"/>
              <w:jc w:val="center"/>
              <w:rPr>
                <w:sz w:val="20"/>
                <w:lang w:eastAsia="en-AU"/>
              </w:rPr>
            </w:pPr>
            <w:r w:rsidRPr="003C043D">
              <w:rPr>
                <w:color w:val="000000"/>
                <w:spacing w:val="76"/>
                <w:sz w:val="20"/>
                <w:shd w:val="solid" w:color="000000" w:fill="000000"/>
                <w:fitText w:val="400" w:id="-1233370864"/>
                <w:lang w:eastAsia="en-AU"/>
                <w14:textFill>
                  <w14:solidFill>
                    <w14:srgbClr w14:val="000000">
                      <w14:alpha w14:val="100000"/>
                    </w14:srgbClr>
                  </w14:solidFill>
                </w14:textFill>
              </w:rPr>
              <w:t>|||</w:t>
            </w:r>
            <w:r w:rsidRPr="003C043D">
              <w:rPr>
                <w:color w:val="000000"/>
                <w:spacing w:val="2"/>
                <w:sz w:val="20"/>
                <w:shd w:val="solid" w:color="000000" w:fill="000000"/>
                <w:fitText w:val="400" w:id="-1233370864"/>
                <w:lang w:eastAsia="en-AU"/>
                <w14:textFill>
                  <w14:solidFill>
                    <w14:srgbClr w14:val="000000">
                      <w14:alpha w14:val="100000"/>
                    </w14:srgbClr>
                  </w14:solidFill>
                </w14:textFill>
              </w:rPr>
              <w:t>|</w:t>
            </w:r>
            <w:r w:rsidR="00BE18C5" w:rsidRPr="00CF0C4E">
              <w:rPr>
                <w:sz w:val="20"/>
                <w:lang w:eastAsia="en-AU"/>
              </w:rPr>
              <w:t>%</w:t>
            </w:r>
          </w:p>
        </w:tc>
      </w:tr>
      <w:tr w:rsidR="00BE18C5" w:rsidRPr="00A95754" w14:paraId="721C786C" w14:textId="77777777" w:rsidTr="00DF2C5C">
        <w:tc>
          <w:tcPr>
            <w:tcW w:w="201" w:type="pct"/>
          </w:tcPr>
          <w:p w14:paraId="358AB549" w14:textId="77777777" w:rsidR="00BE18C5" w:rsidRPr="00A95754" w:rsidRDefault="00BE18C5" w:rsidP="00DF2C5C">
            <w:pPr>
              <w:pStyle w:val="TableText0"/>
              <w:keepNext w:val="0"/>
              <w:jc w:val="center"/>
              <w:rPr>
                <w:sz w:val="20"/>
                <w:lang w:eastAsia="en-AU"/>
              </w:rPr>
            </w:pPr>
            <w:r w:rsidRPr="00A95754">
              <w:rPr>
                <w:sz w:val="20"/>
                <w:lang w:eastAsia="en-AU"/>
              </w:rPr>
              <w:t>N</w:t>
            </w:r>
          </w:p>
        </w:tc>
        <w:tc>
          <w:tcPr>
            <w:tcW w:w="980" w:type="pct"/>
          </w:tcPr>
          <w:p w14:paraId="25597E79" w14:textId="77777777" w:rsidR="00BE18C5" w:rsidRPr="00A95754" w:rsidRDefault="00BE18C5" w:rsidP="00DF2C5C">
            <w:pPr>
              <w:pStyle w:val="TableText0"/>
              <w:keepNext w:val="0"/>
              <w:ind w:right="-102"/>
              <w:rPr>
                <w:sz w:val="20"/>
                <w:lang w:eastAsia="en-AU"/>
              </w:rPr>
            </w:pPr>
            <w:r w:rsidRPr="00A95754">
              <w:rPr>
                <w:sz w:val="20"/>
                <w:lang w:eastAsia="en-AU"/>
              </w:rPr>
              <w:t>Patients with advanced BTC with WHO PS 0-1, total (n)</w:t>
            </w:r>
          </w:p>
        </w:tc>
        <w:tc>
          <w:tcPr>
            <w:tcW w:w="491" w:type="pct"/>
            <w:vAlign w:val="center"/>
          </w:tcPr>
          <w:p w14:paraId="7555B056" w14:textId="77777777" w:rsidR="00BE18C5" w:rsidRPr="00A95754" w:rsidRDefault="00BE18C5" w:rsidP="00DF2C5C">
            <w:pPr>
              <w:pStyle w:val="TableText0"/>
              <w:keepNext w:val="0"/>
              <w:ind w:left="-106" w:right="-74"/>
              <w:jc w:val="center"/>
              <w:rPr>
                <w:sz w:val="20"/>
                <w:lang w:eastAsia="en-AU"/>
              </w:rPr>
            </w:pPr>
            <w:r w:rsidRPr="00A95754">
              <w:rPr>
                <w:sz w:val="20"/>
                <w:lang w:eastAsia="en-AU"/>
              </w:rPr>
              <w:t>N= L x M</w:t>
            </w:r>
          </w:p>
        </w:tc>
        <w:tc>
          <w:tcPr>
            <w:tcW w:w="558" w:type="pct"/>
            <w:vAlign w:val="center"/>
          </w:tcPr>
          <w:p w14:paraId="735ABEE9" w14:textId="54D5F820"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80"/>
                <w:lang w:eastAsia="en-AU"/>
                <w14:textFill>
                  <w14:solidFill>
                    <w14:srgbClr w14:val="000000">
                      <w14:alpha w14:val="100000"/>
                    </w14:srgbClr>
                  </w14:solidFill>
                </w14:textFill>
              </w:rPr>
              <w:t>|||</w:t>
            </w:r>
            <w:r w:rsidRPr="003C043D">
              <w:rPr>
                <w:color w:val="000000"/>
                <w:spacing w:val="3"/>
                <w:sz w:val="20"/>
                <w:shd w:val="solid" w:color="000000" w:fill="000000"/>
                <w:fitText w:val="374" w:id="-1233370880"/>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7B5AF198" w14:textId="2EBD93F8"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79"/>
                <w:lang w:eastAsia="en-AU"/>
                <w14:textFill>
                  <w14:solidFill>
                    <w14:srgbClr w14:val="000000">
                      <w14:alpha w14:val="100000"/>
                    </w14:srgbClr>
                  </w14:solidFill>
                </w14:textFill>
              </w:rPr>
              <w:t>|||</w:t>
            </w:r>
            <w:r w:rsidRPr="003C043D">
              <w:rPr>
                <w:color w:val="000000"/>
                <w:spacing w:val="3"/>
                <w:sz w:val="20"/>
                <w:shd w:val="solid" w:color="000000" w:fill="000000"/>
                <w:fitText w:val="374" w:id="-1233370879"/>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9" w:type="pct"/>
            <w:vAlign w:val="center"/>
          </w:tcPr>
          <w:p w14:paraId="6AF34549" w14:textId="22CEEFD7" w:rsidR="00BE18C5" w:rsidRPr="00746A7D" w:rsidRDefault="003C043D" w:rsidP="00DF2C5C">
            <w:pPr>
              <w:pStyle w:val="TableText0"/>
              <w:keepNext w:val="0"/>
              <w:jc w:val="center"/>
              <w:rPr>
                <w:sz w:val="20"/>
                <w:highlight w:val="darkGray"/>
                <w:lang w:eastAsia="en-AU"/>
              </w:rPr>
            </w:pPr>
            <w:r w:rsidRPr="003C043D">
              <w:rPr>
                <w:color w:val="000000"/>
                <w:spacing w:val="65"/>
                <w:sz w:val="20"/>
                <w:shd w:val="solid" w:color="000000" w:fill="000000"/>
                <w:fitText w:val="366" w:id="-1233370878"/>
                <w:lang w:eastAsia="en-AU"/>
                <w14:textFill>
                  <w14:solidFill>
                    <w14:srgbClr w14:val="000000">
                      <w14:alpha w14:val="100000"/>
                    </w14:srgbClr>
                  </w14:solidFill>
                </w14:textFill>
              </w:rPr>
              <w:t>|||</w:t>
            </w:r>
            <w:r w:rsidRPr="003C043D">
              <w:rPr>
                <w:color w:val="000000"/>
                <w:spacing w:val="1"/>
                <w:sz w:val="20"/>
                <w:shd w:val="solid" w:color="000000" w:fill="000000"/>
                <w:fitText w:val="366" w:id="-1233370878"/>
                <w:lang w:eastAsia="en-AU"/>
                <w14:textFill>
                  <w14:solidFill>
                    <w14:srgbClr w14:val="000000">
                      <w14:alpha w14:val="100000"/>
                    </w14:srgbClr>
                  </w14:solidFill>
                </w14:textFill>
              </w:rPr>
              <w:t>|</w:t>
            </w:r>
            <w:r w:rsidR="00BE18C5" w:rsidRPr="00746A7D">
              <w:rPr>
                <w:sz w:val="20"/>
                <w:lang w:eastAsia="en-AU"/>
              </w:rPr>
              <w:t xml:space="preserve"> </w:t>
            </w:r>
            <w:r w:rsidR="008232F4" w:rsidRPr="00746A7D">
              <w:rPr>
                <w:sz w:val="20"/>
                <w:vertAlign w:val="superscript"/>
                <w:lang w:eastAsia="en-AU"/>
              </w:rPr>
              <w:t>3</w:t>
            </w:r>
          </w:p>
        </w:tc>
        <w:tc>
          <w:tcPr>
            <w:tcW w:w="558" w:type="pct"/>
            <w:vAlign w:val="center"/>
          </w:tcPr>
          <w:p w14:paraId="11B5DF1C" w14:textId="1E22403F"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7"/>
                <w:lang w:eastAsia="en-AU"/>
                <w14:textFill>
                  <w14:solidFill>
                    <w14:srgbClr w14:val="000000">
                      <w14:alpha w14:val="100000"/>
                    </w14:srgbClr>
                  </w14:solidFill>
                </w14:textFill>
              </w:rPr>
              <w:t>|||</w:t>
            </w:r>
            <w:r w:rsidRPr="003C043D">
              <w:rPr>
                <w:color w:val="000000"/>
                <w:spacing w:val="1"/>
                <w:sz w:val="20"/>
                <w:shd w:val="solid" w:color="000000" w:fill="000000"/>
                <w:fitText w:val="375" w:id="-1233370877"/>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093CE3B5" w14:textId="732FE570"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6"/>
                <w:lang w:eastAsia="en-AU"/>
                <w14:textFill>
                  <w14:solidFill>
                    <w14:srgbClr w14:val="000000">
                      <w14:alpha w14:val="100000"/>
                    </w14:srgbClr>
                  </w14:solidFill>
                </w14:textFill>
              </w:rPr>
              <w:t>|||</w:t>
            </w:r>
            <w:r w:rsidRPr="003C043D">
              <w:rPr>
                <w:color w:val="000000"/>
                <w:spacing w:val="1"/>
                <w:sz w:val="20"/>
                <w:shd w:val="solid" w:color="000000" w:fill="000000"/>
                <w:fitText w:val="375" w:id="-1233370876"/>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7FF84282" w14:textId="3CAB206E"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75"/>
                <w:lang w:eastAsia="en-AU"/>
                <w14:textFill>
                  <w14:solidFill>
                    <w14:srgbClr w14:val="000000">
                      <w14:alpha w14:val="100000"/>
                    </w14:srgbClr>
                  </w14:solidFill>
                </w14:textFill>
              </w:rPr>
              <w:t>|||</w:t>
            </w:r>
            <w:r w:rsidRPr="003C043D">
              <w:rPr>
                <w:color w:val="000000"/>
                <w:spacing w:val="2"/>
                <w:sz w:val="20"/>
                <w:shd w:val="solid" w:color="000000" w:fill="000000"/>
                <w:fitText w:val="391" w:id="-1233370875"/>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r>
      <w:tr w:rsidR="00BE18C5" w:rsidRPr="00A95754" w14:paraId="04881E61" w14:textId="77777777" w:rsidTr="00DF2C5C">
        <w:tc>
          <w:tcPr>
            <w:tcW w:w="201" w:type="pct"/>
          </w:tcPr>
          <w:p w14:paraId="4944C989" w14:textId="77777777" w:rsidR="00BE18C5" w:rsidRPr="00A95754" w:rsidRDefault="00BE18C5" w:rsidP="00DF2C5C">
            <w:pPr>
              <w:pStyle w:val="TableText0"/>
              <w:keepNext w:val="0"/>
              <w:jc w:val="center"/>
              <w:rPr>
                <w:sz w:val="20"/>
                <w:lang w:eastAsia="en-AU"/>
              </w:rPr>
            </w:pPr>
            <w:r w:rsidRPr="00A95754">
              <w:rPr>
                <w:sz w:val="20"/>
                <w:lang w:eastAsia="en-AU"/>
              </w:rPr>
              <w:t>P</w:t>
            </w:r>
          </w:p>
        </w:tc>
        <w:tc>
          <w:tcPr>
            <w:tcW w:w="980" w:type="pct"/>
          </w:tcPr>
          <w:p w14:paraId="6EF461D0" w14:textId="77777777" w:rsidR="00BE18C5" w:rsidRPr="00A95754" w:rsidRDefault="00BE18C5" w:rsidP="00DF2C5C">
            <w:pPr>
              <w:pStyle w:val="TableText0"/>
              <w:keepNext w:val="0"/>
              <w:ind w:right="-102"/>
              <w:rPr>
                <w:sz w:val="20"/>
                <w:lang w:eastAsia="en-AU"/>
              </w:rPr>
            </w:pPr>
            <w:r w:rsidRPr="00A95754">
              <w:rPr>
                <w:sz w:val="20"/>
                <w:lang w:eastAsia="en-AU"/>
              </w:rPr>
              <w:t xml:space="preserve">Patients with advanced BTC with WHO PS 0-1 initiating GemCis, total (n) </w:t>
            </w:r>
          </w:p>
        </w:tc>
        <w:tc>
          <w:tcPr>
            <w:tcW w:w="491" w:type="pct"/>
            <w:vAlign w:val="center"/>
          </w:tcPr>
          <w:p w14:paraId="3059489F" w14:textId="77777777" w:rsidR="00BE18C5" w:rsidRPr="00A95754" w:rsidRDefault="00BE18C5" w:rsidP="00DF2C5C">
            <w:pPr>
              <w:pStyle w:val="TableText0"/>
              <w:keepNext w:val="0"/>
              <w:ind w:left="-106" w:right="-74"/>
              <w:jc w:val="center"/>
              <w:rPr>
                <w:sz w:val="20"/>
                <w:lang w:eastAsia="en-AU"/>
              </w:rPr>
            </w:pPr>
            <w:r w:rsidRPr="00A95754">
              <w:rPr>
                <w:sz w:val="20"/>
                <w:lang w:eastAsia="en-AU"/>
              </w:rPr>
              <w:t xml:space="preserve">P= N x 100% </w:t>
            </w:r>
          </w:p>
        </w:tc>
        <w:tc>
          <w:tcPr>
            <w:tcW w:w="558" w:type="pct"/>
            <w:vAlign w:val="center"/>
          </w:tcPr>
          <w:p w14:paraId="6C43D081" w14:textId="14272D93"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74"/>
                <w:lang w:eastAsia="en-AU"/>
                <w14:textFill>
                  <w14:solidFill>
                    <w14:srgbClr w14:val="000000">
                      <w14:alpha w14:val="100000"/>
                    </w14:srgbClr>
                  </w14:solidFill>
                </w14:textFill>
              </w:rPr>
              <w:t>|||</w:t>
            </w:r>
            <w:r w:rsidRPr="003C043D">
              <w:rPr>
                <w:color w:val="000000"/>
                <w:spacing w:val="3"/>
                <w:sz w:val="20"/>
                <w:shd w:val="solid" w:color="000000" w:fill="000000"/>
                <w:fitText w:val="374" w:id="-1233370874"/>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00A2CF6A" w14:textId="27FAEFF1"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73"/>
                <w:lang w:eastAsia="en-AU"/>
                <w14:textFill>
                  <w14:solidFill>
                    <w14:srgbClr w14:val="000000">
                      <w14:alpha w14:val="100000"/>
                    </w14:srgbClr>
                  </w14:solidFill>
                </w14:textFill>
              </w:rPr>
              <w:t>|||</w:t>
            </w:r>
            <w:r w:rsidRPr="003C043D">
              <w:rPr>
                <w:color w:val="000000"/>
                <w:spacing w:val="3"/>
                <w:sz w:val="20"/>
                <w:shd w:val="solid" w:color="000000" w:fill="000000"/>
                <w:fitText w:val="374" w:id="-1233370873"/>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9" w:type="pct"/>
            <w:vAlign w:val="center"/>
          </w:tcPr>
          <w:p w14:paraId="00FBD460" w14:textId="020BEC65"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0872"/>
                <w:lang w:eastAsia="en-AU"/>
                <w14:textFill>
                  <w14:solidFill>
                    <w14:srgbClr w14:val="000000">
                      <w14:alpha w14:val="100000"/>
                    </w14:srgbClr>
                  </w14:solidFill>
                </w14:textFill>
              </w:rPr>
              <w:t>|||</w:t>
            </w:r>
            <w:r w:rsidRPr="003C043D">
              <w:rPr>
                <w:color w:val="000000"/>
                <w:spacing w:val="1"/>
                <w:sz w:val="20"/>
                <w:shd w:val="solid" w:color="000000" w:fill="000000"/>
                <w:fitText w:val="366" w:id="-1233370872"/>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580F2990" w14:textId="1D8B668A"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1"/>
                <w:lang w:eastAsia="en-AU"/>
                <w14:textFill>
                  <w14:solidFill>
                    <w14:srgbClr w14:val="000000">
                      <w14:alpha w14:val="100000"/>
                    </w14:srgbClr>
                  </w14:solidFill>
                </w14:textFill>
              </w:rPr>
              <w:t>|||</w:t>
            </w:r>
            <w:r w:rsidRPr="003C043D">
              <w:rPr>
                <w:color w:val="000000"/>
                <w:spacing w:val="1"/>
                <w:sz w:val="20"/>
                <w:shd w:val="solid" w:color="000000" w:fill="000000"/>
                <w:fitText w:val="375" w:id="-1233370871"/>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58BA519D" w14:textId="5878ECD4"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0"/>
                <w:lang w:eastAsia="en-AU"/>
                <w14:textFill>
                  <w14:solidFill>
                    <w14:srgbClr w14:val="000000">
                      <w14:alpha w14:val="100000"/>
                    </w14:srgbClr>
                  </w14:solidFill>
                </w14:textFill>
              </w:rPr>
              <w:t>|||</w:t>
            </w:r>
            <w:r w:rsidRPr="003C043D">
              <w:rPr>
                <w:color w:val="000000"/>
                <w:spacing w:val="1"/>
                <w:sz w:val="20"/>
                <w:shd w:val="solid" w:color="000000" w:fill="000000"/>
                <w:fitText w:val="375" w:id="-1233370870"/>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7ED9CC86" w14:textId="68AFF1EF" w:rsidR="00BE18C5" w:rsidRPr="00746A7D" w:rsidRDefault="003C043D" w:rsidP="00DF2C5C">
            <w:pPr>
              <w:pStyle w:val="TableText0"/>
              <w:keepNext w:val="0"/>
              <w:jc w:val="center"/>
              <w:rPr>
                <w:sz w:val="20"/>
                <w:highlight w:val="darkGray"/>
                <w:lang w:eastAsia="en-AU"/>
              </w:rPr>
            </w:pPr>
            <w:r w:rsidRPr="003C043D">
              <w:rPr>
                <w:color w:val="000000"/>
                <w:spacing w:val="73"/>
                <w:sz w:val="20"/>
                <w:shd w:val="solid" w:color="000000" w:fill="000000"/>
                <w:fitText w:val="391" w:id="-1233370869"/>
                <w:lang w:eastAsia="en-AU"/>
                <w14:textFill>
                  <w14:solidFill>
                    <w14:srgbClr w14:val="000000">
                      <w14:alpha w14:val="100000"/>
                    </w14:srgbClr>
                  </w14:solidFill>
                </w14:textFill>
              </w:rPr>
              <w:t>|||</w:t>
            </w:r>
            <w:r w:rsidRPr="003C043D">
              <w:rPr>
                <w:color w:val="000000"/>
                <w:spacing w:val="2"/>
                <w:sz w:val="20"/>
                <w:shd w:val="solid" w:color="000000" w:fill="000000"/>
                <w:fitText w:val="391" w:id="-1233370869"/>
                <w:lang w:eastAsia="en-AU"/>
                <w14:textFill>
                  <w14:solidFill>
                    <w14:srgbClr w14:val="000000">
                      <w14:alpha w14:val="100000"/>
                    </w14:srgbClr>
                  </w14:solidFill>
                </w14:textFill>
              </w:rPr>
              <w:t>|</w:t>
            </w:r>
            <w:r w:rsidR="00BE18C5" w:rsidRPr="00746A7D">
              <w:rPr>
                <w:sz w:val="20"/>
                <w:lang w:eastAsia="en-AU"/>
              </w:rPr>
              <w:t xml:space="preserve"> </w:t>
            </w:r>
            <w:r w:rsidR="008232F4" w:rsidRPr="00746A7D">
              <w:rPr>
                <w:sz w:val="20"/>
                <w:vertAlign w:val="superscript"/>
                <w:lang w:eastAsia="en-AU"/>
              </w:rPr>
              <w:t>3</w:t>
            </w:r>
          </w:p>
        </w:tc>
      </w:tr>
      <w:tr w:rsidR="00BE18C5" w:rsidRPr="00A95754" w14:paraId="3B8D99AF" w14:textId="77777777" w:rsidTr="00DF2C5C">
        <w:tc>
          <w:tcPr>
            <w:tcW w:w="201" w:type="pct"/>
          </w:tcPr>
          <w:p w14:paraId="75021FB7" w14:textId="77777777" w:rsidR="00BE18C5" w:rsidRPr="00A95754" w:rsidRDefault="00BE18C5" w:rsidP="00DF2C5C">
            <w:pPr>
              <w:pStyle w:val="TableText0"/>
              <w:keepNext w:val="0"/>
              <w:jc w:val="center"/>
              <w:rPr>
                <w:sz w:val="20"/>
                <w:lang w:eastAsia="en-AU"/>
              </w:rPr>
            </w:pPr>
            <w:r w:rsidRPr="00A95754">
              <w:rPr>
                <w:sz w:val="20"/>
                <w:lang w:eastAsia="en-AU"/>
              </w:rPr>
              <w:t>Q</w:t>
            </w:r>
          </w:p>
        </w:tc>
        <w:tc>
          <w:tcPr>
            <w:tcW w:w="980" w:type="pct"/>
          </w:tcPr>
          <w:p w14:paraId="6D879D53" w14:textId="77777777" w:rsidR="00BE18C5" w:rsidRPr="00A95754" w:rsidRDefault="00BE18C5" w:rsidP="00DF2C5C">
            <w:pPr>
              <w:pStyle w:val="TableText0"/>
              <w:keepNext w:val="0"/>
              <w:ind w:right="-102"/>
              <w:rPr>
                <w:sz w:val="20"/>
                <w:lang w:eastAsia="en-AU"/>
              </w:rPr>
            </w:pPr>
            <w:r w:rsidRPr="00A95754">
              <w:rPr>
                <w:sz w:val="20"/>
                <w:lang w:eastAsia="en-AU"/>
              </w:rPr>
              <w:t xml:space="preserve">Uptake </w:t>
            </w:r>
          </w:p>
        </w:tc>
        <w:tc>
          <w:tcPr>
            <w:tcW w:w="491" w:type="pct"/>
            <w:vAlign w:val="center"/>
          </w:tcPr>
          <w:p w14:paraId="06AB5E16" w14:textId="77777777" w:rsidR="00BE18C5" w:rsidRPr="00A95754" w:rsidRDefault="00BE18C5" w:rsidP="00DF2C5C">
            <w:pPr>
              <w:pStyle w:val="TableText0"/>
              <w:keepNext w:val="0"/>
              <w:ind w:left="-106" w:right="-74"/>
              <w:jc w:val="center"/>
              <w:rPr>
                <w:sz w:val="20"/>
                <w:lang w:eastAsia="en-AU"/>
              </w:rPr>
            </w:pPr>
            <w:r w:rsidRPr="00A95754">
              <w:rPr>
                <w:sz w:val="20"/>
                <w:lang w:eastAsia="en-AU"/>
              </w:rPr>
              <w:t>Q</w:t>
            </w:r>
          </w:p>
        </w:tc>
        <w:tc>
          <w:tcPr>
            <w:tcW w:w="558" w:type="pct"/>
            <w:vAlign w:val="center"/>
          </w:tcPr>
          <w:p w14:paraId="774518E0" w14:textId="54F11D68"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8"/>
                <w:lang w:eastAsia="en-AU"/>
                <w14:textFill>
                  <w14:solidFill>
                    <w14:srgbClr w14:val="000000">
                      <w14:alpha w14:val="100000"/>
                    </w14:srgbClr>
                  </w14:solidFill>
                </w14:textFill>
              </w:rPr>
              <w:t>|||</w:t>
            </w:r>
            <w:r w:rsidRPr="003C043D">
              <w:rPr>
                <w:color w:val="000000"/>
                <w:spacing w:val="2"/>
                <w:sz w:val="20"/>
                <w:shd w:val="solid" w:color="000000" w:fill="000000"/>
                <w:fitText w:val="391" w:id="-1233370868"/>
                <w:lang w:eastAsia="en-AU"/>
                <w14:textFill>
                  <w14:solidFill>
                    <w14:srgbClr w14:val="000000">
                      <w14:alpha w14:val="100000"/>
                    </w14:srgbClr>
                  </w14:solidFill>
                </w14:textFill>
              </w:rPr>
              <w:t>|</w:t>
            </w:r>
            <w:r w:rsidR="00BE18C5" w:rsidRPr="00A95754">
              <w:rPr>
                <w:sz w:val="20"/>
                <w:lang w:eastAsia="en-AU"/>
              </w:rPr>
              <w:t>%</w:t>
            </w:r>
          </w:p>
        </w:tc>
        <w:tc>
          <w:tcPr>
            <w:tcW w:w="558" w:type="pct"/>
            <w:vAlign w:val="center"/>
          </w:tcPr>
          <w:p w14:paraId="30D853FE" w14:textId="4EF96CA2"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7"/>
                <w:lang w:eastAsia="en-AU"/>
                <w14:textFill>
                  <w14:solidFill>
                    <w14:srgbClr w14:val="000000">
                      <w14:alpha w14:val="100000"/>
                    </w14:srgbClr>
                  </w14:solidFill>
                </w14:textFill>
              </w:rPr>
              <w:t>|||</w:t>
            </w:r>
            <w:r w:rsidRPr="003C043D">
              <w:rPr>
                <w:color w:val="000000"/>
                <w:spacing w:val="2"/>
                <w:sz w:val="20"/>
                <w:shd w:val="solid" w:color="000000" w:fill="000000"/>
                <w:fitText w:val="391" w:id="-1233370867"/>
                <w:lang w:eastAsia="en-AU"/>
                <w14:textFill>
                  <w14:solidFill>
                    <w14:srgbClr w14:val="000000">
                      <w14:alpha w14:val="100000"/>
                    </w14:srgbClr>
                  </w14:solidFill>
                </w14:textFill>
              </w:rPr>
              <w:t>|</w:t>
            </w:r>
            <w:r w:rsidR="00BE18C5" w:rsidRPr="00A95754">
              <w:rPr>
                <w:sz w:val="20"/>
                <w:lang w:eastAsia="en-AU"/>
              </w:rPr>
              <w:t>%</w:t>
            </w:r>
          </w:p>
        </w:tc>
        <w:tc>
          <w:tcPr>
            <w:tcW w:w="559" w:type="pct"/>
            <w:vAlign w:val="center"/>
          </w:tcPr>
          <w:p w14:paraId="761B129C" w14:textId="210BA421"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6"/>
                <w:lang w:eastAsia="en-AU"/>
                <w14:textFill>
                  <w14:solidFill>
                    <w14:srgbClr w14:val="000000">
                      <w14:alpha w14:val="100000"/>
                    </w14:srgbClr>
                  </w14:solidFill>
                </w14:textFill>
              </w:rPr>
              <w:t>|||</w:t>
            </w:r>
            <w:r w:rsidRPr="003C043D">
              <w:rPr>
                <w:color w:val="000000"/>
                <w:spacing w:val="2"/>
                <w:sz w:val="20"/>
                <w:shd w:val="solid" w:color="000000" w:fill="000000"/>
                <w:fitText w:val="391" w:id="-1233370866"/>
                <w:lang w:eastAsia="en-AU"/>
                <w14:textFill>
                  <w14:solidFill>
                    <w14:srgbClr w14:val="000000">
                      <w14:alpha w14:val="100000"/>
                    </w14:srgbClr>
                  </w14:solidFill>
                </w14:textFill>
              </w:rPr>
              <w:t>|</w:t>
            </w:r>
            <w:r w:rsidR="00BE18C5" w:rsidRPr="00A95754">
              <w:rPr>
                <w:sz w:val="20"/>
                <w:lang w:eastAsia="en-AU"/>
              </w:rPr>
              <w:t>%</w:t>
            </w:r>
          </w:p>
        </w:tc>
        <w:tc>
          <w:tcPr>
            <w:tcW w:w="558" w:type="pct"/>
            <w:vAlign w:val="center"/>
          </w:tcPr>
          <w:p w14:paraId="07A5D4A0" w14:textId="23228C44"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2" w:id="-1233370865"/>
                <w:lang w:eastAsia="en-AU"/>
                <w14:textFill>
                  <w14:solidFill>
                    <w14:srgbClr w14:val="000000">
                      <w14:alpha w14:val="100000"/>
                    </w14:srgbClr>
                  </w14:solidFill>
                </w14:textFill>
              </w:rPr>
              <w:t>|||</w:t>
            </w:r>
            <w:r w:rsidRPr="003C043D">
              <w:rPr>
                <w:color w:val="000000"/>
                <w:spacing w:val="3"/>
                <w:sz w:val="20"/>
                <w:shd w:val="solid" w:color="000000" w:fill="000000"/>
                <w:fitText w:val="392" w:id="-1233370865"/>
                <w:lang w:eastAsia="en-AU"/>
                <w14:textFill>
                  <w14:solidFill>
                    <w14:srgbClr w14:val="000000">
                      <w14:alpha w14:val="100000"/>
                    </w14:srgbClr>
                  </w14:solidFill>
                </w14:textFill>
              </w:rPr>
              <w:t>|</w:t>
            </w:r>
            <w:r w:rsidR="00BE18C5" w:rsidRPr="00A95754">
              <w:rPr>
                <w:sz w:val="20"/>
                <w:lang w:eastAsia="en-AU"/>
              </w:rPr>
              <w:t>%</w:t>
            </w:r>
          </w:p>
        </w:tc>
        <w:tc>
          <w:tcPr>
            <w:tcW w:w="558" w:type="pct"/>
            <w:vAlign w:val="center"/>
          </w:tcPr>
          <w:p w14:paraId="7FDAAB9A" w14:textId="45A6A3D6" w:rsidR="00BE18C5" w:rsidRPr="00A9575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64"/>
                <w:lang w:eastAsia="en-AU"/>
                <w14:textFill>
                  <w14:solidFill>
                    <w14:srgbClr w14:val="000000">
                      <w14:alpha w14:val="100000"/>
                    </w14:srgbClr>
                  </w14:solidFill>
                </w14:textFill>
              </w:rPr>
              <w:t>|||</w:t>
            </w:r>
            <w:r w:rsidRPr="003C043D">
              <w:rPr>
                <w:color w:val="000000"/>
                <w:spacing w:val="2"/>
                <w:sz w:val="20"/>
                <w:shd w:val="solid" w:color="000000" w:fill="000000"/>
                <w:fitText w:val="391" w:id="-1233370864"/>
                <w:lang w:eastAsia="en-AU"/>
                <w14:textFill>
                  <w14:solidFill>
                    <w14:srgbClr w14:val="000000">
                      <w14:alpha w14:val="100000"/>
                    </w14:srgbClr>
                  </w14:solidFill>
                </w14:textFill>
              </w:rPr>
              <w:t>|</w:t>
            </w:r>
            <w:r w:rsidR="00BE18C5" w:rsidRPr="00A95754">
              <w:rPr>
                <w:sz w:val="20"/>
                <w:lang w:eastAsia="en-AU"/>
              </w:rPr>
              <w:t>%</w:t>
            </w:r>
          </w:p>
        </w:tc>
        <w:tc>
          <w:tcPr>
            <w:tcW w:w="537" w:type="pct"/>
            <w:vAlign w:val="center"/>
          </w:tcPr>
          <w:p w14:paraId="02F63CF8" w14:textId="0FCC1498" w:rsidR="00BE18C5" w:rsidRPr="00A95754" w:rsidRDefault="003C043D" w:rsidP="00DF2C5C">
            <w:pPr>
              <w:pStyle w:val="TableText0"/>
              <w:keepNext w:val="0"/>
              <w:jc w:val="center"/>
              <w:rPr>
                <w:sz w:val="20"/>
                <w:lang w:eastAsia="en-AU"/>
              </w:rPr>
            </w:pPr>
            <w:r w:rsidRPr="003C043D">
              <w:rPr>
                <w:color w:val="000000"/>
                <w:spacing w:val="76"/>
                <w:sz w:val="20"/>
                <w:shd w:val="solid" w:color="000000" w:fill="000000"/>
                <w:fitText w:val="400" w:id="-1233370880"/>
                <w:lang w:eastAsia="en-AU"/>
                <w14:textFill>
                  <w14:solidFill>
                    <w14:srgbClr w14:val="000000">
                      <w14:alpha w14:val="100000"/>
                    </w14:srgbClr>
                  </w14:solidFill>
                </w14:textFill>
              </w:rPr>
              <w:t>|||</w:t>
            </w:r>
            <w:r w:rsidRPr="003C043D">
              <w:rPr>
                <w:color w:val="000000"/>
                <w:spacing w:val="2"/>
                <w:sz w:val="20"/>
                <w:shd w:val="solid" w:color="000000" w:fill="000000"/>
                <w:fitText w:val="400" w:id="-1233370880"/>
                <w:lang w:eastAsia="en-AU"/>
                <w14:textFill>
                  <w14:solidFill>
                    <w14:srgbClr w14:val="000000">
                      <w14:alpha w14:val="100000"/>
                    </w14:srgbClr>
                  </w14:solidFill>
                </w14:textFill>
              </w:rPr>
              <w:t>|</w:t>
            </w:r>
            <w:r w:rsidR="00BE18C5" w:rsidRPr="00A95754">
              <w:rPr>
                <w:sz w:val="20"/>
                <w:lang w:eastAsia="en-AU"/>
              </w:rPr>
              <w:t>%</w:t>
            </w:r>
          </w:p>
        </w:tc>
      </w:tr>
      <w:tr w:rsidR="00BE18C5" w:rsidRPr="00A95754" w14:paraId="0F454C6E" w14:textId="77777777" w:rsidTr="00DF2C5C">
        <w:tc>
          <w:tcPr>
            <w:tcW w:w="201" w:type="pct"/>
          </w:tcPr>
          <w:p w14:paraId="424DB321" w14:textId="77777777" w:rsidR="00BE18C5" w:rsidRPr="00A95754" w:rsidRDefault="00BE18C5" w:rsidP="00DF2C5C">
            <w:pPr>
              <w:pStyle w:val="TableText0"/>
              <w:keepNext w:val="0"/>
              <w:jc w:val="center"/>
              <w:rPr>
                <w:sz w:val="20"/>
                <w:lang w:eastAsia="en-AU"/>
              </w:rPr>
            </w:pPr>
            <w:r w:rsidRPr="00A95754">
              <w:rPr>
                <w:sz w:val="20"/>
                <w:lang w:eastAsia="en-AU"/>
              </w:rPr>
              <w:t>R</w:t>
            </w:r>
          </w:p>
        </w:tc>
        <w:tc>
          <w:tcPr>
            <w:tcW w:w="980" w:type="pct"/>
          </w:tcPr>
          <w:p w14:paraId="39DDE0B1" w14:textId="77777777" w:rsidR="00BE18C5" w:rsidRPr="00A95754" w:rsidRDefault="00BE18C5" w:rsidP="00DF2C5C">
            <w:pPr>
              <w:pStyle w:val="TableText0"/>
              <w:keepNext w:val="0"/>
              <w:ind w:right="-102"/>
              <w:rPr>
                <w:sz w:val="20"/>
                <w:lang w:eastAsia="en-AU"/>
              </w:rPr>
            </w:pPr>
            <w:r w:rsidRPr="00A95754">
              <w:rPr>
                <w:sz w:val="20"/>
                <w:lang w:eastAsia="en-AU"/>
              </w:rPr>
              <w:t>Patients initiating D + GemCis, total (n)</w:t>
            </w:r>
          </w:p>
        </w:tc>
        <w:tc>
          <w:tcPr>
            <w:tcW w:w="491" w:type="pct"/>
            <w:vAlign w:val="center"/>
          </w:tcPr>
          <w:p w14:paraId="1001A8C4" w14:textId="77777777" w:rsidR="00BE18C5" w:rsidRPr="00A95754" w:rsidRDefault="00BE18C5" w:rsidP="00DF2C5C">
            <w:pPr>
              <w:pStyle w:val="TableText0"/>
              <w:keepNext w:val="0"/>
              <w:ind w:left="-106" w:right="-74"/>
              <w:jc w:val="center"/>
              <w:rPr>
                <w:sz w:val="20"/>
                <w:lang w:eastAsia="en-AU"/>
              </w:rPr>
            </w:pPr>
            <w:r w:rsidRPr="00A95754">
              <w:rPr>
                <w:sz w:val="20"/>
                <w:lang w:eastAsia="en-AU"/>
              </w:rPr>
              <w:t>R= P x Q</w:t>
            </w:r>
          </w:p>
        </w:tc>
        <w:tc>
          <w:tcPr>
            <w:tcW w:w="558" w:type="pct"/>
            <w:vAlign w:val="center"/>
          </w:tcPr>
          <w:p w14:paraId="2AB41F1A" w14:textId="442C1773"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79"/>
                <w:lang w:eastAsia="en-AU"/>
                <w14:textFill>
                  <w14:solidFill>
                    <w14:srgbClr w14:val="000000">
                      <w14:alpha w14:val="100000"/>
                    </w14:srgbClr>
                  </w14:solidFill>
                </w14:textFill>
              </w:rPr>
              <w:t>|||</w:t>
            </w:r>
            <w:r w:rsidRPr="003C043D">
              <w:rPr>
                <w:color w:val="000000"/>
                <w:spacing w:val="3"/>
                <w:sz w:val="20"/>
                <w:shd w:val="solid" w:color="000000" w:fill="000000"/>
                <w:fitText w:val="374" w:id="-1233370879"/>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5B19EF40" w14:textId="238F1FB8" w:rsidR="00BE18C5" w:rsidRPr="00A95754" w:rsidRDefault="003C043D" w:rsidP="00DF2C5C">
            <w:pPr>
              <w:pStyle w:val="TableText0"/>
              <w:keepNext w:val="0"/>
              <w:jc w:val="center"/>
              <w:rPr>
                <w:sz w:val="20"/>
                <w:lang w:eastAsia="en-AU"/>
              </w:rPr>
            </w:pPr>
            <w:r w:rsidRPr="003C043D">
              <w:rPr>
                <w:color w:val="000000"/>
                <w:spacing w:val="67"/>
                <w:sz w:val="20"/>
                <w:shd w:val="solid" w:color="000000" w:fill="000000"/>
                <w:fitText w:val="374" w:id="-1233370878"/>
                <w:lang w:eastAsia="en-AU"/>
                <w14:textFill>
                  <w14:solidFill>
                    <w14:srgbClr w14:val="000000">
                      <w14:alpha w14:val="100000"/>
                    </w14:srgbClr>
                  </w14:solidFill>
                </w14:textFill>
              </w:rPr>
              <w:t>|||</w:t>
            </w:r>
            <w:r w:rsidRPr="003C043D">
              <w:rPr>
                <w:color w:val="000000"/>
                <w:spacing w:val="3"/>
                <w:sz w:val="20"/>
                <w:shd w:val="solid" w:color="000000" w:fill="000000"/>
                <w:fitText w:val="374" w:id="-1233370878"/>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9" w:type="pct"/>
            <w:vAlign w:val="center"/>
          </w:tcPr>
          <w:p w14:paraId="0CFC5D0B" w14:textId="72264AD6" w:rsidR="00BE18C5" w:rsidRPr="00A95754" w:rsidRDefault="003C043D" w:rsidP="00DF2C5C">
            <w:pPr>
              <w:pStyle w:val="TableText0"/>
              <w:keepNext w:val="0"/>
              <w:jc w:val="center"/>
              <w:rPr>
                <w:sz w:val="20"/>
                <w:lang w:eastAsia="en-AU"/>
              </w:rPr>
            </w:pPr>
            <w:r w:rsidRPr="003C043D">
              <w:rPr>
                <w:color w:val="000000"/>
                <w:spacing w:val="65"/>
                <w:sz w:val="20"/>
                <w:shd w:val="solid" w:color="000000" w:fill="000000"/>
                <w:fitText w:val="366" w:id="-1233370877"/>
                <w:lang w:eastAsia="en-AU"/>
                <w14:textFill>
                  <w14:solidFill>
                    <w14:srgbClr w14:val="000000">
                      <w14:alpha w14:val="100000"/>
                    </w14:srgbClr>
                  </w14:solidFill>
                </w14:textFill>
              </w:rPr>
              <w:t>|||</w:t>
            </w:r>
            <w:r w:rsidRPr="003C043D">
              <w:rPr>
                <w:color w:val="000000"/>
                <w:spacing w:val="1"/>
                <w:sz w:val="20"/>
                <w:shd w:val="solid" w:color="000000" w:fill="000000"/>
                <w:fitText w:val="366" w:id="-1233370877"/>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488A2CF6" w14:textId="3B37A21A"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6"/>
                <w:lang w:eastAsia="en-AU"/>
                <w14:textFill>
                  <w14:solidFill>
                    <w14:srgbClr w14:val="000000">
                      <w14:alpha w14:val="100000"/>
                    </w14:srgbClr>
                  </w14:solidFill>
                </w14:textFill>
              </w:rPr>
              <w:t>|||</w:t>
            </w:r>
            <w:r w:rsidRPr="003C043D">
              <w:rPr>
                <w:color w:val="000000"/>
                <w:spacing w:val="1"/>
                <w:sz w:val="20"/>
                <w:shd w:val="solid" w:color="000000" w:fill="000000"/>
                <w:fitText w:val="375" w:id="-1233370876"/>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58" w:type="pct"/>
            <w:vAlign w:val="center"/>
          </w:tcPr>
          <w:p w14:paraId="77EBBB85" w14:textId="3FEA572D" w:rsidR="00BE18C5" w:rsidRPr="00A95754" w:rsidRDefault="003C043D" w:rsidP="00DF2C5C">
            <w:pPr>
              <w:pStyle w:val="TableText0"/>
              <w:keepNext w:val="0"/>
              <w:jc w:val="center"/>
              <w:rPr>
                <w:sz w:val="20"/>
                <w:lang w:eastAsia="en-AU"/>
              </w:rPr>
            </w:pPr>
            <w:r w:rsidRPr="003C043D">
              <w:rPr>
                <w:color w:val="000000"/>
                <w:spacing w:val="68"/>
                <w:sz w:val="20"/>
                <w:shd w:val="solid" w:color="000000" w:fill="000000"/>
                <w:fitText w:val="375" w:id="-1233370875"/>
                <w:lang w:eastAsia="en-AU"/>
                <w14:textFill>
                  <w14:solidFill>
                    <w14:srgbClr w14:val="000000">
                      <w14:alpha w14:val="100000"/>
                    </w14:srgbClr>
                  </w14:solidFill>
                </w14:textFill>
              </w:rPr>
              <w:t>|||</w:t>
            </w:r>
            <w:r w:rsidRPr="003C043D">
              <w:rPr>
                <w:color w:val="000000"/>
                <w:spacing w:val="1"/>
                <w:sz w:val="20"/>
                <w:shd w:val="solid" w:color="000000" w:fill="000000"/>
                <w:fitText w:val="375" w:id="-1233370875"/>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c>
          <w:tcPr>
            <w:tcW w:w="537" w:type="pct"/>
            <w:vAlign w:val="center"/>
          </w:tcPr>
          <w:p w14:paraId="2985DB93" w14:textId="498B6804" w:rsidR="00BE18C5" w:rsidRPr="008232F4" w:rsidRDefault="003C043D" w:rsidP="00DF2C5C">
            <w:pPr>
              <w:pStyle w:val="TableText0"/>
              <w:keepNext w:val="0"/>
              <w:jc w:val="center"/>
              <w:rPr>
                <w:sz w:val="20"/>
                <w:lang w:eastAsia="en-AU"/>
              </w:rPr>
            </w:pPr>
            <w:r w:rsidRPr="003C043D">
              <w:rPr>
                <w:color w:val="000000"/>
                <w:spacing w:val="73"/>
                <w:sz w:val="20"/>
                <w:shd w:val="solid" w:color="000000" w:fill="000000"/>
                <w:fitText w:val="391" w:id="-1233370874"/>
                <w:lang w:eastAsia="en-AU"/>
                <w14:textFill>
                  <w14:solidFill>
                    <w14:srgbClr w14:val="000000">
                      <w14:alpha w14:val="100000"/>
                    </w14:srgbClr>
                  </w14:solidFill>
                </w14:textFill>
              </w:rPr>
              <w:t>|||</w:t>
            </w:r>
            <w:r w:rsidRPr="003C043D">
              <w:rPr>
                <w:color w:val="000000"/>
                <w:spacing w:val="2"/>
                <w:sz w:val="20"/>
                <w:shd w:val="solid" w:color="000000" w:fill="000000"/>
                <w:fitText w:val="391" w:id="-1233370874"/>
                <w:lang w:eastAsia="en-AU"/>
                <w14:textFill>
                  <w14:solidFill>
                    <w14:srgbClr w14:val="000000">
                      <w14:alpha w14:val="100000"/>
                    </w14:srgbClr>
                  </w14:solidFill>
                </w14:textFill>
              </w:rPr>
              <w:t>|</w:t>
            </w:r>
            <w:r w:rsidR="00BE18C5" w:rsidRPr="00A95754">
              <w:rPr>
                <w:sz w:val="20"/>
                <w:lang w:eastAsia="en-AU"/>
              </w:rPr>
              <w:t xml:space="preserve"> </w:t>
            </w:r>
            <w:r w:rsidR="008232F4">
              <w:rPr>
                <w:sz w:val="20"/>
                <w:vertAlign w:val="superscript"/>
                <w:lang w:eastAsia="en-AU"/>
              </w:rPr>
              <w:t>3</w:t>
            </w:r>
          </w:p>
        </w:tc>
      </w:tr>
    </w:tbl>
    <w:p w14:paraId="7091CA03" w14:textId="77777777" w:rsidR="00BE18C5" w:rsidRPr="00A95754" w:rsidRDefault="00BE18C5" w:rsidP="00BE18C5">
      <w:pPr>
        <w:pStyle w:val="TableFigureFooter"/>
      </w:pPr>
      <w:r w:rsidRPr="00A95754">
        <w:t>Source: Table 4.2 p193, Table 4.3 p194, Table 4.4 p194, Table 4.5 p195, Table 4.6 p195, Table 4.7 p 196, of the submission.</w:t>
      </w:r>
    </w:p>
    <w:p w14:paraId="23FFBBD2" w14:textId="03085A8C" w:rsidR="00BE18C5" w:rsidRPr="00A95754" w:rsidRDefault="00BE18C5" w:rsidP="00BE18C5">
      <w:pPr>
        <w:pStyle w:val="TableFigureFooter"/>
        <w:rPr>
          <w:szCs w:val="18"/>
        </w:rPr>
      </w:pPr>
      <w:r w:rsidRPr="00A95754">
        <w:rPr>
          <w:szCs w:val="18"/>
        </w:rPr>
        <w:t xml:space="preserve">BTC = biliary tract cancer; D = durvalumab; EHCC = extrahepatic cholangiocarcinoma; GemCis = gemcitabine + cisplatin; GBC = gallbladder cancer; IHCC = intrahepatic cholangiocarcinoma; PBS = Pharmaceutical Benefits Scheme; PS = performance status; RPBS = Repatriation Pharmaceutical Benefits Scheme; WHO = </w:t>
      </w:r>
      <w:r w:rsidRPr="00A95754">
        <w:t>World Health Organi</w:t>
      </w:r>
      <w:r w:rsidR="00731778">
        <w:t>z</w:t>
      </w:r>
      <w:r w:rsidRPr="00A95754">
        <w:t>ation</w:t>
      </w:r>
      <w:r w:rsidRPr="00A95754">
        <w:rPr>
          <w:szCs w:val="18"/>
        </w:rPr>
        <w:t xml:space="preserve">. </w:t>
      </w:r>
    </w:p>
    <w:p w14:paraId="24D51BF7" w14:textId="0E11F6A3" w:rsidR="00BE18C5" w:rsidRDefault="00BE18C5" w:rsidP="008232F4">
      <w:pPr>
        <w:pStyle w:val="TableFigureFooter"/>
        <w:spacing w:after="0"/>
        <w:rPr>
          <w:szCs w:val="18"/>
        </w:rPr>
      </w:pPr>
      <w:r w:rsidRPr="00A95754">
        <w:rPr>
          <w:szCs w:val="18"/>
          <w:vertAlign w:val="superscript"/>
        </w:rPr>
        <w:t>a</w:t>
      </w:r>
      <w:r w:rsidRPr="00A95754">
        <w:rPr>
          <w:szCs w:val="18"/>
        </w:rPr>
        <w:t xml:space="preserve"> Reported as all age-specific incidence (crude) rate per 100,000. </w:t>
      </w:r>
    </w:p>
    <w:p w14:paraId="5F8073B4" w14:textId="77777777" w:rsidR="008232F4" w:rsidRPr="009A6D58" w:rsidRDefault="008232F4" w:rsidP="008232F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DE3ABE9" w14:textId="72FF206F" w:rsidR="008232F4" w:rsidRPr="009A6D58" w:rsidRDefault="008232F4" w:rsidP="008232F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232F4">
        <w:rPr>
          <w:rFonts w:ascii="Arial Narrow" w:hAnsi="Arial Narrow"/>
          <w:i/>
          <w:sz w:val="18"/>
          <w:szCs w:val="18"/>
        </w:rPr>
        <w:t>&gt; 10,000,000</w:t>
      </w:r>
    </w:p>
    <w:p w14:paraId="0246FC97" w14:textId="2AB5517D" w:rsidR="008232F4" w:rsidRPr="009A6D58" w:rsidRDefault="008232F4" w:rsidP="008232F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232F4">
        <w:rPr>
          <w:rFonts w:ascii="Arial Narrow" w:hAnsi="Arial Narrow"/>
          <w:i/>
          <w:sz w:val="18"/>
          <w:szCs w:val="18"/>
        </w:rPr>
        <w:t>&lt; 500</w:t>
      </w:r>
    </w:p>
    <w:p w14:paraId="622F79BE" w14:textId="62C70E7B" w:rsidR="008232F4" w:rsidRPr="00FF4B8C" w:rsidRDefault="008232F4" w:rsidP="00FF4B8C">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bookmarkStart w:id="62" w:name="_Hlk135042307"/>
      <w:r w:rsidRPr="008232F4">
        <w:rPr>
          <w:rFonts w:ascii="Arial Narrow" w:hAnsi="Arial Narrow"/>
          <w:i/>
          <w:sz w:val="18"/>
          <w:szCs w:val="18"/>
        </w:rPr>
        <w:t>500 to &lt; 5,000</w:t>
      </w:r>
      <w:bookmarkEnd w:id="62"/>
      <w:r w:rsidRPr="008232F4">
        <w:rPr>
          <w:rFonts w:ascii="Arial Narrow" w:hAnsi="Arial Narrow"/>
          <w:i/>
          <w:sz w:val="18"/>
          <w:szCs w:val="18"/>
        </w:rPr>
        <w:t xml:space="preserve"> </w:t>
      </w:r>
    </w:p>
    <w:p w14:paraId="1E9EA0CF" w14:textId="00420A9D" w:rsidR="00BE18C5" w:rsidRPr="00A95754" w:rsidRDefault="00BE18C5" w:rsidP="00BE18C5">
      <w:pPr>
        <w:pStyle w:val="TableHeading0"/>
      </w:pPr>
      <w:bookmarkStart w:id="63" w:name="_Ref124492372"/>
      <w:r w:rsidRPr="00A95754">
        <w:lastRenderedPageBreak/>
        <w:t xml:space="preserve">Table </w:t>
      </w:r>
      <w:fldSimple w:instr=" SEQ Table \* ARABIC ">
        <w:r w:rsidR="000178EC">
          <w:rPr>
            <w:noProof/>
          </w:rPr>
          <w:t>18</w:t>
        </w:r>
      </w:fldSimple>
      <w:bookmarkEnd w:id="63"/>
      <w:r w:rsidRPr="00A95754">
        <w:t>: Estimated financial impact of durvalumab listing based on effective prices</w:t>
      </w:r>
    </w:p>
    <w:tbl>
      <w:tblPr>
        <w:tblStyle w:val="AZTable"/>
        <w:tblW w:w="5000" w:type="pct"/>
        <w:tblLayout w:type="fixed"/>
        <w:tblLook w:val="04A0" w:firstRow="1" w:lastRow="0" w:firstColumn="1" w:lastColumn="0" w:noHBand="0" w:noVBand="1"/>
      </w:tblPr>
      <w:tblGrid>
        <w:gridCol w:w="2123"/>
        <w:gridCol w:w="1133"/>
        <w:gridCol w:w="1134"/>
        <w:gridCol w:w="1134"/>
        <w:gridCol w:w="1134"/>
        <w:gridCol w:w="1134"/>
        <w:gridCol w:w="1225"/>
      </w:tblGrid>
      <w:tr w:rsidR="00BE18C5" w:rsidRPr="00A95754" w14:paraId="0F035648" w14:textId="77777777" w:rsidTr="00DF2C5C">
        <w:trPr>
          <w:cnfStyle w:val="100000000000" w:firstRow="1" w:lastRow="0" w:firstColumn="0" w:lastColumn="0" w:oddVBand="0" w:evenVBand="0" w:oddHBand="0" w:evenHBand="0" w:firstRowFirstColumn="0" w:firstRowLastColumn="0" w:lastRowFirstColumn="0" w:lastRowLastColumn="0"/>
        </w:trPr>
        <w:tc>
          <w:tcPr>
            <w:tcW w:w="1177" w:type="pct"/>
          </w:tcPr>
          <w:p w14:paraId="468BE304" w14:textId="77777777" w:rsidR="00BE18C5" w:rsidRPr="00A95754" w:rsidRDefault="00BE18C5" w:rsidP="00DF2C5C">
            <w:pPr>
              <w:pStyle w:val="TableText0"/>
              <w:rPr>
                <w:sz w:val="20"/>
                <w:szCs w:val="20"/>
              </w:rPr>
            </w:pPr>
          </w:p>
        </w:tc>
        <w:tc>
          <w:tcPr>
            <w:tcW w:w="628" w:type="pct"/>
          </w:tcPr>
          <w:p w14:paraId="7F90E4AB" w14:textId="77777777" w:rsidR="00BE18C5" w:rsidRPr="00A95754" w:rsidRDefault="00BE18C5" w:rsidP="00DF2C5C">
            <w:pPr>
              <w:pStyle w:val="TableText0"/>
              <w:jc w:val="center"/>
              <w:rPr>
                <w:b/>
                <w:bCs w:val="0"/>
                <w:sz w:val="20"/>
                <w:szCs w:val="20"/>
              </w:rPr>
            </w:pPr>
            <w:r w:rsidRPr="00A95754">
              <w:rPr>
                <w:b/>
                <w:bCs w:val="0"/>
                <w:sz w:val="20"/>
                <w:szCs w:val="20"/>
              </w:rPr>
              <w:t>Year 1</w:t>
            </w:r>
          </w:p>
          <w:p w14:paraId="74A17A9D" w14:textId="77777777" w:rsidR="00BE18C5" w:rsidRPr="00A95754" w:rsidRDefault="00BE18C5" w:rsidP="00DF2C5C">
            <w:pPr>
              <w:pStyle w:val="TableText0"/>
              <w:jc w:val="center"/>
              <w:rPr>
                <w:b/>
                <w:bCs w:val="0"/>
                <w:sz w:val="20"/>
                <w:szCs w:val="20"/>
              </w:rPr>
            </w:pPr>
            <w:r w:rsidRPr="00A95754">
              <w:rPr>
                <w:b/>
                <w:bCs w:val="0"/>
                <w:sz w:val="20"/>
                <w:szCs w:val="20"/>
              </w:rPr>
              <w:t>2023</w:t>
            </w:r>
          </w:p>
        </w:tc>
        <w:tc>
          <w:tcPr>
            <w:tcW w:w="629" w:type="pct"/>
          </w:tcPr>
          <w:p w14:paraId="71E9DB08" w14:textId="77777777" w:rsidR="00BE18C5" w:rsidRPr="00A95754" w:rsidRDefault="00BE18C5" w:rsidP="00DF2C5C">
            <w:pPr>
              <w:pStyle w:val="TableText0"/>
              <w:jc w:val="center"/>
              <w:rPr>
                <w:b/>
                <w:bCs w:val="0"/>
                <w:sz w:val="20"/>
                <w:szCs w:val="20"/>
              </w:rPr>
            </w:pPr>
            <w:r w:rsidRPr="00A95754">
              <w:rPr>
                <w:b/>
                <w:bCs w:val="0"/>
                <w:sz w:val="20"/>
                <w:szCs w:val="20"/>
              </w:rPr>
              <w:t>Year 2</w:t>
            </w:r>
          </w:p>
          <w:p w14:paraId="3384C7CE" w14:textId="77777777" w:rsidR="00BE18C5" w:rsidRPr="00A95754" w:rsidRDefault="00BE18C5" w:rsidP="00DF2C5C">
            <w:pPr>
              <w:pStyle w:val="TableText0"/>
              <w:jc w:val="center"/>
              <w:rPr>
                <w:b/>
                <w:bCs w:val="0"/>
                <w:sz w:val="20"/>
                <w:szCs w:val="20"/>
              </w:rPr>
            </w:pPr>
            <w:r w:rsidRPr="00A95754">
              <w:rPr>
                <w:b/>
                <w:bCs w:val="0"/>
                <w:sz w:val="20"/>
                <w:szCs w:val="20"/>
              </w:rPr>
              <w:t>2024</w:t>
            </w:r>
          </w:p>
        </w:tc>
        <w:tc>
          <w:tcPr>
            <w:tcW w:w="629" w:type="pct"/>
          </w:tcPr>
          <w:p w14:paraId="07F1F418" w14:textId="77777777" w:rsidR="00BE18C5" w:rsidRPr="00A95754" w:rsidRDefault="00BE18C5" w:rsidP="00DF2C5C">
            <w:pPr>
              <w:pStyle w:val="TableText0"/>
              <w:jc w:val="center"/>
              <w:rPr>
                <w:b/>
                <w:bCs w:val="0"/>
                <w:sz w:val="20"/>
                <w:szCs w:val="20"/>
              </w:rPr>
            </w:pPr>
            <w:r w:rsidRPr="00A95754">
              <w:rPr>
                <w:b/>
                <w:bCs w:val="0"/>
                <w:sz w:val="20"/>
                <w:szCs w:val="20"/>
              </w:rPr>
              <w:t>Year 3</w:t>
            </w:r>
          </w:p>
          <w:p w14:paraId="682DF06B" w14:textId="77777777" w:rsidR="00BE18C5" w:rsidRPr="00A95754" w:rsidRDefault="00BE18C5" w:rsidP="00DF2C5C">
            <w:pPr>
              <w:pStyle w:val="TableText0"/>
              <w:jc w:val="center"/>
              <w:rPr>
                <w:b/>
                <w:bCs w:val="0"/>
                <w:sz w:val="20"/>
                <w:szCs w:val="20"/>
              </w:rPr>
            </w:pPr>
            <w:r w:rsidRPr="00A95754">
              <w:rPr>
                <w:b/>
                <w:bCs w:val="0"/>
                <w:sz w:val="20"/>
                <w:szCs w:val="20"/>
              </w:rPr>
              <w:t>2025</w:t>
            </w:r>
          </w:p>
        </w:tc>
        <w:tc>
          <w:tcPr>
            <w:tcW w:w="629" w:type="pct"/>
          </w:tcPr>
          <w:p w14:paraId="456D1F73" w14:textId="77777777" w:rsidR="00BE18C5" w:rsidRPr="00A95754" w:rsidRDefault="00BE18C5" w:rsidP="00DF2C5C">
            <w:pPr>
              <w:pStyle w:val="TableText0"/>
              <w:jc w:val="center"/>
              <w:rPr>
                <w:b/>
                <w:bCs w:val="0"/>
                <w:sz w:val="20"/>
                <w:szCs w:val="20"/>
              </w:rPr>
            </w:pPr>
            <w:r w:rsidRPr="00A95754">
              <w:rPr>
                <w:b/>
                <w:bCs w:val="0"/>
                <w:sz w:val="20"/>
                <w:szCs w:val="20"/>
              </w:rPr>
              <w:t>Year 4</w:t>
            </w:r>
          </w:p>
          <w:p w14:paraId="065C4BCF" w14:textId="77777777" w:rsidR="00BE18C5" w:rsidRPr="00A95754" w:rsidRDefault="00BE18C5" w:rsidP="00DF2C5C">
            <w:pPr>
              <w:pStyle w:val="TableText0"/>
              <w:jc w:val="center"/>
              <w:rPr>
                <w:b/>
                <w:bCs w:val="0"/>
                <w:sz w:val="20"/>
                <w:szCs w:val="20"/>
              </w:rPr>
            </w:pPr>
            <w:r w:rsidRPr="00A95754">
              <w:rPr>
                <w:b/>
                <w:bCs w:val="0"/>
                <w:sz w:val="20"/>
                <w:szCs w:val="20"/>
              </w:rPr>
              <w:t>2026</w:t>
            </w:r>
          </w:p>
        </w:tc>
        <w:tc>
          <w:tcPr>
            <w:tcW w:w="629" w:type="pct"/>
          </w:tcPr>
          <w:p w14:paraId="1DD4ED30" w14:textId="77777777" w:rsidR="00BE18C5" w:rsidRPr="00A95754" w:rsidRDefault="00BE18C5" w:rsidP="00DF2C5C">
            <w:pPr>
              <w:pStyle w:val="TableText0"/>
              <w:jc w:val="center"/>
              <w:rPr>
                <w:b/>
                <w:bCs w:val="0"/>
                <w:sz w:val="20"/>
                <w:szCs w:val="20"/>
              </w:rPr>
            </w:pPr>
            <w:r w:rsidRPr="00A95754">
              <w:rPr>
                <w:b/>
                <w:bCs w:val="0"/>
                <w:sz w:val="20"/>
                <w:szCs w:val="20"/>
              </w:rPr>
              <w:t>Year 5</w:t>
            </w:r>
          </w:p>
          <w:p w14:paraId="0C9C0BA1" w14:textId="77777777" w:rsidR="00BE18C5" w:rsidRPr="00A95754" w:rsidRDefault="00BE18C5" w:rsidP="00DF2C5C">
            <w:pPr>
              <w:pStyle w:val="TableText0"/>
              <w:jc w:val="center"/>
              <w:rPr>
                <w:b/>
                <w:bCs w:val="0"/>
                <w:sz w:val="20"/>
                <w:szCs w:val="20"/>
              </w:rPr>
            </w:pPr>
            <w:r w:rsidRPr="00A95754">
              <w:rPr>
                <w:b/>
                <w:bCs w:val="0"/>
                <w:sz w:val="20"/>
                <w:szCs w:val="20"/>
              </w:rPr>
              <w:t>2027</w:t>
            </w:r>
          </w:p>
        </w:tc>
        <w:tc>
          <w:tcPr>
            <w:tcW w:w="679" w:type="pct"/>
          </w:tcPr>
          <w:p w14:paraId="5976D403" w14:textId="77777777" w:rsidR="00BE18C5" w:rsidRPr="00A95754" w:rsidRDefault="00BE18C5" w:rsidP="00DF2C5C">
            <w:pPr>
              <w:pStyle w:val="TableText0"/>
              <w:jc w:val="center"/>
              <w:rPr>
                <w:b/>
                <w:bCs w:val="0"/>
                <w:sz w:val="20"/>
                <w:szCs w:val="20"/>
              </w:rPr>
            </w:pPr>
            <w:r w:rsidRPr="00A95754">
              <w:rPr>
                <w:b/>
                <w:bCs w:val="0"/>
                <w:sz w:val="20"/>
                <w:szCs w:val="20"/>
              </w:rPr>
              <w:t>Year 6</w:t>
            </w:r>
          </w:p>
          <w:p w14:paraId="3EB05D98" w14:textId="77777777" w:rsidR="00BE18C5" w:rsidRPr="00A95754" w:rsidRDefault="00BE18C5" w:rsidP="00DF2C5C">
            <w:pPr>
              <w:pStyle w:val="TableText0"/>
              <w:jc w:val="center"/>
              <w:rPr>
                <w:b/>
                <w:bCs w:val="0"/>
                <w:sz w:val="20"/>
                <w:szCs w:val="20"/>
              </w:rPr>
            </w:pPr>
            <w:r w:rsidRPr="00A95754">
              <w:rPr>
                <w:b/>
                <w:bCs w:val="0"/>
                <w:sz w:val="20"/>
                <w:szCs w:val="20"/>
              </w:rPr>
              <w:t>2028</w:t>
            </w:r>
          </w:p>
        </w:tc>
      </w:tr>
      <w:tr w:rsidR="00BE18C5" w:rsidRPr="00A95754" w14:paraId="5863B284" w14:textId="77777777" w:rsidTr="00DF2C5C">
        <w:tc>
          <w:tcPr>
            <w:tcW w:w="5000" w:type="pct"/>
            <w:gridSpan w:val="7"/>
            <w:vAlign w:val="center"/>
          </w:tcPr>
          <w:p w14:paraId="0E11B544" w14:textId="77777777" w:rsidR="00BE18C5" w:rsidRPr="00A95754" w:rsidRDefault="00BE18C5" w:rsidP="00DF2C5C">
            <w:pPr>
              <w:pStyle w:val="TableText0"/>
              <w:rPr>
                <w:b/>
                <w:bCs w:val="0"/>
                <w:szCs w:val="22"/>
              </w:rPr>
            </w:pPr>
            <w:r w:rsidRPr="00A95754">
              <w:rPr>
                <w:b/>
                <w:bCs w:val="0"/>
                <w:color w:val="000000"/>
              </w:rPr>
              <w:t>Estimated extent of use</w:t>
            </w:r>
          </w:p>
        </w:tc>
      </w:tr>
      <w:tr w:rsidR="00BE18C5" w:rsidRPr="00A95754" w14:paraId="26E2BC8C" w14:textId="77777777" w:rsidTr="00DF2C5C">
        <w:tc>
          <w:tcPr>
            <w:tcW w:w="1177" w:type="pct"/>
            <w:vAlign w:val="center"/>
          </w:tcPr>
          <w:p w14:paraId="03C4505E" w14:textId="77777777" w:rsidR="00BE18C5" w:rsidRPr="00A95754" w:rsidRDefault="00BE18C5" w:rsidP="00DF2C5C">
            <w:pPr>
              <w:pStyle w:val="TableText0"/>
              <w:rPr>
                <w:sz w:val="20"/>
                <w:szCs w:val="22"/>
              </w:rPr>
            </w:pPr>
            <w:r w:rsidRPr="00A95754">
              <w:rPr>
                <w:sz w:val="20"/>
                <w:szCs w:val="22"/>
              </w:rPr>
              <w:t xml:space="preserve">Patients initiating </w:t>
            </w:r>
          </w:p>
        </w:tc>
        <w:tc>
          <w:tcPr>
            <w:tcW w:w="628" w:type="pct"/>
            <w:tcMar>
              <w:left w:w="57" w:type="dxa"/>
              <w:right w:w="0" w:type="dxa"/>
            </w:tcMar>
            <w:vAlign w:val="center"/>
          </w:tcPr>
          <w:p w14:paraId="1D4BD488" w14:textId="421E7EA5" w:rsidR="00BE18C5" w:rsidRPr="00746A7D" w:rsidRDefault="003C043D" w:rsidP="00DF2C5C">
            <w:pPr>
              <w:pStyle w:val="TableText0"/>
              <w:jc w:val="center"/>
              <w:rPr>
                <w:szCs w:val="22"/>
                <w:vertAlign w:val="superscript"/>
              </w:rPr>
            </w:pPr>
            <w:r w:rsidRPr="003C043D">
              <w:rPr>
                <w:color w:val="000000"/>
                <w:spacing w:val="48"/>
                <w:sz w:val="20"/>
                <w:shd w:val="solid" w:color="000000" w:fill="000000"/>
                <w:fitText w:val="224" w:id="-1233370873"/>
                <w:lang w:eastAsia="en-AU"/>
                <w14:textFill>
                  <w14:solidFill>
                    <w14:srgbClr w14:val="000000">
                      <w14:alpha w14:val="100000"/>
                    </w14:srgbClr>
                  </w14:solidFill>
                </w14:textFill>
              </w:rPr>
              <w:t>||</w:t>
            </w:r>
            <w:r w:rsidRPr="003C043D">
              <w:rPr>
                <w:color w:val="000000"/>
                <w:spacing w:val="1"/>
                <w:sz w:val="20"/>
                <w:shd w:val="solid" w:color="000000" w:fill="000000"/>
                <w:fitText w:val="224" w:id="-1233370873"/>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1</w:t>
            </w:r>
          </w:p>
        </w:tc>
        <w:tc>
          <w:tcPr>
            <w:tcW w:w="629" w:type="pct"/>
            <w:vAlign w:val="center"/>
          </w:tcPr>
          <w:p w14:paraId="01252998" w14:textId="22E70BE8" w:rsidR="00BE18C5" w:rsidRPr="00A95754" w:rsidRDefault="003C043D" w:rsidP="00DF2C5C">
            <w:pPr>
              <w:pStyle w:val="TableText0"/>
              <w:jc w:val="center"/>
              <w:rPr>
                <w:szCs w:val="22"/>
              </w:rPr>
            </w:pPr>
            <w:r w:rsidRPr="003C043D">
              <w:rPr>
                <w:color w:val="000000"/>
                <w:spacing w:val="45"/>
                <w:sz w:val="20"/>
                <w:shd w:val="solid" w:color="000000" w:fill="000000"/>
                <w:fitText w:val="308" w:id="-1233370872"/>
                <w:lang w:eastAsia="en-AU"/>
                <w14:textFill>
                  <w14:solidFill>
                    <w14:srgbClr w14:val="000000">
                      <w14:alpha w14:val="100000"/>
                    </w14:srgbClr>
                  </w14:solidFill>
                </w14:textFill>
              </w:rPr>
              <w:t>|||</w:t>
            </w:r>
            <w:r w:rsidRPr="003C043D">
              <w:rPr>
                <w:color w:val="000000"/>
                <w:spacing w:val="3"/>
                <w:sz w:val="20"/>
                <w:shd w:val="solid" w:color="000000" w:fill="000000"/>
                <w:fitText w:val="308" w:id="-1233370872"/>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1</w:t>
            </w:r>
          </w:p>
        </w:tc>
        <w:tc>
          <w:tcPr>
            <w:tcW w:w="629" w:type="pct"/>
            <w:vAlign w:val="center"/>
          </w:tcPr>
          <w:p w14:paraId="09B96AF0" w14:textId="08DD3241" w:rsidR="00BE18C5" w:rsidRPr="00A95754" w:rsidRDefault="003C043D" w:rsidP="00DF2C5C">
            <w:pPr>
              <w:pStyle w:val="TableText0"/>
              <w:jc w:val="center"/>
              <w:rPr>
                <w:szCs w:val="22"/>
              </w:rPr>
            </w:pPr>
            <w:r w:rsidRPr="003C043D">
              <w:rPr>
                <w:color w:val="000000"/>
                <w:spacing w:val="45"/>
                <w:sz w:val="20"/>
                <w:shd w:val="solid" w:color="000000" w:fill="000000"/>
                <w:fitText w:val="307" w:id="-1233370871"/>
                <w:lang w:eastAsia="en-AU"/>
                <w14:textFill>
                  <w14:solidFill>
                    <w14:srgbClr w14:val="000000">
                      <w14:alpha w14:val="100000"/>
                    </w14:srgbClr>
                  </w14:solidFill>
                </w14:textFill>
              </w:rPr>
              <w:t>|||</w:t>
            </w:r>
            <w:r w:rsidRPr="003C043D">
              <w:rPr>
                <w:color w:val="000000"/>
                <w:spacing w:val="2"/>
                <w:sz w:val="20"/>
                <w:shd w:val="solid" w:color="000000" w:fill="000000"/>
                <w:fitText w:val="307" w:id="-1233370871"/>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1</w:t>
            </w:r>
          </w:p>
        </w:tc>
        <w:tc>
          <w:tcPr>
            <w:tcW w:w="629" w:type="pct"/>
            <w:vAlign w:val="center"/>
          </w:tcPr>
          <w:p w14:paraId="29482DF1" w14:textId="36875B5A" w:rsidR="00BE18C5" w:rsidRPr="00A95754" w:rsidRDefault="003C043D" w:rsidP="00DF2C5C">
            <w:pPr>
              <w:pStyle w:val="TableText0"/>
              <w:jc w:val="center"/>
              <w:rPr>
                <w:szCs w:val="22"/>
              </w:rPr>
            </w:pPr>
            <w:r w:rsidRPr="003C043D">
              <w:rPr>
                <w:color w:val="000000"/>
                <w:spacing w:val="45"/>
                <w:sz w:val="20"/>
                <w:shd w:val="solid" w:color="000000" w:fill="000000"/>
                <w:fitText w:val="308" w:id="-1233370870"/>
                <w:lang w:eastAsia="en-AU"/>
                <w14:textFill>
                  <w14:solidFill>
                    <w14:srgbClr w14:val="000000">
                      <w14:alpha w14:val="100000"/>
                    </w14:srgbClr>
                  </w14:solidFill>
                </w14:textFill>
              </w:rPr>
              <w:t>|||</w:t>
            </w:r>
            <w:r w:rsidRPr="003C043D">
              <w:rPr>
                <w:color w:val="000000"/>
                <w:spacing w:val="3"/>
                <w:sz w:val="20"/>
                <w:shd w:val="solid" w:color="000000" w:fill="000000"/>
                <w:fitText w:val="308" w:id="-1233370870"/>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1</w:t>
            </w:r>
          </w:p>
        </w:tc>
        <w:tc>
          <w:tcPr>
            <w:tcW w:w="629" w:type="pct"/>
            <w:vAlign w:val="center"/>
          </w:tcPr>
          <w:p w14:paraId="511730BB" w14:textId="4955230C" w:rsidR="00BE18C5" w:rsidRPr="00A95754" w:rsidRDefault="003C043D" w:rsidP="00DF2C5C">
            <w:pPr>
              <w:pStyle w:val="TableText0"/>
              <w:jc w:val="center"/>
              <w:rPr>
                <w:szCs w:val="22"/>
              </w:rPr>
            </w:pPr>
            <w:r w:rsidRPr="003C043D">
              <w:rPr>
                <w:color w:val="000000"/>
                <w:spacing w:val="45"/>
                <w:sz w:val="20"/>
                <w:shd w:val="solid" w:color="000000" w:fill="000000"/>
                <w:fitText w:val="308" w:id="-1233370869"/>
                <w:lang w:eastAsia="en-AU"/>
                <w14:textFill>
                  <w14:solidFill>
                    <w14:srgbClr w14:val="000000">
                      <w14:alpha w14:val="100000"/>
                    </w14:srgbClr>
                  </w14:solidFill>
                </w14:textFill>
              </w:rPr>
              <w:t>|||</w:t>
            </w:r>
            <w:r w:rsidRPr="003C043D">
              <w:rPr>
                <w:color w:val="000000"/>
                <w:spacing w:val="3"/>
                <w:sz w:val="20"/>
                <w:shd w:val="solid" w:color="000000" w:fill="000000"/>
                <w:fitText w:val="308" w:id="-1233370869"/>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1</w:t>
            </w:r>
          </w:p>
        </w:tc>
        <w:tc>
          <w:tcPr>
            <w:tcW w:w="679" w:type="pct"/>
            <w:vAlign w:val="center"/>
          </w:tcPr>
          <w:p w14:paraId="01B564A5" w14:textId="236FA7BF" w:rsidR="00BE18C5" w:rsidRPr="00A95754" w:rsidRDefault="003C043D" w:rsidP="00DF2C5C">
            <w:pPr>
              <w:pStyle w:val="TableText0"/>
              <w:jc w:val="center"/>
              <w:rPr>
                <w:szCs w:val="22"/>
              </w:rPr>
            </w:pPr>
            <w:r w:rsidRPr="003C043D">
              <w:rPr>
                <w:color w:val="000000"/>
                <w:spacing w:val="172"/>
                <w:sz w:val="20"/>
                <w:shd w:val="solid" w:color="000000" w:fill="000000"/>
                <w:fitText w:val="258" w:id="-1233370868"/>
                <w:lang w:eastAsia="en-AU"/>
                <w14:textFill>
                  <w14:solidFill>
                    <w14:srgbClr w14:val="000000">
                      <w14:alpha w14:val="100000"/>
                    </w14:srgbClr>
                  </w14:solidFill>
                </w14:textFill>
              </w:rPr>
              <w:t>|</w:t>
            </w:r>
            <w:r w:rsidRPr="003C043D">
              <w:rPr>
                <w:color w:val="000000"/>
                <w:spacing w:val="1"/>
                <w:sz w:val="20"/>
                <w:shd w:val="solid" w:color="000000" w:fill="000000"/>
                <w:fitText w:val="258" w:id="-1233370868"/>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1</w:t>
            </w:r>
          </w:p>
        </w:tc>
      </w:tr>
      <w:tr w:rsidR="00BE18C5" w:rsidRPr="00A95754" w14:paraId="5357C747" w14:textId="77777777" w:rsidTr="00DF2C5C">
        <w:tc>
          <w:tcPr>
            <w:tcW w:w="1177" w:type="pct"/>
            <w:vAlign w:val="center"/>
          </w:tcPr>
          <w:p w14:paraId="63681FF3" w14:textId="77777777" w:rsidR="00BE18C5" w:rsidRPr="00A95754" w:rsidRDefault="00BE18C5" w:rsidP="00DF2C5C">
            <w:pPr>
              <w:pStyle w:val="TableText0"/>
              <w:rPr>
                <w:sz w:val="20"/>
                <w:szCs w:val="22"/>
              </w:rPr>
            </w:pPr>
            <w:r w:rsidRPr="00A95754">
              <w:rPr>
                <w:sz w:val="20"/>
                <w:szCs w:val="22"/>
              </w:rPr>
              <w:t>Scripts dispensed</w:t>
            </w:r>
            <w:r w:rsidRPr="00A95754">
              <w:rPr>
                <w:sz w:val="20"/>
                <w:szCs w:val="22"/>
                <w:vertAlign w:val="superscript"/>
              </w:rPr>
              <w:t>a</w:t>
            </w:r>
          </w:p>
        </w:tc>
        <w:tc>
          <w:tcPr>
            <w:tcW w:w="628" w:type="pct"/>
            <w:tcMar>
              <w:left w:w="57" w:type="dxa"/>
              <w:right w:w="0" w:type="dxa"/>
            </w:tcMar>
            <w:vAlign w:val="center"/>
          </w:tcPr>
          <w:p w14:paraId="2C9E9CFF" w14:textId="60385D4A" w:rsidR="00BE18C5" w:rsidRPr="00A95754" w:rsidRDefault="003C043D" w:rsidP="00DF2C5C">
            <w:pPr>
              <w:pStyle w:val="TableText0"/>
              <w:jc w:val="center"/>
              <w:rPr>
                <w:szCs w:val="22"/>
              </w:rPr>
            </w:pPr>
            <w:r w:rsidRPr="003C043D">
              <w:rPr>
                <w:color w:val="000000"/>
                <w:spacing w:val="48"/>
                <w:sz w:val="20"/>
                <w:shd w:val="solid" w:color="000000" w:fill="000000"/>
                <w:fitText w:val="224" w:id="-1233370867"/>
                <w:lang w:eastAsia="en-AU"/>
                <w14:textFill>
                  <w14:solidFill>
                    <w14:srgbClr w14:val="000000">
                      <w14:alpha w14:val="100000"/>
                    </w14:srgbClr>
                  </w14:solidFill>
                </w14:textFill>
              </w:rPr>
              <w:t>||</w:t>
            </w:r>
            <w:r w:rsidRPr="003C043D">
              <w:rPr>
                <w:color w:val="000000"/>
                <w:spacing w:val="1"/>
                <w:sz w:val="20"/>
                <w:shd w:val="solid" w:color="000000" w:fill="000000"/>
                <w:fitText w:val="224" w:id="-1233370867"/>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2</w:t>
            </w:r>
          </w:p>
        </w:tc>
        <w:tc>
          <w:tcPr>
            <w:tcW w:w="629" w:type="pct"/>
            <w:vAlign w:val="center"/>
          </w:tcPr>
          <w:p w14:paraId="5BF9B5CE" w14:textId="1EF0C869" w:rsidR="00BE18C5" w:rsidRPr="00A95754" w:rsidRDefault="003C043D" w:rsidP="00DF2C5C">
            <w:pPr>
              <w:pStyle w:val="TableText0"/>
              <w:jc w:val="center"/>
              <w:rPr>
                <w:szCs w:val="22"/>
              </w:rPr>
            </w:pPr>
            <w:r w:rsidRPr="003C043D">
              <w:rPr>
                <w:color w:val="000000"/>
                <w:spacing w:val="45"/>
                <w:sz w:val="20"/>
                <w:shd w:val="solid" w:color="000000" w:fill="000000"/>
                <w:fitText w:val="308" w:id="-1233370866"/>
                <w:lang w:eastAsia="en-AU"/>
                <w14:textFill>
                  <w14:solidFill>
                    <w14:srgbClr w14:val="000000">
                      <w14:alpha w14:val="100000"/>
                    </w14:srgbClr>
                  </w14:solidFill>
                </w14:textFill>
              </w:rPr>
              <w:t>|||</w:t>
            </w:r>
            <w:r w:rsidRPr="003C043D">
              <w:rPr>
                <w:color w:val="000000"/>
                <w:spacing w:val="3"/>
                <w:sz w:val="20"/>
                <w:shd w:val="solid" w:color="000000" w:fill="000000"/>
                <w:fitText w:val="308" w:id="-1233370866"/>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2</w:t>
            </w:r>
          </w:p>
        </w:tc>
        <w:tc>
          <w:tcPr>
            <w:tcW w:w="629" w:type="pct"/>
            <w:vAlign w:val="center"/>
          </w:tcPr>
          <w:p w14:paraId="15C09181" w14:textId="23E84662" w:rsidR="00BE18C5" w:rsidRPr="00A95754" w:rsidRDefault="003C043D" w:rsidP="00DF2C5C">
            <w:pPr>
              <w:pStyle w:val="TableText0"/>
              <w:jc w:val="center"/>
              <w:rPr>
                <w:szCs w:val="22"/>
              </w:rPr>
            </w:pPr>
            <w:r w:rsidRPr="003C043D">
              <w:rPr>
                <w:color w:val="000000"/>
                <w:spacing w:val="45"/>
                <w:sz w:val="20"/>
                <w:shd w:val="solid" w:color="000000" w:fill="000000"/>
                <w:fitText w:val="307" w:id="-1233370865"/>
                <w:lang w:eastAsia="en-AU"/>
                <w14:textFill>
                  <w14:solidFill>
                    <w14:srgbClr w14:val="000000">
                      <w14:alpha w14:val="100000"/>
                    </w14:srgbClr>
                  </w14:solidFill>
                </w14:textFill>
              </w:rPr>
              <w:t>|||</w:t>
            </w:r>
            <w:r w:rsidRPr="003C043D">
              <w:rPr>
                <w:color w:val="000000"/>
                <w:spacing w:val="2"/>
                <w:sz w:val="20"/>
                <w:shd w:val="solid" w:color="000000" w:fill="000000"/>
                <w:fitText w:val="307" w:id="-1233370865"/>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2</w:t>
            </w:r>
          </w:p>
        </w:tc>
        <w:tc>
          <w:tcPr>
            <w:tcW w:w="629" w:type="pct"/>
            <w:vAlign w:val="center"/>
          </w:tcPr>
          <w:p w14:paraId="179ACA66" w14:textId="29721441" w:rsidR="00BE18C5" w:rsidRPr="00A95754" w:rsidRDefault="003C043D" w:rsidP="00DF2C5C">
            <w:pPr>
              <w:pStyle w:val="TableText0"/>
              <w:jc w:val="center"/>
              <w:rPr>
                <w:szCs w:val="22"/>
              </w:rPr>
            </w:pPr>
            <w:r w:rsidRPr="003C043D">
              <w:rPr>
                <w:color w:val="000000"/>
                <w:spacing w:val="45"/>
                <w:sz w:val="20"/>
                <w:shd w:val="solid" w:color="000000" w:fill="000000"/>
                <w:fitText w:val="308" w:id="-1233370864"/>
                <w:lang w:eastAsia="en-AU"/>
                <w14:textFill>
                  <w14:solidFill>
                    <w14:srgbClr w14:val="000000">
                      <w14:alpha w14:val="100000"/>
                    </w14:srgbClr>
                  </w14:solidFill>
                </w14:textFill>
              </w:rPr>
              <w:t>|||</w:t>
            </w:r>
            <w:r w:rsidRPr="003C043D">
              <w:rPr>
                <w:color w:val="000000"/>
                <w:spacing w:val="3"/>
                <w:sz w:val="20"/>
                <w:shd w:val="solid" w:color="000000" w:fill="000000"/>
                <w:fitText w:val="308" w:id="-1233370864"/>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2</w:t>
            </w:r>
          </w:p>
        </w:tc>
        <w:tc>
          <w:tcPr>
            <w:tcW w:w="629" w:type="pct"/>
            <w:vAlign w:val="center"/>
          </w:tcPr>
          <w:p w14:paraId="285357F0" w14:textId="05DA8BF4" w:rsidR="00BE18C5" w:rsidRPr="00A95754" w:rsidRDefault="003C043D" w:rsidP="00DF2C5C">
            <w:pPr>
              <w:pStyle w:val="TableText0"/>
              <w:jc w:val="center"/>
              <w:rPr>
                <w:szCs w:val="22"/>
              </w:rPr>
            </w:pPr>
            <w:r w:rsidRPr="003C043D">
              <w:rPr>
                <w:color w:val="000000"/>
                <w:spacing w:val="45"/>
                <w:sz w:val="20"/>
                <w:shd w:val="solid" w:color="000000" w:fill="000000"/>
                <w:fitText w:val="308" w:id="-1233370880"/>
                <w:lang w:eastAsia="en-AU"/>
                <w14:textFill>
                  <w14:solidFill>
                    <w14:srgbClr w14:val="000000">
                      <w14:alpha w14:val="100000"/>
                    </w14:srgbClr>
                  </w14:solidFill>
                </w14:textFill>
              </w:rPr>
              <w:t>|||</w:t>
            </w:r>
            <w:r w:rsidRPr="003C043D">
              <w:rPr>
                <w:color w:val="000000"/>
                <w:spacing w:val="3"/>
                <w:sz w:val="20"/>
                <w:shd w:val="solid" w:color="000000" w:fill="000000"/>
                <w:fitText w:val="308" w:id="-1233370880"/>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2</w:t>
            </w:r>
          </w:p>
        </w:tc>
        <w:tc>
          <w:tcPr>
            <w:tcW w:w="679" w:type="pct"/>
            <w:vAlign w:val="center"/>
          </w:tcPr>
          <w:p w14:paraId="20616476" w14:textId="05E4D41D" w:rsidR="00BE18C5" w:rsidRPr="00A95754" w:rsidRDefault="003C043D" w:rsidP="00DF2C5C">
            <w:pPr>
              <w:pStyle w:val="TableText0"/>
              <w:jc w:val="center"/>
              <w:rPr>
                <w:szCs w:val="22"/>
              </w:rPr>
            </w:pPr>
            <w:r w:rsidRPr="003C043D">
              <w:rPr>
                <w:color w:val="000000"/>
                <w:spacing w:val="172"/>
                <w:sz w:val="20"/>
                <w:shd w:val="solid" w:color="000000" w:fill="000000"/>
                <w:fitText w:val="258" w:id="-1233370879"/>
                <w:lang w:eastAsia="en-AU"/>
                <w14:textFill>
                  <w14:solidFill>
                    <w14:srgbClr w14:val="000000">
                      <w14:alpha w14:val="100000"/>
                    </w14:srgbClr>
                  </w14:solidFill>
                </w14:textFill>
              </w:rPr>
              <w:t>|</w:t>
            </w:r>
            <w:r w:rsidRPr="003C043D">
              <w:rPr>
                <w:color w:val="000000"/>
                <w:spacing w:val="1"/>
                <w:sz w:val="20"/>
                <w:shd w:val="solid" w:color="000000" w:fill="000000"/>
                <w:fitText w:val="258" w:id="-1233370879"/>
                <w:lang w:eastAsia="en-AU"/>
                <w14:textFill>
                  <w14:solidFill>
                    <w14:srgbClr w14:val="000000">
                      <w14:alpha w14:val="100000"/>
                    </w14:srgbClr>
                  </w14:solidFill>
                </w14:textFill>
              </w:rPr>
              <w:t>|</w:t>
            </w:r>
            <w:r w:rsidR="00BE18C5" w:rsidRPr="00A95754">
              <w:rPr>
                <w:sz w:val="20"/>
                <w:lang w:eastAsia="en-AU"/>
              </w:rPr>
              <w:t xml:space="preserve"> </w:t>
            </w:r>
            <w:r w:rsidR="00746A7D">
              <w:rPr>
                <w:sz w:val="20"/>
                <w:vertAlign w:val="superscript"/>
                <w:lang w:eastAsia="en-AU"/>
              </w:rPr>
              <w:t>2</w:t>
            </w:r>
          </w:p>
        </w:tc>
      </w:tr>
      <w:tr w:rsidR="00BE18C5" w:rsidRPr="00A95754" w14:paraId="25232B42" w14:textId="77777777" w:rsidTr="00DF2C5C">
        <w:tc>
          <w:tcPr>
            <w:tcW w:w="5000" w:type="pct"/>
            <w:gridSpan w:val="7"/>
            <w:vAlign w:val="center"/>
          </w:tcPr>
          <w:p w14:paraId="6984C269" w14:textId="77777777" w:rsidR="00BE18C5" w:rsidRPr="00A95754" w:rsidRDefault="00BE18C5" w:rsidP="00DF2C5C">
            <w:pPr>
              <w:pStyle w:val="TableText0"/>
              <w:rPr>
                <w:b/>
                <w:bCs w:val="0"/>
                <w:szCs w:val="22"/>
              </w:rPr>
            </w:pPr>
            <w:r w:rsidRPr="00A95754">
              <w:rPr>
                <w:b/>
                <w:bCs w:val="0"/>
              </w:rPr>
              <w:t>Net financial implications</w:t>
            </w:r>
          </w:p>
        </w:tc>
      </w:tr>
      <w:tr w:rsidR="00BE18C5" w:rsidRPr="00A95754" w14:paraId="15473052" w14:textId="77777777" w:rsidTr="00DF2C5C">
        <w:tc>
          <w:tcPr>
            <w:tcW w:w="1177" w:type="pct"/>
            <w:vAlign w:val="center"/>
          </w:tcPr>
          <w:p w14:paraId="513F5925" w14:textId="3890FF70" w:rsidR="00BE18C5" w:rsidRPr="00A95754" w:rsidRDefault="00BE18C5" w:rsidP="00DF2C5C">
            <w:pPr>
              <w:pStyle w:val="TableText0"/>
              <w:rPr>
                <w:sz w:val="20"/>
                <w:szCs w:val="20"/>
              </w:rPr>
            </w:pPr>
            <w:r w:rsidRPr="00A95754">
              <w:rPr>
                <w:sz w:val="20"/>
                <w:szCs w:val="20"/>
              </w:rPr>
              <w:t xml:space="preserve">Cost to PBS/RPBS (less copayments) </w:t>
            </w:r>
            <w:r w:rsidR="00746A7D">
              <w:rPr>
                <w:sz w:val="20"/>
                <w:szCs w:val="20"/>
              </w:rPr>
              <w:t>($)</w:t>
            </w:r>
          </w:p>
        </w:tc>
        <w:tc>
          <w:tcPr>
            <w:tcW w:w="628" w:type="pct"/>
            <w:tcMar>
              <w:left w:w="57" w:type="dxa"/>
              <w:right w:w="0" w:type="dxa"/>
            </w:tcMar>
            <w:vAlign w:val="center"/>
          </w:tcPr>
          <w:p w14:paraId="064BB5F0" w14:textId="198592B0" w:rsidR="00BE18C5" w:rsidRPr="00746A7D" w:rsidRDefault="003C043D" w:rsidP="00DF2C5C">
            <w:pPr>
              <w:pStyle w:val="TableText0"/>
              <w:jc w:val="center"/>
              <w:rPr>
                <w:sz w:val="20"/>
                <w:szCs w:val="20"/>
                <w:vertAlign w:val="superscript"/>
              </w:rPr>
            </w:pPr>
            <w:r w:rsidRPr="003C043D">
              <w:rPr>
                <w:color w:val="000000"/>
                <w:spacing w:val="48"/>
                <w:sz w:val="20"/>
                <w:szCs w:val="22"/>
                <w:shd w:val="solid" w:color="000000" w:fill="000000"/>
                <w:fitText w:val="224" w:id="-1233370878"/>
                <w14:textFill>
                  <w14:solidFill>
                    <w14:srgbClr w14:val="000000">
                      <w14:alpha w14:val="100000"/>
                    </w14:srgbClr>
                  </w14:solidFill>
                </w14:textFill>
              </w:rPr>
              <w:t>||</w:t>
            </w:r>
            <w:r w:rsidRPr="003C043D">
              <w:rPr>
                <w:color w:val="000000"/>
                <w:spacing w:val="1"/>
                <w:sz w:val="20"/>
                <w:szCs w:val="22"/>
                <w:shd w:val="solid" w:color="000000" w:fill="000000"/>
                <w:fitText w:val="224" w:id="-1233370878"/>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3</w:t>
            </w:r>
          </w:p>
        </w:tc>
        <w:tc>
          <w:tcPr>
            <w:tcW w:w="629" w:type="pct"/>
            <w:vAlign w:val="center"/>
          </w:tcPr>
          <w:p w14:paraId="218F7555" w14:textId="0180A535" w:rsidR="00BE18C5" w:rsidRPr="00A95754" w:rsidRDefault="003C043D" w:rsidP="00DF2C5C">
            <w:pPr>
              <w:pStyle w:val="TableText0"/>
              <w:jc w:val="center"/>
              <w:rPr>
                <w:sz w:val="20"/>
                <w:szCs w:val="20"/>
              </w:rPr>
            </w:pPr>
            <w:r w:rsidRPr="003C043D">
              <w:rPr>
                <w:color w:val="000000"/>
                <w:spacing w:val="45"/>
                <w:sz w:val="20"/>
                <w:szCs w:val="22"/>
                <w:shd w:val="solid" w:color="000000" w:fill="000000"/>
                <w:fitText w:val="308" w:id="-1233370877"/>
                <w14:textFill>
                  <w14:solidFill>
                    <w14:srgbClr w14:val="000000">
                      <w14:alpha w14:val="100000"/>
                    </w14:srgbClr>
                  </w14:solidFill>
                </w14:textFill>
              </w:rPr>
              <w:t>|||</w:t>
            </w:r>
            <w:r w:rsidRPr="003C043D">
              <w:rPr>
                <w:color w:val="000000"/>
                <w:spacing w:val="3"/>
                <w:sz w:val="20"/>
                <w:szCs w:val="22"/>
                <w:shd w:val="solid" w:color="000000" w:fill="000000"/>
                <w:fitText w:val="308" w:id="-1233370877"/>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3</w:t>
            </w:r>
          </w:p>
        </w:tc>
        <w:tc>
          <w:tcPr>
            <w:tcW w:w="629" w:type="pct"/>
            <w:vAlign w:val="center"/>
          </w:tcPr>
          <w:p w14:paraId="1794F9C0" w14:textId="64ABEDDD" w:rsidR="00BE18C5" w:rsidRPr="00A95754" w:rsidRDefault="003C043D" w:rsidP="00DF2C5C">
            <w:pPr>
              <w:pStyle w:val="TableText0"/>
              <w:jc w:val="center"/>
              <w:rPr>
                <w:sz w:val="20"/>
                <w:szCs w:val="20"/>
              </w:rPr>
            </w:pPr>
            <w:r w:rsidRPr="003C043D">
              <w:rPr>
                <w:color w:val="000000"/>
                <w:spacing w:val="45"/>
                <w:sz w:val="20"/>
                <w:szCs w:val="22"/>
                <w:shd w:val="solid" w:color="000000" w:fill="000000"/>
                <w:fitText w:val="307" w:id="-1233370876"/>
                <w14:textFill>
                  <w14:solidFill>
                    <w14:srgbClr w14:val="000000">
                      <w14:alpha w14:val="100000"/>
                    </w14:srgbClr>
                  </w14:solidFill>
                </w14:textFill>
              </w:rPr>
              <w:t>|||</w:t>
            </w:r>
            <w:r w:rsidRPr="003C043D">
              <w:rPr>
                <w:color w:val="000000"/>
                <w:spacing w:val="2"/>
                <w:sz w:val="20"/>
                <w:szCs w:val="22"/>
                <w:shd w:val="solid" w:color="000000" w:fill="000000"/>
                <w:fitText w:val="307" w:id="-1233370876"/>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3</w:t>
            </w:r>
          </w:p>
        </w:tc>
        <w:tc>
          <w:tcPr>
            <w:tcW w:w="629" w:type="pct"/>
            <w:vAlign w:val="center"/>
          </w:tcPr>
          <w:p w14:paraId="493DF33F" w14:textId="2C937FF7" w:rsidR="00BE18C5" w:rsidRPr="00A95754" w:rsidRDefault="003C043D" w:rsidP="00DF2C5C">
            <w:pPr>
              <w:pStyle w:val="TableText0"/>
              <w:jc w:val="center"/>
              <w:rPr>
                <w:sz w:val="20"/>
                <w:szCs w:val="20"/>
              </w:rPr>
            </w:pPr>
            <w:r w:rsidRPr="003C043D">
              <w:rPr>
                <w:color w:val="000000"/>
                <w:spacing w:val="45"/>
                <w:sz w:val="20"/>
                <w:szCs w:val="22"/>
                <w:shd w:val="solid" w:color="000000" w:fill="000000"/>
                <w:fitText w:val="308" w:id="-1233370875"/>
                <w14:textFill>
                  <w14:solidFill>
                    <w14:srgbClr w14:val="000000">
                      <w14:alpha w14:val="100000"/>
                    </w14:srgbClr>
                  </w14:solidFill>
                </w14:textFill>
              </w:rPr>
              <w:t>|||</w:t>
            </w:r>
            <w:r w:rsidRPr="003C043D">
              <w:rPr>
                <w:color w:val="000000"/>
                <w:spacing w:val="3"/>
                <w:sz w:val="20"/>
                <w:szCs w:val="22"/>
                <w:shd w:val="solid" w:color="000000" w:fill="000000"/>
                <w:fitText w:val="308" w:id="-1233370875"/>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3</w:t>
            </w:r>
          </w:p>
        </w:tc>
        <w:tc>
          <w:tcPr>
            <w:tcW w:w="629" w:type="pct"/>
            <w:vAlign w:val="center"/>
          </w:tcPr>
          <w:p w14:paraId="68A99013" w14:textId="2BE21468" w:rsidR="00BE18C5" w:rsidRPr="00A95754" w:rsidRDefault="003C043D" w:rsidP="00DF2C5C">
            <w:pPr>
              <w:pStyle w:val="TableText0"/>
              <w:jc w:val="center"/>
              <w:rPr>
                <w:sz w:val="20"/>
                <w:szCs w:val="20"/>
              </w:rPr>
            </w:pPr>
            <w:r w:rsidRPr="003C043D">
              <w:rPr>
                <w:color w:val="000000"/>
                <w:spacing w:val="45"/>
                <w:sz w:val="20"/>
                <w:szCs w:val="22"/>
                <w:shd w:val="solid" w:color="000000" w:fill="000000"/>
                <w:fitText w:val="308" w:id="-1233370874"/>
                <w14:textFill>
                  <w14:solidFill>
                    <w14:srgbClr w14:val="000000">
                      <w14:alpha w14:val="100000"/>
                    </w14:srgbClr>
                  </w14:solidFill>
                </w14:textFill>
              </w:rPr>
              <w:t>|||</w:t>
            </w:r>
            <w:r w:rsidRPr="003C043D">
              <w:rPr>
                <w:color w:val="000000"/>
                <w:spacing w:val="3"/>
                <w:sz w:val="20"/>
                <w:szCs w:val="22"/>
                <w:shd w:val="solid" w:color="000000" w:fill="000000"/>
                <w:fitText w:val="308" w:id="-1233370874"/>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4</w:t>
            </w:r>
          </w:p>
        </w:tc>
        <w:tc>
          <w:tcPr>
            <w:tcW w:w="679" w:type="pct"/>
            <w:vAlign w:val="center"/>
          </w:tcPr>
          <w:p w14:paraId="4C092116" w14:textId="1DDF634B" w:rsidR="00BE18C5" w:rsidRPr="00A95754" w:rsidRDefault="003C043D" w:rsidP="00DF2C5C">
            <w:pPr>
              <w:pStyle w:val="TableText0"/>
              <w:jc w:val="center"/>
              <w:rPr>
                <w:sz w:val="20"/>
                <w:szCs w:val="20"/>
              </w:rPr>
            </w:pPr>
            <w:r w:rsidRPr="003C043D">
              <w:rPr>
                <w:color w:val="000000"/>
                <w:spacing w:val="172"/>
                <w:sz w:val="20"/>
                <w:szCs w:val="22"/>
                <w:shd w:val="solid" w:color="000000" w:fill="000000"/>
                <w:fitText w:val="258" w:id="-1233370873"/>
                <w14:textFill>
                  <w14:solidFill>
                    <w14:srgbClr w14:val="000000">
                      <w14:alpha w14:val="100000"/>
                    </w14:srgbClr>
                  </w14:solidFill>
                </w14:textFill>
              </w:rPr>
              <w:t>|</w:t>
            </w:r>
            <w:r w:rsidRPr="003C043D">
              <w:rPr>
                <w:color w:val="000000"/>
                <w:spacing w:val="1"/>
                <w:sz w:val="20"/>
                <w:szCs w:val="22"/>
                <w:shd w:val="solid" w:color="000000" w:fill="000000"/>
                <w:fitText w:val="258" w:id="-1233370873"/>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4</w:t>
            </w:r>
          </w:p>
        </w:tc>
      </w:tr>
      <w:tr w:rsidR="00BE18C5" w:rsidRPr="00A95754" w14:paraId="5D8CD7EF" w14:textId="77777777" w:rsidTr="00DF2C5C">
        <w:tc>
          <w:tcPr>
            <w:tcW w:w="1177" w:type="pct"/>
            <w:vAlign w:val="bottom"/>
          </w:tcPr>
          <w:p w14:paraId="67157FC5" w14:textId="210CE355" w:rsidR="00BE18C5" w:rsidRPr="00A95754" w:rsidRDefault="00BE18C5" w:rsidP="00DF2C5C">
            <w:pPr>
              <w:pStyle w:val="TableText0"/>
              <w:rPr>
                <w:b/>
                <w:bCs w:val="0"/>
                <w:szCs w:val="20"/>
              </w:rPr>
            </w:pPr>
            <w:r w:rsidRPr="00A95754">
              <w:rPr>
                <w:sz w:val="20"/>
                <w:szCs w:val="22"/>
              </w:rPr>
              <w:t>Cost to MBS</w:t>
            </w:r>
            <w:r w:rsidR="00687AF7" w:rsidRPr="00A95754">
              <w:rPr>
                <w:sz w:val="20"/>
                <w:szCs w:val="20"/>
              </w:rPr>
              <w:t xml:space="preserve"> </w:t>
            </w:r>
            <w:r w:rsidR="00687AF7">
              <w:rPr>
                <w:sz w:val="20"/>
                <w:szCs w:val="20"/>
              </w:rPr>
              <w:t>($)</w:t>
            </w:r>
          </w:p>
        </w:tc>
        <w:tc>
          <w:tcPr>
            <w:tcW w:w="628" w:type="pct"/>
            <w:tcMar>
              <w:left w:w="57" w:type="dxa"/>
              <w:right w:w="0" w:type="dxa"/>
            </w:tcMar>
            <w:vAlign w:val="center"/>
          </w:tcPr>
          <w:p w14:paraId="3ED39B6F" w14:textId="5556EADC" w:rsidR="00BE18C5" w:rsidRPr="00A95754" w:rsidRDefault="003C043D" w:rsidP="00DF2C5C">
            <w:pPr>
              <w:pStyle w:val="TableText0"/>
              <w:jc w:val="center"/>
              <w:rPr>
                <w:b/>
                <w:bCs w:val="0"/>
                <w:szCs w:val="20"/>
              </w:rPr>
            </w:pPr>
            <w:r w:rsidRPr="003C043D">
              <w:rPr>
                <w:color w:val="000000"/>
                <w:spacing w:val="48"/>
                <w:sz w:val="20"/>
                <w:szCs w:val="22"/>
                <w:shd w:val="solid" w:color="000000" w:fill="000000"/>
                <w:fitText w:val="224" w:id="-1233370872"/>
                <w14:textFill>
                  <w14:solidFill>
                    <w14:srgbClr w14:val="000000">
                      <w14:alpha w14:val="100000"/>
                    </w14:srgbClr>
                  </w14:solidFill>
                </w14:textFill>
              </w:rPr>
              <w:t>||</w:t>
            </w:r>
            <w:r w:rsidRPr="003C043D">
              <w:rPr>
                <w:color w:val="000000"/>
                <w:spacing w:val="1"/>
                <w:sz w:val="20"/>
                <w:szCs w:val="22"/>
                <w:shd w:val="solid" w:color="000000" w:fill="000000"/>
                <w:fitText w:val="224" w:id="-1233370872"/>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5</w:t>
            </w:r>
          </w:p>
        </w:tc>
        <w:tc>
          <w:tcPr>
            <w:tcW w:w="629" w:type="pct"/>
            <w:vAlign w:val="center"/>
          </w:tcPr>
          <w:p w14:paraId="56FEB642" w14:textId="74E3E94B" w:rsidR="00BE18C5" w:rsidRPr="00746A7D" w:rsidRDefault="003C043D" w:rsidP="00DF2C5C">
            <w:pPr>
              <w:pStyle w:val="TableText0"/>
              <w:jc w:val="center"/>
              <w:rPr>
                <w:b/>
                <w:bCs w:val="0"/>
                <w:szCs w:val="20"/>
                <w:vertAlign w:val="superscript"/>
              </w:rPr>
            </w:pPr>
            <w:r w:rsidRPr="003C043D">
              <w:rPr>
                <w:color w:val="000000"/>
                <w:spacing w:val="45"/>
                <w:sz w:val="20"/>
                <w:szCs w:val="22"/>
                <w:shd w:val="solid" w:color="000000" w:fill="000000"/>
                <w:fitText w:val="308" w:id="-1233370871"/>
                <w14:textFill>
                  <w14:solidFill>
                    <w14:srgbClr w14:val="000000">
                      <w14:alpha w14:val="100000"/>
                    </w14:srgbClr>
                  </w14:solidFill>
                </w14:textFill>
              </w:rPr>
              <w:t>|||</w:t>
            </w:r>
            <w:r w:rsidRPr="003C043D">
              <w:rPr>
                <w:color w:val="000000"/>
                <w:spacing w:val="3"/>
                <w:sz w:val="20"/>
                <w:szCs w:val="22"/>
                <w:shd w:val="solid" w:color="000000" w:fill="000000"/>
                <w:fitText w:val="308" w:id="-1233370871"/>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5</w:t>
            </w:r>
          </w:p>
        </w:tc>
        <w:tc>
          <w:tcPr>
            <w:tcW w:w="629" w:type="pct"/>
            <w:vAlign w:val="center"/>
          </w:tcPr>
          <w:p w14:paraId="04A2E004" w14:textId="7DADFFC4" w:rsidR="00BE18C5" w:rsidRPr="00A95754" w:rsidRDefault="003C043D" w:rsidP="00DF2C5C">
            <w:pPr>
              <w:pStyle w:val="TableText0"/>
              <w:jc w:val="center"/>
              <w:rPr>
                <w:b/>
                <w:bCs w:val="0"/>
                <w:szCs w:val="20"/>
              </w:rPr>
            </w:pPr>
            <w:r w:rsidRPr="003C043D">
              <w:rPr>
                <w:color w:val="000000"/>
                <w:spacing w:val="45"/>
                <w:sz w:val="20"/>
                <w:szCs w:val="22"/>
                <w:shd w:val="solid" w:color="000000" w:fill="000000"/>
                <w:fitText w:val="307" w:id="-1233370870"/>
                <w14:textFill>
                  <w14:solidFill>
                    <w14:srgbClr w14:val="000000">
                      <w14:alpha w14:val="100000"/>
                    </w14:srgbClr>
                  </w14:solidFill>
                </w14:textFill>
              </w:rPr>
              <w:t>|||</w:t>
            </w:r>
            <w:r w:rsidRPr="003C043D">
              <w:rPr>
                <w:color w:val="000000"/>
                <w:spacing w:val="2"/>
                <w:sz w:val="20"/>
                <w:szCs w:val="22"/>
                <w:shd w:val="solid" w:color="000000" w:fill="000000"/>
                <w:fitText w:val="307" w:id="-1233370870"/>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5</w:t>
            </w:r>
          </w:p>
        </w:tc>
        <w:tc>
          <w:tcPr>
            <w:tcW w:w="629" w:type="pct"/>
            <w:vAlign w:val="center"/>
          </w:tcPr>
          <w:p w14:paraId="7778AB5A" w14:textId="0C414EF1" w:rsidR="00BE18C5" w:rsidRPr="00A95754" w:rsidRDefault="003C043D" w:rsidP="00DF2C5C">
            <w:pPr>
              <w:pStyle w:val="TableText0"/>
              <w:jc w:val="center"/>
              <w:rPr>
                <w:b/>
                <w:bCs w:val="0"/>
                <w:szCs w:val="20"/>
              </w:rPr>
            </w:pPr>
            <w:r w:rsidRPr="003C043D">
              <w:rPr>
                <w:color w:val="000000"/>
                <w:spacing w:val="45"/>
                <w:sz w:val="20"/>
                <w:szCs w:val="22"/>
                <w:shd w:val="solid" w:color="000000" w:fill="000000"/>
                <w:fitText w:val="308" w:id="-1233370869"/>
                <w14:textFill>
                  <w14:solidFill>
                    <w14:srgbClr w14:val="000000">
                      <w14:alpha w14:val="100000"/>
                    </w14:srgbClr>
                  </w14:solidFill>
                </w14:textFill>
              </w:rPr>
              <w:t>|||</w:t>
            </w:r>
            <w:r w:rsidRPr="003C043D">
              <w:rPr>
                <w:color w:val="000000"/>
                <w:spacing w:val="3"/>
                <w:sz w:val="20"/>
                <w:szCs w:val="22"/>
                <w:shd w:val="solid" w:color="000000" w:fill="000000"/>
                <w:fitText w:val="308" w:id="-1233370869"/>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5</w:t>
            </w:r>
          </w:p>
        </w:tc>
        <w:tc>
          <w:tcPr>
            <w:tcW w:w="629" w:type="pct"/>
            <w:vAlign w:val="center"/>
          </w:tcPr>
          <w:p w14:paraId="6B529AD9" w14:textId="3DCF1AB1" w:rsidR="00BE18C5" w:rsidRPr="00A95754" w:rsidRDefault="003C043D" w:rsidP="00DF2C5C">
            <w:pPr>
              <w:pStyle w:val="TableText0"/>
              <w:jc w:val="center"/>
              <w:rPr>
                <w:b/>
                <w:bCs w:val="0"/>
                <w:szCs w:val="20"/>
              </w:rPr>
            </w:pPr>
            <w:r w:rsidRPr="003C043D">
              <w:rPr>
                <w:color w:val="000000"/>
                <w:spacing w:val="45"/>
                <w:sz w:val="20"/>
                <w:szCs w:val="22"/>
                <w:shd w:val="solid" w:color="000000" w:fill="000000"/>
                <w:fitText w:val="308" w:id="-1233370868"/>
                <w14:textFill>
                  <w14:solidFill>
                    <w14:srgbClr w14:val="000000">
                      <w14:alpha w14:val="100000"/>
                    </w14:srgbClr>
                  </w14:solidFill>
                </w14:textFill>
              </w:rPr>
              <w:t>|||</w:t>
            </w:r>
            <w:r w:rsidRPr="003C043D">
              <w:rPr>
                <w:color w:val="000000"/>
                <w:spacing w:val="3"/>
                <w:sz w:val="20"/>
                <w:szCs w:val="22"/>
                <w:shd w:val="solid" w:color="000000" w:fill="000000"/>
                <w:fitText w:val="308" w:id="-1233370868"/>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5</w:t>
            </w:r>
          </w:p>
        </w:tc>
        <w:tc>
          <w:tcPr>
            <w:tcW w:w="679" w:type="pct"/>
            <w:vAlign w:val="center"/>
          </w:tcPr>
          <w:p w14:paraId="5B0B5A1C" w14:textId="4A64D6EF" w:rsidR="00BE18C5" w:rsidRPr="00687AF7" w:rsidRDefault="003C043D" w:rsidP="00DF2C5C">
            <w:pPr>
              <w:pStyle w:val="TableText0"/>
              <w:jc w:val="center"/>
              <w:rPr>
                <w:b/>
                <w:bCs w:val="0"/>
                <w:szCs w:val="20"/>
                <w:highlight w:val="darkGray"/>
              </w:rPr>
            </w:pPr>
            <w:r w:rsidRPr="003C043D">
              <w:rPr>
                <w:color w:val="000000"/>
                <w:spacing w:val="172"/>
                <w:sz w:val="20"/>
                <w:szCs w:val="22"/>
                <w:shd w:val="solid" w:color="000000" w:fill="000000"/>
                <w:fitText w:val="258" w:id="-1233370867"/>
                <w14:textFill>
                  <w14:solidFill>
                    <w14:srgbClr w14:val="000000">
                      <w14:alpha w14:val="100000"/>
                    </w14:srgbClr>
                  </w14:solidFill>
                </w14:textFill>
              </w:rPr>
              <w:t>|</w:t>
            </w:r>
            <w:r w:rsidRPr="003C043D">
              <w:rPr>
                <w:color w:val="000000"/>
                <w:spacing w:val="1"/>
                <w:sz w:val="20"/>
                <w:szCs w:val="22"/>
                <w:shd w:val="solid" w:color="000000" w:fill="000000"/>
                <w:fitText w:val="258" w:id="-1233370867"/>
                <w14:textFill>
                  <w14:solidFill>
                    <w14:srgbClr w14:val="000000">
                      <w14:alpha w14:val="100000"/>
                    </w14:srgbClr>
                  </w14:solidFill>
                </w14:textFill>
              </w:rPr>
              <w:t>|</w:t>
            </w:r>
            <w:r w:rsidR="00746A7D" w:rsidRPr="00687AF7">
              <w:rPr>
                <w:sz w:val="20"/>
                <w:szCs w:val="22"/>
              </w:rPr>
              <w:t xml:space="preserve"> </w:t>
            </w:r>
            <w:r w:rsidR="00746A7D" w:rsidRPr="00687AF7">
              <w:rPr>
                <w:sz w:val="20"/>
                <w:szCs w:val="22"/>
                <w:vertAlign w:val="superscript"/>
              </w:rPr>
              <w:t>5</w:t>
            </w:r>
          </w:p>
        </w:tc>
      </w:tr>
      <w:tr w:rsidR="00BE18C5" w:rsidRPr="00A95754" w14:paraId="25E0A545" w14:textId="77777777" w:rsidTr="00DF2C5C">
        <w:tc>
          <w:tcPr>
            <w:tcW w:w="1177" w:type="pct"/>
            <w:vAlign w:val="bottom"/>
          </w:tcPr>
          <w:p w14:paraId="7F44DE03" w14:textId="5CB4ADCB" w:rsidR="00BE18C5" w:rsidRPr="00A95754" w:rsidRDefault="00BE18C5" w:rsidP="00DF2C5C">
            <w:pPr>
              <w:pStyle w:val="TableText0"/>
              <w:rPr>
                <w:b/>
                <w:bCs w:val="0"/>
                <w:szCs w:val="20"/>
              </w:rPr>
            </w:pPr>
            <w:r w:rsidRPr="00A95754">
              <w:rPr>
                <w:b/>
                <w:bCs w:val="0"/>
                <w:sz w:val="20"/>
                <w:szCs w:val="22"/>
              </w:rPr>
              <w:t xml:space="preserve">Total cost to Government </w:t>
            </w:r>
            <w:r w:rsidR="00687AF7">
              <w:rPr>
                <w:b/>
                <w:bCs w:val="0"/>
                <w:sz w:val="20"/>
                <w:szCs w:val="22"/>
              </w:rPr>
              <w:t>($)</w:t>
            </w:r>
          </w:p>
        </w:tc>
        <w:tc>
          <w:tcPr>
            <w:tcW w:w="628" w:type="pct"/>
            <w:tcMar>
              <w:left w:w="57" w:type="dxa"/>
              <w:right w:w="0" w:type="dxa"/>
            </w:tcMar>
            <w:vAlign w:val="center"/>
          </w:tcPr>
          <w:p w14:paraId="10061267" w14:textId="23466CDE" w:rsidR="00BE18C5" w:rsidRPr="00A95754" w:rsidRDefault="003C043D" w:rsidP="00DF2C5C">
            <w:pPr>
              <w:pStyle w:val="TableText0"/>
              <w:jc w:val="center"/>
              <w:rPr>
                <w:b/>
                <w:bCs w:val="0"/>
                <w:szCs w:val="20"/>
              </w:rPr>
            </w:pPr>
            <w:r w:rsidRPr="003C043D">
              <w:rPr>
                <w:b/>
                <w:bCs w:val="0"/>
                <w:color w:val="000000"/>
                <w:spacing w:val="191"/>
                <w:sz w:val="20"/>
                <w:szCs w:val="22"/>
                <w:shd w:val="solid" w:color="000000" w:fill="000000"/>
                <w:fitText w:val="283" w:id="-1233370866"/>
                <w14:textFill>
                  <w14:solidFill>
                    <w14:srgbClr w14:val="000000">
                      <w14:alpha w14:val="100000"/>
                    </w14:srgbClr>
                  </w14:solidFill>
                </w14:textFill>
              </w:rPr>
              <w:t>|</w:t>
            </w:r>
            <w:r w:rsidRPr="003C043D">
              <w:rPr>
                <w:b/>
                <w:bCs w:val="0"/>
                <w:color w:val="000000"/>
                <w:spacing w:val="1"/>
                <w:sz w:val="20"/>
                <w:szCs w:val="22"/>
                <w:shd w:val="solid" w:color="000000" w:fill="000000"/>
                <w:fitText w:val="283" w:id="-1233370866"/>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3</w:t>
            </w:r>
          </w:p>
        </w:tc>
        <w:tc>
          <w:tcPr>
            <w:tcW w:w="629" w:type="pct"/>
            <w:vAlign w:val="center"/>
          </w:tcPr>
          <w:p w14:paraId="53FCAFE4" w14:textId="6782E433" w:rsidR="00BE18C5" w:rsidRPr="00A95754" w:rsidRDefault="003C043D" w:rsidP="00DF2C5C">
            <w:pPr>
              <w:pStyle w:val="TableText0"/>
              <w:jc w:val="center"/>
              <w:rPr>
                <w:b/>
                <w:bCs w:val="0"/>
                <w:szCs w:val="20"/>
              </w:rPr>
            </w:pPr>
            <w:r w:rsidRPr="003C043D">
              <w:rPr>
                <w:b/>
                <w:bCs w:val="0"/>
                <w:color w:val="000000"/>
                <w:spacing w:val="58"/>
                <w:sz w:val="20"/>
                <w:szCs w:val="22"/>
                <w:shd w:val="solid" w:color="000000" w:fill="000000"/>
                <w:fitText w:val="358" w:id="-1233370865"/>
                <w14:textFill>
                  <w14:solidFill>
                    <w14:srgbClr w14:val="000000">
                      <w14:alpha w14:val="100000"/>
                    </w14:srgbClr>
                  </w14:solidFill>
                </w14:textFill>
              </w:rPr>
              <w:t>|||</w:t>
            </w:r>
            <w:r w:rsidRPr="003C043D">
              <w:rPr>
                <w:b/>
                <w:bCs w:val="0"/>
                <w:color w:val="000000"/>
                <w:spacing w:val="1"/>
                <w:sz w:val="20"/>
                <w:szCs w:val="22"/>
                <w:shd w:val="solid" w:color="000000" w:fill="000000"/>
                <w:fitText w:val="358" w:id="-1233370865"/>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3</w:t>
            </w:r>
          </w:p>
        </w:tc>
        <w:tc>
          <w:tcPr>
            <w:tcW w:w="629" w:type="pct"/>
            <w:vAlign w:val="center"/>
          </w:tcPr>
          <w:p w14:paraId="1FF499B1" w14:textId="37EFDCE1" w:rsidR="00BE18C5" w:rsidRPr="00A95754" w:rsidRDefault="003C043D" w:rsidP="00DF2C5C">
            <w:pPr>
              <w:pStyle w:val="TableText0"/>
              <w:jc w:val="center"/>
              <w:rPr>
                <w:b/>
                <w:bCs w:val="0"/>
                <w:szCs w:val="20"/>
              </w:rPr>
            </w:pPr>
            <w:r w:rsidRPr="003C043D">
              <w:rPr>
                <w:b/>
                <w:bCs w:val="0"/>
                <w:color w:val="000000"/>
                <w:spacing w:val="58"/>
                <w:sz w:val="20"/>
                <w:szCs w:val="22"/>
                <w:shd w:val="solid" w:color="000000" w:fill="000000"/>
                <w:fitText w:val="358" w:id="-1233370864"/>
                <w14:textFill>
                  <w14:solidFill>
                    <w14:srgbClr w14:val="000000">
                      <w14:alpha w14:val="100000"/>
                    </w14:srgbClr>
                  </w14:solidFill>
                </w14:textFill>
              </w:rPr>
              <w:t>|||</w:t>
            </w:r>
            <w:r w:rsidRPr="003C043D">
              <w:rPr>
                <w:b/>
                <w:bCs w:val="0"/>
                <w:color w:val="000000"/>
                <w:spacing w:val="1"/>
                <w:sz w:val="20"/>
                <w:szCs w:val="22"/>
                <w:shd w:val="solid" w:color="000000" w:fill="000000"/>
                <w:fitText w:val="358" w:id="-1233370864"/>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3</w:t>
            </w:r>
          </w:p>
        </w:tc>
        <w:tc>
          <w:tcPr>
            <w:tcW w:w="629" w:type="pct"/>
            <w:vAlign w:val="center"/>
          </w:tcPr>
          <w:p w14:paraId="05B8E94E" w14:textId="2E8C29EE" w:rsidR="00BE18C5" w:rsidRPr="00A95754" w:rsidRDefault="003C043D" w:rsidP="00DF2C5C">
            <w:pPr>
              <w:pStyle w:val="TableText0"/>
              <w:jc w:val="center"/>
              <w:rPr>
                <w:b/>
                <w:bCs w:val="0"/>
                <w:szCs w:val="20"/>
              </w:rPr>
            </w:pPr>
            <w:r w:rsidRPr="003C043D">
              <w:rPr>
                <w:b/>
                <w:bCs w:val="0"/>
                <w:color w:val="000000"/>
                <w:spacing w:val="58"/>
                <w:sz w:val="20"/>
                <w:szCs w:val="22"/>
                <w:shd w:val="solid" w:color="000000" w:fill="000000"/>
                <w:fitText w:val="358" w:id="-1233370880"/>
                <w14:textFill>
                  <w14:solidFill>
                    <w14:srgbClr w14:val="000000">
                      <w14:alpha w14:val="100000"/>
                    </w14:srgbClr>
                  </w14:solidFill>
                </w14:textFill>
              </w:rPr>
              <w:t>|||</w:t>
            </w:r>
            <w:r w:rsidRPr="003C043D">
              <w:rPr>
                <w:b/>
                <w:bCs w:val="0"/>
                <w:color w:val="000000"/>
                <w:spacing w:val="1"/>
                <w:sz w:val="20"/>
                <w:szCs w:val="22"/>
                <w:shd w:val="solid" w:color="000000" w:fill="000000"/>
                <w:fitText w:val="358" w:id="-1233370880"/>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4</w:t>
            </w:r>
          </w:p>
        </w:tc>
        <w:tc>
          <w:tcPr>
            <w:tcW w:w="629" w:type="pct"/>
            <w:vAlign w:val="center"/>
          </w:tcPr>
          <w:p w14:paraId="21DB0C30" w14:textId="38C8470F" w:rsidR="00BE18C5" w:rsidRPr="00A95754" w:rsidRDefault="003C043D" w:rsidP="00DF2C5C">
            <w:pPr>
              <w:pStyle w:val="TableText0"/>
              <w:jc w:val="center"/>
              <w:rPr>
                <w:b/>
                <w:bCs w:val="0"/>
                <w:szCs w:val="20"/>
              </w:rPr>
            </w:pPr>
            <w:r w:rsidRPr="003C043D">
              <w:rPr>
                <w:b/>
                <w:bCs w:val="0"/>
                <w:color w:val="000000"/>
                <w:spacing w:val="58"/>
                <w:sz w:val="20"/>
                <w:szCs w:val="22"/>
                <w:shd w:val="solid" w:color="000000" w:fill="000000"/>
                <w:fitText w:val="358" w:id="-1233370879"/>
                <w14:textFill>
                  <w14:solidFill>
                    <w14:srgbClr w14:val="000000">
                      <w14:alpha w14:val="100000"/>
                    </w14:srgbClr>
                  </w14:solidFill>
                </w14:textFill>
              </w:rPr>
              <w:t>|||</w:t>
            </w:r>
            <w:r w:rsidRPr="003C043D">
              <w:rPr>
                <w:b/>
                <w:bCs w:val="0"/>
                <w:color w:val="000000"/>
                <w:spacing w:val="1"/>
                <w:sz w:val="20"/>
                <w:szCs w:val="22"/>
                <w:shd w:val="solid" w:color="000000" w:fill="000000"/>
                <w:fitText w:val="358" w:id="-1233370879"/>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4</w:t>
            </w:r>
          </w:p>
        </w:tc>
        <w:tc>
          <w:tcPr>
            <w:tcW w:w="679" w:type="pct"/>
            <w:vAlign w:val="center"/>
          </w:tcPr>
          <w:p w14:paraId="6B6F3F6A" w14:textId="12A71FB4" w:rsidR="00BE18C5" w:rsidRPr="00A95754" w:rsidRDefault="003C043D" w:rsidP="00DF2C5C">
            <w:pPr>
              <w:pStyle w:val="TableText0"/>
              <w:jc w:val="center"/>
              <w:rPr>
                <w:b/>
                <w:bCs w:val="0"/>
                <w:szCs w:val="20"/>
              </w:rPr>
            </w:pPr>
            <w:r w:rsidRPr="003C043D">
              <w:rPr>
                <w:b/>
                <w:bCs w:val="0"/>
                <w:color w:val="000000"/>
                <w:spacing w:val="44"/>
                <w:sz w:val="20"/>
                <w:szCs w:val="22"/>
                <w:shd w:val="solid" w:color="000000" w:fill="000000"/>
                <w:fitText w:val="316" w:id="-1233370878"/>
                <w14:textFill>
                  <w14:solidFill>
                    <w14:srgbClr w14:val="000000">
                      <w14:alpha w14:val="100000"/>
                    </w14:srgbClr>
                  </w14:solidFill>
                </w14:textFill>
              </w:rPr>
              <w:t>|||</w:t>
            </w:r>
            <w:r w:rsidRPr="003C043D">
              <w:rPr>
                <w:b/>
                <w:bCs w:val="0"/>
                <w:color w:val="000000"/>
                <w:spacing w:val="1"/>
                <w:sz w:val="20"/>
                <w:szCs w:val="22"/>
                <w:shd w:val="solid" w:color="000000" w:fill="000000"/>
                <w:fitText w:val="316" w:id="-1233370878"/>
                <w14:textFill>
                  <w14:solidFill>
                    <w14:srgbClr w14:val="000000">
                      <w14:alpha w14:val="100000"/>
                    </w14:srgbClr>
                  </w14:solidFill>
                </w14:textFill>
              </w:rPr>
              <w:t>|</w:t>
            </w:r>
            <w:r w:rsidR="00746A7D">
              <w:rPr>
                <w:sz w:val="20"/>
                <w:szCs w:val="22"/>
              </w:rPr>
              <w:t xml:space="preserve"> </w:t>
            </w:r>
            <w:r w:rsidR="00746A7D">
              <w:rPr>
                <w:sz w:val="20"/>
                <w:szCs w:val="22"/>
                <w:vertAlign w:val="superscript"/>
              </w:rPr>
              <w:t>4</w:t>
            </w:r>
          </w:p>
        </w:tc>
      </w:tr>
    </w:tbl>
    <w:p w14:paraId="363100F0" w14:textId="77777777" w:rsidR="00BE18C5" w:rsidRPr="00A95754" w:rsidRDefault="00BE18C5" w:rsidP="00BE18C5">
      <w:pPr>
        <w:pStyle w:val="TableFigureFooter"/>
      </w:pPr>
      <w:r w:rsidRPr="00A95754">
        <w:t>Source: Table 4.13 p 199 and Table 4.14 p 200, of the submission.</w:t>
      </w:r>
    </w:p>
    <w:p w14:paraId="10FDCBDC" w14:textId="77777777" w:rsidR="00BE18C5" w:rsidRPr="00A95754" w:rsidRDefault="00BE18C5" w:rsidP="00BE18C5">
      <w:pPr>
        <w:pStyle w:val="TableFigureFooter"/>
      </w:pPr>
      <w:r w:rsidRPr="00A95754">
        <w:t>PBS = Pharmaceutical Benefits Scheme; RPBS = Repatriation Pharmaceutical Benefits Scheme.</w:t>
      </w:r>
    </w:p>
    <w:p w14:paraId="73827423" w14:textId="73C5CDBD" w:rsidR="00BE18C5" w:rsidRDefault="00BE18C5" w:rsidP="00BE18C5">
      <w:pPr>
        <w:pStyle w:val="TableFigureFooter"/>
      </w:pPr>
      <w:r w:rsidRPr="00A95754">
        <w:rPr>
          <w:vertAlign w:val="superscript"/>
        </w:rPr>
        <w:t>a</w:t>
      </w:r>
      <w:r w:rsidRPr="00A95754">
        <w:t xml:space="preserve"> Assumed 11.7 scripts dispensed per patient (which does not account for wastage). </w:t>
      </w:r>
    </w:p>
    <w:p w14:paraId="5AF8B843" w14:textId="77777777" w:rsidR="00746A7D" w:rsidRPr="00746A7D" w:rsidRDefault="00746A7D" w:rsidP="00746A7D">
      <w:pPr>
        <w:pStyle w:val="TableFigureFooter"/>
        <w:rPr>
          <w:i/>
        </w:rPr>
      </w:pPr>
      <w:bookmarkStart w:id="64" w:name="_Hlk135051699"/>
      <w:r w:rsidRPr="00746A7D">
        <w:rPr>
          <w:i/>
        </w:rPr>
        <w:t xml:space="preserve">The redacted values correspond to the following ranges: </w:t>
      </w:r>
    </w:p>
    <w:p w14:paraId="12C1C7CC" w14:textId="35AFCD42" w:rsidR="00746A7D" w:rsidRPr="00746A7D" w:rsidRDefault="00746A7D" w:rsidP="00746A7D">
      <w:pPr>
        <w:pStyle w:val="TableFigureFooter"/>
        <w:rPr>
          <w:i/>
        </w:rPr>
      </w:pPr>
      <w:r w:rsidRPr="00746A7D">
        <w:rPr>
          <w:i/>
          <w:vertAlign w:val="superscript"/>
        </w:rPr>
        <w:t>1</w:t>
      </w:r>
      <w:r w:rsidRPr="00746A7D">
        <w:rPr>
          <w:i/>
        </w:rPr>
        <w:t xml:space="preserve"> 500 to &lt; 5,000</w:t>
      </w:r>
    </w:p>
    <w:p w14:paraId="2F1A8E57" w14:textId="7633AD92" w:rsidR="00746A7D" w:rsidRPr="00746A7D" w:rsidRDefault="00746A7D" w:rsidP="00746A7D">
      <w:pPr>
        <w:pStyle w:val="TableFigureFooter"/>
        <w:rPr>
          <w:i/>
        </w:rPr>
      </w:pPr>
      <w:r w:rsidRPr="00746A7D">
        <w:rPr>
          <w:i/>
          <w:vertAlign w:val="superscript"/>
        </w:rPr>
        <w:t>2</w:t>
      </w:r>
      <w:r w:rsidRPr="00746A7D">
        <w:rPr>
          <w:i/>
        </w:rPr>
        <w:t xml:space="preserve"> 10,000 to &lt; 20,000</w:t>
      </w:r>
    </w:p>
    <w:p w14:paraId="1F13CD36" w14:textId="77777777" w:rsidR="00746A7D" w:rsidRDefault="00746A7D" w:rsidP="00746A7D">
      <w:pPr>
        <w:pStyle w:val="TableFigureFooter"/>
        <w:rPr>
          <w:i/>
          <w:vertAlign w:val="superscript"/>
        </w:rPr>
      </w:pPr>
      <w:r w:rsidRPr="00746A7D">
        <w:rPr>
          <w:i/>
          <w:vertAlign w:val="superscript"/>
        </w:rPr>
        <w:t>3</w:t>
      </w:r>
      <w:r w:rsidRPr="00746A7D">
        <w:rPr>
          <w:i/>
        </w:rPr>
        <w:t xml:space="preserve"> $30 million to &lt; $40 million</w:t>
      </w:r>
      <w:r w:rsidRPr="00746A7D">
        <w:rPr>
          <w:i/>
          <w:vertAlign w:val="superscript"/>
        </w:rPr>
        <w:t xml:space="preserve"> </w:t>
      </w:r>
    </w:p>
    <w:p w14:paraId="501867ED" w14:textId="1943E0E3" w:rsidR="00746A7D" w:rsidRPr="00746A7D" w:rsidRDefault="00746A7D" w:rsidP="00746A7D">
      <w:pPr>
        <w:pStyle w:val="TableFigureFooter"/>
        <w:rPr>
          <w:i/>
        </w:rPr>
      </w:pPr>
      <w:r w:rsidRPr="00746A7D">
        <w:rPr>
          <w:i/>
          <w:vertAlign w:val="superscript"/>
        </w:rPr>
        <w:t>4</w:t>
      </w:r>
      <w:r w:rsidRPr="00746A7D">
        <w:rPr>
          <w:i/>
        </w:rPr>
        <w:t xml:space="preserve"> $40 million to &lt; $50 million</w:t>
      </w:r>
    </w:p>
    <w:bookmarkEnd w:id="64"/>
    <w:p w14:paraId="0672AE45" w14:textId="00F2DDA0" w:rsidR="00746A7D" w:rsidRPr="00746A7D" w:rsidRDefault="00746A7D" w:rsidP="00BE18C5">
      <w:pPr>
        <w:pStyle w:val="TableFigureFooter"/>
        <w:rPr>
          <w:i/>
        </w:rPr>
      </w:pPr>
      <w:r w:rsidRPr="00746A7D">
        <w:rPr>
          <w:i/>
          <w:vertAlign w:val="superscript"/>
        </w:rPr>
        <w:t>5</w:t>
      </w:r>
      <w:r w:rsidRPr="00746A7D">
        <w:rPr>
          <w:i/>
        </w:rPr>
        <w:t xml:space="preserve"> </w:t>
      </w:r>
      <w:bookmarkStart w:id="65" w:name="_Hlk135042529"/>
      <w:r w:rsidRPr="00746A7D">
        <w:rPr>
          <w:i/>
        </w:rPr>
        <w:t>$0 to &lt; $10 million</w:t>
      </w:r>
      <w:bookmarkEnd w:id="65"/>
    </w:p>
    <w:p w14:paraId="6EAE4BE9" w14:textId="45437BA4" w:rsidR="00BE18C5" w:rsidRDefault="00BE18C5" w:rsidP="00BE18C5">
      <w:pPr>
        <w:pStyle w:val="3-BodyText"/>
      </w:pPr>
      <w:r w:rsidRPr="00A95754">
        <w:t xml:space="preserve">The total cost to the PBS/RPBS of listing durvalumab </w:t>
      </w:r>
      <w:r w:rsidR="001A653C">
        <w:t xml:space="preserve">in the submission </w:t>
      </w:r>
      <w:r w:rsidRPr="00A95754">
        <w:t xml:space="preserve">was estimated to be </w:t>
      </w:r>
      <w:bookmarkStart w:id="66" w:name="_Hlk135053345"/>
      <w:r w:rsidR="00687AF7" w:rsidRPr="00687AF7">
        <w:t>$30 million to &lt; $40 million</w:t>
      </w:r>
      <w:bookmarkEnd w:id="66"/>
      <w:r w:rsidR="00687AF7" w:rsidRPr="00687AF7" w:rsidDel="00687AF7">
        <w:t xml:space="preserve"> </w:t>
      </w:r>
      <w:r w:rsidRPr="00A95754">
        <w:t>in Year 1, and total of $</w:t>
      </w:r>
      <w:r w:rsidR="00687AF7" w:rsidRPr="00687AF7">
        <w:t xml:space="preserve">200 million to &lt; $300 million </w:t>
      </w:r>
      <w:r w:rsidRPr="00A95754">
        <w:t>over the first 6 years of listing.</w:t>
      </w:r>
    </w:p>
    <w:p w14:paraId="4D481B86" w14:textId="48EB234F" w:rsidR="00BF581C" w:rsidRDefault="00BF581C" w:rsidP="00BF581C">
      <w:pPr>
        <w:pStyle w:val="3-BodyText"/>
      </w:pPr>
      <w:r>
        <w:t xml:space="preserve">DUSC noted the PSCR proposed the following changes to its utilisation estimates: </w:t>
      </w:r>
    </w:p>
    <w:p w14:paraId="6254D44C" w14:textId="261FED33" w:rsidR="00BF581C" w:rsidRDefault="001A653C" w:rsidP="007C019C">
      <w:pPr>
        <w:pStyle w:val="3-BodyText"/>
        <w:numPr>
          <w:ilvl w:val="1"/>
          <w:numId w:val="23"/>
        </w:numPr>
        <w:ind w:left="1134" w:hanging="425"/>
      </w:pPr>
      <w:r>
        <w:t>U</w:t>
      </w:r>
      <w:r w:rsidR="00BF581C">
        <w:t>pdated the proportion of patients with liver cancer that have IHCC from 15% to 22%</w:t>
      </w:r>
      <w:r>
        <w:t xml:space="preserve"> (as discussed in paragraph </w:t>
      </w:r>
      <w:r w:rsidR="008A5DEA">
        <w:rPr>
          <w:highlight w:val="yellow"/>
        </w:rPr>
        <w:fldChar w:fldCharType="begin"/>
      </w:r>
      <w:r w:rsidR="008A5DEA">
        <w:instrText xml:space="preserve"> REF _Ref132284789 \r \h </w:instrText>
      </w:r>
      <w:r w:rsidR="008A5DEA">
        <w:rPr>
          <w:highlight w:val="yellow"/>
        </w:rPr>
      </w:r>
      <w:r w:rsidR="008A5DEA">
        <w:rPr>
          <w:highlight w:val="yellow"/>
        </w:rPr>
        <w:fldChar w:fldCharType="separate"/>
      </w:r>
      <w:r w:rsidR="000178EC">
        <w:t>6.53</w:t>
      </w:r>
      <w:r w:rsidR="008A5DEA">
        <w:rPr>
          <w:highlight w:val="yellow"/>
        </w:rPr>
        <w:fldChar w:fldCharType="end"/>
      </w:r>
      <w:r>
        <w:t>)</w:t>
      </w:r>
      <w:r w:rsidR="00BF581C">
        <w:t>.</w:t>
      </w:r>
    </w:p>
    <w:p w14:paraId="6B6141AC" w14:textId="77777777" w:rsidR="00BF581C" w:rsidRDefault="00BF581C" w:rsidP="007C019C">
      <w:pPr>
        <w:pStyle w:val="3-BodyText"/>
        <w:numPr>
          <w:ilvl w:val="1"/>
          <w:numId w:val="23"/>
        </w:numPr>
        <w:ind w:left="1134" w:hanging="425"/>
      </w:pPr>
      <w:r>
        <w:t>Patient co-payments were updated to reflect changes effective from 01 January 2023 (i.e., general scripts reduced from $42.50 to $30.00 and concessional scripts increased from $6.80 to $7.30).</w:t>
      </w:r>
    </w:p>
    <w:p w14:paraId="0D214A11" w14:textId="168BE9D4" w:rsidR="00BF581C" w:rsidRDefault="00687AF7" w:rsidP="007C019C">
      <w:pPr>
        <w:pStyle w:val="3-BodyText"/>
        <w:numPr>
          <w:ilvl w:val="1"/>
          <w:numId w:val="23"/>
        </w:numPr>
        <w:ind w:left="1134" w:hanging="425"/>
      </w:pPr>
      <w:r>
        <w:t xml:space="preserve">Updated </w:t>
      </w:r>
      <w:r w:rsidR="00BF581C">
        <w:t xml:space="preserve">script numbers: 6.91 scripts during 20.74 weeks at initiation and 4.62 scripts during 18.49 weeks at continuation. </w:t>
      </w:r>
    </w:p>
    <w:p w14:paraId="7EAD6B58" w14:textId="61D51EC0" w:rsidR="00A43070" w:rsidRPr="00DF0F8B" w:rsidRDefault="00BF581C" w:rsidP="008A5DEA">
      <w:pPr>
        <w:pStyle w:val="3-BodyText"/>
        <w:numPr>
          <w:ilvl w:val="1"/>
          <w:numId w:val="23"/>
        </w:numPr>
        <w:ind w:left="1134" w:hanging="425"/>
      </w:pPr>
      <w:r w:rsidRPr="00DF0F8B">
        <w:t xml:space="preserve">Addition of approximately </w:t>
      </w:r>
      <w:r w:rsidR="00687AF7">
        <w:t>&lt; 500</w:t>
      </w:r>
      <w:r w:rsidR="00687AF7" w:rsidRPr="00DF0F8B">
        <w:t xml:space="preserve"> </w:t>
      </w:r>
      <w:r w:rsidRPr="00DF0F8B">
        <w:t>grandfathered patients.</w:t>
      </w:r>
      <w:r w:rsidR="00A43070" w:rsidRPr="00DF0F8B">
        <w:t xml:space="preserve"> </w:t>
      </w:r>
    </w:p>
    <w:p w14:paraId="71A0CC31" w14:textId="41572E91" w:rsidR="00DF0F8B" w:rsidRDefault="00DF0F8B" w:rsidP="00A43070">
      <w:pPr>
        <w:pStyle w:val="3-BodyText"/>
      </w:pPr>
      <w:r>
        <w:t xml:space="preserve">DUSC noted the financial estimates were most sensitive to the (i) proportion of patients with liver cancer that have IHCC (ii) proportion of patients with WHO PS 0 – 1 at initiation and (iii) treatment uptake of durvalumab. </w:t>
      </w:r>
    </w:p>
    <w:p w14:paraId="2C6EE073" w14:textId="5A7C67A3" w:rsidR="00A43070" w:rsidRDefault="00A43070" w:rsidP="00A43070">
      <w:pPr>
        <w:pStyle w:val="3-BodyText"/>
      </w:pPr>
      <w:r>
        <w:t>The pre-PBAC response made the following additional changes:</w:t>
      </w:r>
    </w:p>
    <w:p w14:paraId="34A57638" w14:textId="3F15553F" w:rsidR="00A43070" w:rsidRPr="00CF55B3" w:rsidRDefault="00A43070" w:rsidP="00687AF7">
      <w:pPr>
        <w:pStyle w:val="3-BodyText"/>
        <w:numPr>
          <w:ilvl w:val="1"/>
          <w:numId w:val="23"/>
        </w:numPr>
        <w:ind w:left="1134" w:hanging="425"/>
      </w:pPr>
      <w:r w:rsidRPr="00CF55B3">
        <w:t xml:space="preserve">Reduced the number of grandfathered patients from </w:t>
      </w:r>
      <w:r w:rsidR="00687AF7">
        <w:t>&lt; 500</w:t>
      </w:r>
      <w:r w:rsidRPr="00CF55B3">
        <w:t xml:space="preserve"> to </w:t>
      </w:r>
      <w:r w:rsidR="00687AF7">
        <w:t>&lt; 500</w:t>
      </w:r>
      <w:r w:rsidR="00687AF7" w:rsidRPr="00DF0F8B">
        <w:t xml:space="preserve"> </w:t>
      </w:r>
      <w:r w:rsidRPr="00CF55B3">
        <w:t>to account for reduced treatment duration</w:t>
      </w:r>
      <w:r w:rsidR="00F71B53" w:rsidRPr="00CF55B3">
        <w:t>.</w:t>
      </w:r>
      <w:r w:rsidRPr="00CF55B3">
        <w:t xml:space="preserve"> </w:t>
      </w:r>
    </w:p>
    <w:p w14:paraId="7D00EE8D" w14:textId="080EB8AC" w:rsidR="00A43070" w:rsidRDefault="00A43070" w:rsidP="00687AF7">
      <w:pPr>
        <w:pStyle w:val="3-BodyText"/>
        <w:numPr>
          <w:ilvl w:val="1"/>
          <w:numId w:val="23"/>
        </w:numPr>
        <w:ind w:left="1134" w:hanging="425"/>
      </w:pPr>
      <w:r>
        <w:t xml:space="preserve">Updated the </w:t>
      </w:r>
      <w:r w:rsidRPr="00A43070">
        <w:t>duration of treatment for durvalumab to PFS data from the TOPAZ-1 trial extrapolated to reflect PBS restrictions which does not allow for use beyond progression and as updated in economic model. Based on this, the duration of treatment with D + GemCis is 35</w:t>
      </w:r>
      <w:r w:rsidR="008A5DEA">
        <w:t>.7</w:t>
      </w:r>
      <w:r w:rsidRPr="00A43070">
        <w:t xml:space="preserve"> weeks. The average number of scripts </w:t>
      </w:r>
      <w:r w:rsidRPr="00A43070">
        <w:lastRenderedPageBreak/>
        <w:t>dispensed for the initial treatment phase is 6.7, and for the continuing treatment phase is 3.9.</w:t>
      </w:r>
    </w:p>
    <w:p w14:paraId="400CBACF" w14:textId="15B4303D" w:rsidR="00A43070" w:rsidRPr="00A43070" w:rsidRDefault="00A43070" w:rsidP="00A43070">
      <w:pPr>
        <w:pStyle w:val="3-BodyText"/>
        <w:rPr>
          <w:rFonts w:eastAsia="Calibri"/>
        </w:rPr>
      </w:pPr>
      <w:r w:rsidRPr="00A43070">
        <w:rPr>
          <w:rFonts w:eastAsia="Calibri"/>
        </w:rPr>
        <w:t xml:space="preserve">Based on the </w:t>
      </w:r>
      <w:r>
        <w:rPr>
          <w:rFonts w:eastAsia="Calibri"/>
        </w:rPr>
        <w:t xml:space="preserve">changes made in the PSCR and the pre-PBAC response, the estimated number of patients treated increased from </w:t>
      </w:r>
      <w:r w:rsidR="00687AF7" w:rsidRPr="00687AF7">
        <w:rPr>
          <w:rFonts w:eastAsia="Calibri"/>
        </w:rPr>
        <w:t>500 to &lt; 5,000</w:t>
      </w:r>
      <w:r>
        <w:rPr>
          <w:rFonts w:eastAsia="Calibri"/>
        </w:rPr>
        <w:t xml:space="preserve"> to </w:t>
      </w:r>
      <w:r w:rsidR="00687AF7" w:rsidRPr="00687AF7">
        <w:rPr>
          <w:rFonts w:eastAsia="Calibri"/>
        </w:rPr>
        <w:t>500 to &lt; 5,000</w:t>
      </w:r>
      <w:r w:rsidR="00687AF7">
        <w:rPr>
          <w:rFonts w:eastAsia="Calibri"/>
        </w:rPr>
        <w:t xml:space="preserve"> </w:t>
      </w:r>
      <w:r>
        <w:rPr>
          <w:rFonts w:eastAsia="Calibri"/>
        </w:rPr>
        <w:t xml:space="preserve">in Year 1 </w:t>
      </w:r>
      <w:r w:rsidR="009C6600">
        <w:rPr>
          <w:rFonts w:eastAsia="Calibri"/>
        </w:rPr>
        <w:t xml:space="preserve">(including </w:t>
      </w:r>
      <w:r w:rsidR="00687AF7">
        <w:t>&lt; 500</w:t>
      </w:r>
      <w:r w:rsidR="009C6600">
        <w:rPr>
          <w:rFonts w:eastAsia="Calibri"/>
        </w:rPr>
        <w:t xml:space="preserve"> grandfathered patients) </w:t>
      </w:r>
      <w:r>
        <w:rPr>
          <w:rFonts w:eastAsia="Calibri"/>
        </w:rPr>
        <w:t xml:space="preserve">and </w:t>
      </w:r>
      <w:r w:rsidR="00687AF7" w:rsidRPr="00687AF7">
        <w:rPr>
          <w:rFonts w:eastAsia="Calibri"/>
        </w:rPr>
        <w:t>500 to &lt; 5,000</w:t>
      </w:r>
      <w:r w:rsidR="00687AF7">
        <w:rPr>
          <w:rFonts w:eastAsia="Calibri"/>
        </w:rPr>
        <w:t xml:space="preserve"> </w:t>
      </w:r>
      <w:r>
        <w:rPr>
          <w:rFonts w:eastAsia="Calibri"/>
        </w:rPr>
        <w:t xml:space="preserve">to </w:t>
      </w:r>
      <w:r w:rsidR="00687AF7" w:rsidRPr="00687AF7">
        <w:rPr>
          <w:rFonts w:eastAsia="Calibri"/>
        </w:rPr>
        <w:t>500 to &lt; 5,000</w:t>
      </w:r>
      <w:r w:rsidR="00687AF7">
        <w:rPr>
          <w:rFonts w:eastAsia="Calibri"/>
        </w:rPr>
        <w:t xml:space="preserve"> </w:t>
      </w:r>
      <w:r>
        <w:rPr>
          <w:rFonts w:eastAsia="Calibri"/>
        </w:rPr>
        <w:t xml:space="preserve">in Year 6 with a </w:t>
      </w:r>
      <w:r w:rsidRPr="00A43070">
        <w:rPr>
          <w:rFonts w:eastAsia="Calibri"/>
        </w:rPr>
        <w:t xml:space="preserve">total cost to the PBS/RPBS </w:t>
      </w:r>
      <w:r>
        <w:rPr>
          <w:rFonts w:eastAsia="Calibri"/>
        </w:rPr>
        <w:t xml:space="preserve">of </w:t>
      </w:r>
      <w:r w:rsidR="00687AF7" w:rsidRPr="00687AF7">
        <w:t>$30 million to &lt; $40 million</w:t>
      </w:r>
      <w:r w:rsidR="00687AF7" w:rsidRPr="00687AF7" w:rsidDel="00687AF7">
        <w:t xml:space="preserve"> </w:t>
      </w:r>
      <w:r w:rsidRPr="00A43070">
        <w:rPr>
          <w:rFonts w:eastAsia="Calibri"/>
        </w:rPr>
        <w:t>in Year 1</w:t>
      </w:r>
      <w:r>
        <w:rPr>
          <w:rFonts w:eastAsia="Calibri"/>
        </w:rPr>
        <w:t xml:space="preserve"> </w:t>
      </w:r>
      <w:r w:rsidRPr="00A43070">
        <w:rPr>
          <w:rFonts w:eastAsia="Calibri"/>
        </w:rPr>
        <w:t xml:space="preserve">and </w:t>
      </w:r>
      <w:r w:rsidR="00687AF7" w:rsidRPr="00A95754">
        <w:t>$</w:t>
      </w:r>
      <w:r w:rsidR="00687AF7" w:rsidRPr="00687AF7">
        <w:t xml:space="preserve">200 million to &lt; $300 million </w:t>
      </w:r>
      <w:r w:rsidRPr="00A43070">
        <w:rPr>
          <w:rFonts w:eastAsia="Calibri"/>
        </w:rPr>
        <w:t>over the first 6 years of listing.</w:t>
      </w:r>
    </w:p>
    <w:p w14:paraId="2B99851A" w14:textId="77777777" w:rsidR="00BA4874" w:rsidRPr="00A95754" w:rsidRDefault="00BA4874" w:rsidP="00BA4874">
      <w:pPr>
        <w:pStyle w:val="4-SubsectionHeading"/>
      </w:pPr>
      <w:bookmarkStart w:id="67" w:name="_Toc124925617"/>
      <w:r w:rsidRPr="00A95754">
        <w:t>Quality Use of Medicines</w:t>
      </w:r>
      <w:bookmarkEnd w:id="67"/>
    </w:p>
    <w:p w14:paraId="3B93FD54" w14:textId="018CFEBA" w:rsidR="00BA4874" w:rsidRPr="00A95754" w:rsidRDefault="00BA4874" w:rsidP="00BA4874">
      <w:pPr>
        <w:pStyle w:val="3-BodyText"/>
      </w:pPr>
      <w:r w:rsidRPr="00A95754">
        <w:t>To support the quality use of medicines (QUM), the submission stated as part of the launch of durvalumab the sponsor will provide:</w:t>
      </w:r>
    </w:p>
    <w:p w14:paraId="376A52E9" w14:textId="77777777" w:rsidR="00BA4874" w:rsidRPr="00A95754" w:rsidRDefault="00BA4874" w:rsidP="00687AF7">
      <w:pPr>
        <w:pStyle w:val="3-BodyText"/>
        <w:numPr>
          <w:ilvl w:val="1"/>
          <w:numId w:val="23"/>
        </w:numPr>
        <w:ind w:left="1134" w:hanging="425"/>
      </w:pPr>
      <w:r w:rsidRPr="00A95754">
        <w:t>A clinician education/training meeting on TOPAZ-1.</w:t>
      </w:r>
    </w:p>
    <w:p w14:paraId="04FB94DB" w14:textId="77777777" w:rsidR="00BA4874" w:rsidRPr="00A95754" w:rsidRDefault="00BA4874" w:rsidP="00687AF7">
      <w:pPr>
        <w:pStyle w:val="3-BodyText"/>
        <w:numPr>
          <w:ilvl w:val="1"/>
          <w:numId w:val="23"/>
        </w:numPr>
        <w:ind w:left="1134" w:hanging="425"/>
      </w:pPr>
      <w:r w:rsidRPr="00A95754">
        <w:t xml:space="preserve">Monitoring: Report any clinician adverse events that will be highlighted in discussions and other scientific exchange meetings to our pharmacovigilance team. </w:t>
      </w:r>
    </w:p>
    <w:p w14:paraId="428A51BA" w14:textId="77777777" w:rsidR="00BA4874" w:rsidRPr="00A95754" w:rsidRDefault="00BA4874" w:rsidP="00687AF7">
      <w:pPr>
        <w:pStyle w:val="3-BodyText"/>
        <w:numPr>
          <w:ilvl w:val="1"/>
          <w:numId w:val="23"/>
        </w:numPr>
        <w:ind w:left="1134" w:hanging="425"/>
      </w:pPr>
      <w:r w:rsidRPr="00A95754">
        <w:t xml:space="preserve">Training the internal field-facing team on TOPAZ-1. </w:t>
      </w:r>
    </w:p>
    <w:p w14:paraId="01BA3BAB" w14:textId="77777777" w:rsidR="00DF0F8B" w:rsidRPr="00DF0F8B" w:rsidRDefault="008A5DEA" w:rsidP="00DF0F8B">
      <w:pPr>
        <w:ind w:firstLine="720"/>
        <w:rPr>
          <w:i/>
          <w:iCs/>
        </w:rPr>
      </w:pPr>
      <w:r w:rsidRPr="00DF0F8B">
        <w:rPr>
          <w:i/>
          <w:iCs/>
        </w:rPr>
        <w:t xml:space="preserve">For more detail on PBAC’s view, see section 7 PBAC outcome. </w:t>
      </w:r>
      <w:bookmarkStart w:id="68" w:name="_Toc124925620"/>
    </w:p>
    <w:p w14:paraId="6D991500" w14:textId="35BBD3D4" w:rsidR="00E03F2B" w:rsidRPr="00DF0F8B" w:rsidRDefault="00E03F2B" w:rsidP="00E03F2B">
      <w:pPr>
        <w:pStyle w:val="2-SectionHeading"/>
      </w:pPr>
      <w:r w:rsidRPr="00DF0F8B">
        <w:t>PBAC Outcome</w:t>
      </w:r>
    </w:p>
    <w:p w14:paraId="48B70D0A" w14:textId="6C02503D" w:rsidR="00A05115" w:rsidRPr="00911B78" w:rsidRDefault="00E03F2B" w:rsidP="00A05115">
      <w:pPr>
        <w:widowControl w:val="0"/>
        <w:numPr>
          <w:ilvl w:val="1"/>
          <w:numId w:val="1"/>
        </w:numPr>
        <w:spacing w:after="120"/>
        <w:rPr>
          <w:rFonts w:asciiTheme="minorHAnsi" w:hAnsiTheme="minorHAnsi"/>
          <w:bCs/>
          <w:i/>
          <w:lang w:val="en-GB"/>
        </w:rPr>
      </w:pPr>
      <w:r>
        <w:t>T</w:t>
      </w:r>
      <w:r w:rsidRPr="00E03F2B">
        <w:t>he PBAC did not recommend the listing of durvalumab for the treatment of advanced biliary tract cancer</w:t>
      </w:r>
      <w:r w:rsidR="004B12D9">
        <w:t xml:space="preserve"> (BTC)</w:t>
      </w:r>
      <w:r w:rsidRPr="00E03F2B">
        <w:t>. The PBAC considered that durvalumab in combination with chemotherapy provided a moderate added benefit in progression free survival</w:t>
      </w:r>
      <w:r w:rsidR="004B12D9">
        <w:t xml:space="preserve"> (PFS)</w:t>
      </w:r>
      <w:r w:rsidRPr="00E03F2B">
        <w:t xml:space="preserve"> and overall survival</w:t>
      </w:r>
      <w:r w:rsidR="004B12D9">
        <w:t xml:space="preserve"> (OS)</w:t>
      </w:r>
      <w:r w:rsidRPr="00E03F2B">
        <w:t>. The PBAC considered the</w:t>
      </w:r>
      <w:r w:rsidR="008A5DEA">
        <w:t xml:space="preserve"> base case</w:t>
      </w:r>
      <w:r w:rsidRPr="00E03F2B">
        <w:t xml:space="preserve"> incremental cost effectiveness ratio </w:t>
      </w:r>
      <w:r w:rsidR="004B12D9">
        <w:t>(ICER)</w:t>
      </w:r>
      <w:r w:rsidRPr="00E03F2B">
        <w:t xml:space="preserve"> was high and underestimated. The PBAC considered the </w:t>
      </w:r>
      <w:r w:rsidRPr="008A5DEA">
        <w:t>utilisation of durvalumab was overestimated</w:t>
      </w:r>
      <w:r w:rsidR="00DF0F8B">
        <w:t>.</w:t>
      </w:r>
      <w:r w:rsidRPr="008A5DEA">
        <w:t xml:space="preserve"> </w:t>
      </w:r>
    </w:p>
    <w:p w14:paraId="19DA70D5" w14:textId="49F60764" w:rsidR="00E03F2B" w:rsidRPr="008A5DEA" w:rsidRDefault="00E03F2B" w:rsidP="00DF2C5C">
      <w:pPr>
        <w:pStyle w:val="3-BodyText"/>
      </w:pPr>
      <w:r w:rsidRPr="008A5DEA">
        <w:t>The PBAC</w:t>
      </w:r>
      <w:r w:rsidR="00911B78">
        <w:t xml:space="preserve"> considered</w:t>
      </w:r>
      <w:r w:rsidRPr="008A5DEA">
        <w:t xml:space="preserve"> there is a moderate </w:t>
      </w:r>
      <w:r w:rsidR="00551A12" w:rsidRPr="008A5DEA">
        <w:t xml:space="preserve">to high </w:t>
      </w:r>
      <w:r w:rsidRPr="008A5DEA">
        <w:t xml:space="preserve">clinical need for </w:t>
      </w:r>
      <w:r w:rsidR="000F10C9">
        <w:t xml:space="preserve">more effective </w:t>
      </w:r>
      <w:r w:rsidRPr="008A5DEA">
        <w:t>treatments in this patient population who generally have a poor prognosis.</w:t>
      </w:r>
      <w:r w:rsidR="006B08CD">
        <w:t xml:space="preserve"> </w:t>
      </w:r>
      <w:r w:rsidRPr="008A5DEA">
        <w:t>The PBAC noted this was supported by the consumer comments received for this submission.</w:t>
      </w:r>
    </w:p>
    <w:p w14:paraId="0B2FC57A" w14:textId="4B70FAB0" w:rsidR="004B12D9" w:rsidRPr="008A5DEA" w:rsidRDefault="008A5DEA" w:rsidP="00E03F2B">
      <w:pPr>
        <w:pStyle w:val="3-BodyText"/>
      </w:pPr>
      <w:bookmarkStart w:id="69" w:name="_Ref132288418"/>
      <w:r w:rsidRPr="008A5DEA">
        <w:t xml:space="preserve">The PBAC considered the listing incorporating the ESC and Secretariat’s proposed changes outlined in paragraph </w:t>
      </w:r>
      <w:r w:rsidRPr="008A5DEA">
        <w:fldChar w:fldCharType="begin"/>
      </w:r>
      <w:r w:rsidRPr="008A5DEA">
        <w:instrText xml:space="preserve"> REF _Ref132285681 \r \h  \* MERGEFORMAT </w:instrText>
      </w:r>
      <w:r w:rsidRPr="008A5DEA">
        <w:fldChar w:fldCharType="separate"/>
      </w:r>
      <w:r w:rsidR="000178EC">
        <w:t>3.1</w:t>
      </w:r>
      <w:r w:rsidRPr="008A5DEA">
        <w:fldChar w:fldCharType="end"/>
      </w:r>
      <w:r w:rsidRPr="008A5DEA">
        <w:t xml:space="preserve"> was appropriate and agreed with DUSC that patients with ampullary cancer should be excluded.</w:t>
      </w:r>
      <w:bookmarkEnd w:id="69"/>
      <w:r w:rsidR="006B08CD">
        <w:t xml:space="preserve"> </w:t>
      </w:r>
    </w:p>
    <w:p w14:paraId="5BA5CBC8" w14:textId="15201C71" w:rsidR="00E03F2B" w:rsidRPr="008A5DEA" w:rsidRDefault="00E03F2B" w:rsidP="00E03F2B">
      <w:pPr>
        <w:widowControl w:val="0"/>
        <w:numPr>
          <w:ilvl w:val="1"/>
          <w:numId w:val="1"/>
        </w:numPr>
        <w:spacing w:after="120"/>
        <w:rPr>
          <w:rFonts w:asciiTheme="minorHAnsi" w:hAnsiTheme="minorHAnsi"/>
          <w:bCs/>
          <w:lang w:val="en-GB"/>
        </w:rPr>
      </w:pPr>
      <w:r w:rsidRPr="008A5DEA">
        <w:t xml:space="preserve">The PBAC </w:t>
      </w:r>
      <w:r w:rsidR="00551A12" w:rsidRPr="008A5DEA">
        <w:t xml:space="preserve">considered the </w:t>
      </w:r>
      <w:r w:rsidRPr="008A5DEA">
        <w:t xml:space="preserve">nominated </w:t>
      </w:r>
      <w:r w:rsidR="00551A12" w:rsidRPr="008A5DEA">
        <w:t xml:space="preserve">comparator of </w:t>
      </w:r>
      <w:r w:rsidR="00CF55B3">
        <w:t xml:space="preserve">placebo + </w:t>
      </w:r>
      <w:r w:rsidR="00551A12" w:rsidRPr="008A5DEA">
        <w:t>GemCis was reasonable</w:t>
      </w:r>
      <w:r w:rsidRPr="008A5DEA">
        <w:rPr>
          <w:rFonts w:cs="Calibri"/>
          <w:lang w:val="en-US"/>
        </w:rPr>
        <w:t>.</w:t>
      </w:r>
    </w:p>
    <w:p w14:paraId="028790AD" w14:textId="776B48D7" w:rsidR="00E03F2B" w:rsidRPr="00551A12" w:rsidRDefault="00E03F2B" w:rsidP="00E03F2B">
      <w:pPr>
        <w:widowControl w:val="0"/>
        <w:numPr>
          <w:ilvl w:val="1"/>
          <w:numId w:val="1"/>
        </w:numPr>
        <w:spacing w:after="120"/>
        <w:rPr>
          <w:rFonts w:asciiTheme="minorHAnsi" w:hAnsiTheme="minorHAnsi"/>
          <w:bCs/>
          <w:lang w:val="en-GB"/>
        </w:rPr>
      </w:pPr>
      <w:r w:rsidRPr="00551A12">
        <w:t xml:space="preserve">The submission was based on </w:t>
      </w:r>
      <w:r w:rsidR="00551A12">
        <w:t xml:space="preserve">one </w:t>
      </w:r>
      <w:r w:rsidR="00551A12" w:rsidRPr="00551A12">
        <w:t xml:space="preserve">direct </w:t>
      </w:r>
      <w:r w:rsidRPr="00551A12">
        <w:t xml:space="preserve">trial </w:t>
      </w:r>
      <w:r w:rsidR="00551A12" w:rsidRPr="00551A12">
        <w:t xml:space="preserve">comparing durvalumab + GemCis to placebo + GemCis </w:t>
      </w:r>
      <w:r w:rsidRPr="00551A12">
        <w:t>(</w:t>
      </w:r>
      <w:r w:rsidR="00551A12" w:rsidRPr="00551A12">
        <w:t>TOPAZ-1</w:t>
      </w:r>
      <w:r w:rsidRPr="00551A12">
        <w:t>; N=</w:t>
      </w:r>
      <w:r w:rsidR="00551A12" w:rsidRPr="00551A12">
        <w:t>685</w:t>
      </w:r>
      <w:r w:rsidRPr="00551A12">
        <w:t>)</w:t>
      </w:r>
      <w:r w:rsidR="00551A12" w:rsidRPr="00551A12">
        <w:t xml:space="preserve"> in patients with previously untreated advanced BTC</w:t>
      </w:r>
      <w:r w:rsidRPr="00551A12">
        <w:t>.</w:t>
      </w:r>
      <w:r w:rsidR="00551A12">
        <w:t xml:space="preserve"> The PBAC noted </w:t>
      </w:r>
      <w:r w:rsidR="004B12D9">
        <w:t>a modest improvement in OS for patients treated with durvalumab + GemCis compared to placebo + GemCis (HR 0.76; median incremental gain of 1.6 months, 23.6% alive vs 11.5% alive at 24 months). The PBAC noted a small improvement in PFS (HR 0.76, median incremental gain of 1.5 months, 16.0% not progressed vs 6.6% not progressed at 12 months).</w:t>
      </w:r>
      <w:r w:rsidR="006B08CD">
        <w:t xml:space="preserve"> </w:t>
      </w:r>
      <w:r w:rsidR="00CF55B3">
        <w:t>Overall, t</w:t>
      </w:r>
      <w:r w:rsidR="00CF55B3" w:rsidRPr="00CF55B3">
        <w:t>he</w:t>
      </w:r>
      <w:r w:rsidR="00CF55B3">
        <w:t xml:space="preserve"> PBAC considered the </w:t>
      </w:r>
      <w:r w:rsidR="00CF55B3">
        <w:lastRenderedPageBreak/>
        <w:t>claim that</w:t>
      </w:r>
      <w:r w:rsidR="00CF55B3" w:rsidRPr="00CF55B3">
        <w:t xml:space="preserve"> durvalumab + GemCis </w:t>
      </w:r>
      <w:r w:rsidR="00CF55B3">
        <w:t xml:space="preserve">is </w:t>
      </w:r>
      <w:r w:rsidR="00CF55B3" w:rsidRPr="00CF55B3">
        <w:t>superior in terms of effectiveness</w:t>
      </w:r>
      <w:r w:rsidR="00CF55B3">
        <w:t xml:space="preserve"> to placebo + GemCis was reasonable.</w:t>
      </w:r>
      <w:r w:rsidR="00DA66E9">
        <w:t xml:space="preserve"> </w:t>
      </w:r>
      <w:r w:rsidR="00DA66E9" w:rsidRPr="00DA66E9">
        <w:t xml:space="preserve">The PBAC noted the weak endorsement of durvalumab + GemCis in </w:t>
      </w:r>
      <w:r w:rsidR="00263AAD">
        <w:t xml:space="preserve">international </w:t>
      </w:r>
      <w:r w:rsidR="00DA66E9" w:rsidRPr="00DA66E9">
        <w:t>treatment guidelines</w:t>
      </w:r>
      <w:r w:rsidR="009C6600">
        <w:t xml:space="preserve"> (as discussed in paragraph </w:t>
      </w:r>
      <w:r w:rsidR="009C6600">
        <w:fldChar w:fldCharType="begin"/>
      </w:r>
      <w:r w:rsidR="009C6600">
        <w:instrText xml:space="preserve"> REF _Ref132618675 \r \h </w:instrText>
      </w:r>
      <w:r w:rsidR="009C6600">
        <w:fldChar w:fldCharType="separate"/>
      </w:r>
      <w:r w:rsidR="000178EC">
        <w:t>4.5</w:t>
      </w:r>
      <w:r w:rsidR="009C6600">
        <w:fldChar w:fldCharType="end"/>
      </w:r>
      <w:r w:rsidR="009C6600">
        <w:t xml:space="preserve">). </w:t>
      </w:r>
    </w:p>
    <w:p w14:paraId="5F52B5FA" w14:textId="46637C4F" w:rsidR="008A5DEA" w:rsidRDefault="008A5DEA" w:rsidP="008A5DEA">
      <w:pPr>
        <w:pStyle w:val="3-BodyText"/>
      </w:pPr>
      <w:r>
        <w:t xml:space="preserve">The PBAC noted the proportion of patients with adverse events </w:t>
      </w:r>
      <w:r w:rsidRPr="008A5DEA">
        <w:t>w</w:t>
      </w:r>
      <w:r>
        <w:t xml:space="preserve">as </w:t>
      </w:r>
      <w:r w:rsidRPr="008A5DEA">
        <w:t>similar between treatment arms</w:t>
      </w:r>
      <w:r>
        <w:t xml:space="preserve"> in TOPAZ-1 but there was some increase in immune-related AEs in the durvalumab + GemCis treatment arm</w:t>
      </w:r>
      <w:r w:rsidR="00CF55B3">
        <w:t xml:space="preserve">. </w:t>
      </w:r>
      <w:bookmarkStart w:id="70" w:name="_Hlk132614843"/>
      <w:r w:rsidR="00F958E1" w:rsidRPr="00F958E1">
        <w:t>The PBAC noted durvalumab + GemCis is associated with more immune-related AEs compared to placebo + GemCis, but considered overall the toxicity of durvalumab + GemCis is manageable.</w:t>
      </w:r>
    </w:p>
    <w:p w14:paraId="547148A5" w14:textId="3A1D6873" w:rsidR="008A5DEA" w:rsidRDefault="008A5DEA" w:rsidP="00DF2C5C">
      <w:pPr>
        <w:pStyle w:val="3-BodyText"/>
      </w:pPr>
      <w:bookmarkStart w:id="71" w:name="_Ref132288485"/>
      <w:bookmarkEnd w:id="70"/>
      <w:r w:rsidRPr="008A5DEA">
        <w:t xml:space="preserve">The submission presented a cost utility analysis using a stepped economic evaluation based on the </w:t>
      </w:r>
      <w:r>
        <w:t xml:space="preserve">TOPAZ-1 </w:t>
      </w:r>
      <w:r w:rsidRPr="008A5DEA">
        <w:t>trial</w:t>
      </w:r>
      <w:r>
        <w:t xml:space="preserve">. The PBAC noted the base case ICER presented in the submission was </w:t>
      </w:r>
      <w:r w:rsidR="00687AF7" w:rsidRPr="00687AF7">
        <w:t>$115,000 to &lt; $135,000</w:t>
      </w:r>
      <w:r>
        <w:t>/QALY</w:t>
      </w:r>
      <w:r w:rsidR="005C2528">
        <w:t xml:space="preserve">, which </w:t>
      </w:r>
      <w:r w:rsidR="00DF0F8B">
        <w:t xml:space="preserve">included the use of durvalumab beyond progression </w:t>
      </w:r>
      <w:r w:rsidR="005C2528">
        <w:t>consistent with the trial</w:t>
      </w:r>
      <w:r>
        <w:t xml:space="preserve">. The PBAC noted the economic model was sensitive to the time horizon with a change from 10 years to 5 years increasing the ICER to </w:t>
      </w:r>
      <w:r w:rsidR="00687AF7" w:rsidRPr="00687AF7">
        <w:t>$135,000 to &lt; $155,000</w:t>
      </w:r>
      <w:r>
        <w:t xml:space="preserve">/QALY. The PBAC noted the pre-PBAC response provided a revised economic model with a reduced vial price and assuming </w:t>
      </w:r>
      <w:r w:rsidR="005C2528">
        <w:t xml:space="preserve">no </w:t>
      </w:r>
      <w:r>
        <w:t xml:space="preserve">treatment </w:t>
      </w:r>
      <w:r w:rsidR="005C2528">
        <w:t>beyond</w:t>
      </w:r>
      <w:r>
        <w:t xml:space="preserve"> progression which resulted in an ICER of </w:t>
      </w:r>
      <w:r w:rsidR="00687AF7" w:rsidRPr="00687AF7">
        <w:t>$95,000 to &lt; $115,000</w:t>
      </w:r>
      <w:r>
        <w:t>/ QALY but the economic model maintained a time horizon of 10 years. The PBAC considered a time horizon of 10 years for this condition was not justified and a time horizon of 5 years would be more appropriate.</w:t>
      </w:r>
      <w:bookmarkEnd w:id="71"/>
      <w:r w:rsidR="006B08CD">
        <w:t xml:space="preserve"> </w:t>
      </w:r>
    </w:p>
    <w:p w14:paraId="71DA7A6E" w14:textId="1B111266" w:rsidR="008A5DEA" w:rsidRDefault="00E35715" w:rsidP="00E03F2B">
      <w:pPr>
        <w:pStyle w:val="3-BodyText"/>
      </w:pPr>
      <w:bookmarkStart w:id="72" w:name="_Ref132288527"/>
      <w:r>
        <w:t xml:space="preserve">The PBAC noted the pre-PBAC response provided revised financial estimates which (i) assumed 22% of patients with liver cancer have IHCC (ii) updated patient co-payments (iii) included the cost for </w:t>
      </w:r>
      <w:r w:rsidR="00853124" w:rsidRPr="005C3A06">
        <w:t>&lt;</w:t>
      </w:r>
      <w:r w:rsidR="005C3A06" w:rsidRPr="005C3A06">
        <w:t> </w:t>
      </w:r>
      <w:r w:rsidR="00853124" w:rsidRPr="005C3A06">
        <w:t>500</w:t>
      </w:r>
      <w:r w:rsidRPr="003115E9">
        <w:rPr>
          <w:color w:val="000000" w:themeColor="text1"/>
        </w:rPr>
        <w:t xml:space="preserve"> </w:t>
      </w:r>
      <w:r>
        <w:t>grandfathered patients (as a proxy for</w:t>
      </w:r>
      <w:r w:rsidR="00FE1B27">
        <w:t xml:space="preserve"> accounting for</w:t>
      </w:r>
      <w:r>
        <w:t xml:space="preserve"> the estimated </w:t>
      </w:r>
      <w:r w:rsidR="00687AF7">
        <w:t>&lt; 5</w:t>
      </w:r>
      <w:r>
        <w:t xml:space="preserve">00 grandfathered patients receiving </w:t>
      </w:r>
      <w:r w:rsidR="00FE1B27">
        <w:t xml:space="preserve">less treatment </w:t>
      </w:r>
      <w:r>
        <w:t xml:space="preserve">to account for treatment already received) (iv) reduced vial price for durvalumab and (v) assumed </w:t>
      </w:r>
      <w:r w:rsidR="005C2528">
        <w:t xml:space="preserve">no </w:t>
      </w:r>
      <w:r>
        <w:t xml:space="preserve">treatment </w:t>
      </w:r>
      <w:r w:rsidR="005C2528">
        <w:t>beyond</w:t>
      </w:r>
      <w:r>
        <w:t xml:space="preserve"> progression. </w:t>
      </w:r>
      <w:r w:rsidR="008A5DEA">
        <w:t xml:space="preserve">The PBAC considered the utilisation of durvalumab </w:t>
      </w:r>
      <w:r w:rsidR="00FE1B27">
        <w:t xml:space="preserve">in the pre-PBAC response </w:t>
      </w:r>
      <w:r w:rsidR="008A5DEA">
        <w:t>was likely to be overestimated with optimistic assumption</w:t>
      </w:r>
      <w:r>
        <w:t>s</w:t>
      </w:r>
      <w:r w:rsidR="008A5DEA">
        <w:t xml:space="preserve"> regarding uptake (</w:t>
      </w:r>
      <w:r w:rsidR="003C043D" w:rsidRPr="000178EC">
        <w:rPr>
          <w:color w:val="000000"/>
          <w:w w:val="15"/>
          <w:shd w:val="solid" w:color="000000" w:fill="000000"/>
          <w:fitText w:val="-20" w:id="-1233370877"/>
          <w14:textFill>
            <w14:solidFill>
              <w14:srgbClr w14:val="000000">
                <w14:alpha w14:val="100000"/>
              </w14:srgbClr>
            </w14:solidFill>
          </w14:textFill>
        </w:rPr>
        <w:t xml:space="preserve">|  </w:t>
      </w:r>
      <w:r w:rsidR="003C043D" w:rsidRPr="000178EC">
        <w:rPr>
          <w:color w:val="000000"/>
          <w:spacing w:val="-69"/>
          <w:w w:val="15"/>
          <w:shd w:val="solid" w:color="000000" w:fill="000000"/>
          <w:fitText w:val="-20" w:id="-1233370877"/>
          <w14:textFill>
            <w14:solidFill>
              <w14:srgbClr w14:val="000000">
                <w14:alpha w14:val="100000"/>
              </w14:srgbClr>
            </w14:solidFill>
          </w14:textFill>
        </w:rPr>
        <w:t>|</w:t>
      </w:r>
      <w:r w:rsidR="008A5DEA" w:rsidRPr="005C3A06">
        <w:t xml:space="preserve">% </w:t>
      </w:r>
      <w:r w:rsidR="008A5DEA">
        <w:t>each year), proportion of patients with PS 0 – 1 (</w:t>
      </w:r>
      <w:r w:rsidR="003C043D" w:rsidRPr="000178EC">
        <w:rPr>
          <w:color w:val="000000"/>
          <w:w w:val="15"/>
          <w:shd w:val="solid" w:color="000000" w:fill="000000"/>
          <w:fitText w:val="-20" w:id="-1233370876"/>
          <w14:textFill>
            <w14:solidFill>
              <w14:srgbClr w14:val="000000">
                <w14:alpha w14:val="100000"/>
              </w14:srgbClr>
            </w14:solidFill>
          </w14:textFill>
        </w:rPr>
        <w:t xml:space="preserve">|  </w:t>
      </w:r>
      <w:r w:rsidR="003C043D" w:rsidRPr="000178EC">
        <w:rPr>
          <w:color w:val="000000"/>
          <w:spacing w:val="-69"/>
          <w:w w:val="15"/>
          <w:shd w:val="solid" w:color="000000" w:fill="000000"/>
          <w:fitText w:val="-20" w:id="-1233370876"/>
          <w14:textFill>
            <w14:solidFill>
              <w14:srgbClr w14:val="000000">
                <w14:alpha w14:val="100000"/>
              </w14:srgbClr>
            </w14:solidFill>
          </w14:textFill>
        </w:rPr>
        <w:t>|</w:t>
      </w:r>
      <w:r w:rsidR="008A5DEA" w:rsidRPr="00EC3218">
        <w:t>%)</w:t>
      </w:r>
      <w:r w:rsidR="008A5DEA">
        <w:t xml:space="preserve"> and proportion of patients with liver cancer assumed to have IHCC (</w:t>
      </w:r>
      <w:r>
        <w:t>22</w:t>
      </w:r>
      <w:r w:rsidR="008A5DEA">
        <w:t>%).</w:t>
      </w:r>
      <w:bookmarkEnd w:id="72"/>
      <w:r w:rsidR="008A5DEA">
        <w:t xml:space="preserve"> </w:t>
      </w:r>
      <w:r w:rsidR="00DF0F8B">
        <w:t xml:space="preserve">The PBAC noted the sensitivity analyses conducted by DUSC for each of these assumptions resulted in a substantial reduction in the overall costs. </w:t>
      </w:r>
    </w:p>
    <w:p w14:paraId="1CB20463" w14:textId="0092458A" w:rsidR="007C019C" w:rsidRDefault="007C019C" w:rsidP="007C019C">
      <w:pPr>
        <w:pStyle w:val="3-BodyText"/>
      </w:pPr>
      <w:r>
        <w:t xml:space="preserve">The PBAC considered the outstanding issues could be easily resolved in a simple resubmission for </w:t>
      </w:r>
      <w:r w:rsidR="004C34D8">
        <w:t xml:space="preserve">durvalumab </w:t>
      </w:r>
      <w:r>
        <w:t xml:space="preserve">using the early re-entry pathway. If the sponsor accepts this pathway, the following changes may address these outstanding issues without requiring further re-evaluation: </w:t>
      </w:r>
    </w:p>
    <w:p w14:paraId="4F22A3BF" w14:textId="5C233785" w:rsidR="004C34D8" w:rsidRDefault="008A5DEA" w:rsidP="00687AF7">
      <w:pPr>
        <w:pStyle w:val="3-BodyText"/>
        <w:numPr>
          <w:ilvl w:val="1"/>
          <w:numId w:val="23"/>
        </w:numPr>
        <w:ind w:left="1134" w:hanging="425"/>
      </w:pPr>
      <w:r>
        <w:t xml:space="preserve">Provide revised </w:t>
      </w:r>
      <w:r w:rsidR="004C34D8">
        <w:t xml:space="preserve">restriction </w:t>
      </w:r>
      <w:r>
        <w:t xml:space="preserve">criteria </w:t>
      </w:r>
      <w:r w:rsidR="004C34D8">
        <w:t xml:space="preserve">as outlined in paragraph </w:t>
      </w:r>
      <w:r>
        <w:fldChar w:fldCharType="begin"/>
      </w:r>
      <w:r>
        <w:instrText xml:space="preserve"> REF _Ref132288418 \r \h </w:instrText>
      </w:r>
      <w:r>
        <w:fldChar w:fldCharType="separate"/>
      </w:r>
      <w:r w:rsidR="000178EC">
        <w:t>7.3</w:t>
      </w:r>
      <w:r>
        <w:fldChar w:fldCharType="end"/>
      </w:r>
      <w:r>
        <w:t>;</w:t>
      </w:r>
    </w:p>
    <w:p w14:paraId="4EABB440" w14:textId="357C353A" w:rsidR="004C34D8" w:rsidRDefault="008A5DEA" w:rsidP="00687AF7">
      <w:pPr>
        <w:pStyle w:val="3-BodyText"/>
        <w:numPr>
          <w:ilvl w:val="1"/>
          <w:numId w:val="23"/>
        </w:numPr>
        <w:ind w:left="1134" w:hanging="425"/>
      </w:pPr>
      <w:r>
        <w:t>Provide an e</w:t>
      </w:r>
      <w:r w:rsidR="008D4B60">
        <w:t xml:space="preserve">conomic model </w:t>
      </w:r>
      <w:r>
        <w:t xml:space="preserve">with a reduced time horizon </w:t>
      </w:r>
      <w:r w:rsidR="008D4B60">
        <w:t xml:space="preserve">as per paragraph </w:t>
      </w:r>
      <w:r>
        <w:fldChar w:fldCharType="begin"/>
      </w:r>
      <w:r>
        <w:instrText xml:space="preserve"> REF _Ref132288485 \r \h </w:instrText>
      </w:r>
      <w:r>
        <w:fldChar w:fldCharType="separate"/>
      </w:r>
      <w:r w:rsidR="000178EC">
        <w:t>7.7</w:t>
      </w:r>
      <w:r>
        <w:fldChar w:fldCharType="end"/>
      </w:r>
      <w:r>
        <w:t xml:space="preserve"> </w:t>
      </w:r>
      <w:r w:rsidR="008D4B60">
        <w:t xml:space="preserve">and </w:t>
      </w:r>
      <w:r>
        <w:t xml:space="preserve">a revised price that </w:t>
      </w:r>
      <w:r w:rsidR="008D4B60">
        <w:t>r</w:t>
      </w:r>
      <w:r w:rsidR="004C34D8">
        <w:t>esult</w:t>
      </w:r>
      <w:r>
        <w:t xml:space="preserve">s </w:t>
      </w:r>
      <w:r w:rsidR="004C34D8">
        <w:t xml:space="preserve">in an ICER </w:t>
      </w:r>
      <w:r>
        <w:t xml:space="preserve">of </w:t>
      </w:r>
      <w:r w:rsidR="004C34D8">
        <w:t>less than $75,000 per QALY</w:t>
      </w:r>
      <w:r>
        <w:t>; and</w:t>
      </w:r>
    </w:p>
    <w:p w14:paraId="158C1878" w14:textId="6178D790" w:rsidR="008D4B60" w:rsidRDefault="008A5DEA" w:rsidP="00687AF7">
      <w:pPr>
        <w:pStyle w:val="3-BodyText"/>
        <w:numPr>
          <w:ilvl w:val="1"/>
          <w:numId w:val="23"/>
        </w:numPr>
        <w:ind w:left="1134" w:hanging="425"/>
      </w:pPr>
      <w:r>
        <w:t>Provide revised financial estimates incorporating</w:t>
      </w:r>
      <w:r w:rsidR="00E03DF6">
        <w:t xml:space="preserve"> a</w:t>
      </w:r>
      <w:r>
        <w:t xml:space="preserve"> revised price and </w:t>
      </w:r>
      <w:r w:rsidR="00E03DF6">
        <w:t xml:space="preserve">addressing </w:t>
      </w:r>
      <w:r>
        <w:t xml:space="preserve">the issues outlined in </w:t>
      </w:r>
      <w:r>
        <w:fldChar w:fldCharType="begin"/>
      </w:r>
      <w:r>
        <w:instrText xml:space="preserve"> REF _Ref132288527 \r \h </w:instrText>
      </w:r>
      <w:r>
        <w:fldChar w:fldCharType="separate"/>
      </w:r>
      <w:r w:rsidR="000178EC">
        <w:t>7.8</w:t>
      </w:r>
      <w:r>
        <w:fldChar w:fldCharType="end"/>
      </w:r>
      <w:r>
        <w:t xml:space="preserve">. </w:t>
      </w:r>
    </w:p>
    <w:p w14:paraId="1403BAC3" w14:textId="2A128AB8" w:rsidR="00E03F2B" w:rsidRDefault="007C019C" w:rsidP="007C019C">
      <w:pPr>
        <w:pStyle w:val="3-BodyText"/>
        <w:numPr>
          <w:ilvl w:val="0"/>
          <w:numId w:val="0"/>
        </w:numPr>
        <w:ind w:left="720"/>
      </w:pPr>
      <w:r>
        <w:lastRenderedPageBreak/>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6708C81E" w14:textId="32505A81" w:rsidR="00E03F2B" w:rsidRPr="004B12D9" w:rsidRDefault="004B12D9" w:rsidP="004B12D9">
      <w:pPr>
        <w:widowControl w:val="0"/>
        <w:numPr>
          <w:ilvl w:val="1"/>
          <w:numId w:val="1"/>
        </w:numPr>
        <w:spacing w:after="120"/>
        <w:rPr>
          <w:rFonts w:asciiTheme="minorHAnsi" w:hAnsiTheme="minorHAnsi"/>
          <w:bCs/>
          <w:i/>
          <w:lang w:val="en-GB"/>
        </w:rPr>
      </w:pPr>
      <w:r w:rsidRPr="00525B39">
        <w:rPr>
          <w:rFonts w:asciiTheme="minorHAnsi" w:hAnsiTheme="minorHAnsi"/>
          <w:bCs/>
          <w:lang w:val="en-GB"/>
        </w:rPr>
        <w:t>The PBAC noted that this submission is</w:t>
      </w:r>
      <w:r>
        <w:rPr>
          <w:rFonts w:asciiTheme="minorHAnsi" w:hAnsiTheme="minorHAnsi"/>
          <w:bCs/>
          <w:lang w:val="en-GB"/>
        </w:rPr>
        <w:t xml:space="preserve"> </w:t>
      </w:r>
      <w:r w:rsidRPr="00525B39">
        <w:rPr>
          <w:rFonts w:asciiTheme="minorHAnsi" w:hAnsiTheme="minorHAnsi"/>
          <w:bCs/>
          <w:lang w:val="en-GB"/>
        </w:rPr>
        <w:t xml:space="preserve">eligible for an Independent Review. </w:t>
      </w:r>
    </w:p>
    <w:p w14:paraId="1CD411E0" w14:textId="77777777" w:rsidR="00E03F2B" w:rsidRPr="006B08CD" w:rsidRDefault="00E03F2B" w:rsidP="006B08CD">
      <w:pPr>
        <w:pStyle w:val="3-BodyText"/>
        <w:numPr>
          <w:ilvl w:val="0"/>
          <w:numId w:val="0"/>
        </w:numPr>
        <w:rPr>
          <w:b/>
          <w:bCs/>
        </w:rPr>
      </w:pPr>
      <w:r w:rsidRPr="006B08CD">
        <w:rPr>
          <w:b/>
          <w:bCs/>
        </w:rPr>
        <w:t>Outcome:</w:t>
      </w:r>
    </w:p>
    <w:p w14:paraId="601580F7" w14:textId="1F6FF4BF" w:rsidR="00A6134C" w:rsidRPr="00136193" w:rsidRDefault="00E03F2B" w:rsidP="006B08CD">
      <w:pPr>
        <w:pStyle w:val="3-BodyText"/>
        <w:numPr>
          <w:ilvl w:val="0"/>
          <w:numId w:val="0"/>
        </w:numPr>
        <w:ind w:left="720" w:hanging="720"/>
        <w:rPr>
          <w:b/>
          <w:bCs/>
        </w:rPr>
      </w:pPr>
      <w:r w:rsidRPr="00E03F2B">
        <w:rPr>
          <w:bCs/>
        </w:rPr>
        <w:t>Not recommended</w:t>
      </w:r>
    </w:p>
    <w:bookmarkEnd w:id="68"/>
    <w:p w14:paraId="56F7CE4A" w14:textId="1B7384A3" w:rsidR="00B40410" w:rsidRDefault="00B40410" w:rsidP="00B40410">
      <w:pPr>
        <w:pStyle w:val="2-SectionHeading"/>
        <w:rPr>
          <w:bCs/>
          <w:lang w:val="en-GB"/>
        </w:rPr>
      </w:pPr>
      <w:r w:rsidRPr="00C07617">
        <w:t>Context for Decision</w:t>
      </w:r>
    </w:p>
    <w:p w14:paraId="7BB1C12C" w14:textId="77777777" w:rsidR="00B40410" w:rsidRPr="007129F2" w:rsidRDefault="00B40410" w:rsidP="00B40410">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D4CC272" w14:textId="7999FA66" w:rsidR="00B40410" w:rsidRPr="00C07617" w:rsidRDefault="00B40410" w:rsidP="00B40410">
      <w:pPr>
        <w:pStyle w:val="2-SectionHeading"/>
      </w:pPr>
      <w:r>
        <w:t>Sponsor’s Comment</w:t>
      </w:r>
    </w:p>
    <w:p w14:paraId="26527649" w14:textId="77777777" w:rsidR="00B40410" w:rsidRPr="001179AC" w:rsidRDefault="00B40410" w:rsidP="00B40410">
      <w:pPr>
        <w:spacing w:after="120"/>
        <w:ind w:left="426" w:firstLine="294"/>
        <w:rPr>
          <w:rFonts w:asciiTheme="minorHAnsi" w:hAnsiTheme="minorHAnsi"/>
          <w:bCs/>
        </w:rPr>
      </w:pPr>
      <w:r w:rsidRPr="00C07617">
        <w:rPr>
          <w:rFonts w:asciiTheme="minorHAnsi" w:hAnsiTheme="minorHAnsi"/>
          <w:bCs/>
        </w:rPr>
        <w:t>The sponsor had no comment.</w:t>
      </w:r>
    </w:p>
    <w:p w14:paraId="46EF28A2" w14:textId="366379B3" w:rsidR="00753B29" w:rsidRPr="00232355" w:rsidRDefault="00753B29">
      <w:pPr>
        <w:jc w:val="left"/>
        <w:rPr>
          <w:rFonts w:ascii="Arial Narrow" w:hAnsi="Arial Narrow"/>
          <w:b/>
          <w:snapToGrid w:val="0"/>
          <w:sz w:val="20"/>
          <w:szCs w:val="20"/>
        </w:rPr>
      </w:pPr>
    </w:p>
    <w:sectPr w:rsidR="00753B29" w:rsidRPr="00232355" w:rsidSect="00F959D9">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4213" w14:textId="77777777" w:rsidR="00333AD1" w:rsidRDefault="00333AD1" w:rsidP="00124A51">
      <w:r>
        <w:separator/>
      </w:r>
    </w:p>
    <w:p w14:paraId="52E9A745" w14:textId="77777777" w:rsidR="00333AD1" w:rsidRDefault="00333AD1"/>
  </w:endnote>
  <w:endnote w:type="continuationSeparator" w:id="0">
    <w:p w14:paraId="1983420A" w14:textId="77777777" w:rsidR="00333AD1" w:rsidRDefault="00333AD1" w:rsidP="00124A51">
      <w:r>
        <w:continuationSeparator/>
      </w:r>
    </w:p>
    <w:p w14:paraId="5B892C82" w14:textId="77777777" w:rsidR="00333AD1" w:rsidRDefault="00333AD1"/>
  </w:endnote>
  <w:endnote w:type="continuationNotice" w:id="1">
    <w:p w14:paraId="3C8754BC" w14:textId="77777777" w:rsidR="00333AD1" w:rsidRDefault="00333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IDFont+F1">
    <w:altName w:val="Calibri"/>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4047" w14:textId="77777777" w:rsidR="007F44CC" w:rsidRDefault="007F4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DCBC" w14:textId="77777777" w:rsidR="003C67AB" w:rsidRDefault="003C67AB" w:rsidP="00753B29">
    <w:pPr>
      <w:pStyle w:val="Footer"/>
      <w:jc w:val="center"/>
    </w:pPr>
  </w:p>
  <w:p w14:paraId="09FEE600" w14:textId="71023338" w:rsidR="003C67AB" w:rsidRPr="00D10B51" w:rsidRDefault="003C67AB" w:rsidP="00753B29">
    <w:pPr>
      <w:pStyle w:val="Footer"/>
      <w:jc w:val="center"/>
      <w:rPr>
        <w:b/>
        <w:bCs/>
      </w:rPr>
    </w:pPr>
    <w:r w:rsidRPr="00D10B51">
      <w:rPr>
        <w:b/>
        <w:bCs/>
      </w:rPr>
      <w:fldChar w:fldCharType="begin"/>
    </w:r>
    <w:r w:rsidRPr="00D10B51">
      <w:rPr>
        <w:b/>
        <w:bCs/>
      </w:rPr>
      <w:instrText xml:space="preserve"> PAGE   \* MERGEFORMAT </w:instrText>
    </w:r>
    <w:r w:rsidRPr="00D10B51">
      <w:rPr>
        <w:b/>
        <w:bCs/>
      </w:rPr>
      <w:fldChar w:fldCharType="separate"/>
    </w:r>
    <w:r w:rsidRPr="00D10B51">
      <w:rPr>
        <w:b/>
        <w:bCs/>
        <w:noProof/>
      </w:rPr>
      <w:t>2</w:t>
    </w:r>
    <w:r w:rsidRPr="00D10B51">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4632" w14:textId="77777777" w:rsidR="007F44CC" w:rsidRDefault="007F4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74A8" w14:textId="77777777" w:rsidR="00333AD1" w:rsidRDefault="00333AD1" w:rsidP="00124A51">
      <w:r>
        <w:separator/>
      </w:r>
    </w:p>
    <w:p w14:paraId="5AF80F38" w14:textId="77777777" w:rsidR="00333AD1" w:rsidRDefault="00333AD1"/>
  </w:footnote>
  <w:footnote w:type="continuationSeparator" w:id="0">
    <w:p w14:paraId="5E37374F" w14:textId="77777777" w:rsidR="00333AD1" w:rsidRDefault="00333AD1" w:rsidP="00124A51">
      <w:r>
        <w:continuationSeparator/>
      </w:r>
    </w:p>
    <w:p w14:paraId="0751AF23" w14:textId="77777777" w:rsidR="00333AD1" w:rsidRDefault="00333AD1"/>
  </w:footnote>
  <w:footnote w:type="continuationNotice" w:id="1">
    <w:p w14:paraId="3BC2F8FA" w14:textId="77777777" w:rsidR="00333AD1" w:rsidRDefault="00333AD1"/>
  </w:footnote>
  <w:footnote w:id="2">
    <w:p w14:paraId="78D2281E" w14:textId="77777777" w:rsidR="003C67AB" w:rsidRPr="006E1232" w:rsidRDefault="003C67AB" w:rsidP="00BA4874">
      <w:pPr>
        <w:pStyle w:val="FootnoteText"/>
        <w:jc w:val="left"/>
        <w:rPr>
          <w:lang w:val="en-US"/>
        </w:rPr>
      </w:pPr>
      <w:r>
        <w:rPr>
          <w:rStyle w:val="FootnoteReference"/>
        </w:rPr>
        <w:footnoteRef/>
      </w:r>
      <w:r>
        <w:t xml:space="preserve"> </w:t>
      </w:r>
      <w:r w:rsidRPr="00E633B4">
        <w:rPr>
          <w:sz w:val="18"/>
          <w:szCs w:val="18"/>
          <w:lang w:val="en-US"/>
        </w:rPr>
        <w:t xml:space="preserve">Australian Institute of Health and Welfare, (2022), Cancer summary data visualization, Australian Government. URL: </w:t>
      </w:r>
      <w:hyperlink r:id="rId1" w:history="1">
        <w:r w:rsidRPr="00E633B4">
          <w:rPr>
            <w:rStyle w:val="Hyperlink"/>
            <w:sz w:val="18"/>
            <w:szCs w:val="18"/>
            <w:lang w:val="en-US"/>
          </w:rPr>
          <w:t>https://www.aihw.gov.au/reports/cancer/cancer-data-in-australia/contents/cancer-summary-data-visualisation</w:t>
        </w:r>
      </w:hyperlink>
      <w:r w:rsidRPr="00E633B4">
        <w:rPr>
          <w:sz w:val="18"/>
          <w:szCs w:val="18"/>
          <w:lang w:val="en-US"/>
        </w:rPr>
        <w:t xml:space="preserve"> </w:t>
      </w:r>
    </w:p>
  </w:footnote>
  <w:footnote w:id="3">
    <w:p w14:paraId="315A029B" w14:textId="77777777" w:rsidR="003C67AB" w:rsidRDefault="003C67AB" w:rsidP="00E633B4">
      <w:pPr>
        <w:pStyle w:val="FooterTableFigure"/>
        <w:spacing w:after="0"/>
      </w:pPr>
      <w:r>
        <w:rPr>
          <w:rStyle w:val="FootnoteReference"/>
        </w:rPr>
        <w:footnoteRef/>
      </w:r>
      <w:r>
        <w:t xml:space="preserve"> </w:t>
      </w:r>
      <w:r w:rsidRPr="00E633B4">
        <w:rPr>
          <w:rStyle w:val="FootnoteTextChar"/>
        </w:rPr>
        <w:t>Valle JW, Kelley RK, Nervi B, Oh DY, Zhu AX. Biliary tract cancer. Lancet. 2021 Jan 30;397(10272):428-444. doi: 10.1016/S0140-6736(21)00153-7. PMID: 33516341.</w:t>
      </w:r>
    </w:p>
  </w:footnote>
  <w:footnote w:id="4">
    <w:p w14:paraId="6522C9F3" w14:textId="74321EA1" w:rsidR="003C67AB" w:rsidRPr="009E3521" w:rsidRDefault="003C67AB" w:rsidP="00E633B4">
      <w:pPr>
        <w:pStyle w:val="FootnoteText"/>
        <w:jc w:val="left"/>
        <w:rPr>
          <w:lang w:val="en-US"/>
        </w:rPr>
      </w:pPr>
      <w:r>
        <w:rPr>
          <w:rStyle w:val="FootnoteReference"/>
        </w:rPr>
        <w:footnoteRef/>
      </w:r>
      <w:r>
        <w:t xml:space="preserve"> </w:t>
      </w:r>
      <w:r w:rsidRPr="00E633B4">
        <w:rPr>
          <w:sz w:val="18"/>
          <w:szCs w:val="18"/>
          <w:lang w:val="en-US"/>
        </w:rPr>
        <w:t xml:space="preserve">American Cancer Society (2022), Survival Rates for Gallbladder Cancer. URL: </w:t>
      </w:r>
      <w:hyperlink r:id="rId2" w:history="1">
        <w:r w:rsidRPr="00E633B4">
          <w:rPr>
            <w:rStyle w:val="Hyperlink"/>
            <w:sz w:val="18"/>
            <w:szCs w:val="18"/>
            <w:lang w:val="en-US"/>
          </w:rPr>
          <w:t>https://www.cancer.org/cancer/gallbladder-cancer/detection-diagnosis-staging/survival-rates.html</w:t>
        </w:r>
      </w:hyperlink>
      <w:r w:rsidR="006B08CD" w:rsidRPr="00E633B4">
        <w:rPr>
          <w:sz w:val="18"/>
          <w:szCs w:val="18"/>
          <w:lang w:val="en-US"/>
        </w:rPr>
        <w:t xml:space="preserve"> </w:t>
      </w:r>
    </w:p>
  </w:footnote>
  <w:footnote w:id="5">
    <w:p w14:paraId="02AA60B9" w14:textId="78F364A1" w:rsidR="003C67AB" w:rsidRPr="00337702" w:rsidRDefault="003C67AB" w:rsidP="00E633B4">
      <w:pPr>
        <w:pStyle w:val="FootnoteText"/>
        <w:rPr>
          <w:lang w:val="en-US"/>
        </w:rPr>
      </w:pPr>
      <w:r>
        <w:rPr>
          <w:rStyle w:val="FootnoteReference"/>
        </w:rPr>
        <w:footnoteRef/>
      </w:r>
      <w:r>
        <w:t xml:space="preserve"> </w:t>
      </w:r>
      <w:r w:rsidRPr="00E633B4">
        <w:rPr>
          <w:sz w:val="18"/>
          <w:szCs w:val="18"/>
          <w:lang w:val="en-US"/>
        </w:rPr>
        <w:t xml:space="preserve">American Cancer Society (2022), Survival Rates for Bile Duct Cancer. URL: </w:t>
      </w:r>
      <w:hyperlink r:id="rId3" w:history="1">
        <w:r w:rsidRPr="00E633B4">
          <w:rPr>
            <w:rStyle w:val="Hyperlink"/>
            <w:sz w:val="18"/>
            <w:szCs w:val="18"/>
            <w:lang w:val="en-US"/>
          </w:rPr>
          <w:t>https://www.cancer.org/cancer/bile-duct-cancer/detection-diagnosis-staging/survival-by-stage.html</w:t>
        </w:r>
      </w:hyperlink>
      <w:r w:rsidR="006B08CD" w:rsidRPr="00E633B4">
        <w:rPr>
          <w:sz w:val="18"/>
          <w:szCs w:val="18"/>
          <w:lang w:val="en-US"/>
        </w:rPr>
        <w:t xml:space="preserve"> </w:t>
      </w:r>
    </w:p>
  </w:footnote>
  <w:footnote w:id="6">
    <w:p w14:paraId="798966FD" w14:textId="3DDAD045" w:rsidR="003C67AB" w:rsidRPr="00FF7962" w:rsidRDefault="003C67AB" w:rsidP="00BA4874">
      <w:pPr>
        <w:pStyle w:val="FootnoteText"/>
        <w:jc w:val="left"/>
        <w:rPr>
          <w:lang w:val="en-US"/>
        </w:rPr>
      </w:pPr>
      <w:r>
        <w:rPr>
          <w:rStyle w:val="FootnoteReference"/>
        </w:rPr>
        <w:footnoteRef/>
      </w:r>
      <w:r>
        <w:t xml:space="preserve"> </w:t>
      </w:r>
      <w:r w:rsidRPr="00E633B4">
        <w:rPr>
          <w:sz w:val="18"/>
          <w:szCs w:val="18"/>
          <w:lang w:val="en-US"/>
        </w:rPr>
        <w:t>EviQ Guidelines, (2022), Biliary and gallbladder advanced ci</w:t>
      </w:r>
      <w:r w:rsidR="00E633B4">
        <w:rPr>
          <w:sz w:val="18"/>
          <w:szCs w:val="18"/>
          <w:lang w:val="en-US"/>
        </w:rPr>
        <w:t>s</w:t>
      </w:r>
      <w:r w:rsidRPr="00E633B4">
        <w:rPr>
          <w:sz w:val="18"/>
          <w:szCs w:val="18"/>
          <w:lang w:val="en-US"/>
        </w:rPr>
        <w:t xml:space="preserve">platin and gemcitabine, Australian Government, URL: </w:t>
      </w:r>
      <w:hyperlink r:id="rId4" w:anchor="treatment-schedule" w:history="1">
        <w:r w:rsidRPr="00E633B4">
          <w:rPr>
            <w:rStyle w:val="Hyperlink"/>
            <w:sz w:val="18"/>
            <w:szCs w:val="18"/>
            <w:lang w:val="en-US"/>
          </w:rPr>
          <w:t>https://www.eviq.org.au/medical-oncology/upper-gastrointestinal/pancreas-and-biliary/1200-biliary-and-gallbladder-advanced-cisplatin-an#treatment-schedule</w:t>
        </w:r>
      </w:hyperlink>
    </w:p>
  </w:footnote>
  <w:footnote w:id="7">
    <w:p w14:paraId="262D5E08" w14:textId="24ED63CA" w:rsidR="00BE18C5" w:rsidRDefault="00BE18C5">
      <w:pPr>
        <w:pStyle w:val="FootnoteText"/>
      </w:pPr>
      <w:r>
        <w:rPr>
          <w:rStyle w:val="FootnoteReference"/>
        </w:rPr>
        <w:footnoteRef/>
      </w:r>
      <w:r>
        <w:t xml:space="preserve"> </w:t>
      </w:r>
      <w:r w:rsidRPr="00E633B4">
        <w:rPr>
          <w:rFonts w:asciiTheme="minorHAnsi" w:hAnsiTheme="minorHAnsi" w:cs="Arial"/>
          <w:bCs/>
          <w:snapToGrid w:val="0"/>
          <w:szCs w:val="24"/>
        </w:rPr>
        <w:t>Cherny NI, Dafni U, Bogaerts J, et al: ESMO-Magnitude of Clinical Benefit Scale version 1.1. Annals of Oncology 28:2340-2366, 2017</w:t>
      </w:r>
    </w:p>
  </w:footnote>
  <w:footnote w:id="8">
    <w:p w14:paraId="720BFF02" w14:textId="77777777" w:rsidR="003C67AB" w:rsidRPr="00AE3D97" w:rsidRDefault="003C67AB" w:rsidP="00BA4874">
      <w:pPr>
        <w:pStyle w:val="FootnoteText"/>
        <w:rPr>
          <w:lang w:val="en-US"/>
        </w:rPr>
      </w:pPr>
      <w:r>
        <w:rPr>
          <w:rStyle w:val="FootnoteReference"/>
        </w:rPr>
        <w:footnoteRef/>
      </w:r>
      <w:r>
        <w:t xml:space="preserve"> </w:t>
      </w:r>
      <w:r>
        <w:rPr>
          <w:lang w:val="en-US"/>
        </w:rPr>
        <w:t xml:space="preserve">Stuart, KE (2022), </w:t>
      </w:r>
      <w:r w:rsidRPr="002A6E10">
        <w:rPr>
          <w:lang w:val="en-US"/>
        </w:rPr>
        <w:t>Systemic therapy for advanced cholangiocarcinoma</w:t>
      </w:r>
      <w:r>
        <w:rPr>
          <w:lang w:val="en-US"/>
        </w:rPr>
        <w:t xml:space="preserve">, </w:t>
      </w:r>
      <w:r w:rsidRPr="008C7AC5">
        <w:rPr>
          <w:lang w:val="en-US"/>
        </w:rPr>
        <w:t>UpToDate, Wolters Kluwer N.V.</w:t>
      </w:r>
    </w:p>
  </w:footnote>
  <w:footnote w:id="9">
    <w:p w14:paraId="2AF79F61" w14:textId="77777777" w:rsidR="003C67AB" w:rsidRDefault="003C67AB" w:rsidP="006C2D6F">
      <w:pPr>
        <w:pStyle w:val="FootnoteText"/>
        <w:jc w:val="left"/>
      </w:pPr>
      <w:r>
        <w:rPr>
          <w:rStyle w:val="FootnoteReference"/>
        </w:rPr>
        <w:footnoteRef/>
      </w:r>
      <w:r>
        <w:t xml:space="preserve"> Australian Bureau of Statistics, 2021, Cultural diversity: Census. URL: </w:t>
      </w:r>
      <w:hyperlink r:id="rId5" w:history="1">
        <w:r w:rsidRPr="004C123B">
          <w:rPr>
            <w:rStyle w:val="Hyperlink"/>
          </w:rPr>
          <w:t>https://www.abs.gov.au/statistics/people/people-and-communities/cultural-diversity-census/latest-release</w:t>
        </w:r>
      </w:hyperlink>
      <w:r>
        <w:t xml:space="preserve"> </w:t>
      </w:r>
    </w:p>
  </w:footnote>
  <w:footnote w:id="10">
    <w:p w14:paraId="38C4F187" w14:textId="4989ADF0" w:rsidR="0087223F" w:rsidRPr="00B96260" w:rsidRDefault="0087223F" w:rsidP="0087223F">
      <w:pPr>
        <w:shd w:val="clear" w:color="auto" w:fill="FFFFFF"/>
        <w:jc w:val="left"/>
        <w:rPr>
          <w:rFonts w:ascii="Segoe UI" w:hAnsi="Segoe UI" w:cs="Segoe UI"/>
          <w:color w:val="5B616B"/>
        </w:rPr>
      </w:pPr>
      <w:r>
        <w:rPr>
          <w:rStyle w:val="FootnoteReference"/>
        </w:rPr>
        <w:footnoteRef/>
      </w:r>
      <w:r>
        <w:t xml:space="preserve"> </w:t>
      </w:r>
      <w:r w:rsidRPr="00BD05AE">
        <w:rPr>
          <w:sz w:val="20"/>
          <w:szCs w:val="20"/>
        </w:rPr>
        <w:t>Norman, R; Mulhern B; Lancsar E et al. The use of a discrete choice experiment including both duration and dead for the development of an EQ-5D-5L value set for Australia. PharmacoEconomics 2023 Jan 31. doi: 10.1007/s40273-023-01243-0. Online ahead of print.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1E98" w14:textId="77777777" w:rsidR="007F44CC" w:rsidRDefault="007F4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9283" w14:textId="74B422E3" w:rsidR="003C67AB" w:rsidRPr="00195452" w:rsidRDefault="006B08CD" w:rsidP="00D822E2">
    <w:pPr>
      <w:pStyle w:val="Header"/>
      <w:rPr>
        <w:rFonts w:asciiTheme="minorHAnsi" w:hAnsiTheme="minorHAnsi"/>
        <w:i/>
        <w:color w:val="808080"/>
      </w:rPr>
    </w:pPr>
    <w:r>
      <w:rPr>
        <w:rFonts w:asciiTheme="minorHAnsi" w:hAnsiTheme="minorHAnsi"/>
        <w:i/>
        <w:color w:val="808080"/>
      </w:rPr>
      <w:t>Public Summary Document</w:t>
    </w:r>
    <w:r w:rsidR="001E6C08">
      <w:rPr>
        <w:rFonts w:asciiTheme="minorHAnsi" w:hAnsiTheme="minorHAnsi"/>
        <w:i/>
        <w:color w:val="808080"/>
      </w:rPr>
      <w:t xml:space="preserve"> - </w:t>
    </w:r>
    <w:r w:rsidR="003C67AB">
      <w:rPr>
        <w:rFonts w:asciiTheme="minorHAnsi" w:hAnsiTheme="minorHAnsi"/>
        <w:i/>
        <w:color w:val="808080"/>
      </w:rPr>
      <w:t xml:space="preserve">March 2023 </w:t>
    </w:r>
    <w:r w:rsidR="003C67AB" w:rsidRPr="00195452">
      <w:rPr>
        <w:rFonts w:asciiTheme="minorHAnsi" w:hAnsiTheme="minorHAnsi"/>
        <w:i/>
        <w:color w:val="808080"/>
      </w:rPr>
      <w:t>PBAC Meeting</w:t>
    </w:r>
  </w:p>
  <w:p w14:paraId="6AD12168" w14:textId="77777777" w:rsidR="003C67AB" w:rsidRPr="008C7ECB" w:rsidRDefault="003C6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7C08" w14:textId="77777777" w:rsidR="007F44CC" w:rsidRDefault="007F4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34A7B9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8A80594"/>
    <w:lvl w:ilvl="0">
      <w:start w:val="1"/>
      <w:numFmt w:val="bullet"/>
      <w:lvlText w:val=""/>
      <w:lvlJc w:val="left"/>
      <w:pPr>
        <w:ind w:left="0" w:hanging="360"/>
      </w:pPr>
      <w:rPr>
        <w:rFonts w:ascii="Symbol" w:hAnsi="Symbol" w:hint="default"/>
        <w:sz w:val="20"/>
        <w:szCs w:val="20"/>
      </w:rPr>
    </w:lvl>
  </w:abstractNum>
  <w:abstractNum w:abstractNumId="2" w15:restartNumberingAfterBreak="0">
    <w:nsid w:val="006B482D"/>
    <w:multiLevelType w:val="hybridMultilevel"/>
    <w:tmpl w:val="48A07382"/>
    <w:lvl w:ilvl="0" w:tplc="8C784ED4">
      <w:start w:val="2"/>
      <w:numFmt w:val="bullet"/>
      <w:lvlText w:val="-"/>
      <w:lvlJc w:val="left"/>
      <w:pPr>
        <w:ind w:left="720" w:hanging="360"/>
      </w:pPr>
      <w:rPr>
        <w:rFonts w:ascii="Arial Narrow" w:eastAsiaTheme="majorEastAsia"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BD07EF"/>
    <w:multiLevelType w:val="multilevel"/>
    <w:tmpl w:val="A5868B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5544CE"/>
    <w:multiLevelType w:val="hybridMultilevel"/>
    <w:tmpl w:val="B670692C"/>
    <w:lvl w:ilvl="0" w:tplc="3D6A7BE0">
      <w:start w:val="1"/>
      <w:numFmt w:val="bullet"/>
      <w:lvlText w:val="•"/>
      <w:lvlJc w:val="left"/>
      <w:pPr>
        <w:tabs>
          <w:tab w:val="num" w:pos="720"/>
        </w:tabs>
        <w:ind w:left="720" w:hanging="360"/>
      </w:pPr>
      <w:rPr>
        <w:rFonts w:ascii="Arial" w:hAnsi="Arial" w:hint="default"/>
      </w:rPr>
    </w:lvl>
    <w:lvl w:ilvl="1" w:tplc="D1322584" w:tentative="1">
      <w:start w:val="1"/>
      <w:numFmt w:val="bullet"/>
      <w:lvlText w:val="•"/>
      <w:lvlJc w:val="left"/>
      <w:pPr>
        <w:tabs>
          <w:tab w:val="num" w:pos="1440"/>
        </w:tabs>
        <w:ind w:left="1440" w:hanging="360"/>
      </w:pPr>
      <w:rPr>
        <w:rFonts w:ascii="Arial" w:hAnsi="Arial" w:hint="default"/>
      </w:rPr>
    </w:lvl>
    <w:lvl w:ilvl="2" w:tplc="C5C0F764">
      <w:start w:val="1"/>
      <w:numFmt w:val="bullet"/>
      <w:lvlText w:val="•"/>
      <w:lvlJc w:val="left"/>
      <w:pPr>
        <w:tabs>
          <w:tab w:val="num" w:pos="2160"/>
        </w:tabs>
        <w:ind w:left="2160" w:hanging="360"/>
      </w:pPr>
      <w:rPr>
        <w:rFonts w:ascii="Arial" w:hAnsi="Arial" w:hint="default"/>
      </w:rPr>
    </w:lvl>
    <w:lvl w:ilvl="3" w:tplc="54B2B4C2" w:tentative="1">
      <w:start w:val="1"/>
      <w:numFmt w:val="bullet"/>
      <w:lvlText w:val="•"/>
      <w:lvlJc w:val="left"/>
      <w:pPr>
        <w:tabs>
          <w:tab w:val="num" w:pos="2880"/>
        </w:tabs>
        <w:ind w:left="2880" w:hanging="360"/>
      </w:pPr>
      <w:rPr>
        <w:rFonts w:ascii="Arial" w:hAnsi="Arial" w:hint="default"/>
      </w:rPr>
    </w:lvl>
    <w:lvl w:ilvl="4" w:tplc="F1D04A44" w:tentative="1">
      <w:start w:val="1"/>
      <w:numFmt w:val="bullet"/>
      <w:lvlText w:val="•"/>
      <w:lvlJc w:val="left"/>
      <w:pPr>
        <w:tabs>
          <w:tab w:val="num" w:pos="3600"/>
        </w:tabs>
        <w:ind w:left="3600" w:hanging="360"/>
      </w:pPr>
      <w:rPr>
        <w:rFonts w:ascii="Arial" w:hAnsi="Arial" w:hint="default"/>
      </w:rPr>
    </w:lvl>
    <w:lvl w:ilvl="5" w:tplc="A18AA048" w:tentative="1">
      <w:start w:val="1"/>
      <w:numFmt w:val="bullet"/>
      <w:lvlText w:val="•"/>
      <w:lvlJc w:val="left"/>
      <w:pPr>
        <w:tabs>
          <w:tab w:val="num" w:pos="4320"/>
        </w:tabs>
        <w:ind w:left="4320" w:hanging="360"/>
      </w:pPr>
      <w:rPr>
        <w:rFonts w:ascii="Arial" w:hAnsi="Arial" w:hint="default"/>
      </w:rPr>
    </w:lvl>
    <w:lvl w:ilvl="6" w:tplc="8708CBBE" w:tentative="1">
      <w:start w:val="1"/>
      <w:numFmt w:val="bullet"/>
      <w:lvlText w:val="•"/>
      <w:lvlJc w:val="left"/>
      <w:pPr>
        <w:tabs>
          <w:tab w:val="num" w:pos="5040"/>
        </w:tabs>
        <w:ind w:left="5040" w:hanging="360"/>
      </w:pPr>
      <w:rPr>
        <w:rFonts w:ascii="Arial" w:hAnsi="Arial" w:hint="default"/>
      </w:rPr>
    </w:lvl>
    <w:lvl w:ilvl="7" w:tplc="B4C21D76" w:tentative="1">
      <w:start w:val="1"/>
      <w:numFmt w:val="bullet"/>
      <w:lvlText w:val="•"/>
      <w:lvlJc w:val="left"/>
      <w:pPr>
        <w:tabs>
          <w:tab w:val="num" w:pos="5760"/>
        </w:tabs>
        <w:ind w:left="5760" w:hanging="360"/>
      </w:pPr>
      <w:rPr>
        <w:rFonts w:ascii="Arial" w:hAnsi="Arial" w:hint="default"/>
      </w:rPr>
    </w:lvl>
    <w:lvl w:ilvl="8" w:tplc="AF283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9641BC"/>
    <w:multiLevelType w:val="hybridMultilevel"/>
    <w:tmpl w:val="96FE2412"/>
    <w:lvl w:ilvl="0" w:tplc="399A3B2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75F97"/>
    <w:multiLevelType w:val="hybridMultilevel"/>
    <w:tmpl w:val="F0AECFEA"/>
    <w:lvl w:ilvl="0" w:tplc="D880691E">
      <w:start w:val="1"/>
      <w:numFmt w:val="bullet"/>
      <w:lvlText w:val="•"/>
      <w:lvlJc w:val="left"/>
      <w:pPr>
        <w:tabs>
          <w:tab w:val="num" w:pos="720"/>
        </w:tabs>
        <w:ind w:left="720" w:hanging="360"/>
      </w:pPr>
      <w:rPr>
        <w:rFonts w:ascii="Arial" w:hAnsi="Arial" w:hint="default"/>
      </w:rPr>
    </w:lvl>
    <w:lvl w:ilvl="1" w:tplc="FE8CD04A">
      <w:numFmt w:val="bullet"/>
      <w:lvlText w:val="–"/>
      <w:lvlJc w:val="left"/>
      <w:pPr>
        <w:tabs>
          <w:tab w:val="num" w:pos="1440"/>
        </w:tabs>
        <w:ind w:left="1440" w:hanging="360"/>
      </w:pPr>
      <w:rPr>
        <w:rFonts w:ascii="Arial" w:hAnsi="Arial" w:hint="default"/>
      </w:rPr>
    </w:lvl>
    <w:lvl w:ilvl="2" w:tplc="482C3334" w:tentative="1">
      <w:start w:val="1"/>
      <w:numFmt w:val="bullet"/>
      <w:lvlText w:val="•"/>
      <w:lvlJc w:val="left"/>
      <w:pPr>
        <w:tabs>
          <w:tab w:val="num" w:pos="2160"/>
        </w:tabs>
        <w:ind w:left="2160" w:hanging="360"/>
      </w:pPr>
      <w:rPr>
        <w:rFonts w:ascii="Arial" w:hAnsi="Arial" w:hint="default"/>
      </w:rPr>
    </w:lvl>
    <w:lvl w:ilvl="3" w:tplc="DB027DEA" w:tentative="1">
      <w:start w:val="1"/>
      <w:numFmt w:val="bullet"/>
      <w:lvlText w:val="•"/>
      <w:lvlJc w:val="left"/>
      <w:pPr>
        <w:tabs>
          <w:tab w:val="num" w:pos="2880"/>
        </w:tabs>
        <w:ind w:left="2880" w:hanging="360"/>
      </w:pPr>
      <w:rPr>
        <w:rFonts w:ascii="Arial" w:hAnsi="Arial" w:hint="default"/>
      </w:rPr>
    </w:lvl>
    <w:lvl w:ilvl="4" w:tplc="FD36B216" w:tentative="1">
      <w:start w:val="1"/>
      <w:numFmt w:val="bullet"/>
      <w:lvlText w:val="•"/>
      <w:lvlJc w:val="left"/>
      <w:pPr>
        <w:tabs>
          <w:tab w:val="num" w:pos="3600"/>
        </w:tabs>
        <w:ind w:left="3600" w:hanging="360"/>
      </w:pPr>
      <w:rPr>
        <w:rFonts w:ascii="Arial" w:hAnsi="Arial" w:hint="default"/>
      </w:rPr>
    </w:lvl>
    <w:lvl w:ilvl="5" w:tplc="78061AF2" w:tentative="1">
      <w:start w:val="1"/>
      <w:numFmt w:val="bullet"/>
      <w:lvlText w:val="•"/>
      <w:lvlJc w:val="left"/>
      <w:pPr>
        <w:tabs>
          <w:tab w:val="num" w:pos="4320"/>
        </w:tabs>
        <w:ind w:left="4320" w:hanging="360"/>
      </w:pPr>
      <w:rPr>
        <w:rFonts w:ascii="Arial" w:hAnsi="Arial" w:hint="default"/>
      </w:rPr>
    </w:lvl>
    <w:lvl w:ilvl="6" w:tplc="2D989FD2" w:tentative="1">
      <w:start w:val="1"/>
      <w:numFmt w:val="bullet"/>
      <w:lvlText w:val="•"/>
      <w:lvlJc w:val="left"/>
      <w:pPr>
        <w:tabs>
          <w:tab w:val="num" w:pos="5040"/>
        </w:tabs>
        <w:ind w:left="5040" w:hanging="360"/>
      </w:pPr>
      <w:rPr>
        <w:rFonts w:ascii="Arial" w:hAnsi="Arial" w:hint="default"/>
      </w:rPr>
    </w:lvl>
    <w:lvl w:ilvl="7" w:tplc="CDCEED70" w:tentative="1">
      <w:start w:val="1"/>
      <w:numFmt w:val="bullet"/>
      <w:lvlText w:val="•"/>
      <w:lvlJc w:val="left"/>
      <w:pPr>
        <w:tabs>
          <w:tab w:val="num" w:pos="5760"/>
        </w:tabs>
        <w:ind w:left="5760" w:hanging="360"/>
      </w:pPr>
      <w:rPr>
        <w:rFonts w:ascii="Arial" w:hAnsi="Arial" w:hint="default"/>
      </w:rPr>
    </w:lvl>
    <w:lvl w:ilvl="8" w:tplc="9796C8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7C1078"/>
    <w:multiLevelType w:val="hybridMultilevel"/>
    <w:tmpl w:val="17DA5C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7855706"/>
    <w:multiLevelType w:val="hybridMultilevel"/>
    <w:tmpl w:val="DBD62D56"/>
    <w:lvl w:ilvl="0" w:tplc="0C090001">
      <w:start w:val="1"/>
      <w:numFmt w:val="bullet"/>
      <w:lvlText w:val=""/>
      <w:lvlJc w:val="left"/>
      <w:pPr>
        <w:ind w:left="1762" w:hanging="360"/>
      </w:pPr>
      <w:rPr>
        <w:rFonts w:ascii="Symbol" w:hAnsi="Symbol" w:hint="default"/>
      </w:rPr>
    </w:lvl>
    <w:lvl w:ilvl="1" w:tplc="0C090003">
      <w:start w:val="1"/>
      <w:numFmt w:val="bullet"/>
      <w:lvlText w:val="o"/>
      <w:lvlJc w:val="left"/>
      <w:pPr>
        <w:ind w:left="2482" w:hanging="360"/>
      </w:pPr>
      <w:rPr>
        <w:rFonts w:ascii="Courier New" w:hAnsi="Courier New" w:cs="Courier New" w:hint="default"/>
      </w:rPr>
    </w:lvl>
    <w:lvl w:ilvl="2" w:tplc="0C090005">
      <w:start w:val="1"/>
      <w:numFmt w:val="bullet"/>
      <w:lvlText w:val=""/>
      <w:lvlJc w:val="left"/>
      <w:pPr>
        <w:ind w:left="3202" w:hanging="360"/>
      </w:pPr>
      <w:rPr>
        <w:rFonts w:ascii="Wingdings" w:hAnsi="Wingdings" w:hint="default"/>
      </w:rPr>
    </w:lvl>
    <w:lvl w:ilvl="3" w:tplc="0C090001">
      <w:start w:val="1"/>
      <w:numFmt w:val="bullet"/>
      <w:lvlText w:val=""/>
      <w:lvlJc w:val="left"/>
      <w:pPr>
        <w:ind w:left="3922" w:hanging="360"/>
      </w:pPr>
      <w:rPr>
        <w:rFonts w:ascii="Symbol" w:hAnsi="Symbol" w:hint="default"/>
      </w:rPr>
    </w:lvl>
    <w:lvl w:ilvl="4" w:tplc="0C090003">
      <w:start w:val="1"/>
      <w:numFmt w:val="bullet"/>
      <w:lvlText w:val="o"/>
      <w:lvlJc w:val="left"/>
      <w:pPr>
        <w:ind w:left="4642" w:hanging="360"/>
      </w:pPr>
      <w:rPr>
        <w:rFonts w:ascii="Courier New" w:hAnsi="Courier New" w:cs="Courier New" w:hint="default"/>
      </w:rPr>
    </w:lvl>
    <w:lvl w:ilvl="5" w:tplc="0C090005" w:tentative="1">
      <w:start w:val="1"/>
      <w:numFmt w:val="bullet"/>
      <w:lvlText w:val=""/>
      <w:lvlJc w:val="left"/>
      <w:pPr>
        <w:ind w:left="5362" w:hanging="360"/>
      </w:pPr>
      <w:rPr>
        <w:rFonts w:ascii="Wingdings" w:hAnsi="Wingdings" w:hint="default"/>
      </w:rPr>
    </w:lvl>
    <w:lvl w:ilvl="6" w:tplc="0C090001" w:tentative="1">
      <w:start w:val="1"/>
      <w:numFmt w:val="bullet"/>
      <w:lvlText w:val=""/>
      <w:lvlJc w:val="left"/>
      <w:pPr>
        <w:ind w:left="6082" w:hanging="360"/>
      </w:pPr>
      <w:rPr>
        <w:rFonts w:ascii="Symbol" w:hAnsi="Symbol" w:hint="default"/>
      </w:rPr>
    </w:lvl>
    <w:lvl w:ilvl="7" w:tplc="0C090003" w:tentative="1">
      <w:start w:val="1"/>
      <w:numFmt w:val="bullet"/>
      <w:lvlText w:val="o"/>
      <w:lvlJc w:val="left"/>
      <w:pPr>
        <w:ind w:left="6802" w:hanging="360"/>
      </w:pPr>
      <w:rPr>
        <w:rFonts w:ascii="Courier New" w:hAnsi="Courier New" w:cs="Courier New" w:hint="default"/>
      </w:rPr>
    </w:lvl>
    <w:lvl w:ilvl="8" w:tplc="0C090005" w:tentative="1">
      <w:start w:val="1"/>
      <w:numFmt w:val="bullet"/>
      <w:lvlText w:val=""/>
      <w:lvlJc w:val="left"/>
      <w:pPr>
        <w:ind w:left="7522" w:hanging="360"/>
      </w:pPr>
      <w:rPr>
        <w:rFonts w:ascii="Wingdings" w:hAnsi="Wingdings" w:hint="default"/>
      </w:rPr>
    </w:lvl>
  </w:abstractNum>
  <w:abstractNum w:abstractNumId="9" w15:restartNumberingAfterBreak="0">
    <w:nsid w:val="31293524"/>
    <w:multiLevelType w:val="hybridMultilevel"/>
    <w:tmpl w:val="269224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4FD1155"/>
    <w:multiLevelType w:val="hybridMultilevel"/>
    <w:tmpl w:val="1EF27B02"/>
    <w:lvl w:ilvl="0" w:tplc="81F03A00">
      <w:start w:val="1"/>
      <w:numFmt w:val="bullet"/>
      <w:lvlText w:val="•"/>
      <w:lvlJc w:val="left"/>
      <w:pPr>
        <w:tabs>
          <w:tab w:val="num" w:pos="720"/>
        </w:tabs>
        <w:ind w:left="720" w:hanging="360"/>
      </w:pPr>
      <w:rPr>
        <w:rFonts w:ascii="Arial" w:hAnsi="Arial" w:hint="default"/>
      </w:rPr>
    </w:lvl>
    <w:lvl w:ilvl="1" w:tplc="695C77DA">
      <w:numFmt w:val="bullet"/>
      <w:lvlText w:val="–"/>
      <w:lvlJc w:val="left"/>
      <w:pPr>
        <w:tabs>
          <w:tab w:val="num" w:pos="1440"/>
        </w:tabs>
        <w:ind w:left="1440" w:hanging="360"/>
      </w:pPr>
      <w:rPr>
        <w:rFonts w:ascii="Arial" w:hAnsi="Arial" w:hint="default"/>
      </w:rPr>
    </w:lvl>
    <w:lvl w:ilvl="2" w:tplc="7688AE6C" w:tentative="1">
      <w:start w:val="1"/>
      <w:numFmt w:val="bullet"/>
      <w:lvlText w:val="•"/>
      <w:lvlJc w:val="left"/>
      <w:pPr>
        <w:tabs>
          <w:tab w:val="num" w:pos="2160"/>
        </w:tabs>
        <w:ind w:left="2160" w:hanging="360"/>
      </w:pPr>
      <w:rPr>
        <w:rFonts w:ascii="Arial" w:hAnsi="Arial" w:hint="default"/>
      </w:rPr>
    </w:lvl>
    <w:lvl w:ilvl="3" w:tplc="DB82C050" w:tentative="1">
      <w:start w:val="1"/>
      <w:numFmt w:val="bullet"/>
      <w:lvlText w:val="•"/>
      <w:lvlJc w:val="left"/>
      <w:pPr>
        <w:tabs>
          <w:tab w:val="num" w:pos="2880"/>
        </w:tabs>
        <w:ind w:left="2880" w:hanging="360"/>
      </w:pPr>
      <w:rPr>
        <w:rFonts w:ascii="Arial" w:hAnsi="Arial" w:hint="default"/>
      </w:rPr>
    </w:lvl>
    <w:lvl w:ilvl="4" w:tplc="38D6E618" w:tentative="1">
      <w:start w:val="1"/>
      <w:numFmt w:val="bullet"/>
      <w:lvlText w:val="•"/>
      <w:lvlJc w:val="left"/>
      <w:pPr>
        <w:tabs>
          <w:tab w:val="num" w:pos="3600"/>
        </w:tabs>
        <w:ind w:left="3600" w:hanging="360"/>
      </w:pPr>
      <w:rPr>
        <w:rFonts w:ascii="Arial" w:hAnsi="Arial" w:hint="default"/>
      </w:rPr>
    </w:lvl>
    <w:lvl w:ilvl="5" w:tplc="D80A92B2" w:tentative="1">
      <w:start w:val="1"/>
      <w:numFmt w:val="bullet"/>
      <w:lvlText w:val="•"/>
      <w:lvlJc w:val="left"/>
      <w:pPr>
        <w:tabs>
          <w:tab w:val="num" w:pos="4320"/>
        </w:tabs>
        <w:ind w:left="4320" w:hanging="360"/>
      </w:pPr>
      <w:rPr>
        <w:rFonts w:ascii="Arial" w:hAnsi="Arial" w:hint="default"/>
      </w:rPr>
    </w:lvl>
    <w:lvl w:ilvl="6" w:tplc="21FE7392" w:tentative="1">
      <w:start w:val="1"/>
      <w:numFmt w:val="bullet"/>
      <w:lvlText w:val="•"/>
      <w:lvlJc w:val="left"/>
      <w:pPr>
        <w:tabs>
          <w:tab w:val="num" w:pos="5040"/>
        </w:tabs>
        <w:ind w:left="5040" w:hanging="360"/>
      </w:pPr>
      <w:rPr>
        <w:rFonts w:ascii="Arial" w:hAnsi="Arial" w:hint="default"/>
      </w:rPr>
    </w:lvl>
    <w:lvl w:ilvl="7" w:tplc="306CF986" w:tentative="1">
      <w:start w:val="1"/>
      <w:numFmt w:val="bullet"/>
      <w:lvlText w:val="•"/>
      <w:lvlJc w:val="left"/>
      <w:pPr>
        <w:tabs>
          <w:tab w:val="num" w:pos="5760"/>
        </w:tabs>
        <w:ind w:left="5760" w:hanging="360"/>
      </w:pPr>
      <w:rPr>
        <w:rFonts w:ascii="Arial" w:hAnsi="Arial" w:hint="default"/>
      </w:rPr>
    </w:lvl>
    <w:lvl w:ilvl="8" w:tplc="15666C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657F8"/>
    <w:multiLevelType w:val="hybridMultilevel"/>
    <w:tmpl w:val="0EDC8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E5248A"/>
    <w:multiLevelType w:val="hybridMultilevel"/>
    <w:tmpl w:val="0B504F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11E55EB"/>
    <w:multiLevelType w:val="hybridMultilevel"/>
    <w:tmpl w:val="4988498C"/>
    <w:lvl w:ilvl="0" w:tplc="6AA0182A">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702F2"/>
    <w:multiLevelType w:val="multilevel"/>
    <w:tmpl w:val="A5868B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6C18B3"/>
    <w:multiLevelType w:val="multilevel"/>
    <w:tmpl w:val="A5868B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7A19D0"/>
    <w:multiLevelType w:val="hybridMultilevel"/>
    <w:tmpl w:val="F7CE2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9813BC"/>
    <w:multiLevelType w:val="multilevel"/>
    <w:tmpl w:val="B49E9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6577CC"/>
    <w:multiLevelType w:val="hybridMultilevel"/>
    <w:tmpl w:val="14AC73AE"/>
    <w:lvl w:ilvl="0" w:tplc="6BA28C76">
      <w:start w:val="1"/>
      <w:numFmt w:val="decimal"/>
      <w:lvlText w:val="%1."/>
      <w:lvlJc w:val="left"/>
      <w:pPr>
        <w:ind w:left="720" w:hanging="360"/>
      </w:pPr>
      <w:rPr>
        <w:rFonts w:asciiTheme="minorHAnsi" w:hAnsiTheme="minorHAnsi" w:cstheme="minorHAnsi"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8444249"/>
    <w:multiLevelType w:val="hybridMultilevel"/>
    <w:tmpl w:val="3B5C92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4D033C"/>
    <w:multiLevelType w:val="multilevel"/>
    <w:tmpl w:val="EA58D0A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53672A"/>
    <w:multiLevelType w:val="hybridMultilevel"/>
    <w:tmpl w:val="A4B43658"/>
    <w:lvl w:ilvl="0" w:tplc="1788446E">
      <w:start w:val="1"/>
      <w:numFmt w:val="decimal"/>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4"/>
  </w:num>
  <w:num w:numId="2">
    <w:abstractNumId w:val="14"/>
  </w:num>
  <w:num w:numId="3">
    <w:abstractNumId w:val="15"/>
  </w:num>
  <w:num w:numId="4">
    <w:abstractNumId w:val="1"/>
  </w:num>
  <w:num w:numId="5">
    <w:abstractNumId w:val="21"/>
  </w:num>
  <w:num w:numId="6">
    <w:abstractNumId w:val="0"/>
  </w:num>
  <w:num w:numId="7">
    <w:abstractNumId w:val="18"/>
  </w:num>
  <w:num w:numId="8">
    <w:abstractNumId w:val="11"/>
  </w:num>
  <w:num w:numId="9">
    <w:abstractNumId w:val="2"/>
  </w:num>
  <w:num w:numId="10">
    <w:abstractNumId w:val="22"/>
  </w:num>
  <w:num w:numId="11">
    <w:abstractNumId w:val="7"/>
  </w:num>
  <w:num w:numId="12">
    <w:abstractNumId w:val="12"/>
  </w:num>
  <w:num w:numId="13">
    <w:abstractNumId w:val="5"/>
  </w:num>
  <w:num w:numId="14">
    <w:abstractNumId w:val="9"/>
  </w:num>
  <w:num w:numId="15">
    <w:abstractNumId w:val="8"/>
  </w:num>
  <w:num w:numId="16">
    <w:abstractNumId w:val="20"/>
  </w:num>
  <w:num w:numId="17">
    <w:abstractNumId w:val="25"/>
  </w:num>
  <w:num w:numId="18">
    <w:abstractNumId w:val="13"/>
  </w:num>
  <w:num w:numId="19">
    <w:abstractNumId w:val="23"/>
  </w:num>
  <w:num w:numId="20">
    <w:abstractNumId w:val="6"/>
  </w:num>
  <w:num w:numId="21">
    <w:abstractNumId w:val="10"/>
  </w:num>
  <w:num w:numId="22">
    <w:abstractNumId w:val="4"/>
  </w:num>
  <w:num w:numId="23">
    <w:abstractNumId w:val="17"/>
  </w:num>
  <w:num w:numId="24">
    <w:abstractNumId w:val="3"/>
  </w:num>
  <w:num w:numId="25">
    <w:abstractNumId w:val="16"/>
  </w:num>
  <w:num w:numId="26">
    <w:abstractNumId w:val="24"/>
  </w:num>
  <w:num w:numId="27">
    <w:abstractNumId w:val="24"/>
  </w:num>
  <w:num w:numId="28">
    <w:abstractNumId w:val="24"/>
  </w:num>
  <w:num w:numId="29">
    <w:abstractNumId w:val="2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F2"/>
    <w:rsid w:val="00000790"/>
    <w:rsid w:val="00000F9B"/>
    <w:rsid w:val="0000110B"/>
    <w:rsid w:val="00003499"/>
    <w:rsid w:val="000039B7"/>
    <w:rsid w:val="00004746"/>
    <w:rsid w:val="0000490F"/>
    <w:rsid w:val="000056B9"/>
    <w:rsid w:val="0000639A"/>
    <w:rsid w:val="00011BE3"/>
    <w:rsid w:val="00011C1E"/>
    <w:rsid w:val="000123B2"/>
    <w:rsid w:val="00013247"/>
    <w:rsid w:val="00015886"/>
    <w:rsid w:val="0001620E"/>
    <w:rsid w:val="000162EF"/>
    <w:rsid w:val="000167CC"/>
    <w:rsid w:val="000170C2"/>
    <w:rsid w:val="000178EC"/>
    <w:rsid w:val="000203EE"/>
    <w:rsid w:val="00020498"/>
    <w:rsid w:val="000207C9"/>
    <w:rsid w:val="00021CC2"/>
    <w:rsid w:val="00021E1F"/>
    <w:rsid w:val="0002225F"/>
    <w:rsid w:val="00023763"/>
    <w:rsid w:val="00023B66"/>
    <w:rsid w:val="00024EB5"/>
    <w:rsid w:val="000268BD"/>
    <w:rsid w:val="000274B8"/>
    <w:rsid w:val="00033863"/>
    <w:rsid w:val="00033A61"/>
    <w:rsid w:val="000349E8"/>
    <w:rsid w:val="00035DC0"/>
    <w:rsid w:val="00036829"/>
    <w:rsid w:val="00040895"/>
    <w:rsid w:val="000410A0"/>
    <w:rsid w:val="000413EF"/>
    <w:rsid w:val="000418DD"/>
    <w:rsid w:val="0004251A"/>
    <w:rsid w:val="000427C3"/>
    <w:rsid w:val="000435EE"/>
    <w:rsid w:val="00043C37"/>
    <w:rsid w:val="00045017"/>
    <w:rsid w:val="00045A2B"/>
    <w:rsid w:val="000467F4"/>
    <w:rsid w:val="0004698F"/>
    <w:rsid w:val="00046D64"/>
    <w:rsid w:val="000507D9"/>
    <w:rsid w:val="000508C2"/>
    <w:rsid w:val="000519EB"/>
    <w:rsid w:val="000533FF"/>
    <w:rsid w:val="000539D0"/>
    <w:rsid w:val="00054621"/>
    <w:rsid w:val="000546D7"/>
    <w:rsid w:val="00054A68"/>
    <w:rsid w:val="00054A8D"/>
    <w:rsid w:val="000552A3"/>
    <w:rsid w:val="00055981"/>
    <w:rsid w:val="000565ED"/>
    <w:rsid w:val="0005672E"/>
    <w:rsid w:val="00056ECF"/>
    <w:rsid w:val="0005719D"/>
    <w:rsid w:val="000604DF"/>
    <w:rsid w:val="0006189F"/>
    <w:rsid w:val="00062324"/>
    <w:rsid w:val="00062B47"/>
    <w:rsid w:val="000653B5"/>
    <w:rsid w:val="00066360"/>
    <w:rsid w:val="00066AF8"/>
    <w:rsid w:val="00067CD2"/>
    <w:rsid w:val="00071248"/>
    <w:rsid w:val="00071766"/>
    <w:rsid w:val="00071DA7"/>
    <w:rsid w:val="00072019"/>
    <w:rsid w:val="000720B9"/>
    <w:rsid w:val="000735F3"/>
    <w:rsid w:val="000737F7"/>
    <w:rsid w:val="00073E3E"/>
    <w:rsid w:val="0007672F"/>
    <w:rsid w:val="00076B54"/>
    <w:rsid w:val="000774F0"/>
    <w:rsid w:val="00080292"/>
    <w:rsid w:val="00080909"/>
    <w:rsid w:val="0008099C"/>
    <w:rsid w:val="000812CA"/>
    <w:rsid w:val="00081A74"/>
    <w:rsid w:val="00081E63"/>
    <w:rsid w:val="0008258D"/>
    <w:rsid w:val="000836A6"/>
    <w:rsid w:val="00083E99"/>
    <w:rsid w:val="00084FA8"/>
    <w:rsid w:val="00085448"/>
    <w:rsid w:val="000856C5"/>
    <w:rsid w:val="00085C31"/>
    <w:rsid w:val="00085EF3"/>
    <w:rsid w:val="0008627A"/>
    <w:rsid w:val="00086FE6"/>
    <w:rsid w:val="00087EAB"/>
    <w:rsid w:val="000902D9"/>
    <w:rsid w:val="00090C7E"/>
    <w:rsid w:val="00091089"/>
    <w:rsid w:val="00091152"/>
    <w:rsid w:val="000911AC"/>
    <w:rsid w:val="00092600"/>
    <w:rsid w:val="0009262B"/>
    <w:rsid w:val="00093310"/>
    <w:rsid w:val="0009445C"/>
    <w:rsid w:val="00094E2F"/>
    <w:rsid w:val="00095200"/>
    <w:rsid w:val="00095FE5"/>
    <w:rsid w:val="00096284"/>
    <w:rsid w:val="000972A7"/>
    <w:rsid w:val="000A069D"/>
    <w:rsid w:val="000A1BC0"/>
    <w:rsid w:val="000A2183"/>
    <w:rsid w:val="000A2F9E"/>
    <w:rsid w:val="000A3E47"/>
    <w:rsid w:val="000A522B"/>
    <w:rsid w:val="000A6039"/>
    <w:rsid w:val="000A7453"/>
    <w:rsid w:val="000A7D08"/>
    <w:rsid w:val="000A7EC3"/>
    <w:rsid w:val="000B0121"/>
    <w:rsid w:val="000B0670"/>
    <w:rsid w:val="000B0826"/>
    <w:rsid w:val="000B0E75"/>
    <w:rsid w:val="000B2DCB"/>
    <w:rsid w:val="000B2E73"/>
    <w:rsid w:val="000B3E83"/>
    <w:rsid w:val="000B4028"/>
    <w:rsid w:val="000B4464"/>
    <w:rsid w:val="000B56AA"/>
    <w:rsid w:val="000B5CE0"/>
    <w:rsid w:val="000B6CAC"/>
    <w:rsid w:val="000B6E01"/>
    <w:rsid w:val="000B71EB"/>
    <w:rsid w:val="000B7500"/>
    <w:rsid w:val="000B7612"/>
    <w:rsid w:val="000B78AE"/>
    <w:rsid w:val="000C3DF9"/>
    <w:rsid w:val="000C4CF2"/>
    <w:rsid w:val="000C6713"/>
    <w:rsid w:val="000C6BEB"/>
    <w:rsid w:val="000D037C"/>
    <w:rsid w:val="000D105D"/>
    <w:rsid w:val="000D17E6"/>
    <w:rsid w:val="000D1BFC"/>
    <w:rsid w:val="000D1D5D"/>
    <w:rsid w:val="000D2780"/>
    <w:rsid w:val="000D281A"/>
    <w:rsid w:val="000D2848"/>
    <w:rsid w:val="000D326A"/>
    <w:rsid w:val="000D4996"/>
    <w:rsid w:val="000D51FB"/>
    <w:rsid w:val="000D5470"/>
    <w:rsid w:val="000E0640"/>
    <w:rsid w:val="000E0D3C"/>
    <w:rsid w:val="000E135D"/>
    <w:rsid w:val="000E1CB6"/>
    <w:rsid w:val="000E3614"/>
    <w:rsid w:val="000E711F"/>
    <w:rsid w:val="000F00BA"/>
    <w:rsid w:val="000F0B26"/>
    <w:rsid w:val="000F10C9"/>
    <w:rsid w:val="000F24A4"/>
    <w:rsid w:val="000F316A"/>
    <w:rsid w:val="000F32F1"/>
    <w:rsid w:val="000F3C74"/>
    <w:rsid w:val="000F41A4"/>
    <w:rsid w:val="000F4B51"/>
    <w:rsid w:val="000F4BB8"/>
    <w:rsid w:val="000F4FA9"/>
    <w:rsid w:val="000F53FB"/>
    <w:rsid w:val="000F5C14"/>
    <w:rsid w:val="000F7127"/>
    <w:rsid w:val="000F7722"/>
    <w:rsid w:val="000F7B54"/>
    <w:rsid w:val="001000B3"/>
    <w:rsid w:val="00100F75"/>
    <w:rsid w:val="00100F8A"/>
    <w:rsid w:val="0010178E"/>
    <w:rsid w:val="00101CF6"/>
    <w:rsid w:val="00103A47"/>
    <w:rsid w:val="0010452E"/>
    <w:rsid w:val="0010462B"/>
    <w:rsid w:val="001049ED"/>
    <w:rsid w:val="00104EF2"/>
    <w:rsid w:val="00105179"/>
    <w:rsid w:val="00105AE2"/>
    <w:rsid w:val="001060C4"/>
    <w:rsid w:val="001060C6"/>
    <w:rsid w:val="00106B80"/>
    <w:rsid w:val="0011032E"/>
    <w:rsid w:val="001127A9"/>
    <w:rsid w:val="0011348B"/>
    <w:rsid w:val="001144C0"/>
    <w:rsid w:val="001145A7"/>
    <w:rsid w:val="001151C2"/>
    <w:rsid w:val="00115982"/>
    <w:rsid w:val="00116C53"/>
    <w:rsid w:val="00116FEB"/>
    <w:rsid w:val="00121799"/>
    <w:rsid w:val="001222FC"/>
    <w:rsid w:val="00123902"/>
    <w:rsid w:val="00124A51"/>
    <w:rsid w:val="00124FF5"/>
    <w:rsid w:val="00125404"/>
    <w:rsid w:val="00126621"/>
    <w:rsid w:val="00126B1D"/>
    <w:rsid w:val="00127364"/>
    <w:rsid w:val="001301E9"/>
    <w:rsid w:val="0013062B"/>
    <w:rsid w:val="00130FE9"/>
    <w:rsid w:val="00131D82"/>
    <w:rsid w:val="00132B22"/>
    <w:rsid w:val="001337D6"/>
    <w:rsid w:val="00133AF4"/>
    <w:rsid w:val="00133D36"/>
    <w:rsid w:val="001360A8"/>
    <w:rsid w:val="00136193"/>
    <w:rsid w:val="00137000"/>
    <w:rsid w:val="00137645"/>
    <w:rsid w:val="00137C0B"/>
    <w:rsid w:val="0014015A"/>
    <w:rsid w:val="00140E99"/>
    <w:rsid w:val="00141114"/>
    <w:rsid w:val="00141CF2"/>
    <w:rsid w:val="001427DB"/>
    <w:rsid w:val="00143773"/>
    <w:rsid w:val="00143D11"/>
    <w:rsid w:val="00143F67"/>
    <w:rsid w:val="00145234"/>
    <w:rsid w:val="00145540"/>
    <w:rsid w:val="001456B0"/>
    <w:rsid w:val="001513F1"/>
    <w:rsid w:val="001517D5"/>
    <w:rsid w:val="0015251A"/>
    <w:rsid w:val="00152BA6"/>
    <w:rsid w:val="00153FA7"/>
    <w:rsid w:val="0015462B"/>
    <w:rsid w:val="001547AB"/>
    <w:rsid w:val="00154B09"/>
    <w:rsid w:val="00156756"/>
    <w:rsid w:val="00156D12"/>
    <w:rsid w:val="00156F8F"/>
    <w:rsid w:val="00157061"/>
    <w:rsid w:val="001570F6"/>
    <w:rsid w:val="00157130"/>
    <w:rsid w:val="001576B1"/>
    <w:rsid w:val="0016047B"/>
    <w:rsid w:val="00160A4C"/>
    <w:rsid w:val="00160EAB"/>
    <w:rsid w:val="001623E7"/>
    <w:rsid w:val="00162913"/>
    <w:rsid w:val="00163EFF"/>
    <w:rsid w:val="00163F66"/>
    <w:rsid w:val="0016478E"/>
    <w:rsid w:val="00165EC4"/>
    <w:rsid w:val="001661FB"/>
    <w:rsid w:val="001671A0"/>
    <w:rsid w:val="0016767F"/>
    <w:rsid w:val="00170B89"/>
    <w:rsid w:val="00171996"/>
    <w:rsid w:val="00173565"/>
    <w:rsid w:val="00173765"/>
    <w:rsid w:val="00173814"/>
    <w:rsid w:val="00173B07"/>
    <w:rsid w:val="001751FA"/>
    <w:rsid w:val="00177A3B"/>
    <w:rsid w:val="00181C10"/>
    <w:rsid w:val="00181D9C"/>
    <w:rsid w:val="00181E53"/>
    <w:rsid w:val="00182204"/>
    <w:rsid w:val="001837FF"/>
    <w:rsid w:val="00183C04"/>
    <w:rsid w:val="00184B0E"/>
    <w:rsid w:val="00184E31"/>
    <w:rsid w:val="00185624"/>
    <w:rsid w:val="0018752F"/>
    <w:rsid w:val="0019024D"/>
    <w:rsid w:val="001905AB"/>
    <w:rsid w:val="001905B4"/>
    <w:rsid w:val="00192BB8"/>
    <w:rsid w:val="001933F7"/>
    <w:rsid w:val="00193748"/>
    <w:rsid w:val="00193838"/>
    <w:rsid w:val="00193C5A"/>
    <w:rsid w:val="00194AD8"/>
    <w:rsid w:val="00194C15"/>
    <w:rsid w:val="00195222"/>
    <w:rsid w:val="00195452"/>
    <w:rsid w:val="00196A97"/>
    <w:rsid w:val="00197428"/>
    <w:rsid w:val="001975D8"/>
    <w:rsid w:val="00197666"/>
    <w:rsid w:val="001A178E"/>
    <w:rsid w:val="001A29E7"/>
    <w:rsid w:val="001A43FA"/>
    <w:rsid w:val="001A47C5"/>
    <w:rsid w:val="001A584B"/>
    <w:rsid w:val="001A59FB"/>
    <w:rsid w:val="001A5E9E"/>
    <w:rsid w:val="001A6354"/>
    <w:rsid w:val="001A6366"/>
    <w:rsid w:val="001A653C"/>
    <w:rsid w:val="001A7AE8"/>
    <w:rsid w:val="001A7DC4"/>
    <w:rsid w:val="001B0B9C"/>
    <w:rsid w:val="001B0E52"/>
    <w:rsid w:val="001B204E"/>
    <w:rsid w:val="001B2372"/>
    <w:rsid w:val="001B3443"/>
    <w:rsid w:val="001B4D20"/>
    <w:rsid w:val="001B5FFB"/>
    <w:rsid w:val="001B7F84"/>
    <w:rsid w:val="001C0424"/>
    <w:rsid w:val="001C25A4"/>
    <w:rsid w:val="001C267A"/>
    <w:rsid w:val="001C28A5"/>
    <w:rsid w:val="001C2A9B"/>
    <w:rsid w:val="001C3BA1"/>
    <w:rsid w:val="001C3DD6"/>
    <w:rsid w:val="001C4299"/>
    <w:rsid w:val="001C4874"/>
    <w:rsid w:val="001C5880"/>
    <w:rsid w:val="001C5F94"/>
    <w:rsid w:val="001C635F"/>
    <w:rsid w:val="001C6E66"/>
    <w:rsid w:val="001D0C29"/>
    <w:rsid w:val="001D1100"/>
    <w:rsid w:val="001D1391"/>
    <w:rsid w:val="001D25D7"/>
    <w:rsid w:val="001D4AFA"/>
    <w:rsid w:val="001D50B2"/>
    <w:rsid w:val="001D68D8"/>
    <w:rsid w:val="001D71F4"/>
    <w:rsid w:val="001D7645"/>
    <w:rsid w:val="001D7BF6"/>
    <w:rsid w:val="001E0BA9"/>
    <w:rsid w:val="001E0E09"/>
    <w:rsid w:val="001E1E86"/>
    <w:rsid w:val="001E238E"/>
    <w:rsid w:val="001E2483"/>
    <w:rsid w:val="001E2737"/>
    <w:rsid w:val="001E2B1E"/>
    <w:rsid w:val="001E2CFF"/>
    <w:rsid w:val="001E2F24"/>
    <w:rsid w:val="001E30D4"/>
    <w:rsid w:val="001E34DF"/>
    <w:rsid w:val="001E4A32"/>
    <w:rsid w:val="001E52EB"/>
    <w:rsid w:val="001E5D1D"/>
    <w:rsid w:val="001E61D2"/>
    <w:rsid w:val="001E6C08"/>
    <w:rsid w:val="001E740C"/>
    <w:rsid w:val="001F0740"/>
    <w:rsid w:val="001F0ECC"/>
    <w:rsid w:val="001F1235"/>
    <w:rsid w:val="001F14FC"/>
    <w:rsid w:val="001F1CB3"/>
    <w:rsid w:val="001F38B5"/>
    <w:rsid w:val="001F4081"/>
    <w:rsid w:val="001F580D"/>
    <w:rsid w:val="001F7361"/>
    <w:rsid w:val="00200377"/>
    <w:rsid w:val="00200C0A"/>
    <w:rsid w:val="002011B0"/>
    <w:rsid w:val="00201E04"/>
    <w:rsid w:val="00202664"/>
    <w:rsid w:val="00203181"/>
    <w:rsid w:val="00203783"/>
    <w:rsid w:val="00203856"/>
    <w:rsid w:val="0020385F"/>
    <w:rsid w:val="002045A4"/>
    <w:rsid w:val="00204C0F"/>
    <w:rsid w:val="00205750"/>
    <w:rsid w:val="0020661B"/>
    <w:rsid w:val="002068A0"/>
    <w:rsid w:val="00207021"/>
    <w:rsid w:val="0020732F"/>
    <w:rsid w:val="0020744F"/>
    <w:rsid w:val="002074AA"/>
    <w:rsid w:val="00207D00"/>
    <w:rsid w:val="002105C1"/>
    <w:rsid w:val="002116FD"/>
    <w:rsid w:val="002122A7"/>
    <w:rsid w:val="0021266E"/>
    <w:rsid w:val="00213EF5"/>
    <w:rsid w:val="00214494"/>
    <w:rsid w:val="00214C79"/>
    <w:rsid w:val="00216153"/>
    <w:rsid w:val="0021652A"/>
    <w:rsid w:val="00216862"/>
    <w:rsid w:val="00216BF5"/>
    <w:rsid w:val="00220865"/>
    <w:rsid w:val="0022090A"/>
    <w:rsid w:val="00221C39"/>
    <w:rsid w:val="00221C77"/>
    <w:rsid w:val="00223948"/>
    <w:rsid w:val="00223B49"/>
    <w:rsid w:val="00223D5A"/>
    <w:rsid w:val="00224DD4"/>
    <w:rsid w:val="00226B46"/>
    <w:rsid w:val="00226DC9"/>
    <w:rsid w:val="002278A0"/>
    <w:rsid w:val="002309CC"/>
    <w:rsid w:val="00230D6F"/>
    <w:rsid w:val="00230E33"/>
    <w:rsid w:val="00231BA9"/>
    <w:rsid w:val="0023209F"/>
    <w:rsid w:val="00232355"/>
    <w:rsid w:val="0023331B"/>
    <w:rsid w:val="00233C01"/>
    <w:rsid w:val="0023413C"/>
    <w:rsid w:val="002343B1"/>
    <w:rsid w:val="002346F0"/>
    <w:rsid w:val="0023629D"/>
    <w:rsid w:val="00237144"/>
    <w:rsid w:val="00237255"/>
    <w:rsid w:val="00237624"/>
    <w:rsid w:val="00240369"/>
    <w:rsid w:val="002408E4"/>
    <w:rsid w:val="002424AF"/>
    <w:rsid w:val="00242F41"/>
    <w:rsid w:val="002437A5"/>
    <w:rsid w:val="002439DC"/>
    <w:rsid w:val="002441D2"/>
    <w:rsid w:val="00244B87"/>
    <w:rsid w:val="00244DC8"/>
    <w:rsid w:val="002458BA"/>
    <w:rsid w:val="00245CE9"/>
    <w:rsid w:val="0024636C"/>
    <w:rsid w:val="00246453"/>
    <w:rsid w:val="00247925"/>
    <w:rsid w:val="002501E9"/>
    <w:rsid w:val="00250F26"/>
    <w:rsid w:val="00251006"/>
    <w:rsid w:val="002514DE"/>
    <w:rsid w:val="002524D5"/>
    <w:rsid w:val="0025289C"/>
    <w:rsid w:val="00252F00"/>
    <w:rsid w:val="00253B1D"/>
    <w:rsid w:val="00254DCF"/>
    <w:rsid w:val="0025534B"/>
    <w:rsid w:val="00255BB7"/>
    <w:rsid w:val="00255C35"/>
    <w:rsid w:val="00256BBB"/>
    <w:rsid w:val="00257541"/>
    <w:rsid w:val="00257A39"/>
    <w:rsid w:val="00257AC4"/>
    <w:rsid w:val="00257BBE"/>
    <w:rsid w:val="00260303"/>
    <w:rsid w:val="00260BAC"/>
    <w:rsid w:val="00261163"/>
    <w:rsid w:val="00261756"/>
    <w:rsid w:val="00261EEF"/>
    <w:rsid w:val="00262A1A"/>
    <w:rsid w:val="00262A87"/>
    <w:rsid w:val="00263742"/>
    <w:rsid w:val="00263933"/>
    <w:rsid w:val="00263AAD"/>
    <w:rsid w:val="00264A41"/>
    <w:rsid w:val="00264D26"/>
    <w:rsid w:val="00265DA6"/>
    <w:rsid w:val="00266F75"/>
    <w:rsid w:val="00267642"/>
    <w:rsid w:val="00267AEA"/>
    <w:rsid w:val="002700E6"/>
    <w:rsid w:val="0027294B"/>
    <w:rsid w:val="00273EB4"/>
    <w:rsid w:val="00274682"/>
    <w:rsid w:val="00274C89"/>
    <w:rsid w:val="0027503F"/>
    <w:rsid w:val="00275158"/>
    <w:rsid w:val="00275C5A"/>
    <w:rsid w:val="00277ED2"/>
    <w:rsid w:val="00281014"/>
    <w:rsid w:val="002844E4"/>
    <w:rsid w:val="00284C61"/>
    <w:rsid w:val="00285BCE"/>
    <w:rsid w:val="0028665D"/>
    <w:rsid w:val="002866D0"/>
    <w:rsid w:val="00287E8D"/>
    <w:rsid w:val="00293CFB"/>
    <w:rsid w:val="00294069"/>
    <w:rsid w:val="00295889"/>
    <w:rsid w:val="00297CAD"/>
    <w:rsid w:val="002A0581"/>
    <w:rsid w:val="002A14AB"/>
    <w:rsid w:val="002A1C17"/>
    <w:rsid w:val="002A2954"/>
    <w:rsid w:val="002A2ADE"/>
    <w:rsid w:val="002A2F50"/>
    <w:rsid w:val="002A49B6"/>
    <w:rsid w:val="002A4E79"/>
    <w:rsid w:val="002A5C66"/>
    <w:rsid w:val="002A7943"/>
    <w:rsid w:val="002A7E02"/>
    <w:rsid w:val="002B05A1"/>
    <w:rsid w:val="002B09A4"/>
    <w:rsid w:val="002B16E6"/>
    <w:rsid w:val="002B1C1F"/>
    <w:rsid w:val="002B432F"/>
    <w:rsid w:val="002B43E6"/>
    <w:rsid w:val="002B4D30"/>
    <w:rsid w:val="002B62B3"/>
    <w:rsid w:val="002B6754"/>
    <w:rsid w:val="002B6CCE"/>
    <w:rsid w:val="002B73E1"/>
    <w:rsid w:val="002B797B"/>
    <w:rsid w:val="002C071D"/>
    <w:rsid w:val="002C2510"/>
    <w:rsid w:val="002C2775"/>
    <w:rsid w:val="002C27C1"/>
    <w:rsid w:val="002C36E3"/>
    <w:rsid w:val="002C433D"/>
    <w:rsid w:val="002C5099"/>
    <w:rsid w:val="002C5889"/>
    <w:rsid w:val="002C6464"/>
    <w:rsid w:val="002C71CE"/>
    <w:rsid w:val="002D08F8"/>
    <w:rsid w:val="002D355C"/>
    <w:rsid w:val="002D577C"/>
    <w:rsid w:val="002D5BAC"/>
    <w:rsid w:val="002D5F6A"/>
    <w:rsid w:val="002D669B"/>
    <w:rsid w:val="002D7832"/>
    <w:rsid w:val="002E04F9"/>
    <w:rsid w:val="002E06C0"/>
    <w:rsid w:val="002E1071"/>
    <w:rsid w:val="002E15B9"/>
    <w:rsid w:val="002E1BF4"/>
    <w:rsid w:val="002E1C40"/>
    <w:rsid w:val="002E2158"/>
    <w:rsid w:val="002E2649"/>
    <w:rsid w:val="002E4F02"/>
    <w:rsid w:val="002E66FC"/>
    <w:rsid w:val="002E7722"/>
    <w:rsid w:val="002F07BA"/>
    <w:rsid w:val="002F0DA9"/>
    <w:rsid w:val="002F1014"/>
    <w:rsid w:val="002F1E3B"/>
    <w:rsid w:val="002F4913"/>
    <w:rsid w:val="002F5620"/>
    <w:rsid w:val="002F59D2"/>
    <w:rsid w:val="002F643C"/>
    <w:rsid w:val="002F6674"/>
    <w:rsid w:val="002F66D6"/>
    <w:rsid w:val="002F71C0"/>
    <w:rsid w:val="002F74F1"/>
    <w:rsid w:val="003007E2"/>
    <w:rsid w:val="00301017"/>
    <w:rsid w:val="0030155F"/>
    <w:rsid w:val="00304853"/>
    <w:rsid w:val="0030587B"/>
    <w:rsid w:val="00306D98"/>
    <w:rsid w:val="00307569"/>
    <w:rsid w:val="0030786C"/>
    <w:rsid w:val="0031031A"/>
    <w:rsid w:val="003103CA"/>
    <w:rsid w:val="00310981"/>
    <w:rsid w:val="003115E9"/>
    <w:rsid w:val="0031176B"/>
    <w:rsid w:val="00311CA3"/>
    <w:rsid w:val="00311D9B"/>
    <w:rsid w:val="003124D9"/>
    <w:rsid w:val="00312594"/>
    <w:rsid w:val="00313F64"/>
    <w:rsid w:val="00314879"/>
    <w:rsid w:val="00315498"/>
    <w:rsid w:val="00316474"/>
    <w:rsid w:val="00317A27"/>
    <w:rsid w:val="00317BD2"/>
    <w:rsid w:val="003205B7"/>
    <w:rsid w:val="00320C59"/>
    <w:rsid w:val="00322107"/>
    <w:rsid w:val="00322355"/>
    <w:rsid w:val="00322846"/>
    <w:rsid w:val="00325694"/>
    <w:rsid w:val="00326DA7"/>
    <w:rsid w:val="003270E4"/>
    <w:rsid w:val="00330275"/>
    <w:rsid w:val="00330DAA"/>
    <w:rsid w:val="00330F5C"/>
    <w:rsid w:val="00330F91"/>
    <w:rsid w:val="00333AD1"/>
    <w:rsid w:val="003343FA"/>
    <w:rsid w:val="003366C9"/>
    <w:rsid w:val="003371B0"/>
    <w:rsid w:val="00340DF1"/>
    <w:rsid w:val="00345760"/>
    <w:rsid w:val="00346B96"/>
    <w:rsid w:val="003502FF"/>
    <w:rsid w:val="0035044A"/>
    <w:rsid w:val="00350897"/>
    <w:rsid w:val="003517F9"/>
    <w:rsid w:val="00351BA9"/>
    <w:rsid w:val="003523FC"/>
    <w:rsid w:val="00352D91"/>
    <w:rsid w:val="00354E25"/>
    <w:rsid w:val="00354F64"/>
    <w:rsid w:val="0035620E"/>
    <w:rsid w:val="00356648"/>
    <w:rsid w:val="003575BE"/>
    <w:rsid w:val="00360345"/>
    <w:rsid w:val="003606B6"/>
    <w:rsid w:val="00361870"/>
    <w:rsid w:val="00361A05"/>
    <w:rsid w:val="003624C4"/>
    <w:rsid w:val="00362702"/>
    <w:rsid w:val="00362C43"/>
    <w:rsid w:val="00362E69"/>
    <w:rsid w:val="00363B00"/>
    <w:rsid w:val="003641FA"/>
    <w:rsid w:val="00364B71"/>
    <w:rsid w:val="003654AC"/>
    <w:rsid w:val="00365DE5"/>
    <w:rsid w:val="00366319"/>
    <w:rsid w:val="003663E2"/>
    <w:rsid w:val="00370407"/>
    <w:rsid w:val="003710CF"/>
    <w:rsid w:val="0037298D"/>
    <w:rsid w:val="0037358A"/>
    <w:rsid w:val="00373626"/>
    <w:rsid w:val="003750F6"/>
    <w:rsid w:val="00375493"/>
    <w:rsid w:val="00375B2E"/>
    <w:rsid w:val="00376010"/>
    <w:rsid w:val="003760FC"/>
    <w:rsid w:val="00377C1F"/>
    <w:rsid w:val="0038046A"/>
    <w:rsid w:val="00381E5E"/>
    <w:rsid w:val="0038338E"/>
    <w:rsid w:val="003835BC"/>
    <w:rsid w:val="0038365C"/>
    <w:rsid w:val="0038369B"/>
    <w:rsid w:val="00383B78"/>
    <w:rsid w:val="00385A9D"/>
    <w:rsid w:val="00385E3D"/>
    <w:rsid w:val="0038698B"/>
    <w:rsid w:val="00387121"/>
    <w:rsid w:val="0038786F"/>
    <w:rsid w:val="003902B1"/>
    <w:rsid w:val="0039179C"/>
    <w:rsid w:val="0039299E"/>
    <w:rsid w:val="00395904"/>
    <w:rsid w:val="00395DF2"/>
    <w:rsid w:val="00395E8A"/>
    <w:rsid w:val="00396896"/>
    <w:rsid w:val="00396A68"/>
    <w:rsid w:val="00396FD0"/>
    <w:rsid w:val="00397775"/>
    <w:rsid w:val="003A19DD"/>
    <w:rsid w:val="003A1A7A"/>
    <w:rsid w:val="003A2392"/>
    <w:rsid w:val="003A2831"/>
    <w:rsid w:val="003A36FC"/>
    <w:rsid w:val="003A3CB6"/>
    <w:rsid w:val="003A3ED1"/>
    <w:rsid w:val="003A44DB"/>
    <w:rsid w:val="003A4C14"/>
    <w:rsid w:val="003A78CF"/>
    <w:rsid w:val="003A7CE2"/>
    <w:rsid w:val="003B02ED"/>
    <w:rsid w:val="003B1867"/>
    <w:rsid w:val="003B3971"/>
    <w:rsid w:val="003B40AF"/>
    <w:rsid w:val="003B44A6"/>
    <w:rsid w:val="003B55D1"/>
    <w:rsid w:val="003B5B61"/>
    <w:rsid w:val="003C0115"/>
    <w:rsid w:val="003C043D"/>
    <w:rsid w:val="003C05D1"/>
    <w:rsid w:val="003C1654"/>
    <w:rsid w:val="003C3FDD"/>
    <w:rsid w:val="003C5194"/>
    <w:rsid w:val="003C5542"/>
    <w:rsid w:val="003C66C7"/>
    <w:rsid w:val="003C67AB"/>
    <w:rsid w:val="003C6970"/>
    <w:rsid w:val="003C7C15"/>
    <w:rsid w:val="003C7D19"/>
    <w:rsid w:val="003C7D2F"/>
    <w:rsid w:val="003D0C5A"/>
    <w:rsid w:val="003D1828"/>
    <w:rsid w:val="003D1DE4"/>
    <w:rsid w:val="003D1E9A"/>
    <w:rsid w:val="003D2422"/>
    <w:rsid w:val="003D39A1"/>
    <w:rsid w:val="003D3FBF"/>
    <w:rsid w:val="003D482B"/>
    <w:rsid w:val="003D4A30"/>
    <w:rsid w:val="003D4FE4"/>
    <w:rsid w:val="003D5DF5"/>
    <w:rsid w:val="003D7452"/>
    <w:rsid w:val="003D79BB"/>
    <w:rsid w:val="003D7C98"/>
    <w:rsid w:val="003D7D9D"/>
    <w:rsid w:val="003E0543"/>
    <w:rsid w:val="003E2880"/>
    <w:rsid w:val="003E2C14"/>
    <w:rsid w:val="003E55AD"/>
    <w:rsid w:val="003E5603"/>
    <w:rsid w:val="003E5656"/>
    <w:rsid w:val="003E749E"/>
    <w:rsid w:val="003F1321"/>
    <w:rsid w:val="003F2677"/>
    <w:rsid w:val="003F333C"/>
    <w:rsid w:val="003F4156"/>
    <w:rsid w:val="003F4E0A"/>
    <w:rsid w:val="003F566A"/>
    <w:rsid w:val="003F5ADF"/>
    <w:rsid w:val="003F76C5"/>
    <w:rsid w:val="00400B29"/>
    <w:rsid w:val="00400FE4"/>
    <w:rsid w:val="00402812"/>
    <w:rsid w:val="00403CB8"/>
    <w:rsid w:val="0040504B"/>
    <w:rsid w:val="00405971"/>
    <w:rsid w:val="004059F4"/>
    <w:rsid w:val="004060C1"/>
    <w:rsid w:val="00406AB5"/>
    <w:rsid w:val="00407FE5"/>
    <w:rsid w:val="004101B0"/>
    <w:rsid w:val="00410326"/>
    <w:rsid w:val="00410708"/>
    <w:rsid w:val="00410EC7"/>
    <w:rsid w:val="00411063"/>
    <w:rsid w:val="0041149D"/>
    <w:rsid w:val="00411B39"/>
    <w:rsid w:val="004127A7"/>
    <w:rsid w:val="004127E3"/>
    <w:rsid w:val="00412CE4"/>
    <w:rsid w:val="00413A1E"/>
    <w:rsid w:val="00413D0C"/>
    <w:rsid w:val="00414476"/>
    <w:rsid w:val="00414AAA"/>
    <w:rsid w:val="00414C2E"/>
    <w:rsid w:val="00414CC1"/>
    <w:rsid w:val="004151CF"/>
    <w:rsid w:val="00415A94"/>
    <w:rsid w:val="00416364"/>
    <w:rsid w:val="004163D2"/>
    <w:rsid w:val="0041781A"/>
    <w:rsid w:val="0042047F"/>
    <w:rsid w:val="00420AA6"/>
    <w:rsid w:val="00420B9F"/>
    <w:rsid w:val="0042192C"/>
    <w:rsid w:val="004220BB"/>
    <w:rsid w:val="00422260"/>
    <w:rsid w:val="004239ED"/>
    <w:rsid w:val="0042413F"/>
    <w:rsid w:val="00426A8E"/>
    <w:rsid w:val="004273EA"/>
    <w:rsid w:val="004279F9"/>
    <w:rsid w:val="0043066B"/>
    <w:rsid w:val="004311E5"/>
    <w:rsid w:val="0043176E"/>
    <w:rsid w:val="004319F8"/>
    <w:rsid w:val="00431E55"/>
    <w:rsid w:val="004321F6"/>
    <w:rsid w:val="00433044"/>
    <w:rsid w:val="00433436"/>
    <w:rsid w:val="00434088"/>
    <w:rsid w:val="00434428"/>
    <w:rsid w:val="004375B9"/>
    <w:rsid w:val="004378D0"/>
    <w:rsid w:val="004428D0"/>
    <w:rsid w:val="00444185"/>
    <w:rsid w:val="004443A7"/>
    <w:rsid w:val="0044442C"/>
    <w:rsid w:val="00444FED"/>
    <w:rsid w:val="00445941"/>
    <w:rsid w:val="004464EB"/>
    <w:rsid w:val="00447D26"/>
    <w:rsid w:val="00447DFC"/>
    <w:rsid w:val="00450339"/>
    <w:rsid w:val="00450E34"/>
    <w:rsid w:val="00451199"/>
    <w:rsid w:val="00454825"/>
    <w:rsid w:val="004549C8"/>
    <w:rsid w:val="00455D45"/>
    <w:rsid w:val="004565EB"/>
    <w:rsid w:val="00456E10"/>
    <w:rsid w:val="00457730"/>
    <w:rsid w:val="00460108"/>
    <w:rsid w:val="00462DA5"/>
    <w:rsid w:val="004632C2"/>
    <w:rsid w:val="004634A2"/>
    <w:rsid w:val="00463AF9"/>
    <w:rsid w:val="00464595"/>
    <w:rsid w:val="004658B5"/>
    <w:rsid w:val="00471EA5"/>
    <w:rsid w:val="00472A79"/>
    <w:rsid w:val="00473F19"/>
    <w:rsid w:val="0047545E"/>
    <w:rsid w:val="00475E22"/>
    <w:rsid w:val="004763DD"/>
    <w:rsid w:val="00476837"/>
    <w:rsid w:val="00477AAB"/>
    <w:rsid w:val="0048088E"/>
    <w:rsid w:val="00480E11"/>
    <w:rsid w:val="00480F2B"/>
    <w:rsid w:val="00482720"/>
    <w:rsid w:val="004835E7"/>
    <w:rsid w:val="00483639"/>
    <w:rsid w:val="00483B16"/>
    <w:rsid w:val="004840C5"/>
    <w:rsid w:val="00485583"/>
    <w:rsid w:val="004859E1"/>
    <w:rsid w:val="00485DD0"/>
    <w:rsid w:val="004867E2"/>
    <w:rsid w:val="00486E24"/>
    <w:rsid w:val="00490B17"/>
    <w:rsid w:val="00490B58"/>
    <w:rsid w:val="00490D98"/>
    <w:rsid w:val="00491B3A"/>
    <w:rsid w:val="00492CFD"/>
    <w:rsid w:val="004935AD"/>
    <w:rsid w:val="004938C2"/>
    <w:rsid w:val="0049402C"/>
    <w:rsid w:val="00494207"/>
    <w:rsid w:val="00494DD5"/>
    <w:rsid w:val="004951FE"/>
    <w:rsid w:val="004957E4"/>
    <w:rsid w:val="004962D2"/>
    <w:rsid w:val="004A0DA1"/>
    <w:rsid w:val="004A13D6"/>
    <w:rsid w:val="004A3B92"/>
    <w:rsid w:val="004A52E9"/>
    <w:rsid w:val="004A5855"/>
    <w:rsid w:val="004A6040"/>
    <w:rsid w:val="004A6597"/>
    <w:rsid w:val="004A7848"/>
    <w:rsid w:val="004A793B"/>
    <w:rsid w:val="004B0BB2"/>
    <w:rsid w:val="004B11B3"/>
    <w:rsid w:val="004B12D9"/>
    <w:rsid w:val="004B1CB4"/>
    <w:rsid w:val="004B2947"/>
    <w:rsid w:val="004B2F18"/>
    <w:rsid w:val="004B3DDB"/>
    <w:rsid w:val="004B44FD"/>
    <w:rsid w:val="004B4AA2"/>
    <w:rsid w:val="004B5CFC"/>
    <w:rsid w:val="004B621B"/>
    <w:rsid w:val="004B6F79"/>
    <w:rsid w:val="004B774D"/>
    <w:rsid w:val="004C09E0"/>
    <w:rsid w:val="004C0BF8"/>
    <w:rsid w:val="004C0EB0"/>
    <w:rsid w:val="004C2AC2"/>
    <w:rsid w:val="004C3161"/>
    <w:rsid w:val="004C34D8"/>
    <w:rsid w:val="004C4AED"/>
    <w:rsid w:val="004C4C30"/>
    <w:rsid w:val="004C52F0"/>
    <w:rsid w:val="004C7BAA"/>
    <w:rsid w:val="004D0652"/>
    <w:rsid w:val="004D24BD"/>
    <w:rsid w:val="004D2C2D"/>
    <w:rsid w:val="004D2C5E"/>
    <w:rsid w:val="004D3F5C"/>
    <w:rsid w:val="004D541D"/>
    <w:rsid w:val="004D66AF"/>
    <w:rsid w:val="004D69B5"/>
    <w:rsid w:val="004D709E"/>
    <w:rsid w:val="004D70AB"/>
    <w:rsid w:val="004D7227"/>
    <w:rsid w:val="004D7B5E"/>
    <w:rsid w:val="004E0E7F"/>
    <w:rsid w:val="004E0EB8"/>
    <w:rsid w:val="004E18E9"/>
    <w:rsid w:val="004E1ADB"/>
    <w:rsid w:val="004E1E5F"/>
    <w:rsid w:val="004E2201"/>
    <w:rsid w:val="004E2ADC"/>
    <w:rsid w:val="004E3427"/>
    <w:rsid w:val="004E3A4B"/>
    <w:rsid w:val="004E43B2"/>
    <w:rsid w:val="004E4C2C"/>
    <w:rsid w:val="004E7005"/>
    <w:rsid w:val="004E7381"/>
    <w:rsid w:val="004E7389"/>
    <w:rsid w:val="004F1D02"/>
    <w:rsid w:val="004F2679"/>
    <w:rsid w:val="004F2F21"/>
    <w:rsid w:val="004F304B"/>
    <w:rsid w:val="004F3DE5"/>
    <w:rsid w:val="004F4468"/>
    <w:rsid w:val="004F4DD3"/>
    <w:rsid w:val="004F6913"/>
    <w:rsid w:val="004F7865"/>
    <w:rsid w:val="0050174E"/>
    <w:rsid w:val="00501854"/>
    <w:rsid w:val="0050216B"/>
    <w:rsid w:val="0050219B"/>
    <w:rsid w:val="0050232D"/>
    <w:rsid w:val="00503F17"/>
    <w:rsid w:val="00503F3A"/>
    <w:rsid w:val="00506928"/>
    <w:rsid w:val="005077EF"/>
    <w:rsid w:val="00507B25"/>
    <w:rsid w:val="00511AD5"/>
    <w:rsid w:val="00511DC7"/>
    <w:rsid w:val="005133AE"/>
    <w:rsid w:val="005134D8"/>
    <w:rsid w:val="005137B2"/>
    <w:rsid w:val="005142C5"/>
    <w:rsid w:val="00514DCC"/>
    <w:rsid w:val="0051501B"/>
    <w:rsid w:val="0051524C"/>
    <w:rsid w:val="005152B5"/>
    <w:rsid w:val="00515484"/>
    <w:rsid w:val="00515886"/>
    <w:rsid w:val="00516099"/>
    <w:rsid w:val="00516237"/>
    <w:rsid w:val="00516C57"/>
    <w:rsid w:val="00520B4B"/>
    <w:rsid w:val="0052123C"/>
    <w:rsid w:val="00521319"/>
    <w:rsid w:val="00521AAC"/>
    <w:rsid w:val="00522555"/>
    <w:rsid w:val="00522BC8"/>
    <w:rsid w:val="00522C9A"/>
    <w:rsid w:val="0052381E"/>
    <w:rsid w:val="00523BA8"/>
    <w:rsid w:val="00523C28"/>
    <w:rsid w:val="00524621"/>
    <w:rsid w:val="00524EB7"/>
    <w:rsid w:val="00527962"/>
    <w:rsid w:val="005303AA"/>
    <w:rsid w:val="00530B6F"/>
    <w:rsid w:val="0053176B"/>
    <w:rsid w:val="00531F51"/>
    <w:rsid w:val="005328DD"/>
    <w:rsid w:val="005341B3"/>
    <w:rsid w:val="005346DF"/>
    <w:rsid w:val="00536BAE"/>
    <w:rsid w:val="00536F42"/>
    <w:rsid w:val="00537182"/>
    <w:rsid w:val="00541EDD"/>
    <w:rsid w:val="00542743"/>
    <w:rsid w:val="00542C2D"/>
    <w:rsid w:val="00543104"/>
    <w:rsid w:val="00543375"/>
    <w:rsid w:val="00544F65"/>
    <w:rsid w:val="00545EA1"/>
    <w:rsid w:val="00546E90"/>
    <w:rsid w:val="00547610"/>
    <w:rsid w:val="005478BD"/>
    <w:rsid w:val="005479E3"/>
    <w:rsid w:val="0055118D"/>
    <w:rsid w:val="00551985"/>
    <w:rsid w:val="0055198F"/>
    <w:rsid w:val="00551A12"/>
    <w:rsid w:val="00551D75"/>
    <w:rsid w:val="00552BD3"/>
    <w:rsid w:val="005532A0"/>
    <w:rsid w:val="00553442"/>
    <w:rsid w:val="00553939"/>
    <w:rsid w:val="00553A20"/>
    <w:rsid w:val="0055463E"/>
    <w:rsid w:val="00555109"/>
    <w:rsid w:val="00555D75"/>
    <w:rsid w:val="00556147"/>
    <w:rsid w:val="0055653B"/>
    <w:rsid w:val="00556B35"/>
    <w:rsid w:val="0055741A"/>
    <w:rsid w:val="00560852"/>
    <w:rsid w:val="00560881"/>
    <w:rsid w:val="005611B7"/>
    <w:rsid w:val="005618D4"/>
    <w:rsid w:val="00561EBE"/>
    <w:rsid w:val="00564867"/>
    <w:rsid w:val="00565C79"/>
    <w:rsid w:val="00565DF0"/>
    <w:rsid w:val="005668F7"/>
    <w:rsid w:val="0056696F"/>
    <w:rsid w:val="00567CF3"/>
    <w:rsid w:val="00572269"/>
    <w:rsid w:val="0057244A"/>
    <w:rsid w:val="00572651"/>
    <w:rsid w:val="00572F26"/>
    <w:rsid w:val="005737D4"/>
    <w:rsid w:val="005750C5"/>
    <w:rsid w:val="005752DE"/>
    <w:rsid w:val="00575D60"/>
    <w:rsid w:val="00575D8D"/>
    <w:rsid w:val="00576972"/>
    <w:rsid w:val="00577248"/>
    <w:rsid w:val="00583699"/>
    <w:rsid w:val="00585BB0"/>
    <w:rsid w:val="00585CDD"/>
    <w:rsid w:val="00586C96"/>
    <w:rsid w:val="00586FF1"/>
    <w:rsid w:val="00587058"/>
    <w:rsid w:val="00591957"/>
    <w:rsid w:val="0059310F"/>
    <w:rsid w:val="00593373"/>
    <w:rsid w:val="005936F9"/>
    <w:rsid w:val="00597BF9"/>
    <w:rsid w:val="005A057A"/>
    <w:rsid w:val="005A0C11"/>
    <w:rsid w:val="005A12BB"/>
    <w:rsid w:val="005A27AE"/>
    <w:rsid w:val="005A309A"/>
    <w:rsid w:val="005A373D"/>
    <w:rsid w:val="005A3AF9"/>
    <w:rsid w:val="005A7CC2"/>
    <w:rsid w:val="005B0AE5"/>
    <w:rsid w:val="005B0B58"/>
    <w:rsid w:val="005B15F4"/>
    <w:rsid w:val="005B2195"/>
    <w:rsid w:val="005B4E53"/>
    <w:rsid w:val="005B5857"/>
    <w:rsid w:val="005B73B1"/>
    <w:rsid w:val="005C0D34"/>
    <w:rsid w:val="005C1103"/>
    <w:rsid w:val="005C19C4"/>
    <w:rsid w:val="005C1B83"/>
    <w:rsid w:val="005C2220"/>
    <w:rsid w:val="005C2528"/>
    <w:rsid w:val="005C25FF"/>
    <w:rsid w:val="005C2D55"/>
    <w:rsid w:val="005C2FC0"/>
    <w:rsid w:val="005C318B"/>
    <w:rsid w:val="005C346B"/>
    <w:rsid w:val="005C3A06"/>
    <w:rsid w:val="005C455C"/>
    <w:rsid w:val="005C5ABC"/>
    <w:rsid w:val="005C5C0D"/>
    <w:rsid w:val="005C719C"/>
    <w:rsid w:val="005C721F"/>
    <w:rsid w:val="005D044D"/>
    <w:rsid w:val="005D0ABD"/>
    <w:rsid w:val="005D18AD"/>
    <w:rsid w:val="005D1DF4"/>
    <w:rsid w:val="005D26B4"/>
    <w:rsid w:val="005D30B9"/>
    <w:rsid w:val="005D4522"/>
    <w:rsid w:val="005D53F3"/>
    <w:rsid w:val="005D651C"/>
    <w:rsid w:val="005D6A45"/>
    <w:rsid w:val="005D6EE3"/>
    <w:rsid w:val="005D73A5"/>
    <w:rsid w:val="005D7A2E"/>
    <w:rsid w:val="005E1707"/>
    <w:rsid w:val="005E1995"/>
    <w:rsid w:val="005E2A7C"/>
    <w:rsid w:val="005E6626"/>
    <w:rsid w:val="005E6BEC"/>
    <w:rsid w:val="005E6CBC"/>
    <w:rsid w:val="005E72FF"/>
    <w:rsid w:val="005E73C0"/>
    <w:rsid w:val="005E7499"/>
    <w:rsid w:val="005F003D"/>
    <w:rsid w:val="005F0672"/>
    <w:rsid w:val="005F07ED"/>
    <w:rsid w:val="005F2018"/>
    <w:rsid w:val="005F2706"/>
    <w:rsid w:val="005F35DD"/>
    <w:rsid w:val="005F4E33"/>
    <w:rsid w:val="005F5D9E"/>
    <w:rsid w:val="005F5F66"/>
    <w:rsid w:val="005F66A4"/>
    <w:rsid w:val="005F6A8F"/>
    <w:rsid w:val="005F6BB7"/>
    <w:rsid w:val="005F7582"/>
    <w:rsid w:val="005F7588"/>
    <w:rsid w:val="00601217"/>
    <w:rsid w:val="00603573"/>
    <w:rsid w:val="00603DB9"/>
    <w:rsid w:val="00604DF6"/>
    <w:rsid w:val="00605EC0"/>
    <w:rsid w:val="00606FBA"/>
    <w:rsid w:val="00607669"/>
    <w:rsid w:val="006076F4"/>
    <w:rsid w:val="00607AFD"/>
    <w:rsid w:val="00607F75"/>
    <w:rsid w:val="00610652"/>
    <w:rsid w:val="00610CFB"/>
    <w:rsid w:val="00611B12"/>
    <w:rsid w:val="00611F6E"/>
    <w:rsid w:val="00612F97"/>
    <w:rsid w:val="0061345D"/>
    <w:rsid w:val="00614948"/>
    <w:rsid w:val="00615433"/>
    <w:rsid w:val="0061549B"/>
    <w:rsid w:val="006167C1"/>
    <w:rsid w:val="00616802"/>
    <w:rsid w:val="00617E12"/>
    <w:rsid w:val="00620C25"/>
    <w:rsid w:val="00621477"/>
    <w:rsid w:val="00621ADA"/>
    <w:rsid w:val="00621FD9"/>
    <w:rsid w:val="00622567"/>
    <w:rsid w:val="00622C8E"/>
    <w:rsid w:val="00623F7B"/>
    <w:rsid w:val="00624569"/>
    <w:rsid w:val="00624AE7"/>
    <w:rsid w:val="00624BD4"/>
    <w:rsid w:val="0062567E"/>
    <w:rsid w:val="00626985"/>
    <w:rsid w:val="00626E0B"/>
    <w:rsid w:val="00627DC0"/>
    <w:rsid w:val="0063158F"/>
    <w:rsid w:val="00631D6B"/>
    <w:rsid w:val="00632183"/>
    <w:rsid w:val="006330A1"/>
    <w:rsid w:val="00633AE3"/>
    <w:rsid w:val="00634242"/>
    <w:rsid w:val="0063479F"/>
    <w:rsid w:val="006353F0"/>
    <w:rsid w:val="006357B5"/>
    <w:rsid w:val="0063588D"/>
    <w:rsid w:val="00636320"/>
    <w:rsid w:val="006364A1"/>
    <w:rsid w:val="0063678E"/>
    <w:rsid w:val="006374F1"/>
    <w:rsid w:val="00637BFD"/>
    <w:rsid w:val="00637C5C"/>
    <w:rsid w:val="006414B8"/>
    <w:rsid w:val="00641C4E"/>
    <w:rsid w:val="00641D12"/>
    <w:rsid w:val="00641FB3"/>
    <w:rsid w:val="00642CCB"/>
    <w:rsid w:val="006437FF"/>
    <w:rsid w:val="0064434C"/>
    <w:rsid w:val="00645967"/>
    <w:rsid w:val="00646F5C"/>
    <w:rsid w:val="006471CC"/>
    <w:rsid w:val="006472FE"/>
    <w:rsid w:val="00647752"/>
    <w:rsid w:val="00647A29"/>
    <w:rsid w:val="00650001"/>
    <w:rsid w:val="00650412"/>
    <w:rsid w:val="0065079F"/>
    <w:rsid w:val="00650B00"/>
    <w:rsid w:val="00650FE6"/>
    <w:rsid w:val="0065121F"/>
    <w:rsid w:val="006516CC"/>
    <w:rsid w:val="0065286E"/>
    <w:rsid w:val="00652A28"/>
    <w:rsid w:val="0065379F"/>
    <w:rsid w:val="00653F02"/>
    <w:rsid w:val="00654D4B"/>
    <w:rsid w:val="00654FEE"/>
    <w:rsid w:val="00656188"/>
    <w:rsid w:val="0065635B"/>
    <w:rsid w:val="0065715A"/>
    <w:rsid w:val="00660036"/>
    <w:rsid w:val="006610F1"/>
    <w:rsid w:val="00661C6B"/>
    <w:rsid w:val="00662D3E"/>
    <w:rsid w:val="00665D54"/>
    <w:rsid w:val="00665FE9"/>
    <w:rsid w:val="00667A60"/>
    <w:rsid w:val="00667BE3"/>
    <w:rsid w:val="00670403"/>
    <w:rsid w:val="00670959"/>
    <w:rsid w:val="00670A64"/>
    <w:rsid w:val="00670EDB"/>
    <w:rsid w:val="00671004"/>
    <w:rsid w:val="006716B7"/>
    <w:rsid w:val="00671D0A"/>
    <w:rsid w:val="00672646"/>
    <w:rsid w:val="00674E42"/>
    <w:rsid w:val="00676563"/>
    <w:rsid w:val="00676A8B"/>
    <w:rsid w:val="00677C45"/>
    <w:rsid w:val="00677CE1"/>
    <w:rsid w:val="006813F8"/>
    <w:rsid w:val="00681C75"/>
    <w:rsid w:val="00682112"/>
    <w:rsid w:val="0068231E"/>
    <w:rsid w:val="00682BA6"/>
    <w:rsid w:val="0068342E"/>
    <w:rsid w:val="0068396F"/>
    <w:rsid w:val="006843F0"/>
    <w:rsid w:val="006847D3"/>
    <w:rsid w:val="00684ABF"/>
    <w:rsid w:val="00686957"/>
    <w:rsid w:val="006872BA"/>
    <w:rsid w:val="00687644"/>
    <w:rsid w:val="00687AF7"/>
    <w:rsid w:val="00690795"/>
    <w:rsid w:val="00691648"/>
    <w:rsid w:val="006917D7"/>
    <w:rsid w:val="006925FE"/>
    <w:rsid w:val="00692D02"/>
    <w:rsid w:val="0069434C"/>
    <w:rsid w:val="00694F44"/>
    <w:rsid w:val="006956E3"/>
    <w:rsid w:val="00696EF9"/>
    <w:rsid w:val="00696F51"/>
    <w:rsid w:val="006979A5"/>
    <w:rsid w:val="006A016F"/>
    <w:rsid w:val="006A0DF7"/>
    <w:rsid w:val="006A1B99"/>
    <w:rsid w:val="006A2290"/>
    <w:rsid w:val="006A39E1"/>
    <w:rsid w:val="006A4321"/>
    <w:rsid w:val="006A43D9"/>
    <w:rsid w:val="006A4581"/>
    <w:rsid w:val="006A537E"/>
    <w:rsid w:val="006A5A2A"/>
    <w:rsid w:val="006A6A84"/>
    <w:rsid w:val="006A6B99"/>
    <w:rsid w:val="006A7748"/>
    <w:rsid w:val="006A7E5F"/>
    <w:rsid w:val="006B08CD"/>
    <w:rsid w:val="006B1C3B"/>
    <w:rsid w:val="006B1C8A"/>
    <w:rsid w:val="006B1DCF"/>
    <w:rsid w:val="006B1FD4"/>
    <w:rsid w:val="006B261B"/>
    <w:rsid w:val="006B2C90"/>
    <w:rsid w:val="006B2E99"/>
    <w:rsid w:val="006B35E6"/>
    <w:rsid w:val="006B3F9E"/>
    <w:rsid w:val="006B465A"/>
    <w:rsid w:val="006B498F"/>
    <w:rsid w:val="006B6DD0"/>
    <w:rsid w:val="006B744C"/>
    <w:rsid w:val="006C0399"/>
    <w:rsid w:val="006C0C07"/>
    <w:rsid w:val="006C0DEB"/>
    <w:rsid w:val="006C1492"/>
    <w:rsid w:val="006C2A8E"/>
    <w:rsid w:val="006C2D6F"/>
    <w:rsid w:val="006C3255"/>
    <w:rsid w:val="006C3658"/>
    <w:rsid w:val="006C3666"/>
    <w:rsid w:val="006C38DD"/>
    <w:rsid w:val="006C3F26"/>
    <w:rsid w:val="006C4412"/>
    <w:rsid w:val="006C45FA"/>
    <w:rsid w:val="006C52A0"/>
    <w:rsid w:val="006C5DEB"/>
    <w:rsid w:val="006D01B3"/>
    <w:rsid w:val="006D0A28"/>
    <w:rsid w:val="006D0D17"/>
    <w:rsid w:val="006D166D"/>
    <w:rsid w:val="006D3BC8"/>
    <w:rsid w:val="006D3C7D"/>
    <w:rsid w:val="006D4126"/>
    <w:rsid w:val="006D4659"/>
    <w:rsid w:val="006D50F8"/>
    <w:rsid w:val="006D5D5F"/>
    <w:rsid w:val="006D68D6"/>
    <w:rsid w:val="006D68FB"/>
    <w:rsid w:val="006D6B93"/>
    <w:rsid w:val="006D7245"/>
    <w:rsid w:val="006D7561"/>
    <w:rsid w:val="006E02FE"/>
    <w:rsid w:val="006E0744"/>
    <w:rsid w:val="006E2868"/>
    <w:rsid w:val="006F1F37"/>
    <w:rsid w:val="006F25B1"/>
    <w:rsid w:val="006F2750"/>
    <w:rsid w:val="006F306C"/>
    <w:rsid w:val="006F3751"/>
    <w:rsid w:val="006F50B8"/>
    <w:rsid w:val="006F63A5"/>
    <w:rsid w:val="006F6E93"/>
    <w:rsid w:val="006F74B3"/>
    <w:rsid w:val="007012F5"/>
    <w:rsid w:val="0070142B"/>
    <w:rsid w:val="0070191E"/>
    <w:rsid w:val="007021FC"/>
    <w:rsid w:val="0070276E"/>
    <w:rsid w:val="00702D9B"/>
    <w:rsid w:val="00702F8F"/>
    <w:rsid w:val="00702FF1"/>
    <w:rsid w:val="007031EF"/>
    <w:rsid w:val="00703ADD"/>
    <w:rsid w:val="007053D9"/>
    <w:rsid w:val="00705FA0"/>
    <w:rsid w:val="007079FC"/>
    <w:rsid w:val="007105B7"/>
    <w:rsid w:val="007113FF"/>
    <w:rsid w:val="00711A36"/>
    <w:rsid w:val="00712040"/>
    <w:rsid w:val="007125D3"/>
    <w:rsid w:val="00712F27"/>
    <w:rsid w:val="0071358C"/>
    <w:rsid w:val="00713E8F"/>
    <w:rsid w:val="00714789"/>
    <w:rsid w:val="00714C26"/>
    <w:rsid w:val="0071529C"/>
    <w:rsid w:val="007170DA"/>
    <w:rsid w:val="007172AD"/>
    <w:rsid w:val="007172B9"/>
    <w:rsid w:val="00717546"/>
    <w:rsid w:val="00720696"/>
    <w:rsid w:val="00720801"/>
    <w:rsid w:val="00722B1B"/>
    <w:rsid w:val="00723075"/>
    <w:rsid w:val="00723E10"/>
    <w:rsid w:val="0072416F"/>
    <w:rsid w:val="00724788"/>
    <w:rsid w:val="00727BA9"/>
    <w:rsid w:val="00727C94"/>
    <w:rsid w:val="00730364"/>
    <w:rsid w:val="00730C2C"/>
    <w:rsid w:val="00731778"/>
    <w:rsid w:val="00731ADE"/>
    <w:rsid w:val="00731B0A"/>
    <w:rsid w:val="00731EAE"/>
    <w:rsid w:val="00731ED1"/>
    <w:rsid w:val="00733073"/>
    <w:rsid w:val="00733158"/>
    <w:rsid w:val="00735033"/>
    <w:rsid w:val="00735328"/>
    <w:rsid w:val="0073685B"/>
    <w:rsid w:val="00737C21"/>
    <w:rsid w:val="00740F31"/>
    <w:rsid w:val="007437B5"/>
    <w:rsid w:val="007449BF"/>
    <w:rsid w:val="007453C6"/>
    <w:rsid w:val="00745C92"/>
    <w:rsid w:val="007463FE"/>
    <w:rsid w:val="00746A7D"/>
    <w:rsid w:val="00746BC0"/>
    <w:rsid w:val="00747DDA"/>
    <w:rsid w:val="007501EE"/>
    <w:rsid w:val="007502DD"/>
    <w:rsid w:val="007510B4"/>
    <w:rsid w:val="00752142"/>
    <w:rsid w:val="007523F9"/>
    <w:rsid w:val="00752995"/>
    <w:rsid w:val="0075357E"/>
    <w:rsid w:val="00753B29"/>
    <w:rsid w:val="00753C6D"/>
    <w:rsid w:val="007573E8"/>
    <w:rsid w:val="00757780"/>
    <w:rsid w:val="007577D2"/>
    <w:rsid w:val="00757A7F"/>
    <w:rsid w:val="00760428"/>
    <w:rsid w:val="00760C4E"/>
    <w:rsid w:val="00760F9E"/>
    <w:rsid w:val="007616E6"/>
    <w:rsid w:val="007627BE"/>
    <w:rsid w:val="00764086"/>
    <w:rsid w:val="00764F03"/>
    <w:rsid w:val="00765B1A"/>
    <w:rsid w:val="00765DC1"/>
    <w:rsid w:val="00767F9D"/>
    <w:rsid w:val="007716C8"/>
    <w:rsid w:val="00771BB8"/>
    <w:rsid w:val="00774559"/>
    <w:rsid w:val="00777335"/>
    <w:rsid w:val="007824F9"/>
    <w:rsid w:val="00783547"/>
    <w:rsid w:val="00783CD4"/>
    <w:rsid w:val="007843F2"/>
    <w:rsid w:val="007846FA"/>
    <w:rsid w:val="00785A9F"/>
    <w:rsid w:val="00785E91"/>
    <w:rsid w:val="007860B9"/>
    <w:rsid w:val="00787A74"/>
    <w:rsid w:val="007903F3"/>
    <w:rsid w:val="00791F6D"/>
    <w:rsid w:val="007925DF"/>
    <w:rsid w:val="00794347"/>
    <w:rsid w:val="00794C99"/>
    <w:rsid w:val="0079502C"/>
    <w:rsid w:val="007961C1"/>
    <w:rsid w:val="007A03DF"/>
    <w:rsid w:val="007A08AA"/>
    <w:rsid w:val="007A0A12"/>
    <w:rsid w:val="007A1132"/>
    <w:rsid w:val="007A132D"/>
    <w:rsid w:val="007A1345"/>
    <w:rsid w:val="007A2DDB"/>
    <w:rsid w:val="007A2E26"/>
    <w:rsid w:val="007A32B0"/>
    <w:rsid w:val="007A4B3E"/>
    <w:rsid w:val="007A6323"/>
    <w:rsid w:val="007A6EE0"/>
    <w:rsid w:val="007A70BA"/>
    <w:rsid w:val="007B0234"/>
    <w:rsid w:val="007B0638"/>
    <w:rsid w:val="007B0D68"/>
    <w:rsid w:val="007B1090"/>
    <w:rsid w:val="007B2330"/>
    <w:rsid w:val="007B251D"/>
    <w:rsid w:val="007B261E"/>
    <w:rsid w:val="007B3533"/>
    <w:rsid w:val="007B4001"/>
    <w:rsid w:val="007B4546"/>
    <w:rsid w:val="007B4F44"/>
    <w:rsid w:val="007B4F58"/>
    <w:rsid w:val="007B528D"/>
    <w:rsid w:val="007B553A"/>
    <w:rsid w:val="007B63CA"/>
    <w:rsid w:val="007B77D1"/>
    <w:rsid w:val="007C0030"/>
    <w:rsid w:val="007C00ED"/>
    <w:rsid w:val="007C019C"/>
    <w:rsid w:val="007C07C7"/>
    <w:rsid w:val="007C1CD9"/>
    <w:rsid w:val="007C23D9"/>
    <w:rsid w:val="007C2EAF"/>
    <w:rsid w:val="007C32EF"/>
    <w:rsid w:val="007C361D"/>
    <w:rsid w:val="007C3B97"/>
    <w:rsid w:val="007C3EAE"/>
    <w:rsid w:val="007C4B84"/>
    <w:rsid w:val="007C67CE"/>
    <w:rsid w:val="007C70FF"/>
    <w:rsid w:val="007C7379"/>
    <w:rsid w:val="007C7C25"/>
    <w:rsid w:val="007D004F"/>
    <w:rsid w:val="007D035F"/>
    <w:rsid w:val="007D06B2"/>
    <w:rsid w:val="007D0B38"/>
    <w:rsid w:val="007D11FF"/>
    <w:rsid w:val="007D296B"/>
    <w:rsid w:val="007D5440"/>
    <w:rsid w:val="007D69EB"/>
    <w:rsid w:val="007D7440"/>
    <w:rsid w:val="007D7DEE"/>
    <w:rsid w:val="007E128F"/>
    <w:rsid w:val="007E29A6"/>
    <w:rsid w:val="007E325C"/>
    <w:rsid w:val="007E494C"/>
    <w:rsid w:val="007E4E7B"/>
    <w:rsid w:val="007F0205"/>
    <w:rsid w:val="007F02EB"/>
    <w:rsid w:val="007F1017"/>
    <w:rsid w:val="007F44CC"/>
    <w:rsid w:val="007F4A3F"/>
    <w:rsid w:val="007F4A61"/>
    <w:rsid w:val="007F5255"/>
    <w:rsid w:val="007F55AD"/>
    <w:rsid w:val="007F56CC"/>
    <w:rsid w:val="007F61C2"/>
    <w:rsid w:val="007F672F"/>
    <w:rsid w:val="00800106"/>
    <w:rsid w:val="00800151"/>
    <w:rsid w:val="00800EB4"/>
    <w:rsid w:val="0080308F"/>
    <w:rsid w:val="00803FB5"/>
    <w:rsid w:val="00805142"/>
    <w:rsid w:val="00805811"/>
    <w:rsid w:val="00805CC0"/>
    <w:rsid w:val="00805FCE"/>
    <w:rsid w:val="0080709A"/>
    <w:rsid w:val="00807A8B"/>
    <w:rsid w:val="00810747"/>
    <w:rsid w:val="008112DD"/>
    <w:rsid w:val="00811383"/>
    <w:rsid w:val="00811AAA"/>
    <w:rsid w:val="00812149"/>
    <w:rsid w:val="00812168"/>
    <w:rsid w:val="00812CAC"/>
    <w:rsid w:val="00813A83"/>
    <w:rsid w:val="00816361"/>
    <w:rsid w:val="008166EF"/>
    <w:rsid w:val="00816C2C"/>
    <w:rsid w:val="00816FEF"/>
    <w:rsid w:val="008176D5"/>
    <w:rsid w:val="00817E48"/>
    <w:rsid w:val="00817EDC"/>
    <w:rsid w:val="00820A8C"/>
    <w:rsid w:val="008215FB"/>
    <w:rsid w:val="00821DE0"/>
    <w:rsid w:val="008220CC"/>
    <w:rsid w:val="00822E8B"/>
    <w:rsid w:val="00823174"/>
    <w:rsid w:val="008232F4"/>
    <w:rsid w:val="00825751"/>
    <w:rsid w:val="008264EB"/>
    <w:rsid w:val="008268CE"/>
    <w:rsid w:val="00827C23"/>
    <w:rsid w:val="00830125"/>
    <w:rsid w:val="008329A4"/>
    <w:rsid w:val="00832CFF"/>
    <w:rsid w:val="00832F92"/>
    <w:rsid w:val="00833B05"/>
    <w:rsid w:val="00834E1F"/>
    <w:rsid w:val="0083628B"/>
    <w:rsid w:val="008362B4"/>
    <w:rsid w:val="0084091B"/>
    <w:rsid w:val="00840CA2"/>
    <w:rsid w:val="0084374F"/>
    <w:rsid w:val="00843D9B"/>
    <w:rsid w:val="00844074"/>
    <w:rsid w:val="00844A22"/>
    <w:rsid w:val="00847062"/>
    <w:rsid w:val="008470B7"/>
    <w:rsid w:val="00847703"/>
    <w:rsid w:val="00847DF5"/>
    <w:rsid w:val="00851DB9"/>
    <w:rsid w:val="0085309D"/>
    <w:rsid w:val="00853124"/>
    <w:rsid w:val="00853287"/>
    <w:rsid w:val="00853C80"/>
    <w:rsid w:val="00856897"/>
    <w:rsid w:val="00856E9A"/>
    <w:rsid w:val="00857714"/>
    <w:rsid w:val="0086075D"/>
    <w:rsid w:val="00860986"/>
    <w:rsid w:val="00860B89"/>
    <w:rsid w:val="008611D8"/>
    <w:rsid w:val="00862502"/>
    <w:rsid w:val="00862CC1"/>
    <w:rsid w:val="008638E1"/>
    <w:rsid w:val="008640ED"/>
    <w:rsid w:val="008642A7"/>
    <w:rsid w:val="00864E22"/>
    <w:rsid w:val="008660D4"/>
    <w:rsid w:val="008663DC"/>
    <w:rsid w:val="008707ED"/>
    <w:rsid w:val="00871FA9"/>
    <w:rsid w:val="0087223F"/>
    <w:rsid w:val="008728E9"/>
    <w:rsid w:val="008774C6"/>
    <w:rsid w:val="00881438"/>
    <w:rsid w:val="00882874"/>
    <w:rsid w:val="00882E3C"/>
    <w:rsid w:val="0088308A"/>
    <w:rsid w:val="00883787"/>
    <w:rsid w:val="00884E94"/>
    <w:rsid w:val="008855E4"/>
    <w:rsid w:val="00885F0C"/>
    <w:rsid w:val="00886CD2"/>
    <w:rsid w:val="0088739A"/>
    <w:rsid w:val="00887F28"/>
    <w:rsid w:val="00891E6F"/>
    <w:rsid w:val="0089275D"/>
    <w:rsid w:val="00892A36"/>
    <w:rsid w:val="00892D6C"/>
    <w:rsid w:val="00893239"/>
    <w:rsid w:val="008933EA"/>
    <w:rsid w:val="00893988"/>
    <w:rsid w:val="008943F6"/>
    <w:rsid w:val="00894489"/>
    <w:rsid w:val="0089452B"/>
    <w:rsid w:val="00894CD6"/>
    <w:rsid w:val="0089599C"/>
    <w:rsid w:val="008963A5"/>
    <w:rsid w:val="00896449"/>
    <w:rsid w:val="00896D5D"/>
    <w:rsid w:val="00897673"/>
    <w:rsid w:val="008A1996"/>
    <w:rsid w:val="008A201F"/>
    <w:rsid w:val="008A2B64"/>
    <w:rsid w:val="008A3158"/>
    <w:rsid w:val="008A3363"/>
    <w:rsid w:val="008A3371"/>
    <w:rsid w:val="008A361F"/>
    <w:rsid w:val="008A3C3E"/>
    <w:rsid w:val="008A3C7E"/>
    <w:rsid w:val="008A41D5"/>
    <w:rsid w:val="008A5DEA"/>
    <w:rsid w:val="008A5E18"/>
    <w:rsid w:val="008A5FF9"/>
    <w:rsid w:val="008A6DF0"/>
    <w:rsid w:val="008A79DE"/>
    <w:rsid w:val="008A7AC7"/>
    <w:rsid w:val="008B00A8"/>
    <w:rsid w:val="008B1757"/>
    <w:rsid w:val="008B1C33"/>
    <w:rsid w:val="008B37D8"/>
    <w:rsid w:val="008B389E"/>
    <w:rsid w:val="008B4B6F"/>
    <w:rsid w:val="008B51AA"/>
    <w:rsid w:val="008B6018"/>
    <w:rsid w:val="008B71FF"/>
    <w:rsid w:val="008B73DF"/>
    <w:rsid w:val="008B7992"/>
    <w:rsid w:val="008B7D7E"/>
    <w:rsid w:val="008C2026"/>
    <w:rsid w:val="008C2A84"/>
    <w:rsid w:val="008C2CC7"/>
    <w:rsid w:val="008C3719"/>
    <w:rsid w:val="008C3CBC"/>
    <w:rsid w:val="008C4D81"/>
    <w:rsid w:val="008C5610"/>
    <w:rsid w:val="008C5739"/>
    <w:rsid w:val="008C6D8D"/>
    <w:rsid w:val="008C7282"/>
    <w:rsid w:val="008C72AC"/>
    <w:rsid w:val="008C73A3"/>
    <w:rsid w:val="008C79AA"/>
    <w:rsid w:val="008C7ECB"/>
    <w:rsid w:val="008D059E"/>
    <w:rsid w:val="008D1A1C"/>
    <w:rsid w:val="008D2D3D"/>
    <w:rsid w:val="008D305B"/>
    <w:rsid w:val="008D376E"/>
    <w:rsid w:val="008D3B86"/>
    <w:rsid w:val="008D43FD"/>
    <w:rsid w:val="008D4755"/>
    <w:rsid w:val="008D4B60"/>
    <w:rsid w:val="008D4C3D"/>
    <w:rsid w:val="008D5FDE"/>
    <w:rsid w:val="008D7331"/>
    <w:rsid w:val="008D743C"/>
    <w:rsid w:val="008E0B8E"/>
    <w:rsid w:val="008E0D3C"/>
    <w:rsid w:val="008E1B9E"/>
    <w:rsid w:val="008E1D47"/>
    <w:rsid w:val="008E43E8"/>
    <w:rsid w:val="008E55AB"/>
    <w:rsid w:val="008E5A41"/>
    <w:rsid w:val="008F05A0"/>
    <w:rsid w:val="008F0C94"/>
    <w:rsid w:val="008F120A"/>
    <w:rsid w:val="008F27E0"/>
    <w:rsid w:val="008F28E6"/>
    <w:rsid w:val="008F29F7"/>
    <w:rsid w:val="008F4003"/>
    <w:rsid w:val="008F459F"/>
    <w:rsid w:val="008F4832"/>
    <w:rsid w:val="008F48EB"/>
    <w:rsid w:val="008F4F0B"/>
    <w:rsid w:val="008F4F2C"/>
    <w:rsid w:val="008F52EC"/>
    <w:rsid w:val="008F6420"/>
    <w:rsid w:val="008F65E2"/>
    <w:rsid w:val="008F77A6"/>
    <w:rsid w:val="009018EF"/>
    <w:rsid w:val="00903C79"/>
    <w:rsid w:val="009046C4"/>
    <w:rsid w:val="009062A5"/>
    <w:rsid w:val="00907699"/>
    <w:rsid w:val="009076A6"/>
    <w:rsid w:val="00907F25"/>
    <w:rsid w:val="00910FA7"/>
    <w:rsid w:val="00911272"/>
    <w:rsid w:val="00911339"/>
    <w:rsid w:val="00911B78"/>
    <w:rsid w:val="009135D6"/>
    <w:rsid w:val="009148B9"/>
    <w:rsid w:val="00914C77"/>
    <w:rsid w:val="00914FCD"/>
    <w:rsid w:val="009151F1"/>
    <w:rsid w:val="00916516"/>
    <w:rsid w:val="00917EFB"/>
    <w:rsid w:val="0092051F"/>
    <w:rsid w:val="0092144B"/>
    <w:rsid w:val="00921ACB"/>
    <w:rsid w:val="0092369B"/>
    <w:rsid w:val="009276FC"/>
    <w:rsid w:val="00930345"/>
    <w:rsid w:val="00930FE4"/>
    <w:rsid w:val="0093122B"/>
    <w:rsid w:val="00933209"/>
    <w:rsid w:val="009336EB"/>
    <w:rsid w:val="00933AC6"/>
    <w:rsid w:val="00934988"/>
    <w:rsid w:val="0093682C"/>
    <w:rsid w:val="00937089"/>
    <w:rsid w:val="0094067A"/>
    <w:rsid w:val="00940FA1"/>
    <w:rsid w:val="00941E34"/>
    <w:rsid w:val="0094336F"/>
    <w:rsid w:val="009443D5"/>
    <w:rsid w:val="00944F8A"/>
    <w:rsid w:val="009510A2"/>
    <w:rsid w:val="00953257"/>
    <w:rsid w:val="009545E3"/>
    <w:rsid w:val="0095474C"/>
    <w:rsid w:val="00957D92"/>
    <w:rsid w:val="0096020C"/>
    <w:rsid w:val="00962CB9"/>
    <w:rsid w:val="00962DC3"/>
    <w:rsid w:val="009637B4"/>
    <w:rsid w:val="00964090"/>
    <w:rsid w:val="00964312"/>
    <w:rsid w:val="009648FE"/>
    <w:rsid w:val="009649D6"/>
    <w:rsid w:val="00965B8A"/>
    <w:rsid w:val="0097071F"/>
    <w:rsid w:val="009717AC"/>
    <w:rsid w:val="00971E6D"/>
    <w:rsid w:val="00972056"/>
    <w:rsid w:val="00973D6F"/>
    <w:rsid w:val="009751C1"/>
    <w:rsid w:val="00975D58"/>
    <w:rsid w:val="00976C90"/>
    <w:rsid w:val="009811F1"/>
    <w:rsid w:val="009828A6"/>
    <w:rsid w:val="00982C09"/>
    <w:rsid w:val="00983502"/>
    <w:rsid w:val="00983C8A"/>
    <w:rsid w:val="00983E57"/>
    <w:rsid w:val="00985DE2"/>
    <w:rsid w:val="00985EFC"/>
    <w:rsid w:val="009865DD"/>
    <w:rsid w:val="0098675D"/>
    <w:rsid w:val="00986CF8"/>
    <w:rsid w:val="00987BA4"/>
    <w:rsid w:val="009923BE"/>
    <w:rsid w:val="009926E0"/>
    <w:rsid w:val="0099451E"/>
    <w:rsid w:val="00994F92"/>
    <w:rsid w:val="00996B1A"/>
    <w:rsid w:val="009A18F6"/>
    <w:rsid w:val="009A2DBD"/>
    <w:rsid w:val="009A2DCC"/>
    <w:rsid w:val="009A39BB"/>
    <w:rsid w:val="009A55BD"/>
    <w:rsid w:val="009A5819"/>
    <w:rsid w:val="009A5ABC"/>
    <w:rsid w:val="009A6053"/>
    <w:rsid w:val="009A6160"/>
    <w:rsid w:val="009A7F10"/>
    <w:rsid w:val="009B099D"/>
    <w:rsid w:val="009B1592"/>
    <w:rsid w:val="009B16EA"/>
    <w:rsid w:val="009B1EAA"/>
    <w:rsid w:val="009B3E26"/>
    <w:rsid w:val="009C0F64"/>
    <w:rsid w:val="009C1271"/>
    <w:rsid w:val="009C18B8"/>
    <w:rsid w:val="009C2AD2"/>
    <w:rsid w:val="009C2BE6"/>
    <w:rsid w:val="009C3633"/>
    <w:rsid w:val="009C36DC"/>
    <w:rsid w:val="009C3706"/>
    <w:rsid w:val="009C3880"/>
    <w:rsid w:val="009C3A3A"/>
    <w:rsid w:val="009C46C7"/>
    <w:rsid w:val="009C6600"/>
    <w:rsid w:val="009C6CEA"/>
    <w:rsid w:val="009C6CF3"/>
    <w:rsid w:val="009C7B85"/>
    <w:rsid w:val="009D0254"/>
    <w:rsid w:val="009D1A64"/>
    <w:rsid w:val="009D302A"/>
    <w:rsid w:val="009D5B91"/>
    <w:rsid w:val="009D694B"/>
    <w:rsid w:val="009D792E"/>
    <w:rsid w:val="009E0210"/>
    <w:rsid w:val="009E0720"/>
    <w:rsid w:val="009E0B82"/>
    <w:rsid w:val="009E0DFE"/>
    <w:rsid w:val="009E31F6"/>
    <w:rsid w:val="009E3E18"/>
    <w:rsid w:val="009E481B"/>
    <w:rsid w:val="009E4C07"/>
    <w:rsid w:val="009E4FA1"/>
    <w:rsid w:val="009E71B4"/>
    <w:rsid w:val="009E777F"/>
    <w:rsid w:val="009F0F5B"/>
    <w:rsid w:val="009F16DA"/>
    <w:rsid w:val="009F2BFA"/>
    <w:rsid w:val="009F42CC"/>
    <w:rsid w:val="009F4A3C"/>
    <w:rsid w:val="009F6120"/>
    <w:rsid w:val="009F7E59"/>
    <w:rsid w:val="00A00D76"/>
    <w:rsid w:val="00A00EBA"/>
    <w:rsid w:val="00A01184"/>
    <w:rsid w:val="00A01449"/>
    <w:rsid w:val="00A018CE"/>
    <w:rsid w:val="00A01E75"/>
    <w:rsid w:val="00A02403"/>
    <w:rsid w:val="00A027B9"/>
    <w:rsid w:val="00A036B8"/>
    <w:rsid w:val="00A037C2"/>
    <w:rsid w:val="00A03D43"/>
    <w:rsid w:val="00A04380"/>
    <w:rsid w:val="00A04786"/>
    <w:rsid w:val="00A05115"/>
    <w:rsid w:val="00A05472"/>
    <w:rsid w:val="00A05C32"/>
    <w:rsid w:val="00A0653F"/>
    <w:rsid w:val="00A06E19"/>
    <w:rsid w:val="00A11CD0"/>
    <w:rsid w:val="00A11E09"/>
    <w:rsid w:val="00A121E6"/>
    <w:rsid w:val="00A13948"/>
    <w:rsid w:val="00A14931"/>
    <w:rsid w:val="00A1555B"/>
    <w:rsid w:val="00A155C5"/>
    <w:rsid w:val="00A16052"/>
    <w:rsid w:val="00A16AD8"/>
    <w:rsid w:val="00A17F44"/>
    <w:rsid w:val="00A2021E"/>
    <w:rsid w:val="00A20BFC"/>
    <w:rsid w:val="00A20F40"/>
    <w:rsid w:val="00A21377"/>
    <w:rsid w:val="00A214AF"/>
    <w:rsid w:val="00A21C95"/>
    <w:rsid w:val="00A21CF3"/>
    <w:rsid w:val="00A22598"/>
    <w:rsid w:val="00A23630"/>
    <w:rsid w:val="00A24813"/>
    <w:rsid w:val="00A24CDD"/>
    <w:rsid w:val="00A27AEC"/>
    <w:rsid w:val="00A307F8"/>
    <w:rsid w:val="00A320DB"/>
    <w:rsid w:val="00A32744"/>
    <w:rsid w:val="00A3389B"/>
    <w:rsid w:val="00A35D16"/>
    <w:rsid w:val="00A37BCD"/>
    <w:rsid w:val="00A40552"/>
    <w:rsid w:val="00A40A0C"/>
    <w:rsid w:val="00A41689"/>
    <w:rsid w:val="00A4187F"/>
    <w:rsid w:val="00A42592"/>
    <w:rsid w:val="00A42724"/>
    <w:rsid w:val="00A4280D"/>
    <w:rsid w:val="00A43070"/>
    <w:rsid w:val="00A43186"/>
    <w:rsid w:val="00A43C59"/>
    <w:rsid w:val="00A44AE1"/>
    <w:rsid w:val="00A45E86"/>
    <w:rsid w:val="00A46B75"/>
    <w:rsid w:val="00A46CF6"/>
    <w:rsid w:val="00A50ECD"/>
    <w:rsid w:val="00A50F70"/>
    <w:rsid w:val="00A51084"/>
    <w:rsid w:val="00A518F3"/>
    <w:rsid w:val="00A52042"/>
    <w:rsid w:val="00A52044"/>
    <w:rsid w:val="00A523CD"/>
    <w:rsid w:val="00A52729"/>
    <w:rsid w:val="00A52983"/>
    <w:rsid w:val="00A53675"/>
    <w:rsid w:val="00A564C0"/>
    <w:rsid w:val="00A564D7"/>
    <w:rsid w:val="00A56B6A"/>
    <w:rsid w:val="00A57334"/>
    <w:rsid w:val="00A578DC"/>
    <w:rsid w:val="00A60671"/>
    <w:rsid w:val="00A6134C"/>
    <w:rsid w:val="00A61AD7"/>
    <w:rsid w:val="00A61C79"/>
    <w:rsid w:val="00A62B5A"/>
    <w:rsid w:val="00A640E2"/>
    <w:rsid w:val="00A6474E"/>
    <w:rsid w:val="00A64D65"/>
    <w:rsid w:val="00A652B2"/>
    <w:rsid w:val="00A65963"/>
    <w:rsid w:val="00A65E85"/>
    <w:rsid w:val="00A668B7"/>
    <w:rsid w:val="00A669D8"/>
    <w:rsid w:val="00A6725B"/>
    <w:rsid w:val="00A70344"/>
    <w:rsid w:val="00A70605"/>
    <w:rsid w:val="00A73134"/>
    <w:rsid w:val="00A7365A"/>
    <w:rsid w:val="00A75366"/>
    <w:rsid w:val="00A76001"/>
    <w:rsid w:val="00A76560"/>
    <w:rsid w:val="00A777B2"/>
    <w:rsid w:val="00A81217"/>
    <w:rsid w:val="00A81395"/>
    <w:rsid w:val="00A823AB"/>
    <w:rsid w:val="00A825D4"/>
    <w:rsid w:val="00A828F6"/>
    <w:rsid w:val="00A82B73"/>
    <w:rsid w:val="00A85CFC"/>
    <w:rsid w:val="00A86E8B"/>
    <w:rsid w:val="00A86FE5"/>
    <w:rsid w:val="00A87164"/>
    <w:rsid w:val="00A871A9"/>
    <w:rsid w:val="00A90385"/>
    <w:rsid w:val="00A9280C"/>
    <w:rsid w:val="00A93072"/>
    <w:rsid w:val="00A934B3"/>
    <w:rsid w:val="00A938BD"/>
    <w:rsid w:val="00A93953"/>
    <w:rsid w:val="00A943A6"/>
    <w:rsid w:val="00A95754"/>
    <w:rsid w:val="00A959D8"/>
    <w:rsid w:val="00A977D1"/>
    <w:rsid w:val="00A97E22"/>
    <w:rsid w:val="00AA02E9"/>
    <w:rsid w:val="00AA0EDF"/>
    <w:rsid w:val="00AA113D"/>
    <w:rsid w:val="00AA2F86"/>
    <w:rsid w:val="00AA36B8"/>
    <w:rsid w:val="00AA4D2F"/>
    <w:rsid w:val="00AA6BD5"/>
    <w:rsid w:val="00AA6BD8"/>
    <w:rsid w:val="00AA6C7D"/>
    <w:rsid w:val="00AA7FD6"/>
    <w:rsid w:val="00AB03EB"/>
    <w:rsid w:val="00AB042A"/>
    <w:rsid w:val="00AB11AD"/>
    <w:rsid w:val="00AB19EF"/>
    <w:rsid w:val="00AB1BE2"/>
    <w:rsid w:val="00AB2495"/>
    <w:rsid w:val="00AB2D34"/>
    <w:rsid w:val="00AB3430"/>
    <w:rsid w:val="00AB37B9"/>
    <w:rsid w:val="00AB3E80"/>
    <w:rsid w:val="00AB3F34"/>
    <w:rsid w:val="00AB48B2"/>
    <w:rsid w:val="00AB4AD1"/>
    <w:rsid w:val="00AB52ED"/>
    <w:rsid w:val="00AB5BDD"/>
    <w:rsid w:val="00AB5E07"/>
    <w:rsid w:val="00AB62ED"/>
    <w:rsid w:val="00AB63D8"/>
    <w:rsid w:val="00AB7CFA"/>
    <w:rsid w:val="00AC05AF"/>
    <w:rsid w:val="00AC1F96"/>
    <w:rsid w:val="00AC3E2B"/>
    <w:rsid w:val="00AC49EB"/>
    <w:rsid w:val="00AC4A35"/>
    <w:rsid w:val="00AC5554"/>
    <w:rsid w:val="00AC5B42"/>
    <w:rsid w:val="00AC5B48"/>
    <w:rsid w:val="00AC69F6"/>
    <w:rsid w:val="00AC75CA"/>
    <w:rsid w:val="00AC7764"/>
    <w:rsid w:val="00AD1450"/>
    <w:rsid w:val="00AD15E8"/>
    <w:rsid w:val="00AD356D"/>
    <w:rsid w:val="00AD3D63"/>
    <w:rsid w:val="00AD6502"/>
    <w:rsid w:val="00AD6CFF"/>
    <w:rsid w:val="00AE0695"/>
    <w:rsid w:val="00AE2457"/>
    <w:rsid w:val="00AE35CB"/>
    <w:rsid w:val="00AE3CB7"/>
    <w:rsid w:val="00AE3E7E"/>
    <w:rsid w:val="00AE59C8"/>
    <w:rsid w:val="00AE77F4"/>
    <w:rsid w:val="00AE7E53"/>
    <w:rsid w:val="00AF1315"/>
    <w:rsid w:val="00AF19BF"/>
    <w:rsid w:val="00AF2DC3"/>
    <w:rsid w:val="00AF61D7"/>
    <w:rsid w:val="00AF6463"/>
    <w:rsid w:val="00B00F84"/>
    <w:rsid w:val="00B01A8D"/>
    <w:rsid w:val="00B03006"/>
    <w:rsid w:val="00B033E5"/>
    <w:rsid w:val="00B03A63"/>
    <w:rsid w:val="00B049DD"/>
    <w:rsid w:val="00B04E1F"/>
    <w:rsid w:val="00B101AB"/>
    <w:rsid w:val="00B10FF2"/>
    <w:rsid w:val="00B129A4"/>
    <w:rsid w:val="00B12B4A"/>
    <w:rsid w:val="00B13870"/>
    <w:rsid w:val="00B1428A"/>
    <w:rsid w:val="00B15FCA"/>
    <w:rsid w:val="00B16680"/>
    <w:rsid w:val="00B16B93"/>
    <w:rsid w:val="00B17005"/>
    <w:rsid w:val="00B17AB1"/>
    <w:rsid w:val="00B201A4"/>
    <w:rsid w:val="00B201D1"/>
    <w:rsid w:val="00B20FC6"/>
    <w:rsid w:val="00B213A6"/>
    <w:rsid w:val="00B21AF2"/>
    <w:rsid w:val="00B22898"/>
    <w:rsid w:val="00B235B0"/>
    <w:rsid w:val="00B23A09"/>
    <w:rsid w:val="00B24A64"/>
    <w:rsid w:val="00B24DF6"/>
    <w:rsid w:val="00B2584B"/>
    <w:rsid w:val="00B25EBA"/>
    <w:rsid w:val="00B26258"/>
    <w:rsid w:val="00B27A61"/>
    <w:rsid w:val="00B30B9C"/>
    <w:rsid w:val="00B30C01"/>
    <w:rsid w:val="00B30E5A"/>
    <w:rsid w:val="00B31FB7"/>
    <w:rsid w:val="00B33185"/>
    <w:rsid w:val="00B3485A"/>
    <w:rsid w:val="00B34FE2"/>
    <w:rsid w:val="00B35166"/>
    <w:rsid w:val="00B357D8"/>
    <w:rsid w:val="00B360F4"/>
    <w:rsid w:val="00B36873"/>
    <w:rsid w:val="00B36A00"/>
    <w:rsid w:val="00B372ED"/>
    <w:rsid w:val="00B3792B"/>
    <w:rsid w:val="00B37BFC"/>
    <w:rsid w:val="00B40358"/>
    <w:rsid w:val="00B40410"/>
    <w:rsid w:val="00B40D70"/>
    <w:rsid w:val="00B41614"/>
    <w:rsid w:val="00B4221E"/>
    <w:rsid w:val="00B42851"/>
    <w:rsid w:val="00B42F80"/>
    <w:rsid w:val="00B430FF"/>
    <w:rsid w:val="00B435CB"/>
    <w:rsid w:val="00B45407"/>
    <w:rsid w:val="00B4610B"/>
    <w:rsid w:val="00B465EC"/>
    <w:rsid w:val="00B46F6C"/>
    <w:rsid w:val="00B47748"/>
    <w:rsid w:val="00B505C8"/>
    <w:rsid w:val="00B50DB8"/>
    <w:rsid w:val="00B520FC"/>
    <w:rsid w:val="00B5231F"/>
    <w:rsid w:val="00B53654"/>
    <w:rsid w:val="00B53905"/>
    <w:rsid w:val="00B546DB"/>
    <w:rsid w:val="00B54B5B"/>
    <w:rsid w:val="00B5562E"/>
    <w:rsid w:val="00B55862"/>
    <w:rsid w:val="00B55D65"/>
    <w:rsid w:val="00B56305"/>
    <w:rsid w:val="00B57000"/>
    <w:rsid w:val="00B603C8"/>
    <w:rsid w:val="00B60939"/>
    <w:rsid w:val="00B60AFD"/>
    <w:rsid w:val="00B62113"/>
    <w:rsid w:val="00B62715"/>
    <w:rsid w:val="00B63254"/>
    <w:rsid w:val="00B6326A"/>
    <w:rsid w:val="00B640FD"/>
    <w:rsid w:val="00B65239"/>
    <w:rsid w:val="00B654FE"/>
    <w:rsid w:val="00B65611"/>
    <w:rsid w:val="00B657C4"/>
    <w:rsid w:val="00B667FF"/>
    <w:rsid w:val="00B67847"/>
    <w:rsid w:val="00B70E8E"/>
    <w:rsid w:val="00B71FDA"/>
    <w:rsid w:val="00B722D4"/>
    <w:rsid w:val="00B72F33"/>
    <w:rsid w:val="00B76C92"/>
    <w:rsid w:val="00B7763F"/>
    <w:rsid w:val="00B8009A"/>
    <w:rsid w:val="00B80EFD"/>
    <w:rsid w:val="00B818A4"/>
    <w:rsid w:val="00B81C20"/>
    <w:rsid w:val="00B82009"/>
    <w:rsid w:val="00B83739"/>
    <w:rsid w:val="00B84117"/>
    <w:rsid w:val="00B84582"/>
    <w:rsid w:val="00B858F0"/>
    <w:rsid w:val="00B85AA2"/>
    <w:rsid w:val="00B86423"/>
    <w:rsid w:val="00B8649C"/>
    <w:rsid w:val="00B8695D"/>
    <w:rsid w:val="00B87310"/>
    <w:rsid w:val="00B87F0A"/>
    <w:rsid w:val="00B91431"/>
    <w:rsid w:val="00B92D0B"/>
    <w:rsid w:val="00B94945"/>
    <w:rsid w:val="00B94DD6"/>
    <w:rsid w:val="00B96260"/>
    <w:rsid w:val="00BA27B9"/>
    <w:rsid w:val="00BA2E86"/>
    <w:rsid w:val="00BA322D"/>
    <w:rsid w:val="00BA329D"/>
    <w:rsid w:val="00BA4874"/>
    <w:rsid w:val="00BA513F"/>
    <w:rsid w:val="00BA63FA"/>
    <w:rsid w:val="00BB00B3"/>
    <w:rsid w:val="00BB0758"/>
    <w:rsid w:val="00BB0BDD"/>
    <w:rsid w:val="00BB176C"/>
    <w:rsid w:val="00BB247E"/>
    <w:rsid w:val="00BB2A73"/>
    <w:rsid w:val="00BB395F"/>
    <w:rsid w:val="00BB3A45"/>
    <w:rsid w:val="00BB4ACC"/>
    <w:rsid w:val="00BB4BF7"/>
    <w:rsid w:val="00BB4DEA"/>
    <w:rsid w:val="00BB703E"/>
    <w:rsid w:val="00BB732D"/>
    <w:rsid w:val="00BB7405"/>
    <w:rsid w:val="00BC12BC"/>
    <w:rsid w:val="00BC153F"/>
    <w:rsid w:val="00BC3631"/>
    <w:rsid w:val="00BC3ABE"/>
    <w:rsid w:val="00BC565A"/>
    <w:rsid w:val="00BC591F"/>
    <w:rsid w:val="00BC7D6D"/>
    <w:rsid w:val="00BD05AE"/>
    <w:rsid w:val="00BD2108"/>
    <w:rsid w:val="00BD3BF8"/>
    <w:rsid w:val="00BD4CC1"/>
    <w:rsid w:val="00BD4EE5"/>
    <w:rsid w:val="00BD68A3"/>
    <w:rsid w:val="00BD6938"/>
    <w:rsid w:val="00BD6CF3"/>
    <w:rsid w:val="00BD7F72"/>
    <w:rsid w:val="00BE0ECA"/>
    <w:rsid w:val="00BE18C5"/>
    <w:rsid w:val="00BE1CE6"/>
    <w:rsid w:val="00BE2180"/>
    <w:rsid w:val="00BE21F2"/>
    <w:rsid w:val="00BE28B0"/>
    <w:rsid w:val="00BE36F8"/>
    <w:rsid w:val="00BE4275"/>
    <w:rsid w:val="00BE55BE"/>
    <w:rsid w:val="00BE5AEA"/>
    <w:rsid w:val="00BE62A6"/>
    <w:rsid w:val="00BF06AE"/>
    <w:rsid w:val="00BF0F95"/>
    <w:rsid w:val="00BF1FB5"/>
    <w:rsid w:val="00BF2433"/>
    <w:rsid w:val="00BF2A31"/>
    <w:rsid w:val="00BF2B91"/>
    <w:rsid w:val="00BF2E6E"/>
    <w:rsid w:val="00BF581C"/>
    <w:rsid w:val="00BF61C9"/>
    <w:rsid w:val="00BF6C94"/>
    <w:rsid w:val="00BF787E"/>
    <w:rsid w:val="00C00424"/>
    <w:rsid w:val="00C00BB0"/>
    <w:rsid w:val="00C02CDE"/>
    <w:rsid w:val="00C03618"/>
    <w:rsid w:val="00C047C5"/>
    <w:rsid w:val="00C063A4"/>
    <w:rsid w:val="00C10535"/>
    <w:rsid w:val="00C115AF"/>
    <w:rsid w:val="00C1179F"/>
    <w:rsid w:val="00C127B9"/>
    <w:rsid w:val="00C128FA"/>
    <w:rsid w:val="00C12C14"/>
    <w:rsid w:val="00C13517"/>
    <w:rsid w:val="00C15F04"/>
    <w:rsid w:val="00C16116"/>
    <w:rsid w:val="00C17763"/>
    <w:rsid w:val="00C179B3"/>
    <w:rsid w:val="00C17E3F"/>
    <w:rsid w:val="00C200AA"/>
    <w:rsid w:val="00C203DB"/>
    <w:rsid w:val="00C20FD5"/>
    <w:rsid w:val="00C223A0"/>
    <w:rsid w:val="00C237ED"/>
    <w:rsid w:val="00C23ED3"/>
    <w:rsid w:val="00C24632"/>
    <w:rsid w:val="00C24799"/>
    <w:rsid w:val="00C25418"/>
    <w:rsid w:val="00C25B44"/>
    <w:rsid w:val="00C25D66"/>
    <w:rsid w:val="00C25D9C"/>
    <w:rsid w:val="00C2778B"/>
    <w:rsid w:val="00C2793F"/>
    <w:rsid w:val="00C31615"/>
    <w:rsid w:val="00C31649"/>
    <w:rsid w:val="00C319E8"/>
    <w:rsid w:val="00C320CC"/>
    <w:rsid w:val="00C324A2"/>
    <w:rsid w:val="00C32E43"/>
    <w:rsid w:val="00C330BF"/>
    <w:rsid w:val="00C33B5F"/>
    <w:rsid w:val="00C342C6"/>
    <w:rsid w:val="00C3434C"/>
    <w:rsid w:val="00C40385"/>
    <w:rsid w:val="00C41768"/>
    <w:rsid w:val="00C4456C"/>
    <w:rsid w:val="00C44D12"/>
    <w:rsid w:val="00C4535C"/>
    <w:rsid w:val="00C46AAD"/>
    <w:rsid w:val="00C475AA"/>
    <w:rsid w:val="00C50BFF"/>
    <w:rsid w:val="00C527C7"/>
    <w:rsid w:val="00C5351D"/>
    <w:rsid w:val="00C53C98"/>
    <w:rsid w:val="00C56632"/>
    <w:rsid w:val="00C56ECD"/>
    <w:rsid w:val="00C56FCF"/>
    <w:rsid w:val="00C57B6C"/>
    <w:rsid w:val="00C61A59"/>
    <w:rsid w:val="00C628A6"/>
    <w:rsid w:val="00C63E64"/>
    <w:rsid w:val="00C64092"/>
    <w:rsid w:val="00C64344"/>
    <w:rsid w:val="00C65108"/>
    <w:rsid w:val="00C6514C"/>
    <w:rsid w:val="00C65576"/>
    <w:rsid w:val="00C65B95"/>
    <w:rsid w:val="00C66165"/>
    <w:rsid w:val="00C667F1"/>
    <w:rsid w:val="00C6701C"/>
    <w:rsid w:val="00C67CA5"/>
    <w:rsid w:val="00C7060A"/>
    <w:rsid w:val="00C7151A"/>
    <w:rsid w:val="00C717E3"/>
    <w:rsid w:val="00C71F60"/>
    <w:rsid w:val="00C72241"/>
    <w:rsid w:val="00C7273C"/>
    <w:rsid w:val="00C7447D"/>
    <w:rsid w:val="00C74C0B"/>
    <w:rsid w:val="00C750C8"/>
    <w:rsid w:val="00C75521"/>
    <w:rsid w:val="00C7560F"/>
    <w:rsid w:val="00C803FE"/>
    <w:rsid w:val="00C80A0E"/>
    <w:rsid w:val="00C8213F"/>
    <w:rsid w:val="00C8243B"/>
    <w:rsid w:val="00C828D0"/>
    <w:rsid w:val="00C8303F"/>
    <w:rsid w:val="00C8334D"/>
    <w:rsid w:val="00C83A73"/>
    <w:rsid w:val="00C840F2"/>
    <w:rsid w:val="00C85154"/>
    <w:rsid w:val="00C855C2"/>
    <w:rsid w:val="00C85A70"/>
    <w:rsid w:val="00C85C79"/>
    <w:rsid w:val="00C8797A"/>
    <w:rsid w:val="00C87B76"/>
    <w:rsid w:val="00C900B8"/>
    <w:rsid w:val="00C90197"/>
    <w:rsid w:val="00C90C71"/>
    <w:rsid w:val="00C91FD1"/>
    <w:rsid w:val="00C931CF"/>
    <w:rsid w:val="00C938CF"/>
    <w:rsid w:val="00C94053"/>
    <w:rsid w:val="00C9624D"/>
    <w:rsid w:val="00C969DA"/>
    <w:rsid w:val="00C96A16"/>
    <w:rsid w:val="00CA1453"/>
    <w:rsid w:val="00CA24DD"/>
    <w:rsid w:val="00CA2C77"/>
    <w:rsid w:val="00CA2CAA"/>
    <w:rsid w:val="00CA3710"/>
    <w:rsid w:val="00CA3A86"/>
    <w:rsid w:val="00CA444F"/>
    <w:rsid w:val="00CA4723"/>
    <w:rsid w:val="00CA4998"/>
    <w:rsid w:val="00CA4E86"/>
    <w:rsid w:val="00CA5245"/>
    <w:rsid w:val="00CA5A19"/>
    <w:rsid w:val="00CA71F4"/>
    <w:rsid w:val="00CA7B09"/>
    <w:rsid w:val="00CB12A5"/>
    <w:rsid w:val="00CB1CAC"/>
    <w:rsid w:val="00CB2F2A"/>
    <w:rsid w:val="00CB429A"/>
    <w:rsid w:val="00CB4D5C"/>
    <w:rsid w:val="00CB5923"/>
    <w:rsid w:val="00CB5B1A"/>
    <w:rsid w:val="00CB6B22"/>
    <w:rsid w:val="00CB6D3E"/>
    <w:rsid w:val="00CB7F5F"/>
    <w:rsid w:val="00CC03C5"/>
    <w:rsid w:val="00CC1B39"/>
    <w:rsid w:val="00CC1BFA"/>
    <w:rsid w:val="00CC28BB"/>
    <w:rsid w:val="00CC2E9F"/>
    <w:rsid w:val="00CC35EA"/>
    <w:rsid w:val="00CC3848"/>
    <w:rsid w:val="00CC5572"/>
    <w:rsid w:val="00CC6049"/>
    <w:rsid w:val="00CC6097"/>
    <w:rsid w:val="00CC6764"/>
    <w:rsid w:val="00CC6D5E"/>
    <w:rsid w:val="00CC724A"/>
    <w:rsid w:val="00CD0200"/>
    <w:rsid w:val="00CD3F77"/>
    <w:rsid w:val="00CD6ADC"/>
    <w:rsid w:val="00CD7193"/>
    <w:rsid w:val="00CE0B04"/>
    <w:rsid w:val="00CE38C8"/>
    <w:rsid w:val="00CE44DF"/>
    <w:rsid w:val="00CE524F"/>
    <w:rsid w:val="00CE58CC"/>
    <w:rsid w:val="00CE5ED9"/>
    <w:rsid w:val="00CE6274"/>
    <w:rsid w:val="00CE6FAD"/>
    <w:rsid w:val="00CE77B6"/>
    <w:rsid w:val="00CF035F"/>
    <w:rsid w:val="00CF0C4E"/>
    <w:rsid w:val="00CF150C"/>
    <w:rsid w:val="00CF1FF0"/>
    <w:rsid w:val="00CF23E9"/>
    <w:rsid w:val="00CF2B8D"/>
    <w:rsid w:val="00CF3825"/>
    <w:rsid w:val="00CF3A1B"/>
    <w:rsid w:val="00CF456B"/>
    <w:rsid w:val="00CF5050"/>
    <w:rsid w:val="00CF5109"/>
    <w:rsid w:val="00CF55B3"/>
    <w:rsid w:val="00CF5A22"/>
    <w:rsid w:val="00CF6833"/>
    <w:rsid w:val="00D00A61"/>
    <w:rsid w:val="00D00EF2"/>
    <w:rsid w:val="00D0262E"/>
    <w:rsid w:val="00D03210"/>
    <w:rsid w:val="00D03679"/>
    <w:rsid w:val="00D03BAC"/>
    <w:rsid w:val="00D050A4"/>
    <w:rsid w:val="00D05E3D"/>
    <w:rsid w:val="00D06139"/>
    <w:rsid w:val="00D10108"/>
    <w:rsid w:val="00D10986"/>
    <w:rsid w:val="00D10B51"/>
    <w:rsid w:val="00D110BD"/>
    <w:rsid w:val="00D12F13"/>
    <w:rsid w:val="00D13675"/>
    <w:rsid w:val="00D141E1"/>
    <w:rsid w:val="00D15314"/>
    <w:rsid w:val="00D15B48"/>
    <w:rsid w:val="00D1606F"/>
    <w:rsid w:val="00D1740D"/>
    <w:rsid w:val="00D17502"/>
    <w:rsid w:val="00D17D6C"/>
    <w:rsid w:val="00D20E5A"/>
    <w:rsid w:val="00D2155B"/>
    <w:rsid w:val="00D23D11"/>
    <w:rsid w:val="00D244B6"/>
    <w:rsid w:val="00D268F3"/>
    <w:rsid w:val="00D2754D"/>
    <w:rsid w:val="00D27B27"/>
    <w:rsid w:val="00D30D5B"/>
    <w:rsid w:val="00D30D94"/>
    <w:rsid w:val="00D31A4C"/>
    <w:rsid w:val="00D3277E"/>
    <w:rsid w:val="00D338F4"/>
    <w:rsid w:val="00D33BE9"/>
    <w:rsid w:val="00D33F93"/>
    <w:rsid w:val="00D357FF"/>
    <w:rsid w:val="00D35EF3"/>
    <w:rsid w:val="00D37223"/>
    <w:rsid w:val="00D3753C"/>
    <w:rsid w:val="00D37C43"/>
    <w:rsid w:val="00D37D30"/>
    <w:rsid w:val="00D40704"/>
    <w:rsid w:val="00D423C8"/>
    <w:rsid w:val="00D424C7"/>
    <w:rsid w:val="00D42C19"/>
    <w:rsid w:val="00D4384D"/>
    <w:rsid w:val="00D43B2A"/>
    <w:rsid w:val="00D43CF1"/>
    <w:rsid w:val="00D43D37"/>
    <w:rsid w:val="00D43D83"/>
    <w:rsid w:val="00D4708E"/>
    <w:rsid w:val="00D4754E"/>
    <w:rsid w:val="00D47575"/>
    <w:rsid w:val="00D50977"/>
    <w:rsid w:val="00D51C3B"/>
    <w:rsid w:val="00D5243B"/>
    <w:rsid w:val="00D530A5"/>
    <w:rsid w:val="00D533EC"/>
    <w:rsid w:val="00D56A95"/>
    <w:rsid w:val="00D60152"/>
    <w:rsid w:val="00D6076E"/>
    <w:rsid w:val="00D61381"/>
    <w:rsid w:val="00D6301A"/>
    <w:rsid w:val="00D64230"/>
    <w:rsid w:val="00D64273"/>
    <w:rsid w:val="00D6609F"/>
    <w:rsid w:val="00D66152"/>
    <w:rsid w:val="00D666BB"/>
    <w:rsid w:val="00D70F16"/>
    <w:rsid w:val="00D70F3F"/>
    <w:rsid w:val="00D72617"/>
    <w:rsid w:val="00D72F57"/>
    <w:rsid w:val="00D7438A"/>
    <w:rsid w:val="00D75C40"/>
    <w:rsid w:val="00D76A44"/>
    <w:rsid w:val="00D815EF"/>
    <w:rsid w:val="00D81949"/>
    <w:rsid w:val="00D81F26"/>
    <w:rsid w:val="00D822E2"/>
    <w:rsid w:val="00D83CC1"/>
    <w:rsid w:val="00D841E5"/>
    <w:rsid w:val="00D843F2"/>
    <w:rsid w:val="00D86231"/>
    <w:rsid w:val="00D8665A"/>
    <w:rsid w:val="00D86C7A"/>
    <w:rsid w:val="00D86E29"/>
    <w:rsid w:val="00D8755C"/>
    <w:rsid w:val="00D87D31"/>
    <w:rsid w:val="00D9018D"/>
    <w:rsid w:val="00D912AB"/>
    <w:rsid w:val="00D91923"/>
    <w:rsid w:val="00D9312F"/>
    <w:rsid w:val="00D93753"/>
    <w:rsid w:val="00D9430D"/>
    <w:rsid w:val="00D9580A"/>
    <w:rsid w:val="00DA05E0"/>
    <w:rsid w:val="00DA0DD1"/>
    <w:rsid w:val="00DA236C"/>
    <w:rsid w:val="00DA3167"/>
    <w:rsid w:val="00DA3371"/>
    <w:rsid w:val="00DA4DC3"/>
    <w:rsid w:val="00DA5819"/>
    <w:rsid w:val="00DA66E9"/>
    <w:rsid w:val="00DA6ADE"/>
    <w:rsid w:val="00DA77A5"/>
    <w:rsid w:val="00DA7854"/>
    <w:rsid w:val="00DB0E36"/>
    <w:rsid w:val="00DB1B1A"/>
    <w:rsid w:val="00DB2172"/>
    <w:rsid w:val="00DB21F6"/>
    <w:rsid w:val="00DB334B"/>
    <w:rsid w:val="00DB3DBF"/>
    <w:rsid w:val="00DB3E45"/>
    <w:rsid w:val="00DB47A9"/>
    <w:rsid w:val="00DB484F"/>
    <w:rsid w:val="00DB5A4F"/>
    <w:rsid w:val="00DB7976"/>
    <w:rsid w:val="00DB7D33"/>
    <w:rsid w:val="00DC04F6"/>
    <w:rsid w:val="00DC0690"/>
    <w:rsid w:val="00DC104F"/>
    <w:rsid w:val="00DC122D"/>
    <w:rsid w:val="00DC18A2"/>
    <w:rsid w:val="00DC1D65"/>
    <w:rsid w:val="00DC2647"/>
    <w:rsid w:val="00DC2840"/>
    <w:rsid w:val="00DC32D7"/>
    <w:rsid w:val="00DC3772"/>
    <w:rsid w:val="00DC3C57"/>
    <w:rsid w:val="00DC463B"/>
    <w:rsid w:val="00DC4949"/>
    <w:rsid w:val="00DC4BF2"/>
    <w:rsid w:val="00DC5501"/>
    <w:rsid w:val="00DC5DE4"/>
    <w:rsid w:val="00DC63DE"/>
    <w:rsid w:val="00DC7154"/>
    <w:rsid w:val="00DC799B"/>
    <w:rsid w:val="00DC7E8A"/>
    <w:rsid w:val="00DD0BB7"/>
    <w:rsid w:val="00DD0F78"/>
    <w:rsid w:val="00DD273C"/>
    <w:rsid w:val="00DD333C"/>
    <w:rsid w:val="00DD3A84"/>
    <w:rsid w:val="00DD3E15"/>
    <w:rsid w:val="00DD3F28"/>
    <w:rsid w:val="00DD4446"/>
    <w:rsid w:val="00DD4537"/>
    <w:rsid w:val="00DD4E15"/>
    <w:rsid w:val="00DD6407"/>
    <w:rsid w:val="00DD729E"/>
    <w:rsid w:val="00DD77FC"/>
    <w:rsid w:val="00DE0C0F"/>
    <w:rsid w:val="00DE2304"/>
    <w:rsid w:val="00DE2FC5"/>
    <w:rsid w:val="00DE3138"/>
    <w:rsid w:val="00DE37F8"/>
    <w:rsid w:val="00DE4273"/>
    <w:rsid w:val="00DE4FCB"/>
    <w:rsid w:val="00DE5298"/>
    <w:rsid w:val="00DE5441"/>
    <w:rsid w:val="00DE5D07"/>
    <w:rsid w:val="00DE6CAD"/>
    <w:rsid w:val="00DE72A7"/>
    <w:rsid w:val="00DE7832"/>
    <w:rsid w:val="00DE7C3D"/>
    <w:rsid w:val="00DF0D58"/>
    <w:rsid w:val="00DF0F61"/>
    <w:rsid w:val="00DF0F8B"/>
    <w:rsid w:val="00DF18FC"/>
    <w:rsid w:val="00DF1BE4"/>
    <w:rsid w:val="00DF1C86"/>
    <w:rsid w:val="00DF2C5C"/>
    <w:rsid w:val="00DF3F07"/>
    <w:rsid w:val="00DF455A"/>
    <w:rsid w:val="00DF5D2B"/>
    <w:rsid w:val="00DF6341"/>
    <w:rsid w:val="00E00499"/>
    <w:rsid w:val="00E00E8E"/>
    <w:rsid w:val="00E024E8"/>
    <w:rsid w:val="00E03DF6"/>
    <w:rsid w:val="00E03F2B"/>
    <w:rsid w:val="00E05630"/>
    <w:rsid w:val="00E05ECE"/>
    <w:rsid w:val="00E06DBB"/>
    <w:rsid w:val="00E0754C"/>
    <w:rsid w:val="00E076E8"/>
    <w:rsid w:val="00E10149"/>
    <w:rsid w:val="00E11340"/>
    <w:rsid w:val="00E122A1"/>
    <w:rsid w:val="00E12EDB"/>
    <w:rsid w:val="00E13B3A"/>
    <w:rsid w:val="00E1589A"/>
    <w:rsid w:val="00E15A00"/>
    <w:rsid w:val="00E16372"/>
    <w:rsid w:val="00E1694D"/>
    <w:rsid w:val="00E16AD8"/>
    <w:rsid w:val="00E17FFA"/>
    <w:rsid w:val="00E20E4D"/>
    <w:rsid w:val="00E20ED6"/>
    <w:rsid w:val="00E21358"/>
    <w:rsid w:val="00E2249B"/>
    <w:rsid w:val="00E2256F"/>
    <w:rsid w:val="00E22A0D"/>
    <w:rsid w:val="00E23D18"/>
    <w:rsid w:val="00E244F6"/>
    <w:rsid w:val="00E258DB"/>
    <w:rsid w:val="00E2771E"/>
    <w:rsid w:val="00E3048A"/>
    <w:rsid w:val="00E311EF"/>
    <w:rsid w:val="00E32180"/>
    <w:rsid w:val="00E32B39"/>
    <w:rsid w:val="00E33A43"/>
    <w:rsid w:val="00E34391"/>
    <w:rsid w:val="00E34948"/>
    <w:rsid w:val="00E352DD"/>
    <w:rsid w:val="00E35715"/>
    <w:rsid w:val="00E35C13"/>
    <w:rsid w:val="00E37569"/>
    <w:rsid w:val="00E401B2"/>
    <w:rsid w:val="00E40916"/>
    <w:rsid w:val="00E40A70"/>
    <w:rsid w:val="00E40FB3"/>
    <w:rsid w:val="00E41E30"/>
    <w:rsid w:val="00E42F73"/>
    <w:rsid w:val="00E434C6"/>
    <w:rsid w:val="00E435BC"/>
    <w:rsid w:val="00E43D70"/>
    <w:rsid w:val="00E466F3"/>
    <w:rsid w:val="00E46B98"/>
    <w:rsid w:val="00E47B2C"/>
    <w:rsid w:val="00E500D5"/>
    <w:rsid w:val="00E51560"/>
    <w:rsid w:val="00E51821"/>
    <w:rsid w:val="00E53B2B"/>
    <w:rsid w:val="00E53FC8"/>
    <w:rsid w:val="00E54347"/>
    <w:rsid w:val="00E55424"/>
    <w:rsid w:val="00E55520"/>
    <w:rsid w:val="00E55915"/>
    <w:rsid w:val="00E55BB5"/>
    <w:rsid w:val="00E560FF"/>
    <w:rsid w:val="00E5648D"/>
    <w:rsid w:val="00E56EFC"/>
    <w:rsid w:val="00E57633"/>
    <w:rsid w:val="00E6088A"/>
    <w:rsid w:val="00E611DF"/>
    <w:rsid w:val="00E613D5"/>
    <w:rsid w:val="00E633B4"/>
    <w:rsid w:val="00E65E79"/>
    <w:rsid w:val="00E6690E"/>
    <w:rsid w:val="00E66BA2"/>
    <w:rsid w:val="00E67416"/>
    <w:rsid w:val="00E67D65"/>
    <w:rsid w:val="00E718B6"/>
    <w:rsid w:val="00E719E9"/>
    <w:rsid w:val="00E71B26"/>
    <w:rsid w:val="00E723BA"/>
    <w:rsid w:val="00E72B84"/>
    <w:rsid w:val="00E73581"/>
    <w:rsid w:val="00E750E5"/>
    <w:rsid w:val="00E77C8A"/>
    <w:rsid w:val="00E80529"/>
    <w:rsid w:val="00E833F7"/>
    <w:rsid w:val="00E83BDF"/>
    <w:rsid w:val="00E843EE"/>
    <w:rsid w:val="00E853C5"/>
    <w:rsid w:val="00E86FCC"/>
    <w:rsid w:val="00E8704D"/>
    <w:rsid w:val="00E87A1D"/>
    <w:rsid w:val="00E9094A"/>
    <w:rsid w:val="00E90A89"/>
    <w:rsid w:val="00E90AB8"/>
    <w:rsid w:val="00E9180F"/>
    <w:rsid w:val="00E91D35"/>
    <w:rsid w:val="00E926A5"/>
    <w:rsid w:val="00E941ED"/>
    <w:rsid w:val="00E94401"/>
    <w:rsid w:val="00E95AF8"/>
    <w:rsid w:val="00E962CC"/>
    <w:rsid w:val="00EA17C3"/>
    <w:rsid w:val="00EA242F"/>
    <w:rsid w:val="00EA2955"/>
    <w:rsid w:val="00EA2C07"/>
    <w:rsid w:val="00EA2CAA"/>
    <w:rsid w:val="00EA315F"/>
    <w:rsid w:val="00EA3864"/>
    <w:rsid w:val="00EA38CB"/>
    <w:rsid w:val="00EA406E"/>
    <w:rsid w:val="00EA7F1C"/>
    <w:rsid w:val="00EA7FFE"/>
    <w:rsid w:val="00EB0045"/>
    <w:rsid w:val="00EB07C8"/>
    <w:rsid w:val="00EB0F45"/>
    <w:rsid w:val="00EB15B6"/>
    <w:rsid w:val="00EB3889"/>
    <w:rsid w:val="00EB3D06"/>
    <w:rsid w:val="00EB3EA2"/>
    <w:rsid w:val="00EB4649"/>
    <w:rsid w:val="00EB4916"/>
    <w:rsid w:val="00EB7827"/>
    <w:rsid w:val="00EC00C9"/>
    <w:rsid w:val="00EC0DD9"/>
    <w:rsid w:val="00EC2649"/>
    <w:rsid w:val="00EC31ED"/>
    <w:rsid w:val="00EC3218"/>
    <w:rsid w:val="00EC499C"/>
    <w:rsid w:val="00EC5836"/>
    <w:rsid w:val="00EC688C"/>
    <w:rsid w:val="00EC705B"/>
    <w:rsid w:val="00ED00EB"/>
    <w:rsid w:val="00ED12E3"/>
    <w:rsid w:val="00ED3CC8"/>
    <w:rsid w:val="00ED4926"/>
    <w:rsid w:val="00ED4B04"/>
    <w:rsid w:val="00ED57EA"/>
    <w:rsid w:val="00ED5BD4"/>
    <w:rsid w:val="00ED6592"/>
    <w:rsid w:val="00EE07D3"/>
    <w:rsid w:val="00EE15C4"/>
    <w:rsid w:val="00EE1996"/>
    <w:rsid w:val="00EE1A46"/>
    <w:rsid w:val="00EE1C01"/>
    <w:rsid w:val="00EE2081"/>
    <w:rsid w:val="00EE22AF"/>
    <w:rsid w:val="00EE432F"/>
    <w:rsid w:val="00EE461B"/>
    <w:rsid w:val="00EE7121"/>
    <w:rsid w:val="00EE783D"/>
    <w:rsid w:val="00EF0171"/>
    <w:rsid w:val="00EF16D9"/>
    <w:rsid w:val="00EF1B25"/>
    <w:rsid w:val="00EF1DA0"/>
    <w:rsid w:val="00EF3ACF"/>
    <w:rsid w:val="00EF4591"/>
    <w:rsid w:val="00EF4747"/>
    <w:rsid w:val="00EF4BF8"/>
    <w:rsid w:val="00F007CA"/>
    <w:rsid w:val="00F02253"/>
    <w:rsid w:val="00F03949"/>
    <w:rsid w:val="00F03C2E"/>
    <w:rsid w:val="00F04A66"/>
    <w:rsid w:val="00F04B4B"/>
    <w:rsid w:val="00F0516C"/>
    <w:rsid w:val="00F05AE8"/>
    <w:rsid w:val="00F067A2"/>
    <w:rsid w:val="00F07B9E"/>
    <w:rsid w:val="00F1116F"/>
    <w:rsid w:val="00F11AB4"/>
    <w:rsid w:val="00F1263A"/>
    <w:rsid w:val="00F139C5"/>
    <w:rsid w:val="00F139D6"/>
    <w:rsid w:val="00F1423B"/>
    <w:rsid w:val="00F146CE"/>
    <w:rsid w:val="00F154EE"/>
    <w:rsid w:val="00F15B77"/>
    <w:rsid w:val="00F204A9"/>
    <w:rsid w:val="00F21236"/>
    <w:rsid w:val="00F239DF"/>
    <w:rsid w:val="00F24837"/>
    <w:rsid w:val="00F2575F"/>
    <w:rsid w:val="00F27565"/>
    <w:rsid w:val="00F279DD"/>
    <w:rsid w:val="00F27CE5"/>
    <w:rsid w:val="00F27F6C"/>
    <w:rsid w:val="00F310D4"/>
    <w:rsid w:val="00F31D5A"/>
    <w:rsid w:val="00F31F36"/>
    <w:rsid w:val="00F331B8"/>
    <w:rsid w:val="00F33975"/>
    <w:rsid w:val="00F33C8C"/>
    <w:rsid w:val="00F33DE9"/>
    <w:rsid w:val="00F34871"/>
    <w:rsid w:val="00F34A9B"/>
    <w:rsid w:val="00F35A05"/>
    <w:rsid w:val="00F35E6D"/>
    <w:rsid w:val="00F3619A"/>
    <w:rsid w:val="00F40AAA"/>
    <w:rsid w:val="00F40BA7"/>
    <w:rsid w:val="00F40F9D"/>
    <w:rsid w:val="00F41ACD"/>
    <w:rsid w:val="00F42D67"/>
    <w:rsid w:val="00F42F71"/>
    <w:rsid w:val="00F446B6"/>
    <w:rsid w:val="00F46074"/>
    <w:rsid w:val="00F468C8"/>
    <w:rsid w:val="00F46CB6"/>
    <w:rsid w:val="00F4756D"/>
    <w:rsid w:val="00F47DE8"/>
    <w:rsid w:val="00F525DE"/>
    <w:rsid w:val="00F53699"/>
    <w:rsid w:val="00F542C1"/>
    <w:rsid w:val="00F550E3"/>
    <w:rsid w:val="00F55E73"/>
    <w:rsid w:val="00F55EDA"/>
    <w:rsid w:val="00F56C80"/>
    <w:rsid w:val="00F60092"/>
    <w:rsid w:val="00F60D90"/>
    <w:rsid w:val="00F61C18"/>
    <w:rsid w:val="00F65012"/>
    <w:rsid w:val="00F65F4B"/>
    <w:rsid w:val="00F67167"/>
    <w:rsid w:val="00F67A69"/>
    <w:rsid w:val="00F701FC"/>
    <w:rsid w:val="00F707D1"/>
    <w:rsid w:val="00F70BFF"/>
    <w:rsid w:val="00F70C9D"/>
    <w:rsid w:val="00F71881"/>
    <w:rsid w:val="00F71B53"/>
    <w:rsid w:val="00F71D78"/>
    <w:rsid w:val="00F732FE"/>
    <w:rsid w:val="00F73E08"/>
    <w:rsid w:val="00F74CD9"/>
    <w:rsid w:val="00F77EC7"/>
    <w:rsid w:val="00F80A7B"/>
    <w:rsid w:val="00F80E5D"/>
    <w:rsid w:val="00F816B0"/>
    <w:rsid w:val="00F81BCF"/>
    <w:rsid w:val="00F81E78"/>
    <w:rsid w:val="00F8345D"/>
    <w:rsid w:val="00F83916"/>
    <w:rsid w:val="00F851CE"/>
    <w:rsid w:val="00F909E8"/>
    <w:rsid w:val="00F91219"/>
    <w:rsid w:val="00F919C4"/>
    <w:rsid w:val="00F92444"/>
    <w:rsid w:val="00F924C5"/>
    <w:rsid w:val="00F92B0B"/>
    <w:rsid w:val="00F92F3A"/>
    <w:rsid w:val="00F933D3"/>
    <w:rsid w:val="00F9393E"/>
    <w:rsid w:val="00F93D67"/>
    <w:rsid w:val="00F93DBA"/>
    <w:rsid w:val="00F942EC"/>
    <w:rsid w:val="00F950C3"/>
    <w:rsid w:val="00F952D5"/>
    <w:rsid w:val="00F957BC"/>
    <w:rsid w:val="00F958E1"/>
    <w:rsid w:val="00F959D9"/>
    <w:rsid w:val="00F96FD0"/>
    <w:rsid w:val="00F97A78"/>
    <w:rsid w:val="00F97EB7"/>
    <w:rsid w:val="00FA04B9"/>
    <w:rsid w:val="00FA0B20"/>
    <w:rsid w:val="00FA20C2"/>
    <w:rsid w:val="00FA24E7"/>
    <w:rsid w:val="00FA283B"/>
    <w:rsid w:val="00FA49AE"/>
    <w:rsid w:val="00FA5861"/>
    <w:rsid w:val="00FA5D05"/>
    <w:rsid w:val="00FA5EE6"/>
    <w:rsid w:val="00FA6325"/>
    <w:rsid w:val="00FA748B"/>
    <w:rsid w:val="00FA7956"/>
    <w:rsid w:val="00FB0824"/>
    <w:rsid w:val="00FB1F1B"/>
    <w:rsid w:val="00FB2FCB"/>
    <w:rsid w:val="00FB3FEE"/>
    <w:rsid w:val="00FB416E"/>
    <w:rsid w:val="00FB4C9C"/>
    <w:rsid w:val="00FB5EE3"/>
    <w:rsid w:val="00FB7C55"/>
    <w:rsid w:val="00FC07C1"/>
    <w:rsid w:val="00FC09A8"/>
    <w:rsid w:val="00FC0CB3"/>
    <w:rsid w:val="00FC1074"/>
    <w:rsid w:val="00FC1884"/>
    <w:rsid w:val="00FC1959"/>
    <w:rsid w:val="00FC1DCA"/>
    <w:rsid w:val="00FC29C2"/>
    <w:rsid w:val="00FC2FDF"/>
    <w:rsid w:val="00FC371D"/>
    <w:rsid w:val="00FC594F"/>
    <w:rsid w:val="00FC5F0B"/>
    <w:rsid w:val="00FC6265"/>
    <w:rsid w:val="00FC6A2B"/>
    <w:rsid w:val="00FD014D"/>
    <w:rsid w:val="00FD2100"/>
    <w:rsid w:val="00FD436C"/>
    <w:rsid w:val="00FD446D"/>
    <w:rsid w:val="00FD4BBD"/>
    <w:rsid w:val="00FD4F2C"/>
    <w:rsid w:val="00FD5E0D"/>
    <w:rsid w:val="00FD5F0B"/>
    <w:rsid w:val="00FD6394"/>
    <w:rsid w:val="00FE041D"/>
    <w:rsid w:val="00FE0E6C"/>
    <w:rsid w:val="00FE1B27"/>
    <w:rsid w:val="00FE1CDC"/>
    <w:rsid w:val="00FE3646"/>
    <w:rsid w:val="00FE4E81"/>
    <w:rsid w:val="00FE5CC5"/>
    <w:rsid w:val="00FE6FB9"/>
    <w:rsid w:val="00FE70C3"/>
    <w:rsid w:val="00FF0316"/>
    <w:rsid w:val="00FF0A56"/>
    <w:rsid w:val="00FF18F5"/>
    <w:rsid w:val="00FF1A8B"/>
    <w:rsid w:val="00FF26F0"/>
    <w:rsid w:val="00FF2718"/>
    <w:rsid w:val="00FF29DF"/>
    <w:rsid w:val="00FF2AD9"/>
    <w:rsid w:val="00FF359F"/>
    <w:rsid w:val="00FF3DCF"/>
    <w:rsid w:val="00FF492C"/>
    <w:rsid w:val="00FF4A21"/>
    <w:rsid w:val="00FF4A78"/>
    <w:rsid w:val="00FF4B8C"/>
    <w:rsid w:val="00FF5AA3"/>
    <w:rsid w:val="00FF5AD8"/>
    <w:rsid w:val="00FF6152"/>
    <w:rsid w:val="00FF7EEA"/>
    <w:rsid w:val="2A906E71"/>
    <w:rsid w:val="2C6B5B94"/>
    <w:rsid w:val="3095CAEB"/>
    <w:rsid w:val="37C3935F"/>
    <w:rsid w:val="380F910C"/>
    <w:rsid w:val="3A99D4F0"/>
    <w:rsid w:val="47954A23"/>
    <w:rsid w:val="49A4D010"/>
    <w:rsid w:val="4E282854"/>
    <w:rsid w:val="5BA63AE6"/>
    <w:rsid w:val="5D9B4EDD"/>
    <w:rsid w:val="5F941A5F"/>
    <w:rsid w:val="6794A4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10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har Char2 Char Char,- H17,Caption2,Char,Bayer Caption,IB Caption,Medical Caption,Caption - H17,! Q,B Caption,Epiduo,Table Caption,Caption Char2 Char,Caption Char1 Char Char,Caption Char Char Char Char,Caption Char1 Char Char Char Char,c,表タイトル"/>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har Char2 Char Char Char,- H17 Char,Caption2 Char,Char Char,Bayer Caption Char,IB Caption Char,Medical Caption Char,Caption - H17 Char,! Q Char,B Caption Char,Epiduo Char,Table Caption Char,Caption Char2 Char Char,c Char,表タイトル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Lash Style Table,Header Table,NICE instructions,Source table_"/>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 Char Char,Comment Text Char Char,Comment Text Char2 Char,Comment Text Char1 Char Char,Comment Text Char Char1 Char,Car17,Car17 Car,Annotationtext,Char Char Char,Comment Text Char Char1,Comment Text Char2"/>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 Char Char Char,Comment Text Char Char Char1,Comment Text Char2 Char Char,Comment Text Char1 Char Char Char,Comment Text Char Char1 Char Char,Car17 Char,Car17 Car Char,Annotationtext Char,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link w:val="CommentitalicsChar"/>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Heading0">
    <w:name w:val="Table Heading"/>
    <w:basedOn w:val="TableText0"/>
    <w:link w:val="TableHeadingChar"/>
    <w:qFormat/>
    <w:rsid w:val="00A46B75"/>
    <w:pPr>
      <w:keepLines/>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locked/>
    <w:rsid w:val="00A46B75"/>
    <w:rPr>
      <w:rFonts w:ascii="Arial Narrow" w:eastAsiaTheme="majorEastAsia" w:hAnsi="Arial Narrow" w:cs="Arial"/>
      <w:b/>
      <w:lang w:bidi="en-US"/>
    </w:rPr>
  </w:style>
  <w:style w:type="paragraph" w:customStyle="1" w:styleId="Heading4Unnumbered">
    <w:name w:val="Heading 4 Unnumbered"/>
    <w:basedOn w:val="Heading4"/>
    <w:next w:val="Normal"/>
    <w:uiPriority w:val="5"/>
    <w:qFormat/>
    <w:rsid w:val="00A46B75"/>
    <w:pPr>
      <w:keepLines/>
      <w:tabs>
        <w:tab w:val="left" w:pos="1134"/>
      </w:tabs>
      <w:spacing w:before="60"/>
      <w:jc w:val="left"/>
      <w:outlineLvl w:val="6"/>
    </w:pPr>
    <w:rPr>
      <w:rFonts w:ascii="Times New Roman" w:hAnsi="Times New Roman" w:cs="Times New Roman"/>
      <w:sz w:val="24"/>
      <w:szCs w:val="22"/>
      <w:lang w:val="en-GB" w:eastAsia="en-US"/>
    </w:rPr>
  </w:style>
  <w:style w:type="paragraph" w:customStyle="1" w:styleId="Tablenotes">
    <w:name w:val="Tablenotes"/>
    <w:basedOn w:val="Normal"/>
    <w:link w:val="TablenotesChar"/>
    <w:qFormat/>
    <w:rsid w:val="00A018CE"/>
    <w:pPr>
      <w:widowControl w:val="0"/>
      <w:spacing w:after="360" w:line="269" w:lineRule="auto"/>
      <w:contextualSpacing/>
      <w:jc w:val="left"/>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A018CE"/>
    <w:rPr>
      <w:rFonts w:ascii="Arial Narrow" w:hAnsi="Arial Narrow" w:cs="Arial"/>
      <w:snapToGrid w:val="0"/>
      <w:sz w:val="18"/>
      <w:lang w:eastAsia="en-US"/>
    </w:rPr>
  </w:style>
  <w:style w:type="character" w:customStyle="1" w:styleId="ParagraphChar">
    <w:name w:val="Paragraph Char"/>
    <w:basedOn w:val="DefaultParagraphFont"/>
    <w:link w:val="Paragraph"/>
    <w:locked/>
    <w:rsid w:val="00A669D8"/>
    <w:rPr>
      <w:sz w:val="24"/>
      <w:szCs w:val="24"/>
    </w:rPr>
  </w:style>
  <w:style w:type="paragraph" w:customStyle="1" w:styleId="Paragraph">
    <w:name w:val="Paragraph"/>
    <w:link w:val="ParagraphChar"/>
    <w:qFormat/>
    <w:rsid w:val="00A669D8"/>
    <w:pPr>
      <w:spacing w:after="240" w:line="276" w:lineRule="auto"/>
    </w:pPr>
    <w:rPr>
      <w:sz w:val="24"/>
      <w:szCs w:val="24"/>
    </w:rPr>
  </w:style>
  <w:style w:type="paragraph" w:customStyle="1" w:styleId="FigureTitle">
    <w:name w:val="Figure Title"/>
    <w:basedOn w:val="Normal"/>
    <w:next w:val="Normal"/>
    <w:uiPriority w:val="17"/>
    <w:qFormat/>
    <w:rsid w:val="009F0F5B"/>
    <w:pPr>
      <w:keepNext/>
      <w:keepLines/>
      <w:tabs>
        <w:tab w:val="left" w:pos="1701"/>
      </w:tabs>
      <w:spacing w:after="120"/>
      <w:ind w:left="1701" w:hanging="1701"/>
      <w:jc w:val="left"/>
    </w:pPr>
    <w:rPr>
      <w:rFonts w:ascii="Times New Roman" w:hAnsi="Times New Roman" w:cs="Times New Roman"/>
      <w:b/>
      <w:color w:val="000000"/>
      <w:lang w:val="en-GB" w:eastAsia="en-US"/>
    </w:rPr>
  </w:style>
  <w:style w:type="paragraph" w:customStyle="1" w:styleId="xmsolistparagraph">
    <w:name w:val="x_msolistparagraph"/>
    <w:basedOn w:val="Normal"/>
    <w:rsid w:val="00A20BFC"/>
    <w:pPr>
      <w:spacing w:before="100" w:beforeAutospacing="1" w:after="100" w:afterAutospacing="1"/>
      <w:jc w:val="left"/>
    </w:pPr>
    <w:rPr>
      <w:rFonts w:eastAsiaTheme="minorHAnsi" w:cs="Calibri"/>
      <w:sz w:val="22"/>
      <w:szCs w:val="22"/>
    </w:rPr>
  </w:style>
  <w:style w:type="paragraph" w:styleId="FootnoteText">
    <w:name w:val="footnote text"/>
    <w:basedOn w:val="Normal"/>
    <w:link w:val="FootnoteTextChar"/>
    <w:unhideWhenUsed/>
    <w:rsid w:val="00376010"/>
    <w:rPr>
      <w:rFonts w:eastAsiaTheme="minorHAnsi" w:cstheme="minorBidi"/>
      <w:sz w:val="20"/>
      <w:szCs w:val="20"/>
      <w:lang w:eastAsia="en-US"/>
    </w:rPr>
  </w:style>
  <w:style w:type="character" w:customStyle="1" w:styleId="FootnoteTextChar">
    <w:name w:val="Footnote Text Char"/>
    <w:basedOn w:val="DefaultParagraphFont"/>
    <w:link w:val="FootnoteText"/>
    <w:rsid w:val="00376010"/>
    <w:rPr>
      <w:rFonts w:ascii="Calibri" w:eastAsiaTheme="minorHAnsi" w:hAnsi="Calibri" w:cstheme="minorBidi"/>
      <w:lang w:eastAsia="en-US"/>
    </w:rPr>
  </w:style>
  <w:style w:type="character" w:styleId="LineNumber">
    <w:name w:val="line number"/>
    <w:basedOn w:val="DefaultParagraphFont"/>
    <w:semiHidden/>
    <w:unhideWhenUsed/>
    <w:rsid w:val="00645967"/>
  </w:style>
  <w:style w:type="table" w:customStyle="1" w:styleId="AZTable">
    <w:name w:val="AZ Table"/>
    <w:basedOn w:val="TableNormal"/>
    <w:uiPriority w:val="99"/>
    <w:rsid w:val="00F95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FootnoteReference">
    <w:name w:val="footnote reference"/>
    <w:basedOn w:val="DefaultParagraphFont"/>
    <w:unhideWhenUsed/>
    <w:rsid w:val="00F959D9"/>
    <w:rPr>
      <w:vertAlign w:val="superscript"/>
    </w:rPr>
  </w:style>
  <w:style w:type="character" w:styleId="UnresolvedMention">
    <w:name w:val="Unresolved Mention"/>
    <w:basedOn w:val="DefaultParagraphFont"/>
    <w:uiPriority w:val="99"/>
    <w:unhideWhenUsed/>
    <w:rsid w:val="00F959D9"/>
    <w:rPr>
      <w:color w:val="605E5C"/>
      <w:shd w:val="clear" w:color="auto" w:fill="E1DFDD"/>
    </w:rPr>
  </w:style>
  <w:style w:type="character" w:styleId="Emphasis">
    <w:name w:val="Emphasis"/>
    <w:basedOn w:val="DefaultParagraphFont"/>
    <w:uiPriority w:val="20"/>
    <w:qFormat/>
    <w:rsid w:val="00F959D9"/>
    <w:rPr>
      <w:i/>
      <w:iCs/>
    </w:rPr>
  </w:style>
  <w:style w:type="paragraph" w:styleId="ListBullet3">
    <w:name w:val="List Bullet 3"/>
    <w:basedOn w:val="Normal"/>
    <w:semiHidden/>
    <w:unhideWhenUsed/>
    <w:rsid w:val="00F959D9"/>
    <w:pPr>
      <w:numPr>
        <w:numId w:val="6"/>
      </w:numPr>
      <w:contextualSpacing/>
    </w:pPr>
  </w:style>
  <w:style w:type="character" w:styleId="PlaceholderText">
    <w:name w:val="Placeholder Text"/>
    <w:basedOn w:val="DefaultParagraphFont"/>
    <w:uiPriority w:val="99"/>
    <w:semiHidden/>
    <w:rsid w:val="00F959D9"/>
    <w:rPr>
      <w:color w:val="808080"/>
    </w:rPr>
  </w:style>
  <w:style w:type="character" w:styleId="Strong">
    <w:name w:val="Strong"/>
    <w:basedOn w:val="DefaultParagraphFont"/>
    <w:uiPriority w:val="22"/>
    <w:qFormat/>
    <w:rsid w:val="00F959D9"/>
    <w:rPr>
      <w:b/>
      <w:bCs/>
    </w:rPr>
  </w:style>
  <w:style w:type="paragraph" w:customStyle="1" w:styleId="ReportDate">
    <w:name w:val="ReportDate"/>
    <w:basedOn w:val="Normal"/>
    <w:locked/>
    <w:rsid w:val="00F959D9"/>
    <w:pPr>
      <w:spacing w:line="360" w:lineRule="auto"/>
      <w:jc w:val="right"/>
    </w:pPr>
    <w:rPr>
      <w:rFonts w:ascii="Arial" w:hAnsi="Arial"/>
      <w:sz w:val="40"/>
      <w:szCs w:val="40"/>
      <w:lang w:eastAsia="en-US"/>
    </w:rPr>
  </w:style>
  <w:style w:type="paragraph" w:customStyle="1" w:styleId="TableLeft">
    <w:name w:val="Table Left"/>
    <w:basedOn w:val="Normal"/>
    <w:link w:val="TableLeftChar"/>
    <w:uiPriority w:val="99"/>
    <w:qFormat/>
    <w:rsid w:val="00F959D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F959D9"/>
    <w:rPr>
      <w:rFonts w:ascii="Calibri" w:hAnsi="Calibri"/>
      <w:szCs w:val="22"/>
      <w:lang w:eastAsia="en-US"/>
    </w:rPr>
  </w:style>
  <w:style w:type="paragraph" w:customStyle="1" w:styleId="4-SubsectSubhead">
    <w:name w:val="4-Subsect Subhead"/>
    <w:basedOn w:val="Heading3"/>
    <w:next w:val="ExecSumBodyText"/>
    <w:link w:val="4-SubsectSubheadChar"/>
    <w:qFormat/>
    <w:rsid w:val="00F959D9"/>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F959D9"/>
    <w:rPr>
      <w:rFonts w:asciiTheme="minorHAnsi" w:eastAsiaTheme="majorEastAsia" w:hAnsiTheme="minorHAnsi" w:cstheme="majorBidi"/>
      <w:b/>
      <w:color w:val="000000" w:themeColor="text1"/>
      <w:sz w:val="28"/>
      <w:szCs w:val="28"/>
    </w:rPr>
  </w:style>
  <w:style w:type="character" w:customStyle="1" w:styleId="cf01">
    <w:name w:val="cf01"/>
    <w:basedOn w:val="DefaultParagraphFont"/>
    <w:rsid w:val="00F959D9"/>
    <w:rPr>
      <w:rFonts w:ascii="Segoe UI" w:hAnsi="Segoe UI" w:cs="Segoe UI" w:hint="default"/>
      <w:color w:val="3366FF"/>
      <w:sz w:val="18"/>
      <w:szCs w:val="18"/>
    </w:rPr>
  </w:style>
  <w:style w:type="paragraph" w:customStyle="1" w:styleId="pf0">
    <w:name w:val="pf0"/>
    <w:basedOn w:val="Normal"/>
    <w:rsid w:val="00F959D9"/>
    <w:pPr>
      <w:spacing w:before="100" w:beforeAutospacing="1" w:after="100" w:afterAutospacing="1"/>
      <w:jc w:val="left"/>
    </w:pPr>
    <w:rPr>
      <w:rFonts w:ascii="Times New Roman" w:hAnsi="Times New Roman" w:cs="Times New Roman"/>
    </w:rPr>
  </w:style>
  <w:style w:type="table" w:customStyle="1" w:styleId="TableGrid7">
    <w:name w:val="Table Grid7"/>
    <w:basedOn w:val="TableNormal"/>
    <w:next w:val="TableGrid"/>
    <w:uiPriority w:val="59"/>
    <w:rsid w:val="00F95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
    <w:name w:val="HTA Table shaded"/>
    <w:basedOn w:val="TableNormal"/>
    <w:rsid w:val="00F959D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FontBold">
    <w:name w:val="Font Bold"/>
    <w:basedOn w:val="DefaultParagraphFont"/>
    <w:uiPriority w:val="1"/>
    <w:qFormat/>
    <w:rsid w:val="00F959D9"/>
    <w:rPr>
      <w:rFonts w:ascii="Calibri" w:hAnsi="Calibri"/>
      <w:b/>
      <w:i w:val="0"/>
      <w:sz w:val="24"/>
    </w:rPr>
  </w:style>
  <w:style w:type="table" w:customStyle="1" w:styleId="Summarybox2">
    <w:name w:val="Summary box2"/>
    <w:basedOn w:val="TableNormal"/>
    <w:next w:val="TableGrid"/>
    <w:uiPriority w:val="59"/>
    <w:rsid w:val="00F95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F95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Footer">
    <w:name w:val="Table/Figure Footer"/>
    <w:basedOn w:val="Normal"/>
    <w:link w:val="TableFigureFooterChar"/>
    <w:qFormat/>
    <w:rsid w:val="00F959D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959D9"/>
    <w:rPr>
      <w:rFonts w:ascii="Arial Narrow" w:hAnsi="Arial Narrow" w:cs="Arial"/>
      <w:snapToGrid w:val="0"/>
      <w:sz w:val="18"/>
      <w:szCs w:val="22"/>
    </w:rPr>
  </w:style>
  <w:style w:type="table" w:customStyle="1" w:styleId="ASDTable1">
    <w:name w:val="ASD Table1"/>
    <w:basedOn w:val="TableNormal"/>
    <w:next w:val="TableGrid"/>
    <w:uiPriority w:val="59"/>
    <w:rsid w:val="00FC6A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F5C14"/>
    <w:pPr>
      <w:jc w:val="center"/>
    </w:pPr>
    <w:rPr>
      <w:rFonts w:cs="Calibri"/>
      <w:noProof/>
    </w:rPr>
  </w:style>
  <w:style w:type="character" w:customStyle="1" w:styleId="CommentitalicsChar">
    <w:name w:val="Comment (italics) Char"/>
    <w:basedOn w:val="DefaultParagraphFont"/>
    <w:link w:val="Commentitalics"/>
    <w:rsid w:val="000F5C14"/>
    <w:rPr>
      <w:rFonts w:ascii="Calibri" w:hAnsi="Calibri" w:cs="Arial"/>
      <w:i/>
      <w:sz w:val="24"/>
      <w:szCs w:val="24"/>
    </w:rPr>
  </w:style>
  <w:style w:type="character" w:customStyle="1" w:styleId="EndNoteBibliographyTitleChar">
    <w:name w:val="EndNote Bibliography Title Char"/>
    <w:basedOn w:val="CommentitalicsChar"/>
    <w:link w:val="EndNoteBibliographyTitle"/>
    <w:rsid w:val="000F5C14"/>
    <w:rPr>
      <w:rFonts w:ascii="Calibri" w:hAnsi="Calibri" w:cs="Calibri"/>
      <w:i w:val="0"/>
      <w:noProof/>
      <w:sz w:val="24"/>
      <w:szCs w:val="24"/>
    </w:rPr>
  </w:style>
  <w:style w:type="paragraph" w:customStyle="1" w:styleId="EndNoteBibliography">
    <w:name w:val="EndNote Bibliography"/>
    <w:basedOn w:val="Normal"/>
    <w:link w:val="EndNoteBibliographyChar"/>
    <w:rsid w:val="000F5C14"/>
    <w:rPr>
      <w:rFonts w:cs="Calibri"/>
      <w:noProof/>
    </w:rPr>
  </w:style>
  <w:style w:type="character" w:customStyle="1" w:styleId="EndNoteBibliographyChar">
    <w:name w:val="EndNote Bibliography Char"/>
    <w:basedOn w:val="CommentitalicsChar"/>
    <w:link w:val="EndNoteBibliography"/>
    <w:rsid w:val="000F5C14"/>
    <w:rPr>
      <w:rFonts w:ascii="Calibri" w:hAnsi="Calibri" w:cs="Calibri"/>
      <w:i w:val="0"/>
      <w:noProof/>
      <w:sz w:val="24"/>
      <w:szCs w:val="24"/>
    </w:rPr>
  </w:style>
  <w:style w:type="paragraph" w:customStyle="1" w:styleId="TableParagraph">
    <w:name w:val="Table Paragraph"/>
    <w:basedOn w:val="Normal"/>
    <w:uiPriority w:val="1"/>
    <w:qFormat/>
    <w:rsid w:val="00F957BC"/>
    <w:pPr>
      <w:widowControl w:val="0"/>
      <w:autoSpaceDE w:val="0"/>
      <w:autoSpaceDN w:val="0"/>
      <w:spacing w:before="40"/>
      <w:jc w:val="left"/>
    </w:pPr>
    <w:rPr>
      <w:rFonts w:ascii="Times New Roman" w:hAnsi="Times New Roman" w:cs="Times New Roman"/>
      <w:sz w:val="22"/>
      <w:szCs w:val="22"/>
      <w:lang w:val="en-US" w:eastAsia="en-US"/>
    </w:rPr>
  </w:style>
  <w:style w:type="character" w:customStyle="1" w:styleId="cf11">
    <w:name w:val="cf11"/>
    <w:basedOn w:val="DefaultParagraphFont"/>
    <w:rsid w:val="00F146CE"/>
    <w:rPr>
      <w:rFonts w:ascii="Segoe UI" w:hAnsi="Segoe UI" w:cs="Segoe UI" w:hint="default"/>
      <w:sz w:val="18"/>
      <w:szCs w:val="18"/>
      <w:u w:val="single"/>
    </w:rPr>
  </w:style>
  <w:style w:type="character" w:customStyle="1" w:styleId="cf21">
    <w:name w:val="cf21"/>
    <w:basedOn w:val="DefaultParagraphFont"/>
    <w:rsid w:val="00F146CE"/>
    <w:rPr>
      <w:rFonts w:ascii="Segoe UI" w:hAnsi="Segoe UI" w:cs="Segoe UI" w:hint="default"/>
      <w:b/>
      <w:bCs/>
      <w:sz w:val="18"/>
      <w:szCs w:val="18"/>
    </w:rPr>
  </w:style>
  <w:style w:type="table" w:customStyle="1" w:styleId="RTIAMCPTable1">
    <w:name w:val="RTI AMCP Table1"/>
    <w:basedOn w:val="TableNormal"/>
    <w:next w:val="TableGrid"/>
    <w:uiPriority w:val="39"/>
    <w:rsid w:val="0023235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48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87223F"/>
  </w:style>
  <w:style w:type="character" w:customStyle="1" w:styleId="citation-doi">
    <w:name w:val="citation-doi"/>
    <w:basedOn w:val="DefaultParagraphFont"/>
    <w:rsid w:val="0087223F"/>
  </w:style>
  <w:style w:type="character" w:customStyle="1" w:styleId="ahead-of-print">
    <w:name w:val="ahead-of-print"/>
    <w:basedOn w:val="DefaultParagraphFont"/>
    <w:rsid w:val="0087223F"/>
  </w:style>
  <w:style w:type="paragraph" w:customStyle="1" w:styleId="3-SubsectionHeading">
    <w:name w:val="3-Subsection Heading"/>
    <w:basedOn w:val="Heading2"/>
    <w:next w:val="Normal"/>
    <w:link w:val="3-SubsectionHeadingChar"/>
    <w:qFormat/>
    <w:rsid w:val="00BE18C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E18C5"/>
    <w:rPr>
      <w:rFonts w:asciiTheme="minorHAnsi" w:eastAsiaTheme="majorEastAsia" w:hAnsiTheme="minorHAnsi" w:cstheme="majorBidi"/>
      <w:b/>
      <w:i/>
      <w:snapToGrid/>
      <w:spacing w:val="5"/>
      <w:kern w:val="28"/>
      <w:sz w:val="28"/>
      <w:szCs w:val="36"/>
      <w:lang w:eastAsia="en-US"/>
    </w:rPr>
  </w:style>
  <w:style w:type="paragraph" w:customStyle="1" w:styleId="gmail-3-bodytext">
    <w:name w:val="gmail-3-bodytext"/>
    <w:basedOn w:val="Normal"/>
    <w:rsid w:val="004273EA"/>
    <w:pPr>
      <w:spacing w:before="100" w:beforeAutospacing="1" w:after="100" w:afterAutospacing="1"/>
      <w:jc w:val="left"/>
    </w:pPr>
    <w:rPr>
      <w:rFonts w:eastAsiaTheme="minorHAnsi" w:cs="Calibri"/>
      <w:sz w:val="22"/>
      <w:szCs w:val="22"/>
    </w:rPr>
  </w:style>
  <w:style w:type="character" w:styleId="Mention">
    <w:name w:val="Mention"/>
    <w:basedOn w:val="DefaultParagraphFont"/>
    <w:uiPriority w:val="99"/>
    <w:unhideWhenUsed/>
    <w:rsid w:val="00DF2C5C"/>
    <w:rPr>
      <w:color w:val="2B579A"/>
      <w:shd w:val="clear" w:color="auto" w:fill="E1DFDD"/>
    </w:rPr>
  </w:style>
  <w:style w:type="character" w:customStyle="1" w:styleId="normaltextrun">
    <w:name w:val="normaltextrun"/>
    <w:basedOn w:val="DefaultParagraphFont"/>
    <w:rsid w:val="000427C3"/>
  </w:style>
  <w:style w:type="character" w:customStyle="1" w:styleId="eop">
    <w:name w:val="eop"/>
    <w:basedOn w:val="DefaultParagraphFont"/>
    <w:rsid w:val="0004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9412">
      <w:bodyDiv w:val="1"/>
      <w:marLeft w:val="0"/>
      <w:marRight w:val="0"/>
      <w:marTop w:val="0"/>
      <w:marBottom w:val="0"/>
      <w:divBdr>
        <w:top w:val="none" w:sz="0" w:space="0" w:color="auto"/>
        <w:left w:val="none" w:sz="0" w:space="0" w:color="auto"/>
        <w:bottom w:val="none" w:sz="0" w:space="0" w:color="auto"/>
        <w:right w:val="none" w:sz="0" w:space="0" w:color="auto"/>
      </w:divBdr>
    </w:div>
    <w:div w:id="7432439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740850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20894945">
      <w:bodyDiv w:val="1"/>
      <w:marLeft w:val="0"/>
      <w:marRight w:val="0"/>
      <w:marTop w:val="0"/>
      <w:marBottom w:val="0"/>
      <w:divBdr>
        <w:top w:val="none" w:sz="0" w:space="0" w:color="auto"/>
        <w:left w:val="none" w:sz="0" w:space="0" w:color="auto"/>
        <w:bottom w:val="none" w:sz="0" w:space="0" w:color="auto"/>
        <w:right w:val="none" w:sz="0" w:space="0" w:color="auto"/>
      </w:divBdr>
    </w:div>
    <w:div w:id="546261766">
      <w:bodyDiv w:val="1"/>
      <w:marLeft w:val="0"/>
      <w:marRight w:val="0"/>
      <w:marTop w:val="0"/>
      <w:marBottom w:val="0"/>
      <w:divBdr>
        <w:top w:val="none" w:sz="0" w:space="0" w:color="auto"/>
        <w:left w:val="none" w:sz="0" w:space="0" w:color="auto"/>
        <w:bottom w:val="none" w:sz="0" w:space="0" w:color="auto"/>
        <w:right w:val="none" w:sz="0" w:space="0" w:color="auto"/>
      </w:divBdr>
    </w:div>
    <w:div w:id="569972952">
      <w:bodyDiv w:val="1"/>
      <w:marLeft w:val="0"/>
      <w:marRight w:val="0"/>
      <w:marTop w:val="0"/>
      <w:marBottom w:val="0"/>
      <w:divBdr>
        <w:top w:val="none" w:sz="0" w:space="0" w:color="auto"/>
        <w:left w:val="none" w:sz="0" w:space="0" w:color="auto"/>
        <w:bottom w:val="none" w:sz="0" w:space="0" w:color="auto"/>
        <w:right w:val="none" w:sz="0" w:space="0" w:color="auto"/>
      </w:divBdr>
    </w:div>
    <w:div w:id="634796780">
      <w:bodyDiv w:val="1"/>
      <w:marLeft w:val="0"/>
      <w:marRight w:val="0"/>
      <w:marTop w:val="0"/>
      <w:marBottom w:val="0"/>
      <w:divBdr>
        <w:top w:val="none" w:sz="0" w:space="0" w:color="auto"/>
        <w:left w:val="none" w:sz="0" w:space="0" w:color="auto"/>
        <w:bottom w:val="none" w:sz="0" w:space="0" w:color="auto"/>
        <w:right w:val="none" w:sz="0" w:space="0" w:color="auto"/>
      </w:divBdr>
    </w:div>
    <w:div w:id="646403479">
      <w:bodyDiv w:val="1"/>
      <w:marLeft w:val="0"/>
      <w:marRight w:val="0"/>
      <w:marTop w:val="0"/>
      <w:marBottom w:val="0"/>
      <w:divBdr>
        <w:top w:val="none" w:sz="0" w:space="0" w:color="auto"/>
        <w:left w:val="none" w:sz="0" w:space="0" w:color="auto"/>
        <w:bottom w:val="none" w:sz="0" w:space="0" w:color="auto"/>
        <w:right w:val="none" w:sz="0" w:space="0" w:color="auto"/>
      </w:divBdr>
    </w:div>
    <w:div w:id="672026230">
      <w:bodyDiv w:val="1"/>
      <w:marLeft w:val="0"/>
      <w:marRight w:val="0"/>
      <w:marTop w:val="0"/>
      <w:marBottom w:val="0"/>
      <w:divBdr>
        <w:top w:val="none" w:sz="0" w:space="0" w:color="auto"/>
        <w:left w:val="none" w:sz="0" w:space="0" w:color="auto"/>
        <w:bottom w:val="none" w:sz="0" w:space="0" w:color="auto"/>
        <w:right w:val="none" w:sz="0" w:space="0" w:color="auto"/>
      </w:divBdr>
    </w:div>
    <w:div w:id="676537656">
      <w:bodyDiv w:val="1"/>
      <w:marLeft w:val="0"/>
      <w:marRight w:val="0"/>
      <w:marTop w:val="0"/>
      <w:marBottom w:val="0"/>
      <w:divBdr>
        <w:top w:val="none" w:sz="0" w:space="0" w:color="auto"/>
        <w:left w:val="none" w:sz="0" w:space="0" w:color="auto"/>
        <w:bottom w:val="none" w:sz="0" w:space="0" w:color="auto"/>
        <w:right w:val="none" w:sz="0" w:space="0" w:color="auto"/>
      </w:divBdr>
    </w:div>
    <w:div w:id="687297569">
      <w:bodyDiv w:val="1"/>
      <w:marLeft w:val="0"/>
      <w:marRight w:val="0"/>
      <w:marTop w:val="0"/>
      <w:marBottom w:val="0"/>
      <w:divBdr>
        <w:top w:val="none" w:sz="0" w:space="0" w:color="auto"/>
        <w:left w:val="none" w:sz="0" w:space="0" w:color="auto"/>
        <w:bottom w:val="none" w:sz="0" w:space="0" w:color="auto"/>
        <w:right w:val="none" w:sz="0" w:space="0" w:color="auto"/>
      </w:divBdr>
    </w:div>
    <w:div w:id="72548900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5940453">
      <w:bodyDiv w:val="1"/>
      <w:marLeft w:val="0"/>
      <w:marRight w:val="0"/>
      <w:marTop w:val="0"/>
      <w:marBottom w:val="0"/>
      <w:divBdr>
        <w:top w:val="none" w:sz="0" w:space="0" w:color="auto"/>
        <w:left w:val="none" w:sz="0" w:space="0" w:color="auto"/>
        <w:bottom w:val="none" w:sz="0" w:space="0" w:color="auto"/>
        <w:right w:val="none" w:sz="0" w:space="0" w:color="auto"/>
      </w:divBdr>
      <w:divsChild>
        <w:div w:id="839780365">
          <w:marLeft w:val="547"/>
          <w:marRight w:val="0"/>
          <w:marTop w:val="96"/>
          <w:marBottom w:val="0"/>
          <w:divBdr>
            <w:top w:val="none" w:sz="0" w:space="0" w:color="auto"/>
            <w:left w:val="none" w:sz="0" w:space="0" w:color="auto"/>
            <w:bottom w:val="none" w:sz="0" w:space="0" w:color="auto"/>
            <w:right w:val="none" w:sz="0" w:space="0" w:color="auto"/>
          </w:divBdr>
        </w:div>
        <w:div w:id="1277760077">
          <w:marLeft w:val="1166"/>
          <w:marRight w:val="0"/>
          <w:marTop w:val="77"/>
          <w:marBottom w:val="0"/>
          <w:divBdr>
            <w:top w:val="none" w:sz="0" w:space="0" w:color="auto"/>
            <w:left w:val="none" w:sz="0" w:space="0" w:color="auto"/>
            <w:bottom w:val="none" w:sz="0" w:space="0" w:color="auto"/>
            <w:right w:val="none" w:sz="0" w:space="0" w:color="auto"/>
          </w:divBdr>
        </w:div>
      </w:divsChild>
    </w:div>
    <w:div w:id="847870652">
      <w:bodyDiv w:val="1"/>
      <w:marLeft w:val="0"/>
      <w:marRight w:val="0"/>
      <w:marTop w:val="0"/>
      <w:marBottom w:val="0"/>
      <w:divBdr>
        <w:top w:val="none" w:sz="0" w:space="0" w:color="auto"/>
        <w:left w:val="none" w:sz="0" w:space="0" w:color="auto"/>
        <w:bottom w:val="none" w:sz="0" w:space="0" w:color="auto"/>
        <w:right w:val="none" w:sz="0" w:space="0" w:color="auto"/>
      </w:divBdr>
      <w:divsChild>
        <w:div w:id="783422581">
          <w:marLeft w:val="1166"/>
          <w:marRight w:val="0"/>
          <w:marTop w:val="72"/>
          <w:marBottom w:val="0"/>
          <w:divBdr>
            <w:top w:val="none" w:sz="0" w:space="0" w:color="auto"/>
            <w:left w:val="none" w:sz="0" w:space="0" w:color="auto"/>
            <w:bottom w:val="none" w:sz="0" w:space="0" w:color="auto"/>
            <w:right w:val="none" w:sz="0" w:space="0" w:color="auto"/>
          </w:divBdr>
        </w:div>
        <w:div w:id="1098526340">
          <w:marLeft w:val="1166"/>
          <w:marRight w:val="0"/>
          <w:marTop w:val="72"/>
          <w:marBottom w:val="0"/>
          <w:divBdr>
            <w:top w:val="none" w:sz="0" w:space="0" w:color="auto"/>
            <w:left w:val="none" w:sz="0" w:space="0" w:color="auto"/>
            <w:bottom w:val="none" w:sz="0" w:space="0" w:color="auto"/>
            <w:right w:val="none" w:sz="0" w:space="0" w:color="auto"/>
          </w:divBdr>
        </w:div>
        <w:div w:id="1723093524">
          <w:marLeft w:val="547"/>
          <w:marRight w:val="0"/>
          <w:marTop w:val="86"/>
          <w:marBottom w:val="0"/>
          <w:divBdr>
            <w:top w:val="none" w:sz="0" w:space="0" w:color="auto"/>
            <w:left w:val="none" w:sz="0" w:space="0" w:color="auto"/>
            <w:bottom w:val="none" w:sz="0" w:space="0" w:color="auto"/>
            <w:right w:val="none" w:sz="0" w:space="0" w:color="auto"/>
          </w:divBdr>
        </w:div>
        <w:div w:id="1793204691">
          <w:marLeft w:val="1166"/>
          <w:marRight w:val="0"/>
          <w:marTop w:val="72"/>
          <w:marBottom w:val="0"/>
          <w:divBdr>
            <w:top w:val="none" w:sz="0" w:space="0" w:color="auto"/>
            <w:left w:val="none" w:sz="0" w:space="0" w:color="auto"/>
            <w:bottom w:val="none" w:sz="0" w:space="0" w:color="auto"/>
            <w:right w:val="none" w:sz="0" w:space="0" w:color="auto"/>
          </w:divBdr>
        </w:div>
      </w:divsChild>
    </w:div>
    <w:div w:id="929045089">
      <w:bodyDiv w:val="1"/>
      <w:marLeft w:val="0"/>
      <w:marRight w:val="0"/>
      <w:marTop w:val="0"/>
      <w:marBottom w:val="0"/>
      <w:divBdr>
        <w:top w:val="none" w:sz="0" w:space="0" w:color="auto"/>
        <w:left w:val="none" w:sz="0" w:space="0" w:color="auto"/>
        <w:bottom w:val="none" w:sz="0" w:space="0" w:color="auto"/>
        <w:right w:val="none" w:sz="0" w:space="0" w:color="auto"/>
      </w:divBdr>
    </w:div>
    <w:div w:id="962274432">
      <w:bodyDiv w:val="1"/>
      <w:marLeft w:val="0"/>
      <w:marRight w:val="0"/>
      <w:marTop w:val="0"/>
      <w:marBottom w:val="0"/>
      <w:divBdr>
        <w:top w:val="none" w:sz="0" w:space="0" w:color="auto"/>
        <w:left w:val="none" w:sz="0" w:space="0" w:color="auto"/>
        <w:bottom w:val="none" w:sz="0" w:space="0" w:color="auto"/>
        <w:right w:val="none" w:sz="0" w:space="0" w:color="auto"/>
      </w:divBdr>
      <w:divsChild>
        <w:div w:id="1933007243">
          <w:marLeft w:val="0"/>
          <w:marRight w:val="0"/>
          <w:marTop w:val="0"/>
          <w:marBottom w:val="0"/>
          <w:divBdr>
            <w:top w:val="none" w:sz="0" w:space="0" w:color="auto"/>
            <w:left w:val="none" w:sz="0" w:space="0" w:color="auto"/>
            <w:bottom w:val="none" w:sz="0" w:space="0" w:color="auto"/>
            <w:right w:val="none" w:sz="0" w:space="0" w:color="auto"/>
          </w:divBdr>
        </w:div>
      </w:divsChild>
    </w:div>
    <w:div w:id="1014769116">
      <w:bodyDiv w:val="1"/>
      <w:marLeft w:val="0"/>
      <w:marRight w:val="0"/>
      <w:marTop w:val="0"/>
      <w:marBottom w:val="0"/>
      <w:divBdr>
        <w:top w:val="none" w:sz="0" w:space="0" w:color="auto"/>
        <w:left w:val="none" w:sz="0" w:space="0" w:color="auto"/>
        <w:bottom w:val="none" w:sz="0" w:space="0" w:color="auto"/>
        <w:right w:val="none" w:sz="0" w:space="0" w:color="auto"/>
      </w:divBdr>
    </w:div>
    <w:div w:id="1034381495">
      <w:bodyDiv w:val="1"/>
      <w:marLeft w:val="0"/>
      <w:marRight w:val="0"/>
      <w:marTop w:val="0"/>
      <w:marBottom w:val="0"/>
      <w:divBdr>
        <w:top w:val="none" w:sz="0" w:space="0" w:color="auto"/>
        <w:left w:val="none" w:sz="0" w:space="0" w:color="auto"/>
        <w:bottom w:val="none" w:sz="0" w:space="0" w:color="auto"/>
        <w:right w:val="none" w:sz="0" w:space="0" w:color="auto"/>
      </w:divBdr>
    </w:div>
    <w:div w:id="1059599323">
      <w:bodyDiv w:val="1"/>
      <w:marLeft w:val="0"/>
      <w:marRight w:val="0"/>
      <w:marTop w:val="0"/>
      <w:marBottom w:val="0"/>
      <w:divBdr>
        <w:top w:val="none" w:sz="0" w:space="0" w:color="auto"/>
        <w:left w:val="none" w:sz="0" w:space="0" w:color="auto"/>
        <w:bottom w:val="none" w:sz="0" w:space="0" w:color="auto"/>
        <w:right w:val="none" w:sz="0" w:space="0" w:color="auto"/>
      </w:divBdr>
    </w:div>
    <w:div w:id="1073773360">
      <w:bodyDiv w:val="1"/>
      <w:marLeft w:val="0"/>
      <w:marRight w:val="0"/>
      <w:marTop w:val="0"/>
      <w:marBottom w:val="0"/>
      <w:divBdr>
        <w:top w:val="none" w:sz="0" w:space="0" w:color="auto"/>
        <w:left w:val="none" w:sz="0" w:space="0" w:color="auto"/>
        <w:bottom w:val="none" w:sz="0" w:space="0" w:color="auto"/>
        <w:right w:val="none" w:sz="0" w:space="0" w:color="auto"/>
      </w:divBdr>
    </w:div>
    <w:div w:id="1086264619">
      <w:bodyDiv w:val="1"/>
      <w:marLeft w:val="0"/>
      <w:marRight w:val="0"/>
      <w:marTop w:val="0"/>
      <w:marBottom w:val="0"/>
      <w:divBdr>
        <w:top w:val="none" w:sz="0" w:space="0" w:color="auto"/>
        <w:left w:val="none" w:sz="0" w:space="0" w:color="auto"/>
        <w:bottom w:val="none" w:sz="0" w:space="0" w:color="auto"/>
        <w:right w:val="none" w:sz="0" w:space="0" w:color="auto"/>
      </w:divBdr>
      <w:divsChild>
        <w:div w:id="1066152141">
          <w:marLeft w:val="1800"/>
          <w:marRight w:val="0"/>
          <w:marTop w:val="53"/>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2502924">
      <w:bodyDiv w:val="1"/>
      <w:marLeft w:val="0"/>
      <w:marRight w:val="0"/>
      <w:marTop w:val="0"/>
      <w:marBottom w:val="0"/>
      <w:divBdr>
        <w:top w:val="none" w:sz="0" w:space="0" w:color="auto"/>
        <w:left w:val="none" w:sz="0" w:space="0" w:color="auto"/>
        <w:bottom w:val="none" w:sz="0" w:space="0" w:color="auto"/>
        <w:right w:val="none" w:sz="0" w:space="0" w:color="auto"/>
      </w:divBdr>
    </w:div>
    <w:div w:id="121720552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1177076">
      <w:bodyDiv w:val="1"/>
      <w:marLeft w:val="0"/>
      <w:marRight w:val="0"/>
      <w:marTop w:val="0"/>
      <w:marBottom w:val="0"/>
      <w:divBdr>
        <w:top w:val="none" w:sz="0" w:space="0" w:color="auto"/>
        <w:left w:val="none" w:sz="0" w:space="0" w:color="auto"/>
        <w:bottom w:val="none" w:sz="0" w:space="0" w:color="auto"/>
        <w:right w:val="none" w:sz="0" w:space="0" w:color="auto"/>
      </w:divBdr>
    </w:div>
    <w:div w:id="1303000906">
      <w:bodyDiv w:val="1"/>
      <w:marLeft w:val="0"/>
      <w:marRight w:val="0"/>
      <w:marTop w:val="0"/>
      <w:marBottom w:val="0"/>
      <w:divBdr>
        <w:top w:val="none" w:sz="0" w:space="0" w:color="auto"/>
        <w:left w:val="none" w:sz="0" w:space="0" w:color="auto"/>
        <w:bottom w:val="none" w:sz="0" w:space="0" w:color="auto"/>
        <w:right w:val="none" w:sz="0" w:space="0" w:color="auto"/>
      </w:divBdr>
    </w:div>
    <w:div w:id="1519003298">
      <w:bodyDiv w:val="1"/>
      <w:marLeft w:val="0"/>
      <w:marRight w:val="0"/>
      <w:marTop w:val="0"/>
      <w:marBottom w:val="0"/>
      <w:divBdr>
        <w:top w:val="none" w:sz="0" w:space="0" w:color="auto"/>
        <w:left w:val="none" w:sz="0" w:space="0" w:color="auto"/>
        <w:bottom w:val="none" w:sz="0" w:space="0" w:color="auto"/>
        <w:right w:val="none" w:sz="0" w:space="0" w:color="auto"/>
      </w:divBdr>
    </w:div>
    <w:div w:id="1652636770">
      <w:bodyDiv w:val="1"/>
      <w:marLeft w:val="0"/>
      <w:marRight w:val="0"/>
      <w:marTop w:val="0"/>
      <w:marBottom w:val="0"/>
      <w:divBdr>
        <w:top w:val="none" w:sz="0" w:space="0" w:color="auto"/>
        <w:left w:val="none" w:sz="0" w:space="0" w:color="auto"/>
        <w:bottom w:val="none" w:sz="0" w:space="0" w:color="auto"/>
        <w:right w:val="none" w:sz="0" w:space="0" w:color="auto"/>
      </w:divBdr>
    </w:div>
    <w:div w:id="1698509230">
      <w:bodyDiv w:val="1"/>
      <w:marLeft w:val="0"/>
      <w:marRight w:val="0"/>
      <w:marTop w:val="0"/>
      <w:marBottom w:val="0"/>
      <w:divBdr>
        <w:top w:val="none" w:sz="0" w:space="0" w:color="auto"/>
        <w:left w:val="none" w:sz="0" w:space="0" w:color="auto"/>
        <w:bottom w:val="none" w:sz="0" w:space="0" w:color="auto"/>
        <w:right w:val="none" w:sz="0" w:space="0" w:color="auto"/>
      </w:divBdr>
    </w:div>
    <w:div w:id="1710496154">
      <w:bodyDiv w:val="1"/>
      <w:marLeft w:val="0"/>
      <w:marRight w:val="0"/>
      <w:marTop w:val="0"/>
      <w:marBottom w:val="0"/>
      <w:divBdr>
        <w:top w:val="none" w:sz="0" w:space="0" w:color="auto"/>
        <w:left w:val="none" w:sz="0" w:space="0" w:color="auto"/>
        <w:bottom w:val="none" w:sz="0" w:space="0" w:color="auto"/>
        <w:right w:val="none" w:sz="0" w:space="0" w:color="auto"/>
      </w:divBdr>
    </w:div>
    <w:div w:id="179983817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5964626">
      <w:bodyDiv w:val="1"/>
      <w:marLeft w:val="0"/>
      <w:marRight w:val="0"/>
      <w:marTop w:val="0"/>
      <w:marBottom w:val="0"/>
      <w:divBdr>
        <w:top w:val="none" w:sz="0" w:space="0" w:color="auto"/>
        <w:left w:val="none" w:sz="0" w:space="0" w:color="auto"/>
        <w:bottom w:val="none" w:sz="0" w:space="0" w:color="auto"/>
        <w:right w:val="none" w:sz="0" w:space="0" w:color="auto"/>
      </w:divBdr>
    </w:div>
    <w:div w:id="2060200576">
      <w:bodyDiv w:val="1"/>
      <w:marLeft w:val="0"/>
      <w:marRight w:val="0"/>
      <w:marTop w:val="0"/>
      <w:marBottom w:val="0"/>
      <w:divBdr>
        <w:top w:val="none" w:sz="0" w:space="0" w:color="auto"/>
        <w:left w:val="none" w:sz="0" w:space="0" w:color="auto"/>
        <w:bottom w:val="none" w:sz="0" w:space="0" w:color="auto"/>
        <w:right w:val="none" w:sz="0" w:space="0" w:color="auto"/>
      </w:divBdr>
    </w:div>
    <w:div w:id="21327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ancer.org/cancer/bile-duct-cancer/detection-diagnosis-staging/survival-by-stage.html" TargetMode="External"/><Relationship Id="rId2" Type="http://schemas.openxmlformats.org/officeDocument/2006/relationships/hyperlink" Target="https://www.cancer.org/cancer/gallbladder-cancer/detection-diagnosis-staging/survival-rates.html" TargetMode="External"/><Relationship Id="rId1" Type="http://schemas.openxmlformats.org/officeDocument/2006/relationships/hyperlink" Target="https://www.aihw.gov.au/reports/cancer/cancer-data-in-australia/contents/cancer-summary-data-visualisation" TargetMode="External"/><Relationship Id="rId5" Type="http://schemas.openxmlformats.org/officeDocument/2006/relationships/hyperlink" Target="https://www.abs.gov.au/statistics/people/people-and-communities/cultural-diversity-census/latest-release" TargetMode="External"/><Relationship Id="rId4" Type="http://schemas.openxmlformats.org/officeDocument/2006/relationships/hyperlink" Target="https://www.eviq.org.au/medical-oncology/upper-gastrointestinal/pancreas-and-biliary/1200-biliary-and-gallbladder-advanced-cisplati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46FD-0097-4810-A3A2-F80F54533F92}">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13658</Words>
  <Characters>74895</Characters>
  <Application>Microsoft Office Word</Application>
  <DocSecurity>0</DocSecurity>
  <Lines>624</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2023-07-05T04:54:00Z</dcterms:created>
  <dcterms:modified xsi:type="dcterms:W3CDTF">2023-07-05T04:56:00Z</dcterms:modified>
</cp:coreProperties>
</file>