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DAFD" w14:textId="6432D6FC" w:rsidR="0046777B" w:rsidRPr="0058247A" w:rsidRDefault="004C6A74" w:rsidP="005E5E75">
      <w:pPr>
        <w:pStyle w:val="1-MainHeading"/>
        <w:rPr>
          <w:sz w:val="32"/>
          <w:szCs w:val="32"/>
        </w:rPr>
      </w:pPr>
      <w:bookmarkStart w:id="0" w:name="_Toc121741802"/>
      <w:bookmarkStart w:id="1" w:name="_Toc124878962"/>
      <w:r w:rsidRPr="0058247A">
        <w:t>6.03</w:t>
      </w:r>
      <w:r w:rsidR="0046777B" w:rsidRPr="0058247A">
        <w:tab/>
      </w:r>
      <w:r w:rsidR="0046777B" w:rsidRPr="0058247A">
        <w:rPr>
          <w:rFonts w:ascii="Arial" w:hAnsi="Arial" w:cs="Arial"/>
          <w:color w:val="000000"/>
          <w:sz w:val="32"/>
          <w:szCs w:val="32"/>
        </w:rPr>
        <w:t>DARATUMUMAB</w:t>
      </w:r>
      <w:r w:rsidR="0046777B" w:rsidRPr="0058247A">
        <w:rPr>
          <w:sz w:val="32"/>
          <w:szCs w:val="32"/>
        </w:rPr>
        <w:t>,</w:t>
      </w:r>
      <w:r w:rsidR="0046777B" w:rsidRPr="0058247A">
        <w:rPr>
          <w:sz w:val="32"/>
          <w:szCs w:val="32"/>
        </w:rPr>
        <w:br/>
      </w:r>
      <w:r w:rsidR="0046777B" w:rsidRPr="0058247A">
        <w:rPr>
          <w:rFonts w:ascii="Arial" w:hAnsi="Arial" w:cs="Arial"/>
          <w:color w:val="000000"/>
          <w:sz w:val="32"/>
          <w:szCs w:val="32"/>
        </w:rPr>
        <w:t>Solution for I.V. infusion 100 mg in 5 mL vial</w:t>
      </w:r>
      <w:r w:rsidR="0046777B" w:rsidRPr="0058247A">
        <w:rPr>
          <w:rFonts w:ascii="Arial" w:hAnsi="Arial" w:cs="Arial"/>
          <w:color w:val="000000"/>
          <w:sz w:val="32"/>
          <w:szCs w:val="32"/>
        </w:rPr>
        <w:br/>
        <w:t>Solution for I.V. infusion 400 mg in 20 mL vial</w:t>
      </w:r>
      <w:r w:rsidR="0046777B" w:rsidRPr="0058247A">
        <w:rPr>
          <w:rFonts w:ascii="Arial" w:hAnsi="Arial" w:cs="Arial"/>
          <w:color w:val="000000"/>
          <w:sz w:val="32"/>
          <w:szCs w:val="32"/>
        </w:rPr>
        <w:br/>
        <w:t>Solution for S.C. injection 1,800 mg in 15 mL vial</w:t>
      </w:r>
      <w:r w:rsidR="0046777B" w:rsidRPr="0058247A">
        <w:rPr>
          <w:rFonts w:ascii="Arial" w:hAnsi="Arial" w:cs="Arial"/>
          <w:color w:val="000000"/>
          <w:sz w:val="32"/>
          <w:szCs w:val="32"/>
        </w:rPr>
        <w:br/>
        <w:t>Darzalex</w:t>
      </w:r>
      <w:r w:rsidR="0046777B" w:rsidRPr="0058247A">
        <w:rPr>
          <w:rFonts w:ascii="Arial" w:hAnsi="Arial" w:cs="Arial"/>
          <w:color w:val="000000"/>
          <w:sz w:val="32"/>
          <w:szCs w:val="32"/>
          <w:vertAlign w:val="superscript"/>
        </w:rPr>
        <w:t>®</w:t>
      </w:r>
      <w:r w:rsidR="0046777B" w:rsidRPr="0058247A">
        <w:rPr>
          <w:rFonts w:ascii="Arial" w:hAnsi="Arial" w:cs="Arial"/>
          <w:color w:val="000000"/>
          <w:sz w:val="32"/>
          <w:szCs w:val="32"/>
        </w:rPr>
        <w:t>,</w:t>
      </w:r>
      <w:r w:rsidR="0046777B" w:rsidRPr="0058247A">
        <w:rPr>
          <w:sz w:val="32"/>
          <w:szCs w:val="32"/>
        </w:rPr>
        <w:br/>
      </w:r>
      <w:r w:rsidR="0046777B" w:rsidRPr="0058247A">
        <w:rPr>
          <w:rFonts w:ascii="Arial" w:hAnsi="Arial" w:cs="Arial"/>
          <w:color w:val="000000"/>
          <w:sz w:val="32"/>
          <w:szCs w:val="32"/>
        </w:rPr>
        <w:t>Janssen-Cilag Pty Ltd</w:t>
      </w:r>
      <w:r w:rsidR="0046777B" w:rsidRPr="0058247A">
        <w:rPr>
          <w:sz w:val="32"/>
          <w:szCs w:val="32"/>
        </w:rPr>
        <w:t>.</w:t>
      </w:r>
      <w:bookmarkEnd w:id="0"/>
      <w:bookmarkEnd w:id="1"/>
    </w:p>
    <w:p w14:paraId="17F1602D" w14:textId="77777777" w:rsidR="00F16B4A" w:rsidRPr="0058247A" w:rsidRDefault="00F16B4A" w:rsidP="00DB5136">
      <w:pPr>
        <w:pStyle w:val="2-SectionHeading"/>
      </w:pPr>
      <w:bookmarkStart w:id="2" w:name="_Toc121741804"/>
      <w:bookmarkStart w:id="3" w:name="_Toc124878964"/>
      <w:r w:rsidRPr="0058247A">
        <w:t>Purpose of submission</w:t>
      </w:r>
      <w:bookmarkEnd w:id="2"/>
      <w:bookmarkEnd w:id="3"/>
    </w:p>
    <w:p w14:paraId="04B8F88C" w14:textId="5F5F2A39" w:rsidR="00D30F1D" w:rsidRPr="0058247A" w:rsidRDefault="00D30F1D" w:rsidP="00D30F1D">
      <w:pPr>
        <w:pStyle w:val="3-BodyText"/>
      </w:pPr>
      <w:bookmarkStart w:id="4" w:name="_Toc121741817"/>
      <w:r w:rsidRPr="0058247A">
        <w:t>The Category 2 submission requested a Section 100 (Efficient Funding of Chemotherapy) Authority Required (telephone/online) listing for the intravenous (IV) and subcutaneous (SC) formulations and a General Schedule Authority Required (telephone/online) listing for the SC formulation of daratumumab for use in combination with lenalidomide and dexamethasone (DLd) for the treatment of transplant ineligible, newly diagnosed multiple myeloma (TI NDMM).</w:t>
      </w:r>
    </w:p>
    <w:p w14:paraId="4723B600" w14:textId="58A19EE6" w:rsidR="00D30F1D" w:rsidRPr="0058247A" w:rsidRDefault="00D30F1D" w:rsidP="00D30F1D">
      <w:pPr>
        <w:pStyle w:val="3-BodyText"/>
      </w:pPr>
      <w:r w:rsidRPr="0058247A">
        <w:t xml:space="preserve">The submission stated that maximising the effectiveness of first-line therapy remains the best opportunity to optimise long term patient outcomes in patients with TI NDMM. This is in line with the recommendations of the Myeloma Australia's Medical and Scientific Advisory Group (MSAG) of Australia for this population (MSAG 2022). </w:t>
      </w:r>
    </w:p>
    <w:p w14:paraId="4009FF1B" w14:textId="4C3BA5DB" w:rsidR="00D30F1D" w:rsidRPr="0058247A" w:rsidRDefault="00D30F1D" w:rsidP="00D30F1D">
      <w:pPr>
        <w:pStyle w:val="3-BodyText"/>
      </w:pPr>
      <w:r w:rsidRPr="0058247A">
        <w:t xml:space="preserve">Listing was requested on the basis of a cost-effectiveness analysis versus standard of care (SoC), comprising lenalidomide in combination with dexamethasone (Ld) and bortezomib, lenalidomide and dexamethasone (BLd). The key components of the clinical issues addressed by the submission are presented in </w:t>
      </w:r>
      <w:r w:rsidRPr="0058247A">
        <w:fldChar w:fldCharType="begin"/>
      </w:r>
      <w:r w:rsidRPr="0058247A">
        <w:instrText xml:space="preserve"> REF _Ref121389680 \h </w:instrText>
      </w:r>
      <w:r w:rsidR="006A6407" w:rsidRPr="0058247A">
        <w:instrText xml:space="preserve"> \* MERGEFORMAT </w:instrText>
      </w:r>
      <w:r w:rsidRPr="0058247A">
        <w:fldChar w:fldCharType="separate"/>
      </w:r>
      <w:r w:rsidR="008D65C7" w:rsidRPr="0058247A">
        <w:t xml:space="preserve">Table </w:t>
      </w:r>
      <w:r w:rsidR="008D65C7">
        <w:t>1</w:t>
      </w:r>
      <w:r w:rsidRPr="0058247A">
        <w:fldChar w:fldCharType="end"/>
      </w:r>
      <w:r w:rsidRPr="0058247A">
        <w:t>.</w:t>
      </w:r>
    </w:p>
    <w:p w14:paraId="5A8C983B" w14:textId="2D64BBA1" w:rsidR="00D30F1D" w:rsidRPr="0058247A" w:rsidRDefault="00D30F1D" w:rsidP="00D30F1D">
      <w:pPr>
        <w:pStyle w:val="TableFigureHeading"/>
        <w:rPr>
          <w:rStyle w:val="CommentReference"/>
          <w:b/>
          <w:szCs w:val="24"/>
        </w:rPr>
      </w:pPr>
      <w:bookmarkStart w:id="5" w:name="_Ref121389680"/>
      <w:r w:rsidRPr="0058247A">
        <w:lastRenderedPageBreak/>
        <w:t xml:space="preserve">Table </w:t>
      </w:r>
      <w:fldSimple w:instr=" SEQ Table \* ARABIC ">
        <w:r w:rsidR="008D65C7">
          <w:rPr>
            <w:noProof/>
          </w:rPr>
          <w:t>1</w:t>
        </w:r>
      </w:fldSimple>
      <w:bookmarkEnd w:id="5"/>
      <w:r w:rsidRPr="0058247A">
        <w:t>:</w:t>
      </w:r>
      <w:r w:rsidRPr="0058247A">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01"/>
      </w:tblGrid>
      <w:tr w:rsidR="00D30F1D" w:rsidRPr="0058247A" w14:paraId="7C80C104" w14:textId="77777777" w:rsidTr="00A8529D">
        <w:tc>
          <w:tcPr>
            <w:tcW w:w="1555" w:type="dxa"/>
            <w:tcBorders>
              <w:top w:val="single" w:sz="4" w:space="0" w:color="auto"/>
              <w:left w:val="single" w:sz="4" w:space="0" w:color="auto"/>
              <w:bottom w:val="single" w:sz="4" w:space="0" w:color="auto"/>
              <w:right w:val="single" w:sz="4" w:space="0" w:color="auto"/>
            </w:tcBorders>
            <w:vAlign w:val="center"/>
            <w:hideMark/>
          </w:tcPr>
          <w:p w14:paraId="5EB8FF13" w14:textId="77777777" w:rsidR="00D30F1D" w:rsidRPr="0058247A" w:rsidRDefault="00D30F1D" w:rsidP="00A25B4A">
            <w:pPr>
              <w:pStyle w:val="In-tableHeading"/>
              <w:rPr>
                <w:lang w:val="en-AU"/>
              </w:rPr>
            </w:pPr>
            <w:r w:rsidRPr="0058247A">
              <w:rPr>
                <w:lang w:val="en-AU"/>
              </w:rPr>
              <w:t>Component</w:t>
            </w:r>
          </w:p>
        </w:tc>
        <w:tc>
          <w:tcPr>
            <w:tcW w:w="7601" w:type="dxa"/>
            <w:tcBorders>
              <w:top w:val="single" w:sz="4" w:space="0" w:color="auto"/>
              <w:left w:val="single" w:sz="4" w:space="0" w:color="auto"/>
              <w:bottom w:val="single" w:sz="4" w:space="0" w:color="auto"/>
              <w:right w:val="single" w:sz="4" w:space="0" w:color="auto"/>
            </w:tcBorders>
            <w:vAlign w:val="center"/>
            <w:hideMark/>
          </w:tcPr>
          <w:p w14:paraId="7A1E6E77" w14:textId="77777777" w:rsidR="00D30F1D" w:rsidRPr="0058247A" w:rsidRDefault="00D30F1D" w:rsidP="00A25B4A">
            <w:pPr>
              <w:pStyle w:val="In-tableHeading"/>
              <w:rPr>
                <w:lang w:val="en-AU"/>
              </w:rPr>
            </w:pPr>
            <w:r w:rsidRPr="0058247A">
              <w:rPr>
                <w:lang w:val="en-AU"/>
              </w:rPr>
              <w:t>Description</w:t>
            </w:r>
          </w:p>
        </w:tc>
      </w:tr>
      <w:tr w:rsidR="00D30F1D" w:rsidRPr="0058247A" w14:paraId="79B04087" w14:textId="77777777" w:rsidTr="00A8529D">
        <w:tc>
          <w:tcPr>
            <w:tcW w:w="1555" w:type="dxa"/>
            <w:tcBorders>
              <w:top w:val="single" w:sz="4" w:space="0" w:color="auto"/>
              <w:left w:val="single" w:sz="4" w:space="0" w:color="auto"/>
              <w:bottom w:val="single" w:sz="4" w:space="0" w:color="auto"/>
              <w:right w:val="single" w:sz="4" w:space="0" w:color="auto"/>
            </w:tcBorders>
            <w:vAlign w:val="center"/>
            <w:hideMark/>
          </w:tcPr>
          <w:p w14:paraId="7279A4F8" w14:textId="77777777" w:rsidR="00D30F1D" w:rsidRPr="0058247A" w:rsidRDefault="00D30F1D" w:rsidP="00A25B4A">
            <w:pPr>
              <w:pStyle w:val="TableText0"/>
            </w:pPr>
            <w:r w:rsidRPr="0058247A">
              <w:t>Population</w:t>
            </w:r>
          </w:p>
        </w:tc>
        <w:tc>
          <w:tcPr>
            <w:tcW w:w="7601" w:type="dxa"/>
            <w:tcBorders>
              <w:top w:val="single" w:sz="4" w:space="0" w:color="auto"/>
              <w:left w:val="single" w:sz="4" w:space="0" w:color="auto"/>
              <w:bottom w:val="single" w:sz="4" w:space="0" w:color="auto"/>
              <w:right w:val="single" w:sz="4" w:space="0" w:color="auto"/>
            </w:tcBorders>
            <w:hideMark/>
          </w:tcPr>
          <w:p w14:paraId="3FBABB4D" w14:textId="77777777" w:rsidR="00D30F1D" w:rsidRPr="0058247A" w:rsidRDefault="00D30F1D" w:rsidP="00A25B4A">
            <w:pPr>
              <w:pStyle w:val="TableText0"/>
            </w:pPr>
            <w:r w:rsidRPr="0058247A">
              <w:rPr>
                <w:rFonts w:eastAsia="Calibri" w:cs="Arial"/>
              </w:rPr>
              <w:t>Patients with transplant ineligible (TI) newly diagnosed multiple myeloma (NDMM).</w:t>
            </w:r>
          </w:p>
        </w:tc>
      </w:tr>
      <w:tr w:rsidR="00D30F1D" w:rsidRPr="0058247A" w14:paraId="37DC0821" w14:textId="77777777" w:rsidTr="00A8529D">
        <w:tc>
          <w:tcPr>
            <w:tcW w:w="1555" w:type="dxa"/>
            <w:tcBorders>
              <w:top w:val="single" w:sz="4" w:space="0" w:color="auto"/>
              <w:left w:val="single" w:sz="4" w:space="0" w:color="auto"/>
              <w:bottom w:val="single" w:sz="4" w:space="0" w:color="auto"/>
              <w:right w:val="single" w:sz="4" w:space="0" w:color="auto"/>
            </w:tcBorders>
            <w:vAlign w:val="center"/>
            <w:hideMark/>
          </w:tcPr>
          <w:p w14:paraId="79A866C9" w14:textId="77777777" w:rsidR="00D30F1D" w:rsidRPr="0058247A" w:rsidRDefault="00D30F1D" w:rsidP="00A25B4A">
            <w:pPr>
              <w:pStyle w:val="TableText0"/>
            </w:pPr>
            <w:r w:rsidRPr="0058247A">
              <w:t>Intervention</w:t>
            </w:r>
          </w:p>
        </w:tc>
        <w:tc>
          <w:tcPr>
            <w:tcW w:w="7601" w:type="dxa"/>
            <w:tcBorders>
              <w:top w:val="single" w:sz="4" w:space="0" w:color="auto"/>
              <w:left w:val="single" w:sz="4" w:space="0" w:color="auto"/>
              <w:bottom w:val="single" w:sz="4" w:space="0" w:color="auto"/>
              <w:right w:val="single" w:sz="4" w:space="0" w:color="auto"/>
            </w:tcBorders>
            <w:vAlign w:val="center"/>
          </w:tcPr>
          <w:p w14:paraId="4C7C3504" w14:textId="77777777" w:rsidR="00D30F1D" w:rsidRPr="0058247A" w:rsidRDefault="00D30F1D" w:rsidP="00A25B4A">
            <w:pPr>
              <w:pStyle w:val="TableText0"/>
            </w:pPr>
            <w:r w:rsidRPr="0058247A">
              <w:t>Daratumumab, administered in combination with lenalidomide, and dexamethasone (DLd).</w:t>
            </w:r>
          </w:p>
          <w:p w14:paraId="540AA801" w14:textId="77777777" w:rsidR="00D30F1D" w:rsidRPr="0058247A" w:rsidRDefault="00D30F1D" w:rsidP="00A25B4A">
            <w:pPr>
              <w:pStyle w:val="TableText0"/>
            </w:pPr>
            <w:r w:rsidRPr="0058247A">
              <w:rPr>
                <w:rFonts w:eastAsia="Calibri" w:cs="Arial"/>
              </w:rPr>
              <w:t>Daratumumab is administered either intravenously (IV) by infusion at a dose of 16 mg/kg, or subcutaneously (SC) at a dose of 1800 mg. It is administered weekly for the first 2 cycles (each cycle is 4 weeks in duration; a total of 8 doses), every two weeks from cycles 3 to 6 (a total of 8 doses) and then once every 4 weeks from cycle 7 onwards until disease progression, or until the development of treatment-limiting toxicity. Lenalidomide is administered orally by 25 mg capsule on Day 1 through Day 21 of each 28-day cycle, dexamethasone 40 mg orally or intravenously once a week.</w:t>
            </w:r>
          </w:p>
        </w:tc>
      </w:tr>
      <w:tr w:rsidR="00D30F1D" w:rsidRPr="0058247A" w14:paraId="29077A3E" w14:textId="77777777" w:rsidTr="00A8529D">
        <w:tc>
          <w:tcPr>
            <w:tcW w:w="1555" w:type="dxa"/>
            <w:tcBorders>
              <w:top w:val="single" w:sz="4" w:space="0" w:color="auto"/>
              <w:left w:val="single" w:sz="4" w:space="0" w:color="auto"/>
              <w:bottom w:val="single" w:sz="4" w:space="0" w:color="auto"/>
              <w:right w:val="single" w:sz="4" w:space="0" w:color="auto"/>
            </w:tcBorders>
            <w:vAlign w:val="center"/>
            <w:hideMark/>
          </w:tcPr>
          <w:p w14:paraId="0F30A4B2" w14:textId="77777777" w:rsidR="00D30F1D" w:rsidRPr="0058247A" w:rsidRDefault="00D30F1D" w:rsidP="00A25B4A">
            <w:pPr>
              <w:pStyle w:val="TableText0"/>
            </w:pPr>
            <w:r w:rsidRPr="0058247A">
              <w:t>Comparator</w:t>
            </w:r>
          </w:p>
        </w:tc>
        <w:tc>
          <w:tcPr>
            <w:tcW w:w="7601" w:type="dxa"/>
            <w:tcBorders>
              <w:top w:val="single" w:sz="4" w:space="0" w:color="auto"/>
              <w:left w:val="single" w:sz="4" w:space="0" w:color="auto"/>
              <w:bottom w:val="single" w:sz="4" w:space="0" w:color="auto"/>
              <w:right w:val="single" w:sz="4" w:space="0" w:color="auto"/>
            </w:tcBorders>
            <w:vAlign w:val="center"/>
            <w:hideMark/>
          </w:tcPr>
          <w:p w14:paraId="582AF7CF" w14:textId="77777777" w:rsidR="00D30F1D" w:rsidRPr="0058247A" w:rsidRDefault="00D30F1D" w:rsidP="00A25B4A">
            <w:pPr>
              <w:pStyle w:val="TableText0"/>
            </w:pPr>
            <w:r w:rsidRPr="0058247A">
              <w:t>This submission nominates two comparators, as these are the regimens that will be most commonly replaced in clinical practice;</w:t>
            </w:r>
          </w:p>
          <w:p w14:paraId="0371B46B" w14:textId="77777777" w:rsidR="00D30F1D" w:rsidRPr="0058247A" w:rsidRDefault="00D30F1D" w:rsidP="00A25B4A">
            <w:pPr>
              <w:pStyle w:val="TableText0"/>
            </w:pPr>
            <w:r w:rsidRPr="0058247A">
              <w:t>•</w:t>
            </w:r>
            <w:r w:rsidRPr="0058247A">
              <w:tab/>
              <w:t>Lenalidomide in combination with dexamethasone (Ld);</w:t>
            </w:r>
          </w:p>
          <w:p w14:paraId="3C2315C8" w14:textId="77777777" w:rsidR="00D30F1D" w:rsidRPr="0058247A" w:rsidRDefault="00D30F1D" w:rsidP="00A25B4A">
            <w:pPr>
              <w:pStyle w:val="TableText0"/>
            </w:pPr>
            <w:r w:rsidRPr="0058247A">
              <w:t>•</w:t>
            </w:r>
            <w:r w:rsidRPr="0058247A">
              <w:tab/>
              <w:t>Bortezomib, in combination with lenalidomide and dexamethasone (BLd)</w:t>
            </w:r>
          </w:p>
        </w:tc>
      </w:tr>
      <w:tr w:rsidR="00D30F1D" w:rsidRPr="0058247A" w14:paraId="440EE754" w14:textId="77777777" w:rsidTr="00A8529D">
        <w:tc>
          <w:tcPr>
            <w:tcW w:w="1555" w:type="dxa"/>
            <w:tcBorders>
              <w:top w:val="single" w:sz="4" w:space="0" w:color="auto"/>
              <w:left w:val="single" w:sz="4" w:space="0" w:color="auto"/>
              <w:bottom w:val="single" w:sz="4" w:space="0" w:color="auto"/>
              <w:right w:val="single" w:sz="4" w:space="0" w:color="auto"/>
            </w:tcBorders>
            <w:vAlign w:val="center"/>
            <w:hideMark/>
          </w:tcPr>
          <w:p w14:paraId="1EE9552C" w14:textId="77777777" w:rsidR="00D30F1D" w:rsidRPr="0058247A" w:rsidRDefault="00D30F1D" w:rsidP="00A25B4A">
            <w:pPr>
              <w:pStyle w:val="TableText0"/>
            </w:pPr>
            <w:r w:rsidRPr="0058247A">
              <w:t>Outcomes</w:t>
            </w:r>
          </w:p>
        </w:tc>
        <w:tc>
          <w:tcPr>
            <w:tcW w:w="7601" w:type="dxa"/>
            <w:tcBorders>
              <w:top w:val="single" w:sz="4" w:space="0" w:color="auto"/>
              <w:left w:val="single" w:sz="4" w:space="0" w:color="auto"/>
              <w:bottom w:val="single" w:sz="4" w:space="0" w:color="auto"/>
              <w:right w:val="single" w:sz="4" w:space="0" w:color="auto"/>
            </w:tcBorders>
            <w:vAlign w:val="center"/>
            <w:hideMark/>
          </w:tcPr>
          <w:p w14:paraId="787538BF" w14:textId="77777777" w:rsidR="00D30F1D" w:rsidRPr="0058247A" w:rsidRDefault="00D30F1D" w:rsidP="00A25B4A">
            <w:pPr>
              <w:pStyle w:val="TableText0"/>
            </w:pPr>
            <w:r w:rsidRPr="0058247A">
              <w:t>Progression-free survival (PFS), overall survival (OS), overall response rate (ORR), minimal residual disease (MRD)-negativity, adverse events (AEs).</w:t>
            </w:r>
          </w:p>
        </w:tc>
      </w:tr>
      <w:tr w:rsidR="00D30F1D" w:rsidRPr="0058247A" w14:paraId="2C1C8A4A" w14:textId="77777777" w:rsidTr="00A8529D">
        <w:tc>
          <w:tcPr>
            <w:tcW w:w="1555" w:type="dxa"/>
            <w:tcBorders>
              <w:top w:val="single" w:sz="4" w:space="0" w:color="auto"/>
              <w:left w:val="single" w:sz="4" w:space="0" w:color="auto"/>
              <w:bottom w:val="single" w:sz="4" w:space="0" w:color="auto"/>
              <w:right w:val="single" w:sz="4" w:space="0" w:color="auto"/>
            </w:tcBorders>
            <w:vAlign w:val="center"/>
            <w:hideMark/>
          </w:tcPr>
          <w:p w14:paraId="0ACD69BF" w14:textId="77777777" w:rsidR="00D30F1D" w:rsidRPr="0058247A" w:rsidRDefault="00D30F1D" w:rsidP="00A25B4A">
            <w:pPr>
              <w:pStyle w:val="TableText0"/>
            </w:pPr>
            <w:r w:rsidRPr="0058247A">
              <w:t>Clinical claim</w:t>
            </w:r>
          </w:p>
        </w:tc>
        <w:tc>
          <w:tcPr>
            <w:tcW w:w="7601" w:type="dxa"/>
            <w:tcBorders>
              <w:top w:val="single" w:sz="4" w:space="0" w:color="auto"/>
              <w:left w:val="single" w:sz="4" w:space="0" w:color="auto"/>
              <w:bottom w:val="single" w:sz="4" w:space="0" w:color="auto"/>
              <w:right w:val="single" w:sz="4" w:space="0" w:color="auto"/>
            </w:tcBorders>
            <w:vAlign w:val="center"/>
            <w:hideMark/>
          </w:tcPr>
          <w:p w14:paraId="055E6AE7" w14:textId="77777777" w:rsidR="00D30F1D" w:rsidRPr="0058247A" w:rsidRDefault="00D30F1D" w:rsidP="00A25B4A">
            <w:pPr>
              <w:pStyle w:val="TableText0"/>
              <w:spacing w:after="40"/>
            </w:pPr>
            <w:r w:rsidRPr="0058247A">
              <w:t xml:space="preserve">Compared with Ld, DLd demonstrated statistically and clinically superior comparative efficacy based on PFS, OS and other secondary outcomes in the MAIA trial, including ORR and MRD-negativity. These outcomes are key goals of therapy in TI NDMM. </w:t>
            </w:r>
          </w:p>
          <w:p w14:paraId="1237E155" w14:textId="498DDCB5" w:rsidR="00D30F1D" w:rsidRPr="0058247A" w:rsidRDefault="00D30F1D" w:rsidP="00A25B4A">
            <w:pPr>
              <w:pStyle w:val="TableText0"/>
              <w:spacing w:after="40"/>
            </w:pPr>
            <w:r w:rsidRPr="0058247A">
              <w:t>Further, whilst the safety data were not adjusted for the longer exposure to DLd treatment and thus biased against DLd, DLd was associated with a higher incidence of grade 3 or 4 AEs and SAEs compared with Ld alone and therefore has an inferior safety profile. The profile of AEs observed with DLd is consistent with the known safety profile</w:t>
            </w:r>
            <w:r w:rsidR="00205DBA" w:rsidRPr="0058247A">
              <w:t>s</w:t>
            </w:r>
            <w:r w:rsidRPr="0058247A">
              <w:t xml:space="preserve"> of daratumumab and lenalidomide. </w:t>
            </w:r>
          </w:p>
          <w:p w14:paraId="04CC4350" w14:textId="2571774F" w:rsidR="00D30F1D" w:rsidRPr="0058247A" w:rsidRDefault="00D30F1D" w:rsidP="00A25B4A">
            <w:pPr>
              <w:pStyle w:val="TableText0"/>
              <w:spacing w:after="40"/>
            </w:pPr>
            <w:r w:rsidRPr="0058247A">
              <w:t xml:space="preserve">Compared with BLd, given the </w:t>
            </w:r>
            <w:r w:rsidR="00B210B6" w:rsidRPr="0058247A">
              <w:t xml:space="preserve">claimed </w:t>
            </w:r>
            <w:r w:rsidRPr="0058247A">
              <w:t xml:space="preserve">non-inferior efficacy between Ld and BLd in NDMM patients who are aged 65 years or older (a proxy for transplant ineligibility), adding daratumumab to Ld demonstrates statistically and clinically superior efficacy (i.e. PFS and OS). DLd has at worst a non-inferior, but likely superior safety profile compared with BLd. </w:t>
            </w:r>
          </w:p>
          <w:p w14:paraId="2B3F07D7" w14:textId="14BF145E" w:rsidR="00D30F1D" w:rsidRPr="0058247A" w:rsidRDefault="00D30F1D" w:rsidP="00A25B4A">
            <w:pPr>
              <w:pStyle w:val="TableText0"/>
              <w:spacing w:after="40"/>
            </w:pPr>
            <w:r w:rsidRPr="0058247A">
              <w:t>Therefore, DLd is superior to both Ld and BLd in terms of efficacy. DLd is inferior to Ld and at worst non-inferior, but likely superior to BLd in terms of safety</w:t>
            </w:r>
            <w:r w:rsidR="00205DBA" w:rsidRPr="0058247A">
              <w:t>.</w:t>
            </w:r>
          </w:p>
        </w:tc>
      </w:tr>
    </w:tbl>
    <w:p w14:paraId="5DF201C9" w14:textId="77777777" w:rsidR="00D30F1D" w:rsidRPr="0058247A" w:rsidRDefault="00D30F1D" w:rsidP="00D30F1D">
      <w:pPr>
        <w:pStyle w:val="FooterTableFigure"/>
      </w:pPr>
      <w:r w:rsidRPr="0058247A">
        <w:t xml:space="preserve">Source: Table 1.1, p20 of the submission. </w:t>
      </w:r>
    </w:p>
    <w:p w14:paraId="0B9559D7" w14:textId="71F306C2" w:rsidR="00D30F1D" w:rsidRPr="0058247A" w:rsidRDefault="00D30F1D" w:rsidP="00D30F1D">
      <w:pPr>
        <w:pStyle w:val="FooterTableFigure"/>
      </w:pPr>
      <w:r w:rsidRPr="0058247A">
        <w:t>AEs= adverse events; BLd= bortezomib, lenalidomide and dexamethasone; DLd= daratumumab, lenalidomide and dexamethasone; IV = intravenous; Ld= lenalidomide a</w:t>
      </w:r>
      <w:r w:rsidR="00814607" w:rsidRPr="0058247A">
        <w:t>n</w:t>
      </w:r>
      <w:r w:rsidRPr="0058247A">
        <w:t>d dexamethasone; MRD = minimal residual disease; NDMM = newly diagnosed multiple myeloma; PFS= progression-free survival; ORR = overall response rate; OS= overall survival; SC = subcutaneous; TI = transplant ineligible</w:t>
      </w:r>
    </w:p>
    <w:p w14:paraId="7BA45363" w14:textId="77777777" w:rsidR="00D30F1D" w:rsidRPr="0058247A" w:rsidRDefault="00D30F1D" w:rsidP="00D30F1D">
      <w:pPr>
        <w:pStyle w:val="2-SectionHeading"/>
      </w:pPr>
      <w:bookmarkStart w:id="6" w:name="_Toc121741805"/>
      <w:bookmarkStart w:id="7" w:name="_Toc124878965"/>
      <w:r w:rsidRPr="0058247A">
        <w:t>Background</w:t>
      </w:r>
      <w:bookmarkEnd w:id="6"/>
      <w:bookmarkEnd w:id="7"/>
    </w:p>
    <w:p w14:paraId="6A1FE556" w14:textId="77777777" w:rsidR="00D30F1D" w:rsidRPr="0058247A" w:rsidRDefault="00D30F1D" w:rsidP="00D30F1D">
      <w:pPr>
        <w:pStyle w:val="4-SubsectionHeading"/>
      </w:pPr>
      <w:bookmarkStart w:id="8" w:name="_Toc22897638"/>
      <w:bookmarkStart w:id="9" w:name="_Toc121741806"/>
      <w:bookmarkStart w:id="10" w:name="_Toc124878966"/>
      <w:r w:rsidRPr="0058247A">
        <w:t>Registration status</w:t>
      </w:r>
      <w:bookmarkEnd w:id="8"/>
      <w:bookmarkEnd w:id="9"/>
      <w:bookmarkEnd w:id="10"/>
    </w:p>
    <w:p w14:paraId="34528DE5" w14:textId="61B2B3C0" w:rsidR="00734CFE" w:rsidRPr="0058247A" w:rsidRDefault="00D30F1D" w:rsidP="00D30F1D">
      <w:pPr>
        <w:pStyle w:val="3-BodyText"/>
      </w:pPr>
      <w:r w:rsidRPr="0058247A">
        <w:t xml:space="preserve">Daratumumab, IV and SC formulations </w:t>
      </w:r>
      <w:r w:rsidR="00734CFE" w:rsidRPr="0058247A">
        <w:t>are indicated for the treatment of multiple myeloma for the following indications:</w:t>
      </w:r>
    </w:p>
    <w:p w14:paraId="02E88658" w14:textId="73C6F841" w:rsidR="00734CFE" w:rsidRPr="0058247A" w:rsidRDefault="00734CFE" w:rsidP="008230E4">
      <w:pPr>
        <w:pStyle w:val="3-BodyText"/>
        <w:numPr>
          <w:ilvl w:val="0"/>
          <w:numId w:val="0"/>
        </w:numPr>
        <w:ind w:left="720"/>
        <w:rPr>
          <w:b/>
          <w:bCs/>
        </w:rPr>
      </w:pPr>
      <w:r w:rsidRPr="0058247A">
        <w:rPr>
          <w:b/>
          <w:bCs/>
        </w:rPr>
        <w:t xml:space="preserve">Newly diagnosed multiple myeloma: </w:t>
      </w:r>
    </w:p>
    <w:p w14:paraId="32EEA07E" w14:textId="4E33F667" w:rsidR="008230E4" w:rsidRPr="0058247A" w:rsidRDefault="008230E4" w:rsidP="00661C42">
      <w:pPr>
        <w:pStyle w:val="ListParagraph"/>
        <w:numPr>
          <w:ilvl w:val="0"/>
          <w:numId w:val="21"/>
        </w:numPr>
      </w:pPr>
      <w:r w:rsidRPr="0058247A">
        <w:t>P</w:t>
      </w:r>
      <w:r w:rsidR="00734CFE" w:rsidRPr="0058247A">
        <w:t>atients eligible for autologous stem cell transplant</w:t>
      </w:r>
      <w:r w:rsidR="0075655D" w:rsidRPr="0058247A">
        <w:t xml:space="preserve"> (ASCT)</w:t>
      </w:r>
      <w:r w:rsidR="00734CFE" w:rsidRPr="0058247A">
        <w:t>. For use in combination with: bortezomib, thalidomide, and dexamethasone.</w:t>
      </w:r>
    </w:p>
    <w:p w14:paraId="7280562E" w14:textId="5E4EF0CF" w:rsidR="00734CFE" w:rsidRPr="0058247A" w:rsidRDefault="008230E4" w:rsidP="00661C42">
      <w:pPr>
        <w:pStyle w:val="ListParagraph"/>
        <w:numPr>
          <w:ilvl w:val="0"/>
          <w:numId w:val="21"/>
        </w:numPr>
      </w:pPr>
      <w:r w:rsidRPr="0058247A">
        <w:t xml:space="preserve">Patients </w:t>
      </w:r>
      <w:r w:rsidR="00734CFE" w:rsidRPr="0058247A">
        <w:t xml:space="preserve">ineligible for </w:t>
      </w:r>
      <w:r w:rsidR="0075655D" w:rsidRPr="0058247A">
        <w:t>ASCT</w:t>
      </w:r>
      <w:r w:rsidR="00734CFE" w:rsidRPr="0058247A">
        <w:t xml:space="preserve">. For use in combination with: </w:t>
      </w:r>
      <w:r w:rsidRPr="0058247A">
        <w:t xml:space="preserve">1) </w:t>
      </w:r>
      <w:r w:rsidR="00734CFE" w:rsidRPr="0058247A">
        <w:t xml:space="preserve">bortezomib, melphalan and prednisone, or </w:t>
      </w:r>
      <w:r w:rsidRPr="0058247A">
        <w:t>2) </w:t>
      </w:r>
      <w:r w:rsidR="00734CFE" w:rsidRPr="0058247A">
        <w:t xml:space="preserve">lenalidomide and dexamethasone. </w:t>
      </w:r>
    </w:p>
    <w:p w14:paraId="56CE534A" w14:textId="69261994" w:rsidR="008230E4" w:rsidRPr="0058247A" w:rsidRDefault="008230E4" w:rsidP="004D2BC5">
      <w:pPr>
        <w:pStyle w:val="3-BodyText"/>
        <w:numPr>
          <w:ilvl w:val="0"/>
          <w:numId w:val="0"/>
        </w:numPr>
        <w:ind w:left="720"/>
        <w:rPr>
          <w:b/>
          <w:bCs/>
        </w:rPr>
      </w:pPr>
      <w:r w:rsidRPr="0058247A">
        <w:rPr>
          <w:b/>
          <w:bCs/>
        </w:rPr>
        <w:t>Relapsed and refractory multiple myeloma multiple myeloma:</w:t>
      </w:r>
    </w:p>
    <w:p w14:paraId="2B34C709" w14:textId="4E4D3B1E" w:rsidR="008230E4" w:rsidRPr="0058247A" w:rsidRDefault="008230E4" w:rsidP="00661C42">
      <w:pPr>
        <w:pStyle w:val="ListParagraph"/>
        <w:numPr>
          <w:ilvl w:val="0"/>
          <w:numId w:val="20"/>
        </w:numPr>
        <w:ind w:left="1080"/>
      </w:pPr>
      <w:r w:rsidRPr="0058247A">
        <w:t xml:space="preserve">Patients who have received </w:t>
      </w:r>
      <w:r w:rsidR="00734CFE" w:rsidRPr="0058247A">
        <w:t xml:space="preserve">at least one prior therapy. For use in combination with: bortezomib and dexamethasone, or lenalidomide and dexamethasone. </w:t>
      </w:r>
    </w:p>
    <w:p w14:paraId="1ECDEDEC" w14:textId="592D4D44" w:rsidR="00734CFE" w:rsidRPr="0058247A" w:rsidRDefault="008230E4" w:rsidP="00661C42">
      <w:pPr>
        <w:pStyle w:val="ListParagraph"/>
        <w:numPr>
          <w:ilvl w:val="0"/>
          <w:numId w:val="20"/>
        </w:numPr>
        <w:ind w:left="1080"/>
      </w:pPr>
      <w:r w:rsidRPr="0058247A">
        <w:lastRenderedPageBreak/>
        <w:t xml:space="preserve">Patients who have received </w:t>
      </w:r>
      <w:r w:rsidR="00734CFE" w:rsidRPr="0058247A">
        <w:t>at least three prior lines of therapy including a proteasome inhibitor (PI) and an immunomodulatory agent or who are refractory to both a PI and an immunomodulatory agent. For use as: monotherapy.</w:t>
      </w:r>
    </w:p>
    <w:p w14:paraId="61170A2E" w14:textId="77777777" w:rsidR="0075655D" w:rsidRPr="0058247A" w:rsidRDefault="0075655D" w:rsidP="0075655D">
      <w:pPr>
        <w:pStyle w:val="3-BodyText"/>
      </w:pPr>
      <w:bookmarkStart w:id="11" w:name="_Ref481137307"/>
      <w:r w:rsidRPr="0058247A">
        <w:t>Daratumumab was TGA approved in April 2020 (IV formulation) and September 2020 (SC formulation) for the indication corresponding to the proposed PBS listing, i.e. for use in combination with Ld for TI NDMM.</w:t>
      </w:r>
      <w:bookmarkEnd w:id="11"/>
    </w:p>
    <w:p w14:paraId="057B6947" w14:textId="77777777" w:rsidR="00D30F1D" w:rsidRPr="0058247A" w:rsidRDefault="00D30F1D" w:rsidP="00D30F1D">
      <w:pPr>
        <w:pStyle w:val="4-SubsectionHeading"/>
      </w:pPr>
      <w:bookmarkStart w:id="12" w:name="_Toc22897639"/>
      <w:bookmarkStart w:id="13" w:name="_Toc121741807"/>
      <w:bookmarkStart w:id="14" w:name="_Toc124878967"/>
      <w:r w:rsidRPr="0058247A">
        <w:t>Previous PBAC consideration</w:t>
      </w:r>
      <w:bookmarkEnd w:id="12"/>
      <w:bookmarkEnd w:id="13"/>
      <w:bookmarkEnd w:id="14"/>
    </w:p>
    <w:p w14:paraId="2DAF14AB" w14:textId="1E05B1E1" w:rsidR="00D30F1D" w:rsidRPr="0058247A" w:rsidRDefault="00D30F1D" w:rsidP="0021164A">
      <w:pPr>
        <w:pStyle w:val="3-BodyText"/>
        <w:rPr>
          <w:color w:val="0066FF"/>
        </w:rPr>
      </w:pPr>
      <w:r w:rsidRPr="0058247A">
        <w:t xml:space="preserve">DLd was considered by the PBAC in November 2017, for the treatment of relapsed and/or refractory MM (RRMM). This is the first consideration of DLd in the TI NDMM setting. Daratumumab IV in combination with bortezomib and dexamethasone </w:t>
      </w:r>
      <w:r w:rsidR="001B6D42" w:rsidRPr="0058247A">
        <w:t xml:space="preserve">(DBd) </w:t>
      </w:r>
      <w:r w:rsidRPr="0058247A">
        <w:t xml:space="preserve">was considered by the PBAC in March 2019, November 2019 and July 2020, for the treatment of RRMM. Daratumumab SC in combination with bortezomib and dexamethasone was considered by the PBAC in July 2021 for the treatment of RRMM. </w:t>
      </w:r>
      <w:r w:rsidR="00532B14" w:rsidRPr="0058247A">
        <w:t xml:space="preserve">Daratumumab SC in combination with cyclophosphamide, bortezomib and dexamethasone (CyBorD) was considered by the PBAC in </w:t>
      </w:r>
      <w:r w:rsidR="004D2A45" w:rsidRPr="0058247A">
        <w:t>November</w:t>
      </w:r>
      <w:r w:rsidR="004D2A45">
        <w:t xml:space="preserve"> </w:t>
      </w:r>
      <w:r w:rsidR="00532B14" w:rsidRPr="0058247A">
        <w:t xml:space="preserve">2021 and </w:t>
      </w:r>
      <w:r w:rsidR="004D2A45" w:rsidRPr="0058247A">
        <w:t>May</w:t>
      </w:r>
      <w:r w:rsidR="004D2A45">
        <w:t> </w:t>
      </w:r>
      <w:r w:rsidR="00532B14" w:rsidRPr="0058247A">
        <w:t>2022 for the treatment of Amyloid light-chain (AL) amyloidosis.</w:t>
      </w:r>
    </w:p>
    <w:p w14:paraId="30B8A4EF" w14:textId="087D7485" w:rsidR="00D30F1D" w:rsidRDefault="00D30F1D" w:rsidP="00D30F1D">
      <w:pPr>
        <w:pStyle w:val="3-BodyText"/>
        <w:rPr>
          <w:color w:val="0066FF"/>
        </w:rPr>
      </w:pPr>
      <w:r w:rsidRPr="0058247A">
        <w:t>BLd was considered by the PBAC for TI NDMM at its August 2019 meeting.</w:t>
      </w:r>
      <w:r w:rsidRPr="0058247A">
        <w:rPr>
          <w:color w:val="0066FF"/>
        </w:rPr>
        <w:t xml:space="preserve"> </w:t>
      </w:r>
    </w:p>
    <w:p w14:paraId="285C4B36" w14:textId="5F52858D" w:rsidR="006154DA" w:rsidRPr="006154DA" w:rsidRDefault="006154DA" w:rsidP="006154DA">
      <w:pPr>
        <w:pStyle w:val="3-BodyText"/>
        <w:numPr>
          <w:ilvl w:val="0"/>
          <w:numId w:val="0"/>
        </w:numPr>
        <w:ind w:left="720"/>
        <w:rPr>
          <w:i/>
          <w:iCs/>
        </w:rPr>
      </w:pPr>
      <w:r w:rsidRPr="006154DA">
        <w:rPr>
          <w:i/>
          <w:iCs/>
        </w:rPr>
        <w:t>For more detail on PBAC’s view, see section 7 PBAC outcome.</w:t>
      </w:r>
    </w:p>
    <w:p w14:paraId="369C433C" w14:textId="77777777" w:rsidR="00D30F1D" w:rsidRPr="0058247A" w:rsidRDefault="00D30F1D" w:rsidP="00D30F1D">
      <w:pPr>
        <w:pStyle w:val="2-SectionHeading"/>
        <w:keepNext w:val="0"/>
        <w:widowControl w:val="0"/>
      </w:pPr>
      <w:bookmarkStart w:id="15" w:name="_Toc107902078"/>
      <w:bookmarkStart w:id="16" w:name="_Toc121741808"/>
      <w:bookmarkStart w:id="17" w:name="_Toc124878968"/>
      <w:bookmarkEnd w:id="15"/>
      <w:r w:rsidRPr="0058247A">
        <w:t>Requested listing</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126"/>
        <w:gridCol w:w="1275"/>
        <w:gridCol w:w="994"/>
        <w:gridCol w:w="1793"/>
      </w:tblGrid>
      <w:tr w:rsidR="00F624A1" w:rsidRPr="0058247A" w14:paraId="77CFFFC8" w14:textId="77777777" w:rsidTr="002C1DE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6A5F01" w14:textId="77777777" w:rsidR="00D30F1D" w:rsidRPr="0058247A" w:rsidRDefault="00D30F1D" w:rsidP="004D2BC5">
            <w:pPr>
              <w:keepNext/>
              <w:widowControl w:val="0"/>
              <w:spacing w:before="100" w:beforeAutospacing="1" w:after="100" w:afterAutospacing="1"/>
              <w:contextualSpacing/>
              <w:jc w:val="left"/>
              <w:rPr>
                <w:rFonts w:ascii="Arial Narrow" w:hAnsi="Arial Narrow"/>
                <w:b/>
                <w:sz w:val="20"/>
                <w:szCs w:val="20"/>
              </w:rPr>
            </w:pPr>
            <w:r w:rsidRPr="0058247A">
              <w:rPr>
                <w:rFonts w:ascii="Arial Narrow" w:hAnsi="Arial Narrow"/>
                <w:b/>
                <w:sz w:val="20"/>
                <w:szCs w:val="20"/>
              </w:rPr>
              <w:t>Intravenous formulation</w:t>
            </w:r>
          </w:p>
        </w:tc>
      </w:tr>
      <w:tr w:rsidR="00BB7787" w:rsidRPr="0058247A" w14:paraId="61CA3B97" w14:textId="77777777" w:rsidTr="004D2A45">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246091F1" w14:textId="77777777" w:rsidR="00D30F1D" w:rsidRPr="0058247A" w:rsidRDefault="00D30F1D" w:rsidP="004D2BC5">
            <w:pPr>
              <w:keepNext/>
              <w:widowControl w:val="0"/>
              <w:spacing w:before="100" w:beforeAutospacing="1" w:after="100" w:afterAutospacing="1"/>
              <w:contextualSpacing/>
              <w:rPr>
                <w:rFonts w:ascii="Arial Narrow" w:hAnsi="Arial Narrow"/>
                <w:b/>
                <w:sz w:val="20"/>
                <w:szCs w:val="20"/>
              </w:rPr>
            </w:pPr>
            <w:r w:rsidRPr="0058247A">
              <w:rPr>
                <w:rFonts w:ascii="Arial Narrow" w:hAnsi="Arial Narrow"/>
                <w:b/>
                <w:bCs/>
                <w:sz w:val="20"/>
                <w:szCs w:val="20"/>
              </w:rPr>
              <w:t>Medicinal product pack</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7CB8047" w14:textId="77777777" w:rsidR="00D30F1D" w:rsidRPr="0058247A" w:rsidRDefault="00D30F1D" w:rsidP="004D2BC5">
            <w:pPr>
              <w:pStyle w:val="TableText0"/>
              <w:widowControl w:val="0"/>
              <w:spacing w:before="100" w:beforeAutospacing="1" w:after="100" w:afterAutospacing="1"/>
              <w:contextualSpacing/>
              <w:rPr>
                <w:b/>
                <w:bCs w:val="0"/>
                <w:szCs w:val="20"/>
              </w:rPr>
            </w:pPr>
            <w:r w:rsidRPr="0058247A">
              <w:rPr>
                <w:b/>
                <w:bCs w:val="0"/>
                <w:snapToGrid w:val="0"/>
              </w:rPr>
              <w:t>DPMA</w:t>
            </w:r>
          </w:p>
        </w:tc>
        <w:tc>
          <w:tcPr>
            <w:tcW w:w="707" w:type="pct"/>
            <w:tcBorders>
              <w:top w:val="single" w:sz="4" w:space="0" w:color="auto"/>
              <w:left w:val="single" w:sz="4" w:space="0" w:color="auto"/>
              <w:bottom w:val="single" w:sz="4" w:space="0" w:color="auto"/>
              <w:right w:val="single" w:sz="4" w:space="0" w:color="auto"/>
            </w:tcBorders>
            <w:vAlign w:val="center"/>
            <w:hideMark/>
          </w:tcPr>
          <w:p w14:paraId="4504E056" w14:textId="77777777" w:rsidR="00D30F1D" w:rsidRPr="0058247A" w:rsidRDefault="00D30F1D" w:rsidP="004D2BC5">
            <w:pPr>
              <w:keepNext/>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Max. Amt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71F1416" w14:textId="77777777" w:rsidR="00D30F1D" w:rsidRPr="0058247A" w:rsidRDefault="00D30F1D" w:rsidP="004D2BC5">
            <w:pPr>
              <w:keepNext/>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№.of</w:t>
            </w:r>
          </w:p>
          <w:p w14:paraId="2E528FD2" w14:textId="77777777" w:rsidR="00D30F1D" w:rsidRPr="0058247A" w:rsidRDefault="00D30F1D" w:rsidP="004D2BC5">
            <w:pPr>
              <w:keepNext/>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Rpts</w:t>
            </w:r>
          </w:p>
        </w:tc>
        <w:tc>
          <w:tcPr>
            <w:tcW w:w="993" w:type="pct"/>
            <w:tcBorders>
              <w:top w:val="single" w:sz="4" w:space="0" w:color="auto"/>
              <w:left w:val="single" w:sz="4" w:space="0" w:color="auto"/>
              <w:bottom w:val="single" w:sz="4" w:space="0" w:color="auto"/>
              <w:right w:val="single" w:sz="4" w:space="0" w:color="auto"/>
            </w:tcBorders>
            <w:vAlign w:val="center"/>
            <w:hideMark/>
          </w:tcPr>
          <w:p w14:paraId="3064407C" w14:textId="77777777" w:rsidR="00D30F1D" w:rsidRPr="0058247A" w:rsidRDefault="00D30F1D" w:rsidP="004D2BC5">
            <w:pPr>
              <w:keepNext/>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Available brands</w:t>
            </w:r>
          </w:p>
        </w:tc>
      </w:tr>
      <w:tr w:rsidR="00D30F1D" w:rsidRPr="0058247A" w14:paraId="57DBF0AC" w14:textId="77777777" w:rsidTr="002C1DE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F298B90" w14:textId="77777777" w:rsidR="00D30F1D" w:rsidRPr="0058247A" w:rsidRDefault="00D30F1D" w:rsidP="00A25B4A">
            <w:pPr>
              <w:widowControl w:val="0"/>
              <w:spacing w:before="100" w:beforeAutospacing="1" w:after="100" w:afterAutospacing="1"/>
              <w:contextualSpacing/>
              <w:jc w:val="left"/>
              <w:rPr>
                <w:rFonts w:ascii="Arial Narrow" w:hAnsi="Arial Narrow"/>
                <w:sz w:val="20"/>
                <w:szCs w:val="20"/>
              </w:rPr>
            </w:pPr>
            <w:r w:rsidRPr="0058247A">
              <w:rPr>
                <w:rFonts w:ascii="Arial Narrow" w:eastAsiaTheme="majorEastAsia" w:hAnsi="Arial Narrow" w:cstheme="majorBidi"/>
                <w:bCs/>
                <w:sz w:val="20"/>
              </w:rPr>
              <w:t>Initial</w:t>
            </w:r>
          </w:p>
        </w:tc>
      </w:tr>
      <w:tr w:rsidR="00D30F1D" w:rsidRPr="0058247A" w14:paraId="18CA2A7B" w14:textId="77777777" w:rsidTr="004D2A45">
        <w:trPr>
          <w:trHeight w:val="20"/>
        </w:trPr>
        <w:tc>
          <w:tcPr>
            <w:tcW w:w="1569" w:type="pct"/>
            <w:tcBorders>
              <w:top w:val="single" w:sz="4" w:space="0" w:color="auto"/>
              <w:left w:val="single" w:sz="4" w:space="0" w:color="auto"/>
              <w:right w:val="single" w:sz="4" w:space="0" w:color="auto"/>
            </w:tcBorders>
            <w:vAlign w:val="center"/>
            <w:hideMark/>
          </w:tcPr>
          <w:p w14:paraId="2BACDCC3" w14:textId="77777777" w:rsidR="00D30F1D" w:rsidRPr="0058247A" w:rsidRDefault="00D30F1D" w:rsidP="00A25B4A">
            <w:pPr>
              <w:widowControl w:val="0"/>
              <w:spacing w:before="100" w:beforeAutospacing="1" w:after="100" w:afterAutospacing="1"/>
              <w:contextualSpacing/>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Daratumumab, intravenous infusion, liquid in vial, 400 mg</w:t>
            </w:r>
          </w:p>
          <w:p w14:paraId="219DFC5C" w14:textId="77777777" w:rsidR="00D30F1D" w:rsidRPr="0058247A" w:rsidRDefault="00D30F1D" w:rsidP="00A25B4A">
            <w:pPr>
              <w:widowControl w:val="0"/>
              <w:spacing w:before="100" w:beforeAutospacing="1" w:after="100" w:afterAutospacing="1"/>
              <w:contextualSpacing/>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Daratumumab, intravenous infusion, liquid in vial, 100 mg</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4E70EE4"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 xml:space="preserve">Published: </w:t>
            </w:r>
          </w:p>
          <w:p w14:paraId="6F3326E1"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Public hospital: $11,770.87</w:t>
            </w:r>
          </w:p>
          <w:p w14:paraId="18676EB7"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Private hospital: $11,976.05</w:t>
            </w:r>
          </w:p>
          <w:p w14:paraId="530F2863"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Effective:</w:t>
            </w:r>
          </w:p>
          <w:p w14:paraId="078D49DE" w14:textId="23DAE369" w:rsidR="00D30F1D" w:rsidRPr="0058247A" w:rsidRDefault="00D30F1D" w:rsidP="004D2A45">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Public hospital: $</w:t>
            </w:r>
            <w:r w:rsidR="006E73CD" w:rsidRPr="006E73CD">
              <w:rPr>
                <w:rFonts w:ascii="Arial Narrow" w:eastAsia="Calibri" w:hAnsi="Arial Narrow"/>
                <w:color w:val="000000"/>
                <w:spacing w:val="29"/>
                <w:sz w:val="20"/>
                <w:szCs w:val="20"/>
                <w:shd w:val="solid" w:color="000000" w:fill="000000"/>
                <w:fitText w:val="549" w:id="-1236536832"/>
                <w:lang w:eastAsia="en-US"/>
                <w14:textFill>
                  <w14:solidFill>
                    <w14:srgbClr w14:val="000000">
                      <w14:alpha w14:val="100000"/>
                    </w14:srgbClr>
                  </w14:solidFill>
                </w14:textFill>
              </w:rPr>
              <w:t>|||||||</w:t>
            </w:r>
            <w:r w:rsidR="006E73CD" w:rsidRPr="006E73CD">
              <w:rPr>
                <w:rFonts w:ascii="Arial Narrow" w:eastAsia="Calibri" w:hAnsi="Arial Narrow"/>
                <w:color w:val="000000"/>
                <w:spacing w:val="6"/>
                <w:sz w:val="20"/>
                <w:szCs w:val="20"/>
                <w:shd w:val="solid" w:color="000000" w:fill="000000"/>
                <w:fitText w:val="549" w:id="-1236536832"/>
                <w:lang w:eastAsia="en-US"/>
                <w14:textFill>
                  <w14:solidFill>
                    <w14:srgbClr w14:val="000000">
                      <w14:alpha w14:val="100000"/>
                    </w14:srgbClr>
                  </w14:solidFill>
                </w14:textFill>
              </w:rPr>
              <w:t>|</w:t>
            </w:r>
          </w:p>
          <w:p w14:paraId="52576C57" w14:textId="7BDB0B12"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lang w:eastAsia="en-US"/>
              </w:rPr>
              <w:t>Private hospital: $</w:t>
            </w:r>
            <w:r w:rsidR="006E73CD" w:rsidRPr="00041E66">
              <w:rPr>
                <w:rFonts w:ascii="Arial Narrow" w:eastAsia="Calibri" w:hAnsi="Arial Narrow"/>
                <w:color w:val="000000"/>
                <w:spacing w:val="29"/>
                <w:sz w:val="20"/>
                <w:szCs w:val="20"/>
                <w:shd w:val="solid" w:color="000000" w:fill="000000"/>
                <w:fitText w:val="549" w:id="-1236536831"/>
                <w:lang w:eastAsia="en-US"/>
                <w14:textFill>
                  <w14:solidFill>
                    <w14:srgbClr w14:val="000000">
                      <w14:alpha w14:val="100000"/>
                    </w14:srgbClr>
                  </w14:solidFill>
                </w14:textFill>
              </w:rPr>
              <w:t>|||||||</w:t>
            </w:r>
            <w:r w:rsidR="006E73CD" w:rsidRPr="00041E66">
              <w:rPr>
                <w:rFonts w:ascii="Arial Narrow" w:eastAsia="Calibri" w:hAnsi="Arial Narrow"/>
                <w:color w:val="000000"/>
                <w:spacing w:val="6"/>
                <w:sz w:val="20"/>
                <w:szCs w:val="20"/>
                <w:shd w:val="solid" w:color="000000" w:fill="000000"/>
                <w:fitText w:val="549" w:id="-1236536831"/>
                <w:lang w:eastAsia="en-US"/>
                <w14:textFill>
                  <w14:solidFill>
                    <w14:srgbClr w14:val="000000">
                      <w14:alpha w14:val="100000"/>
                    </w14:srgbClr>
                  </w14:solidFill>
                </w14:textFill>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7EE42343" w14:textId="77777777" w:rsidR="00D30F1D" w:rsidRPr="0058247A" w:rsidRDefault="00D30F1D" w:rsidP="00A25B4A">
            <w:pPr>
              <w:widowControl w:val="0"/>
              <w:spacing w:before="100" w:beforeAutospacing="1" w:after="100" w:afterAutospacing="1"/>
              <w:contextualSpacing/>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1,920 mg</w:t>
            </w:r>
          </w:p>
        </w:tc>
        <w:tc>
          <w:tcPr>
            <w:tcW w:w="551" w:type="pct"/>
            <w:tcBorders>
              <w:top w:val="single" w:sz="4" w:space="0" w:color="auto"/>
              <w:left w:val="single" w:sz="4" w:space="0" w:color="auto"/>
              <w:bottom w:val="single" w:sz="4" w:space="0" w:color="auto"/>
              <w:right w:val="single" w:sz="4" w:space="0" w:color="auto"/>
            </w:tcBorders>
            <w:vAlign w:val="center"/>
            <w:hideMark/>
          </w:tcPr>
          <w:p w14:paraId="1129C37E"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15</w:t>
            </w:r>
          </w:p>
        </w:tc>
        <w:tc>
          <w:tcPr>
            <w:tcW w:w="993" w:type="pct"/>
            <w:tcBorders>
              <w:top w:val="single" w:sz="4" w:space="0" w:color="auto"/>
              <w:left w:val="single" w:sz="4" w:space="0" w:color="auto"/>
              <w:bottom w:val="single" w:sz="4" w:space="0" w:color="auto"/>
              <w:right w:val="single" w:sz="4" w:space="0" w:color="auto"/>
            </w:tcBorders>
            <w:vAlign w:val="center"/>
            <w:hideMark/>
          </w:tcPr>
          <w:p w14:paraId="0A3D7FE2"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DARZALEX</w:t>
            </w:r>
            <w:r w:rsidRPr="0058247A">
              <w:rPr>
                <w:rFonts w:ascii="Arial Narrow" w:eastAsia="Calibri" w:hAnsi="Arial Narrow"/>
                <w:color w:val="000000"/>
                <w:sz w:val="20"/>
                <w:szCs w:val="20"/>
                <w:vertAlign w:val="superscript"/>
                <w:lang w:eastAsia="en-US"/>
              </w:rPr>
              <w:t>®</w:t>
            </w:r>
          </w:p>
          <w:p w14:paraId="745FC309" w14:textId="644FB5AA"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p>
        </w:tc>
      </w:tr>
      <w:tr w:rsidR="00D30F1D" w:rsidRPr="0058247A" w14:paraId="49687264" w14:textId="77777777" w:rsidTr="002C1DE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E42F2C6"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Continuing treatment from week 25 onwards (administered once every 4 weeks)</w:t>
            </w:r>
            <w:r w:rsidRPr="0058247A">
              <w:rPr>
                <w:rFonts w:ascii="Arial Narrow" w:eastAsia="Calibri" w:hAnsi="Arial Narrow"/>
                <w:color w:val="000000"/>
                <w:sz w:val="20"/>
                <w:szCs w:val="20"/>
                <w:vertAlign w:val="superscript"/>
                <w:lang w:eastAsia="en-US"/>
              </w:rPr>
              <w:t>a</w:t>
            </w:r>
          </w:p>
        </w:tc>
      </w:tr>
      <w:tr w:rsidR="00D30F1D" w:rsidRPr="0058247A" w14:paraId="67F62FE1" w14:textId="77777777" w:rsidTr="004D2A45">
        <w:trPr>
          <w:trHeight w:val="20"/>
        </w:trPr>
        <w:tc>
          <w:tcPr>
            <w:tcW w:w="1569" w:type="pct"/>
            <w:tcBorders>
              <w:top w:val="single" w:sz="4" w:space="0" w:color="auto"/>
              <w:left w:val="single" w:sz="4" w:space="0" w:color="auto"/>
              <w:right w:val="single" w:sz="4" w:space="0" w:color="auto"/>
            </w:tcBorders>
            <w:vAlign w:val="center"/>
            <w:hideMark/>
          </w:tcPr>
          <w:p w14:paraId="46F945B6"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Daratumumab, intravenous infusion, liquid in vial, 400 mg</w:t>
            </w:r>
          </w:p>
          <w:p w14:paraId="63F439B9"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Daratumumab, intravenous infusion, liquid in vial, 100 mg</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B57498C"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 xml:space="preserve">Published: </w:t>
            </w:r>
          </w:p>
          <w:p w14:paraId="4EAD4372"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Public hospital: $11,770.87</w:t>
            </w:r>
          </w:p>
          <w:p w14:paraId="6801401B"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Private hospital: $11,976.05</w:t>
            </w:r>
          </w:p>
          <w:p w14:paraId="130547E5"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Effective:</w:t>
            </w:r>
          </w:p>
          <w:p w14:paraId="4CA3C7E0" w14:textId="43F1ECFA"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Public hospital: $</w:t>
            </w:r>
            <w:r w:rsidR="006E73CD" w:rsidRPr="006E73CD">
              <w:rPr>
                <w:rFonts w:ascii="Arial Narrow" w:eastAsia="Calibri" w:hAnsi="Arial Narrow"/>
                <w:color w:val="000000"/>
                <w:spacing w:val="29"/>
                <w:sz w:val="20"/>
                <w:szCs w:val="20"/>
                <w:shd w:val="solid" w:color="000000" w:fill="000000"/>
                <w:fitText w:val="549" w:id="-1236536830"/>
                <w:lang w:eastAsia="en-US"/>
                <w14:textFill>
                  <w14:solidFill>
                    <w14:srgbClr w14:val="000000">
                      <w14:alpha w14:val="100000"/>
                    </w14:srgbClr>
                  </w14:solidFill>
                </w14:textFill>
              </w:rPr>
              <w:t>|||||||</w:t>
            </w:r>
            <w:r w:rsidR="006E73CD" w:rsidRPr="006E73CD">
              <w:rPr>
                <w:rFonts w:ascii="Arial Narrow" w:eastAsia="Calibri" w:hAnsi="Arial Narrow"/>
                <w:color w:val="000000"/>
                <w:spacing w:val="6"/>
                <w:sz w:val="20"/>
                <w:szCs w:val="20"/>
                <w:shd w:val="solid" w:color="000000" w:fill="000000"/>
                <w:fitText w:val="549" w:id="-1236536830"/>
                <w:lang w:eastAsia="en-US"/>
                <w14:textFill>
                  <w14:solidFill>
                    <w14:srgbClr w14:val="000000">
                      <w14:alpha w14:val="100000"/>
                    </w14:srgbClr>
                  </w14:solidFill>
                </w14:textFill>
              </w:rPr>
              <w:t>|</w:t>
            </w:r>
          </w:p>
          <w:p w14:paraId="4237B23E" w14:textId="5D636BE4"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lang w:eastAsia="en-US"/>
              </w:rPr>
              <w:t>Private hospital: $</w:t>
            </w:r>
            <w:r w:rsidR="006E73CD" w:rsidRPr="00041E66">
              <w:rPr>
                <w:rFonts w:ascii="Arial Narrow" w:eastAsia="Calibri" w:hAnsi="Arial Narrow"/>
                <w:color w:val="000000"/>
                <w:spacing w:val="29"/>
                <w:sz w:val="20"/>
                <w:szCs w:val="20"/>
                <w:shd w:val="solid" w:color="000000" w:fill="000000"/>
                <w:fitText w:val="549" w:id="-1236536829"/>
                <w:lang w:eastAsia="en-US"/>
                <w14:textFill>
                  <w14:solidFill>
                    <w14:srgbClr w14:val="000000">
                      <w14:alpha w14:val="100000"/>
                    </w14:srgbClr>
                  </w14:solidFill>
                </w14:textFill>
              </w:rPr>
              <w:t>|||||||</w:t>
            </w:r>
            <w:r w:rsidR="006E73CD" w:rsidRPr="00041E66">
              <w:rPr>
                <w:rFonts w:ascii="Arial Narrow" w:eastAsia="Calibri" w:hAnsi="Arial Narrow"/>
                <w:color w:val="000000"/>
                <w:spacing w:val="6"/>
                <w:sz w:val="20"/>
                <w:szCs w:val="20"/>
                <w:shd w:val="solid" w:color="000000" w:fill="000000"/>
                <w:fitText w:val="549" w:id="-1236536829"/>
                <w:lang w:eastAsia="en-US"/>
                <w14:textFill>
                  <w14:solidFill>
                    <w14:srgbClr w14:val="000000">
                      <w14:alpha w14:val="100000"/>
                    </w14:srgbClr>
                  </w14:solidFill>
                </w14:textFill>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6DBDD481"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1,920 mg</w:t>
            </w:r>
          </w:p>
        </w:tc>
        <w:tc>
          <w:tcPr>
            <w:tcW w:w="551" w:type="pct"/>
            <w:tcBorders>
              <w:top w:val="single" w:sz="4" w:space="0" w:color="auto"/>
              <w:left w:val="single" w:sz="4" w:space="0" w:color="auto"/>
              <w:bottom w:val="single" w:sz="4" w:space="0" w:color="auto"/>
              <w:right w:val="single" w:sz="4" w:space="0" w:color="auto"/>
            </w:tcBorders>
            <w:vAlign w:val="center"/>
            <w:hideMark/>
          </w:tcPr>
          <w:p w14:paraId="268E4CDB"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5</w:t>
            </w:r>
          </w:p>
        </w:tc>
        <w:tc>
          <w:tcPr>
            <w:tcW w:w="993" w:type="pct"/>
            <w:tcBorders>
              <w:top w:val="single" w:sz="4" w:space="0" w:color="auto"/>
              <w:left w:val="single" w:sz="4" w:space="0" w:color="auto"/>
              <w:bottom w:val="single" w:sz="4" w:space="0" w:color="auto"/>
              <w:right w:val="single" w:sz="4" w:space="0" w:color="auto"/>
            </w:tcBorders>
            <w:vAlign w:val="center"/>
            <w:hideMark/>
          </w:tcPr>
          <w:p w14:paraId="3C2727EE"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DARZALEX</w:t>
            </w:r>
            <w:r w:rsidRPr="0058247A">
              <w:rPr>
                <w:rFonts w:ascii="Arial Narrow" w:eastAsia="Calibri" w:hAnsi="Arial Narrow"/>
                <w:color w:val="000000"/>
                <w:sz w:val="20"/>
                <w:szCs w:val="20"/>
                <w:vertAlign w:val="superscript"/>
                <w:lang w:eastAsia="en-US"/>
              </w:rPr>
              <w:t>®</w:t>
            </w:r>
          </w:p>
          <w:p w14:paraId="45339C0B" w14:textId="72F581E9"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p>
        </w:tc>
      </w:tr>
      <w:tr w:rsidR="00D30F1D" w:rsidRPr="0058247A" w14:paraId="0B8936D0" w14:textId="77777777" w:rsidTr="002C1DE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3AF6A2E" w14:textId="77777777" w:rsidR="00D30F1D" w:rsidRPr="0058247A" w:rsidRDefault="00D30F1D" w:rsidP="00A25B4A">
            <w:pPr>
              <w:widowControl w:val="0"/>
              <w:spacing w:before="100" w:beforeAutospacing="1" w:after="100" w:afterAutospacing="1"/>
              <w:contextualSpacing/>
              <w:jc w:val="left"/>
              <w:rPr>
                <w:rFonts w:ascii="Arial Narrow" w:hAnsi="Arial Narrow" w:cs="Calibri"/>
                <w:b/>
                <w:bCs/>
                <w:color w:val="000000"/>
                <w:sz w:val="20"/>
                <w:szCs w:val="20"/>
                <w:u w:val="single"/>
                <w:lang w:eastAsia="en-US"/>
              </w:rPr>
            </w:pPr>
            <w:r w:rsidRPr="0058247A">
              <w:rPr>
                <w:rFonts w:ascii="Arial Narrow" w:eastAsia="Calibri" w:hAnsi="Arial Narrow"/>
                <w:b/>
                <w:bCs/>
                <w:color w:val="000000"/>
                <w:sz w:val="20"/>
                <w:szCs w:val="20"/>
                <w:u w:val="single"/>
                <w:lang w:eastAsia="en-US"/>
              </w:rPr>
              <w:t>Subcutaneous formulation</w:t>
            </w:r>
          </w:p>
        </w:tc>
      </w:tr>
      <w:tr w:rsidR="00BB7787" w:rsidRPr="0058247A" w14:paraId="165249E6" w14:textId="77777777" w:rsidTr="004D2A45">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2A0883B5" w14:textId="77777777" w:rsidR="00D30F1D" w:rsidRPr="0058247A" w:rsidRDefault="00D30F1D" w:rsidP="00A25B4A">
            <w:pPr>
              <w:widowControl w:val="0"/>
              <w:spacing w:before="100" w:beforeAutospacing="1" w:after="100" w:afterAutospacing="1"/>
              <w:contextualSpacing/>
              <w:rPr>
                <w:rFonts w:ascii="Arial Narrow" w:hAnsi="Arial Narrow"/>
                <w:b/>
                <w:sz w:val="20"/>
                <w:szCs w:val="20"/>
              </w:rPr>
            </w:pPr>
            <w:r w:rsidRPr="0058247A">
              <w:rPr>
                <w:rFonts w:ascii="Arial Narrow" w:hAnsi="Arial Narrow"/>
                <w:b/>
                <w:bCs/>
                <w:sz w:val="20"/>
                <w:szCs w:val="20"/>
              </w:rPr>
              <w:t>Medicinal product pack</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3B18ECC" w14:textId="77777777" w:rsidR="00D30F1D" w:rsidRPr="0058247A" w:rsidRDefault="00D30F1D" w:rsidP="00A25B4A">
            <w:pPr>
              <w:pStyle w:val="TableText0"/>
              <w:keepNext w:val="0"/>
              <w:widowControl w:val="0"/>
              <w:spacing w:before="100" w:beforeAutospacing="1" w:after="100" w:afterAutospacing="1"/>
              <w:contextualSpacing/>
              <w:rPr>
                <w:b/>
                <w:bCs w:val="0"/>
                <w:szCs w:val="20"/>
              </w:rPr>
            </w:pPr>
            <w:r w:rsidRPr="0058247A">
              <w:rPr>
                <w:b/>
                <w:bCs w:val="0"/>
                <w:snapToGrid w:val="0"/>
              </w:rPr>
              <w:t xml:space="preserve">DPMQ </w:t>
            </w:r>
          </w:p>
        </w:tc>
        <w:tc>
          <w:tcPr>
            <w:tcW w:w="707" w:type="pct"/>
            <w:tcBorders>
              <w:top w:val="single" w:sz="4" w:space="0" w:color="auto"/>
              <w:left w:val="single" w:sz="4" w:space="0" w:color="auto"/>
              <w:bottom w:val="single" w:sz="4" w:space="0" w:color="auto"/>
              <w:right w:val="single" w:sz="4" w:space="0" w:color="auto"/>
            </w:tcBorders>
            <w:vAlign w:val="center"/>
            <w:hideMark/>
          </w:tcPr>
          <w:p w14:paraId="6DBFEBFE" w14:textId="77777777" w:rsidR="00D30F1D" w:rsidRPr="0058247A" w:rsidRDefault="00D30F1D" w:rsidP="00A25B4A">
            <w:pPr>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Max. Qty</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CD5ED7" w14:textId="77777777" w:rsidR="00D30F1D" w:rsidRPr="0058247A" w:rsidRDefault="00D30F1D" w:rsidP="00A25B4A">
            <w:pPr>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№.of</w:t>
            </w:r>
          </w:p>
          <w:p w14:paraId="3FBC49C7" w14:textId="77777777" w:rsidR="00D30F1D" w:rsidRPr="0058247A" w:rsidRDefault="00D30F1D" w:rsidP="00A25B4A">
            <w:pPr>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Rpts</w:t>
            </w:r>
          </w:p>
        </w:tc>
        <w:tc>
          <w:tcPr>
            <w:tcW w:w="993" w:type="pct"/>
            <w:tcBorders>
              <w:top w:val="single" w:sz="4" w:space="0" w:color="auto"/>
              <w:left w:val="single" w:sz="4" w:space="0" w:color="auto"/>
              <w:bottom w:val="single" w:sz="4" w:space="0" w:color="auto"/>
              <w:right w:val="single" w:sz="4" w:space="0" w:color="auto"/>
            </w:tcBorders>
            <w:vAlign w:val="center"/>
            <w:hideMark/>
          </w:tcPr>
          <w:p w14:paraId="356731E2" w14:textId="77777777" w:rsidR="00D30F1D" w:rsidRPr="0058247A" w:rsidRDefault="00D30F1D" w:rsidP="00A25B4A">
            <w:pPr>
              <w:widowControl w:val="0"/>
              <w:spacing w:before="100" w:beforeAutospacing="1" w:after="100" w:afterAutospacing="1"/>
              <w:contextualSpacing/>
              <w:jc w:val="center"/>
              <w:rPr>
                <w:rFonts w:ascii="Arial Narrow" w:hAnsi="Arial Narrow"/>
                <w:b/>
                <w:sz w:val="20"/>
                <w:szCs w:val="20"/>
              </w:rPr>
            </w:pPr>
            <w:r w:rsidRPr="0058247A">
              <w:rPr>
                <w:rFonts w:ascii="Arial Narrow" w:hAnsi="Arial Narrow"/>
                <w:b/>
                <w:sz w:val="20"/>
                <w:szCs w:val="20"/>
              </w:rPr>
              <w:t>Available brands</w:t>
            </w:r>
          </w:p>
        </w:tc>
      </w:tr>
      <w:tr w:rsidR="00D30F1D" w:rsidRPr="0058247A" w14:paraId="3794E34B" w14:textId="77777777" w:rsidTr="002C1DE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3E5D7B"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Initial treatment from week 1 to 24</w:t>
            </w:r>
          </w:p>
        </w:tc>
      </w:tr>
      <w:tr w:rsidR="00D30F1D" w:rsidRPr="0058247A" w14:paraId="0BE883E2" w14:textId="77777777" w:rsidTr="004D2A45">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65E08325" w14:textId="77777777" w:rsidR="00D30F1D" w:rsidRPr="0058247A" w:rsidRDefault="00D30F1D" w:rsidP="00A25B4A">
            <w:pPr>
              <w:widowControl w:val="0"/>
              <w:spacing w:before="100" w:beforeAutospacing="1" w:after="100" w:afterAutospacing="1"/>
              <w:contextualSpacing/>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 xml:space="preserve">Daratumumab, subcutaneous vial, </w:t>
            </w:r>
            <w:r w:rsidRPr="0058247A">
              <w:rPr>
                <w:rFonts w:ascii="Arial Narrow" w:eastAsia="Calibri" w:hAnsi="Arial Narrow"/>
                <w:color w:val="000000"/>
                <w:sz w:val="20"/>
                <w:szCs w:val="20"/>
                <w:lang w:eastAsia="en-US"/>
              </w:rPr>
              <w:lastRenderedPageBreak/>
              <w:t>1800 mg</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114068B"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lastRenderedPageBreak/>
              <w:t xml:space="preserve">Published price: </w:t>
            </w:r>
          </w:p>
          <w:p w14:paraId="284BF61D"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lastRenderedPageBreak/>
              <w:t>General: $7,171.56</w:t>
            </w:r>
          </w:p>
          <w:p w14:paraId="052D7481"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EFC Related: $7,010.28</w:t>
            </w:r>
          </w:p>
          <w:p w14:paraId="3BDB34A8"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Effective price:</w:t>
            </w:r>
          </w:p>
          <w:p w14:paraId="637FE8EC" w14:textId="684E4AFF"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 xml:space="preserve">General: </w:t>
            </w:r>
            <w:r w:rsidRPr="004D2A45">
              <w:rPr>
                <w:rFonts w:ascii="Arial Narrow" w:eastAsia="Calibri" w:hAnsi="Arial Narrow"/>
                <w:color w:val="000000"/>
                <w:sz w:val="20"/>
                <w:szCs w:val="20"/>
                <w:lang w:eastAsia="en-US"/>
              </w:rPr>
              <w:t>$</w:t>
            </w:r>
            <w:r w:rsidR="006E73CD" w:rsidRPr="006E73CD">
              <w:rPr>
                <w:rFonts w:ascii="Arial Narrow" w:eastAsia="Calibri" w:hAnsi="Arial Narrow"/>
                <w:color w:val="000000"/>
                <w:spacing w:val="29"/>
                <w:sz w:val="20"/>
                <w:szCs w:val="20"/>
                <w:shd w:val="solid" w:color="000000" w:fill="000000"/>
                <w:fitText w:val="550" w:id="-1236536828"/>
                <w:lang w:eastAsia="en-US"/>
                <w14:textFill>
                  <w14:solidFill>
                    <w14:srgbClr w14:val="000000">
                      <w14:alpha w14:val="100000"/>
                    </w14:srgbClr>
                  </w14:solidFill>
                </w14:textFill>
              </w:rPr>
              <w:t>|||||||</w:t>
            </w:r>
            <w:r w:rsidR="006E73CD" w:rsidRPr="006E73CD">
              <w:rPr>
                <w:rFonts w:ascii="Arial Narrow" w:eastAsia="Calibri" w:hAnsi="Arial Narrow"/>
                <w:color w:val="000000"/>
                <w:spacing w:val="7"/>
                <w:sz w:val="20"/>
                <w:szCs w:val="20"/>
                <w:shd w:val="solid" w:color="000000" w:fill="000000"/>
                <w:fitText w:val="550" w:id="-1236536828"/>
                <w:lang w:eastAsia="en-US"/>
                <w14:textFill>
                  <w14:solidFill>
                    <w14:srgbClr w14:val="000000">
                      <w14:alpha w14:val="100000"/>
                    </w14:srgbClr>
                  </w14:solidFill>
                </w14:textFill>
              </w:rPr>
              <w:t>|</w:t>
            </w:r>
          </w:p>
          <w:p w14:paraId="3D17820C" w14:textId="343E959C"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lang w:eastAsia="en-US"/>
              </w:rPr>
              <w:t xml:space="preserve">EFC Related: </w:t>
            </w:r>
            <w:r w:rsidRPr="004D2A45">
              <w:rPr>
                <w:rFonts w:ascii="Arial Narrow" w:eastAsia="Calibri" w:hAnsi="Arial Narrow"/>
                <w:color w:val="000000"/>
                <w:sz w:val="20"/>
                <w:szCs w:val="20"/>
                <w:lang w:eastAsia="en-US"/>
              </w:rPr>
              <w:t>$</w:t>
            </w:r>
            <w:r w:rsidR="006E73CD" w:rsidRPr="00041E66">
              <w:rPr>
                <w:rFonts w:ascii="Arial Narrow" w:eastAsia="Calibri" w:hAnsi="Arial Narrow"/>
                <w:color w:val="000000"/>
                <w:spacing w:val="29"/>
                <w:sz w:val="20"/>
                <w:szCs w:val="20"/>
                <w:shd w:val="solid" w:color="000000" w:fill="000000"/>
                <w:fitText w:val="550" w:id="-1236536827"/>
                <w:lang w:eastAsia="en-US"/>
                <w14:textFill>
                  <w14:solidFill>
                    <w14:srgbClr w14:val="000000">
                      <w14:alpha w14:val="100000"/>
                    </w14:srgbClr>
                  </w14:solidFill>
                </w14:textFill>
              </w:rPr>
              <w:t>|||||||</w:t>
            </w:r>
            <w:r w:rsidR="006E73CD" w:rsidRPr="00041E66">
              <w:rPr>
                <w:rFonts w:ascii="Arial Narrow" w:eastAsia="Calibri" w:hAnsi="Arial Narrow"/>
                <w:color w:val="000000"/>
                <w:spacing w:val="7"/>
                <w:sz w:val="20"/>
                <w:szCs w:val="20"/>
                <w:shd w:val="solid" w:color="000000" w:fill="000000"/>
                <w:fitText w:val="550" w:id="-1236536827"/>
                <w:lang w:eastAsia="en-US"/>
                <w14:textFill>
                  <w14:solidFill>
                    <w14:srgbClr w14:val="000000">
                      <w14:alpha w14:val="100000"/>
                    </w14:srgbClr>
                  </w14:solidFill>
                </w14:textFill>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49E4D7CE" w14:textId="38E07C55"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lastRenderedPageBreak/>
              <w:t>1</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37E4AE"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15</w:t>
            </w:r>
          </w:p>
        </w:tc>
        <w:tc>
          <w:tcPr>
            <w:tcW w:w="993" w:type="pct"/>
            <w:tcBorders>
              <w:top w:val="single" w:sz="4" w:space="0" w:color="auto"/>
              <w:left w:val="single" w:sz="4" w:space="0" w:color="auto"/>
              <w:bottom w:val="single" w:sz="4" w:space="0" w:color="auto"/>
              <w:right w:val="single" w:sz="4" w:space="0" w:color="auto"/>
            </w:tcBorders>
            <w:vAlign w:val="center"/>
            <w:hideMark/>
          </w:tcPr>
          <w:p w14:paraId="5A4CE829"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DARZALEX</w:t>
            </w:r>
            <w:r w:rsidRPr="0058247A">
              <w:rPr>
                <w:rFonts w:ascii="Arial Narrow" w:eastAsia="Calibri" w:hAnsi="Arial Narrow"/>
                <w:color w:val="000000"/>
                <w:sz w:val="20"/>
                <w:szCs w:val="20"/>
                <w:vertAlign w:val="superscript"/>
                <w:lang w:eastAsia="en-US"/>
              </w:rPr>
              <w:t>®</w:t>
            </w:r>
          </w:p>
          <w:p w14:paraId="53735DF6" w14:textId="170E984E"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p>
        </w:tc>
      </w:tr>
      <w:tr w:rsidR="00D30F1D" w:rsidRPr="0058247A" w14:paraId="220D9C22" w14:textId="77777777" w:rsidTr="002C1DE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2181C96"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Continuing treatment from week 25 onwards (administered once every 4 weeks)</w:t>
            </w:r>
            <w:r w:rsidRPr="0058247A">
              <w:rPr>
                <w:rFonts w:ascii="Arial Narrow" w:eastAsia="Calibri" w:hAnsi="Arial Narrow"/>
                <w:color w:val="000000"/>
                <w:sz w:val="20"/>
                <w:szCs w:val="20"/>
                <w:vertAlign w:val="superscript"/>
                <w:lang w:eastAsia="en-US"/>
              </w:rPr>
              <w:t>a</w:t>
            </w:r>
          </w:p>
        </w:tc>
      </w:tr>
      <w:tr w:rsidR="00D30F1D" w:rsidRPr="0058247A" w14:paraId="7AD652C9" w14:textId="77777777" w:rsidTr="004D2A45">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7F2B7EB8" w14:textId="77777777" w:rsidR="00D30F1D" w:rsidRPr="0058247A" w:rsidRDefault="00D30F1D" w:rsidP="00A25B4A">
            <w:pPr>
              <w:widowControl w:val="0"/>
              <w:spacing w:before="100" w:beforeAutospacing="1" w:after="100" w:afterAutospacing="1"/>
              <w:contextualSpacing/>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Daratumumab, subcutaneous vial, 1800 mg</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2A945CA"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 xml:space="preserve">Published price: </w:t>
            </w:r>
          </w:p>
          <w:p w14:paraId="72E7346A"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General: $7,171.56</w:t>
            </w:r>
          </w:p>
          <w:p w14:paraId="2AD2C523"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EFC Related: $7,010.28</w:t>
            </w:r>
          </w:p>
          <w:p w14:paraId="72E1A8A7" w14:textId="77777777"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u w:val="single"/>
                <w:lang w:eastAsia="en-US"/>
              </w:rPr>
              <w:t>Effective price:</w:t>
            </w:r>
          </w:p>
          <w:p w14:paraId="560FFFCF" w14:textId="07357646"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4D2A45">
              <w:rPr>
                <w:rFonts w:ascii="Arial Narrow" w:eastAsia="Calibri" w:hAnsi="Arial Narrow"/>
                <w:color w:val="000000"/>
                <w:sz w:val="20"/>
                <w:szCs w:val="20"/>
                <w:lang w:eastAsia="en-US"/>
              </w:rPr>
              <w:t>General: $</w:t>
            </w:r>
            <w:r w:rsidR="006E73CD" w:rsidRPr="006E73CD">
              <w:rPr>
                <w:rFonts w:ascii="Arial Narrow" w:eastAsia="Calibri" w:hAnsi="Arial Narrow"/>
                <w:color w:val="000000"/>
                <w:spacing w:val="29"/>
                <w:sz w:val="20"/>
                <w:szCs w:val="20"/>
                <w:shd w:val="solid" w:color="000000" w:fill="000000"/>
                <w:fitText w:val="550" w:id="-1236536826"/>
                <w:lang w:eastAsia="en-US"/>
                <w14:textFill>
                  <w14:solidFill>
                    <w14:srgbClr w14:val="000000">
                      <w14:alpha w14:val="100000"/>
                    </w14:srgbClr>
                  </w14:solidFill>
                </w14:textFill>
              </w:rPr>
              <w:t>|||||||</w:t>
            </w:r>
            <w:r w:rsidR="006E73CD" w:rsidRPr="006E73CD">
              <w:rPr>
                <w:rFonts w:ascii="Arial Narrow" w:eastAsia="Calibri" w:hAnsi="Arial Narrow"/>
                <w:color w:val="000000"/>
                <w:spacing w:val="7"/>
                <w:sz w:val="20"/>
                <w:szCs w:val="20"/>
                <w:shd w:val="solid" w:color="000000" w:fill="000000"/>
                <w:fitText w:val="550" w:id="-1236536826"/>
                <w:lang w:eastAsia="en-US"/>
                <w14:textFill>
                  <w14:solidFill>
                    <w14:srgbClr w14:val="000000">
                      <w14:alpha w14:val="100000"/>
                    </w14:srgbClr>
                  </w14:solidFill>
                </w14:textFill>
              </w:rPr>
              <w:t>|</w:t>
            </w:r>
          </w:p>
          <w:p w14:paraId="3ED58CD4" w14:textId="6E0230B9"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u w:val="single"/>
                <w:lang w:eastAsia="en-US"/>
              </w:rPr>
            </w:pPr>
            <w:r w:rsidRPr="0058247A">
              <w:rPr>
                <w:rFonts w:ascii="Arial Narrow" w:eastAsia="Calibri" w:hAnsi="Arial Narrow"/>
                <w:color w:val="000000"/>
                <w:sz w:val="20"/>
                <w:szCs w:val="20"/>
                <w:lang w:eastAsia="en-US"/>
              </w:rPr>
              <w:t>EFC Related: $</w:t>
            </w:r>
            <w:r w:rsidR="006E73CD" w:rsidRPr="00041E66">
              <w:rPr>
                <w:rFonts w:ascii="Arial Narrow" w:eastAsia="Calibri" w:hAnsi="Arial Narrow"/>
                <w:color w:val="000000"/>
                <w:spacing w:val="29"/>
                <w:sz w:val="20"/>
                <w:szCs w:val="20"/>
                <w:shd w:val="solid" w:color="000000" w:fill="000000"/>
                <w:fitText w:val="550" w:id="-1236536825"/>
                <w:lang w:eastAsia="en-US"/>
                <w14:textFill>
                  <w14:solidFill>
                    <w14:srgbClr w14:val="000000">
                      <w14:alpha w14:val="100000"/>
                    </w14:srgbClr>
                  </w14:solidFill>
                </w14:textFill>
              </w:rPr>
              <w:t>|||||||</w:t>
            </w:r>
            <w:r w:rsidR="006E73CD" w:rsidRPr="00041E66">
              <w:rPr>
                <w:rFonts w:ascii="Arial Narrow" w:eastAsia="Calibri" w:hAnsi="Arial Narrow"/>
                <w:color w:val="000000"/>
                <w:spacing w:val="7"/>
                <w:sz w:val="20"/>
                <w:szCs w:val="20"/>
                <w:shd w:val="solid" w:color="000000" w:fill="000000"/>
                <w:fitText w:val="550" w:id="-1236536825"/>
                <w:lang w:eastAsia="en-US"/>
                <w14:textFill>
                  <w14:solidFill>
                    <w14:srgbClr w14:val="000000">
                      <w14:alpha w14:val="100000"/>
                    </w14:srgbClr>
                  </w14:solidFill>
                </w14:textFill>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218878AF" w14:textId="25F5B07E" w:rsidR="00D30F1D" w:rsidRPr="0058247A" w:rsidRDefault="00D30F1D" w:rsidP="00A25B4A">
            <w:pPr>
              <w:widowControl w:val="0"/>
              <w:spacing w:before="100" w:beforeAutospacing="1" w:after="100" w:afterAutospacing="1"/>
              <w:contextualSpacing/>
              <w:jc w:val="left"/>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1</w:t>
            </w:r>
          </w:p>
        </w:tc>
        <w:tc>
          <w:tcPr>
            <w:tcW w:w="551" w:type="pct"/>
            <w:tcBorders>
              <w:top w:val="single" w:sz="4" w:space="0" w:color="auto"/>
              <w:left w:val="single" w:sz="4" w:space="0" w:color="auto"/>
              <w:bottom w:val="single" w:sz="4" w:space="0" w:color="auto"/>
              <w:right w:val="single" w:sz="4" w:space="0" w:color="auto"/>
            </w:tcBorders>
            <w:vAlign w:val="center"/>
            <w:hideMark/>
          </w:tcPr>
          <w:p w14:paraId="0B8A98FC"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5</w:t>
            </w:r>
          </w:p>
        </w:tc>
        <w:tc>
          <w:tcPr>
            <w:tcW w:w="993" w:type="pct"/>
            <w:tcBorders>
              <w:top w:val="single" w:sz="4" w:space="0" w:color="auto"/>
              <w:left w:val="single" w:sz="4" w:space="0" w:color="auto"/>
              <w:bottom w:val="single" w:sz="4" w:space="0" w:color="auto"/>
              <w:right w:val="single" w:sz="4" w:space="0" w:color="auto"/>
            </w:tcBorders>
            <w:vAlign w:val="center"/>
            <w:hideMark/>
          </w:tcPr>
          <w:p w14:paraId="5F1BB2FE" w14:textId="77777777"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r w:rsidRPr="0058247A">
              <w:rPr>
                <w:rFonts w:ascii="Arial Narrow" w:eastAsia="Calibri" w:hAnsi="Arial Narrow"/>
                <w:color w:val="000000"/>
                <w:sz w:val="20"/>
                <w:szCs w:val="20"/>
                <w:lang w:eastAsia="en-US"/>
              </w:rPr>
              <w:t>DARZALEX</w:t>
            </w:r>
            <w:r w:rsidRPr="0058247A">
              <w:rPr>
                <w:rFonts w:ascii="Arial Narrow" w:eastAsia="Calibri" w:hAnsi="Arial Narrow"/>
                <w:color w:val="000000"/>
                <w:sz w:val="20"/>
                <w:szCs w:val="20"/>
                <w:vertAlign w:val="superscript"/>
                <w:lang w:eastAsia="en-US"/>
              </w:rPr>
              <w:t>®</w:t>
            </w:r>
          </w:p>
          <w:p w14:paraId="44AEA3FF" w14:textId="5D80A88A" w:rsidR="00D30F1D" w:rsidRPr="0058247A" w:rsidRDefault="00D30F1D" w:rsidP="00A25B4A">
            <w:pPr>
              <w:widowControl w:val="0"/>
              <w:spacing w:before="100" w:beforeAutospacing="1" w:after="100" w:afterAutospacing="1"/>
              <w:contextualSpacing/>
              <w:jc w:val="center"/>
              <w:rPr>
                <w:rFonts w:ascii="Arial Narrow" w:hAnsi="Arial Narrow" w:cs="Calibri"/>
                <w:color w:val="000000"/>
                <w:sz w:val="20"/>
                <w:szCs w:val="20"/>
                <w:lang w:eastAsia="en-US"/>
              </w:rPr>
            </w:pPr>
          </w:p>
        </w:tc>
      </w:tr>
      <w:tr w:rsidR="00D30F1D" w:rsidRPr="0058247A" w14:paraId="3C66333A"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B32F178" w14:textId="77777777" w:rsidR="00D30F1D" w:rsidRPr="0058247A" w:rsidRDefault="00D30F1D" w:rsidP="00A25B4A">
            <w:pPr>
              <w:pStyle w:val="TableText0"/>
              <w:keepNext w:val="0"/>
              <w:widowControl w:val="0"/>
              <w:rPr>
                <w:b/>
              </w:rPr>
            </w:pPr>
            <w:r w:rsidRPr="0058247A">
              <w:rPr>
                <w:rStyle w:val="CommentReference"/>
              </w:rPr>
              <w:t>Requested restriction for initiating treatment phase</w:t>
            </w:r>
          </w:p>
        </w:tc>
      </w:tr>
      <w:tr w:rsidR="00D30F1D" w:rsidRPr="0058247A" w14:paraId="3F1351DA"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7C81F79" w14:textId="77777777" w:rsidR="00D30F1D" w:rsidRPr="0058247A" w:rsidRDefault="00D30F1D" w:rsidP="00A25B4A">
            <w:pPr>
              <w:pStyle w:val="TableText0"/>
              <w:keepNext w:val="0"/>
              <w:widowControl w:val="0"/>
            </w:pPr>
            <w:r w:rsidRPr="0058247A">
              <w:rPr>
                <w:b/>
              </w:rPr>
              <w:t xml:space="preserve">Category / Program: </w:t>
            </w:r>
            <w:r w:rsidRPr="0058247A">
              <w:rPr>
                <w:bCs w:val="0"/>
              </w:rPr>
              <w:t>IV – Section 100 – Efficient Funding of Chemotherapy (Public/Private hospital)</w:t>
            </w:r>
          </w:p>
          <w:p w14:paraId="136C31E9" w14:textId="77777777" w:rsidR="00D30F1D" w:rsidRPr="0058247A" w:rsidRDefault="00D30F1D" w:rsidP="00A25B4A">
            <w:pPr>
              <w:pStyle w:val="TableText0"/>
              <w:keepNext w:val="0"/>
              <w:widowControl w:val="0"/>
              <w:ind w:left="1440"/>
              <w:rPr>
                <w:bCs w:val="0"/>
              </w:rPr>
            </w:pPr>
            <w:r w:rsidRPr="0058247A">
              <w:rPr>
                <w:bCs w:val="0"/>
              </w:rPr>
              <w:t xml:space="preserve">   SC – Section 100 –Efficient Funding of Chemotherapy– Related Benefits (Code CT)</w:t>
            </w:r>
          </w:p>
          <w:p w14:paraId="38C38007" w14:textId="77777777" w:rsidR="00D30F1D" w:rsidRPr="0058247A" w:rsidRDefault="00D30F1D" w:rsidP="00A25B4A">
            <w:pPr>
              <w:pStyle w:val="TableText0"/>
              <w:keepNext w:val="0"/>
              <w:widowControl w:val="0"/>
              <w:ind w:left="1440"/>
            </w:pPr>
            <w:r w:rsidRPr="0058247A">
              <w:rPr>
                <w:bCs w:val="0"/>
              </w:rPr>
              <w:t xml:space="preserve">   SC – General Schedule (Code GE)</w:t>
            </w:r>
          </w:p>
        </w:tc>
      </w:tr>
      <w:tr w:rsidR="00D30F1D" w:rsidRPr="0058247A" w14:paraId="7466F3C6"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37F2B5" w14:textId="2BCE9D03" w:rsidR="00D30F1D" w:rsidRPr="0058247A" w:rsidRDefault="00D30F1D" w:rsidP="00A25B4A">
            <w:pPr>
              <w:pStyle w:val="TableText0"/>
              <w:keepNext w:val="0"/>
              <w:widowControl w:val="0"/>
              <w:rPr>
                <w:b/>
              </w:rPr>
            </w:pPr>
            <w:r w:rsidRPr="0058247A">
              <w:rPr>
                <w:b/>
              </w:rPr>
              <w:t xml:space="preserve">Prescriber type: </w:t>
            </w:r>
            <w:r w:rsidRPr="0058247A">
              <w:fldChar w:fldCharType="begin">
                <w:ffData>
                  <w:name w:val=""/>
                  <w:enabled/>
                  <w:calcOnExit w:val="0"/>
                  <w:checkBox>
                    <w:sizeAuto/>
                    <w:default w:val="1"/>
                  </w:checkBox>
                </w:ffData>
              </w:fldChar>
            </w:r>
            <w:r w:rsidRPr="0058247A">
              <w:instrText xml:space="preserve"> FORMCHECKBOX </w:instrText>
            </w:r>
            <w:r w:rsidR="008D65C7">
              <w:fldChar w:fldCharType="separate"/>
            </w:r>
            <w:r w:rsidRPr="0058247A">
              <w:fldChar w:fldCharType="end"/>
            </w:r>
            <w:r w:rsidRPr="0058247A">
              <w:t xml:space="preserve">Medical Practitioners </w:t>
            </w:r>
          </w:p>
        </w:tc>
      </w:tr>
      <w:tr w:rsidR="00D30F1D" w:rsidRPr="0058247A" w14:paraId="0275CFC1"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CA2F3F5" w14:textId="306A3EA1" w:rsidR="00D30F1D" w:rsidRPr="0058247A" w:rsidRDefault="00D30F1D" w:rsidP="00A25B4A">
            <w:pPr>
              <w:pStyle w:val="TableText0"/>
              <w:keepNext w:val="0"/>
              <w:widowControl w:val="0"/>
              <w:rPr>
                <w:rFonts w:eastAsia="Times New Roman"/>
              </w:rPr>
            </w:pPr>
            <w:r w:rsidRPr="0058247A">
              <w:rPr>
                <w:b/>
              </w:rPr>
              <w:t xml:space="preserve">Restriction type: </w:t>
            </w:r>
            <w:r w:rsidRPr="0058247A">
              <w:rPr>
                <w:rFonts w:eastAsia="Times New Roman"/>
              </w:rPr>
              <w:fldChar w:fldCharType="begin">
                <w:ffData>
                  <w:name w:val="Check3"/>
                  <w:enabled/>
                  <w:calcOnExit w:val="0"/>
                  <w:checkBox>
                    <w:sizeAuto/>
                    <w:default w:val="1"/>
                  </w:checkBox>
                </w:ffData>
              </w:fldChar>
            </w:r>
            <w:r w:rsidRPr="0058247A">
              <w:rPr>
                <w:rFonts w:eastAsia="Times New Roman"/>
              </w:rPr>
              <w:instrText xml:space="preserve"> </w:instrText>
            </w:r>
            <w:bookmarkStart w:id="18" w:name="Check3"/>
            <w:r w:rsidRPr="0058247A">
              <w:rPr>
                <w:rFonts w:eastAsia="Times New Roman"/>
              </w:rPr>
              <w:instrText xml:space="preserve">FORMCHECKBOX </w:instrText>
            </w:r>
            <w:r w:rsidR="008D65C7">
              <w:rPr>
                <w:rFonts w:eastAsia="Times New Roman"/>
              </w:rPr>
            </w:r>
            <w:r w:rsidR="008D65C7">
              <w:rPr>
                <w:rFonts w:eastAsia="Times New Roman"/>
              </w:rPr>
              <w:fldChar w:fldCharType="separate"/>
            </w:r>
            <w:r w:rsidRPr="0058247A">
              <w:rPr>
                <w:rFonts w:eastAsia="Times New Roman"/>
              </w:rPr>
              <w:fldChar w:fldCharType="end"/>
            </w:r>
            <w:bookmarkEnd w:id="18"/>
            <w:r w:rsidRPr="0058247A">
              <w:rPr>
                <w:rFonts w:eastAsia="Times New Roman"/>
              </w:rPr>
              <w:t xml:space="preserve">Authority Required (telephone/online PBS Authorities system) </w:t>
            </w:r>
          </w:p>
        </w:tc>
      </w:tr>
      <w:tr w:rsidR="00D30F1D" w:rsidRPr="0058247A" w14:paraId="0128D148"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AFD91B" w14:textId="77777777" w:rsidR="00D30F1D" w:rsidRPr="0058247A" w:rsidRDefault="00D30F1D" w:rsidP="00A25B4A">
            <w:pPr>
              <w:pStyle w:val="TableText0"/>
              <w:keepNext w:val="0"/>
              <w:widowControl w:val="0"/>
              <w:rPr>
                <w:b/>
              </w:rPr>
            </w:pPr>
            <w:r w:rsidRPr="0058247A">
              <w:rPr>
                <w:b/>
              </w:rPr>
              <w:t xml:space="preserve">Condition: </w:t>
            </w:r>
            <w:r w:rsidRPr="0058247A">
              <w:rPr>
                <w:bCs w:val="0"/>
              </w:rPr>
              <w:t>Multiple myeloma</w:t>
            </w:r>
            <w:r w:rsidRPr="0058247A">
              <w:t xml:space="preserve"> </w:t>
            </w:r>
          </w:p>
        </w:tc>
      </w:tr>
      <w:tr w:rsidR="00D30F1D" w:rsidRPr="0058247A" w14:paraId="6AF90A7C"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F173ED" w14:textId="77777777" w:rsidR="00D30F1D" w:rsidRPr="0058247A" w:rsidRDefault="00D30F1D" w:rsidP="00A25B4A">
            <w:pPr>
              <w:pStyle w:val="TableText0"/>
              <w:keepNext w:val="0"/>
              <w:widowControl w:val="0"/>
            </w:pPr>
            <w:r w:rsidRPr="0058247A">
              <w:rPr>
                <w:b/>
              </w:rPr>
              <w:t>Indication:</w:t>
            </w:r>
            <w:r w:rsidRPr="0058247A">
              <w:t xml:space="preserve"> Untreated Multiple Myeloma</w:t>
            </w:r>
          </w:p>
        </w:tc>
      </w:tr>
      <w:tr w:rsidR="00D30F1D" w:rsidRPr="0058247A" w14:paraId="7568F62A"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143603" w14:textId="77777777" w:rsidR="00D30F1D" w:rsidRPr="0058247A" w:rsidRDefault="00D30F1D" w:rsidP="00A25B4A">
            <w:pPr>
              <w:pStyle w:val="TableText0"/>
              <w:keepNext w:val="0"/>
              <w:widowControl w:val="0"/>
            </w:pPr>
            <w:r w:rsidRPr="0058247A">
              <w:rPr>
                <w:b/>
              </w:rPr>
              <w:t>Treatment Phase:</w:t>
            </w:r>
            <w:r w:rsidRPr="0058247A">
              <w:t xml:space="preserve"> </w:t>
            </w:r>
            <w:r w:rsidRPr="0058247A">
              <w:rPr>
                <w:rFonts w:cs="Arial"/>
              </w:rPr>
              <w:t>Initial treatment as first-line drug therapy for weeks 1 to 24</w:t>
            </w:r>
          </w:p>
        </w:tc>
      </w:tr>
      <w:tr w:rsidR="00D30F1D" w:rsidRPr="0058247A" w14:paraId="057DA34A"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B8AACF" w14:textId="77777777" w:rsidR="00D30F1D" w:rsidRPr="0058247A" w:rsidRDefault="00D30F1D" w:rsidP="00A25B4A">
            <w:pPr>
              <w:pStyle w:val="TableText0"/>
              <w:keepNext w:val="0"/>
              <w:widowControl w:val="0"/>
            </w:pPr>
            <w:r w:rsidRPr="0058247A">
              <w:rPr>
                <w:b/>
              </w:rPr>
              <w:t>Clinical criteria:</w:t>
            </w:r>
          </w:p>
        </w:tc>
      </w:tr>
      <w:tr w:rsidR="00D30F1D" w:rsidRPr="0058247A" w14:paraId="2A12C872"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EE0A6D" w14:textId="77777777" w:rsidR="00D30F1D" w:rsidRPr="0058247A" w:rsidRDefault="00D30F1D" w:rsidP="00A25B4A">
            <w:pPr>
              <w:pStyle w:val="TableText0"/>
              <w:keepNext w:val="0"/>
              <w:widowControl w:val="0"/>
            </w:pPr>
            <w:r w:rsidRPr="0058247A">
              <w:t>The condition must be newly diagnosed</w:t>
            </w:r>
          </w:p>
        </w:tc>
      </w:tr>
      <w:tr w:rsidR="00D30F1D" w:rsidRPr="0058247A" w14:paraId="04C90AF0"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A096E1" w14:textId="77777777" w:rsidR="00D30F1D" w:rsidRPr="0058247A" w:rsidRDefault="00D30F1D" w:rsidP="00A25B4A">
            <w:pPr>
              <w:pStyle w:val="TableText0"/>
              <w:keepNext w:val="0"/>
              <w:widowControl w:val="0"/>
            </w:pPr>
            <w:r w:rsidRPr="0058247A">
              <w:rPr>
                <w:b/>
              </w:rPr>
              <w:t>AND</w:t>
            </w:r>
          </w:p>
        </w:tc>
      </w:tr>
      <w:tr w:rsidR="00D30F1D" w:rsidRPr="0058247A" w14:paraId="569066DB"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B53A75" w14:textId="77777777" w:rsidR="00D30F1D" w:rsidRPr="0058247A" w:rsidRDefault="00D30F1D" w:rsidP="00A25B4A">
            <w:pPr>
              <w:pStyle w:val="TableText0"/>
              <w:keepNext w:val="0"/>
              <w:widowControl w:val="0"/>
            </w:pPr>
            <w:r w:rsidRPr="0058247A">
              <w:t>The condition must be confirmed by a histological diagnosis</w:t>
            </w:r>
          </w:p>
        </w:tc>
      </w:tr>
      <w:tr w:rsidR="00D30F1D" w:rsidRPr="0058247A" w14:paraId="6F4A69A5"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C6BCEA" w14:textId="77777777" w:rsidR="00D30F1D" w:rsidRPr="0058247A" w:rsidRDefault="00D30F1D" w:rsidP="00A25B4A">
            <w:pPr>
              <w:pStyle w:val="TableText0"/>
              <w:keepNext w:val="0"/>
              <w:widowControl w:val="0"/>
            </w:pPr>
            <w:r w:rsidRPr="0058247A">
              <w:rPr>
                <w:b/>
              </w:rPr>
              <w:t>AND</w:t>
            </w:r>
          </w:p>
        </w:tc>
      </w:tr>
      <w:tr w:rsidR="00D30F1D" w:rsidRPr="0058247A" w14:paraId="38FE2412"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C3DCE6" w14:textId="77777777" w:rsidR="00D30F1D" w:rsidRPr="0058247A" w:rsidRDefault="00D30F1D" w:rsidP="00A25B4A">
            <w:pPr>
              <w:pStyle w:val="TableText0"/>
              <w:keepNext w:val="0"/>
              <w:widowControl w:val="0"/>
              <w:rPr>
                <w:bCs w:val="0"/>
              </w:rPr>
            </w:pPr>
            <w:r w:rsidRPr="0058247A">
              <w:rPr>
                <w:bCs w:val="0"/>
              </w:rPr>
              <w:t>Patient must be ineligible for a primary stem cell transplantation</w:t>
            </w:r>
          </w:p>
        </w:tc>
      </w:tr>
      <w:tr w:rsidR="00D30F1D" w:rsidRPr="0058247A" w14:paraId="77298321"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BA8914" w14:textId="77777777" w:rsidR="00D30F1D" w:rsidRPr="0058247A" w:rsidRDefault="00D30F1D" w:rsidP="00A25B4A">
            <w:pPr>
              <w:pStyle w:val="TableText0"/>
              <w:keepNext w:val="0"/>
              <w:widowControl w:val="0"/>
            </w:pPr>
            <w:r w:rsidRPr="0058247A">
              <w:rPr>
                <w:b/>
              </w:rPr>
              <w:t>AND</w:t>
            </w:r>
          </w:p>
        </w:tc>
      </w:tr>
      <w:tr w:rsidR="00D30F1D" w:rsidRPr="0058247A" w14:paraId="095BB696"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98720B" w14:textId="77777777" w:rsidR="00D30F1D" w:rsidRPr="0058247A" w:rsidRDefault="00D30F1D" w:rsidP="00A25B4A">
            <w:pPr>
              <w:pStyle w:val="TableText0"/>
              <w:keepNext w:val="0"/>
              <w:widowControl w:val="0"/>
            </w:pPr>
            <w:r w:rsidRPr="0058247A">
              <w:t>Patient must not be receiving concomitant PBS-subsidised bortezomib, carfilzomib, thalidomide or pomalidomide</w:t>
            </w:r>
          </w:p>
        </w:tc>
      </w:tr>
      <w:tr w:rsidR="00D30F1D" w:rsidRPr="0058247A" w14:paraId="0B2936B0"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7860E0" w14:textId="77777777" w:rsidR="00D30F1D" w:rsidRPr="0058247A" w:rsidRDefault="00D30F1D" w:rsidP="00A25B4A">
            <w:pPr>
              <w:pStyle w:val="TableText0"/>
              <w:keepNext w:val="0"/>
              <w:widowControl w:val="0"/>
            </w:pPr>
            <w:r w:rsidRPr="0058247A">
              <w:rPr>
                <w:b/>
              </w:rPr>
              <w:t>AND</w:t>
            </w:r>
          </w:p>
        </w:tc>
      </w:tr>
      <w:tr w:rsidR="00D30F1D" w:rsidRPr="0058247A" w14:paraId="3F73E004"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23B216" w14:textId="77777777" w:rsidR="00D30F1D" w:rsidRPr="0058247A" w:rsidRDefault="00D30F1D" w:rsidP="00A25B4A">
            <w:pPr>
              <w:pStyle w:val="TableText0"/>
              <w:keepNext w:val="0"/>
              <w:widowControl w:val="0"/>
            </w:pPr>
            <w:r w:rsidRPr="0058247A">
              <w:t>The treatment must be in combination with lenalidomide and dexamethasone</w:t>
            </w:r>
          </w:p>
        </w:tc>
      </w:tr>
      <w:tr w:rsidR="00D30F1D" w:rsidRPr="0058247A" w14:paraId="6C87547E"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65D41D" w14:textId="77777777" w:rsidR="00D30F1D" w:rsidRPr="0058247A" w:rsidRDefault="00D30F1D" w:rsidP="00A25B4A">
            <w:pPr>
              <w:pStyle w:val="TableText0"/>
              <w:keepNext w:val="0"/>
              <w:widowControl w:val="0"/>
            </w:pPr>
            <w:r w:rsidRPr="0058247A">
              <w:rPr>
                <w:b/>
              </w:rPr>
              <w:t>AND</w:t>
            </w:r>
          </w:p>
        </w:tc>
      </w:tr>
      <w:tr w:rsidR="00D30F1D" w:rsidRPr="0058247A" w14:paraId="7B55664B"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C15E8F" w14:textId="77777777" w:rsidR="00D30F1D" w:rsidRPr="0058247A" w:rsidRDefault="00D30F1D" w:rsidP="00A25B4A">
            <w:pPr>
              <w:pStyle w:val="TableText0"/>
              <w:keepNext w:val="0"/>
              <w:widowControl w:val="0"/>
              <w:rPr>
                <w:b/>
              </w:rPr>
            </w:pPr>
            <w:r w:rsidRPr="0058247A">
              <w:rPr>
                <w:rFonts w:eastAsiaTheme="minorHAnsi" w:cs="Arial"/>
              </w:rPr>
              <w:t>Patient must be undergoing treatment with this drug, in one of the following situations: (i) for the first time, irrespective of whether the diagnosis has been re-classified (i.e. the diagnosis has changed between multiple myeloma/amyloidosis), (ii) changing the drug’s form (intravenous/subcutaneous) within the first 9 weeks of treatment for the same PBS indication</w:t>
            </w:r>
          </w:p>
        </w:tc>
      </w:tr>
      <w:tr w:rsidR="00D30F1D" w:rsidRPr="0058247A" w14:paraId="062A8590"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423CFD" w14:textId="77777777" w:rsidR="00D30F1D" w:rsidRPr="0058247A" w:rsidRDefault="00D30F1D" w:rsidP="00A25B4A">
            <w:pPr>
              <w:pStyle w:val="TableText0"/>
              <w:keepNext w:val="0"/>
              <w:widowControl w:val="0"/>
            </w:pPr>
            <w:r w:rsidRPr="0058247A">
              <w:rPr>
                <w:b/>
              </w:rPr>
              <w:t xml:space="preserve">Administrative Advice: </w:t>
            </w:r>
            <w:r w:rsidRPr="0058247A">
              <w:rPr>
                <w:bCs w:val="0"/>
              </w:rPr>
              <w:t>Special Pricing Arrangements apply</w:t>
            </w:r>
          </w:p>
        </w:tc>
      </w:tr>
      <w:tr w:rsidR="00D30F1D" w:rsidRPr="0058247A" w14:paraId="0437E97F"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8529C03" w14:textId="77777777" w:rsidR="00D30F1D" w:rsidRPr="0058247A" w:rsidRDefault="00D30F1D" w:rsidP="00A25B4A">
            <w:pPr>
              <w:pStyle w:val="TableText0"/>
              <w:keepNext w:val="0"/>
              <w:widowControl w:val="0"/>
              <w:rPr>
                <w:b/>
              </w:rPr>
            </w:pPr>
            <w:r w:rsidRPr="0058247A">
              <w:rPr>
                <w:rStyle w:val="CommentReference"/>
              </w:rPr>
              <w:t>Requested restriction for continuing treatment phase</w:t>
            </w:r>
          </w:p>
        </w:tc>
      </w:tr>
      <w:tr w:rsidR="00D30F1D" w:rsidRPr="0058247A" w14:paraId="2683DCDD"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0056EC5" w14:textId="77777777" w:rsidR="00D30F1D" w:rsidRPr="0058247A" w:rsidRDefault="00D30F1D" w:rsidP="00A25B4A">
            <w:pPr>
              <w:pStyle w:val="TableText0"/>
              <w:keepNext w:val="0"/>
              <w:widowControl w:val="0"/>
            </w:pPr>
            <w:r w:rsidRPr="0058247A">
              <w:rPr>
                <w:b/>
              </w:rPr>
              <w:t xml:space="preserve">Category / Program: </w:t>
            </w:r>
            <w:r w:rsidRPr="0058247A">
              <w:rPr>
                <w:bCs w:val="0"/>
              </w:rPr>
              <w:t>IV – Section 100 – Efficient Funding of Chemotherapy (Public/Private hospital)</w:t>
            </w:r>
          </w:p>
          <w:p w14:paraId="1B778044" w14:textId="77777777" w:rsidR="00D30F1D" w:rsidRPr="0058247A" w:rsidRDefault="00D30F1D" w:rsidP="00A25B4A">
            <w:pPr>
              <w:pStyle w:val="TableText0"/>
              <w:keepNext w:val="0"/>
              <w:widowControl w:val="0"/>
              <w:ind w:left="1440"/>
              <w:rPr>
                <w:bCs w:val="0"/>
              </w:rPr>
            </w:pPr>
            <w:r w:rsidRPr="0058247A">
              <w:rPr>
                <w:bCs w:val="0"/>
              </w:rPr>
              <w:t xml:space="preserve">   SC – Section 100 –Efficient Funding of Chemotherapy– Related Benefits (Code CT)</w:t>
            </w:r>
          </w:p>
          <w:p w14:paraId="52807E8E" w14:textId="77777777" w:rsidR="00D30F1D" w:rsidRPr="0058247A" w:rsidRDefault="00D30F1D" w:rsidP="00A25B4A">
            <w:pPr>
              <w:pStyle w:val="TableText0"/>
              <w:keepNext w:val="0"/>
              <w:widowControl w:val="0"/>
              <w:ind w:left="1440"/>
            </w:pPr>
            <w:r w:rsidRPr="0058247A">
              <w:rPr>
                <w:bCs w:val="0"/>
              </w:rPr>
              <w:t xml:space="preserve">   SC – General Schedule (Code GE)</w:t>
            </w:r>
          </w:p>
        </w:tc>
      </w:tr>
      <w:tr w:rsidR="00D30F1D" w:rsidRPr="0058247A" w14:paraId="03CB67E0"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BCC482" w14:textId="76F1655A" w:rsidR="00D30F1D" w:rsidRPr="0058247A" w:rsidRDefault="00D30F1D" w:rsidP="00A25B4A">
            <w:pPr>
              <w:pStyle w:val="TableText0"/>
              <w:keepNext w:val="0"/>
              <w:widowControl w:val="0"/>
              <w:rPr>
                <w:b/>
              </w:rPr>
            </w:pPr>
            <w:r w:rsidRPr="0058247A">
              <w:rPr>
                <w:b/>
              </w:rPr>
              <w:t xml:space="preserve">Prescriber type: </w:t>
            </w:r>
            <w:r w:rsidRPr="0058247A">
              <w:fldChar w:fldCharType="begin">
                <w:ffData>
                  <w:name w:val=""/>
                  <w:enabled/>
                  <w:calcOnExit w:val="0"/>
                  <w:checkBox>
                    <w:sizeAuto/>
                    <w:default w:val="1"/>
                  </w:checkBox>
                </w:ffData>
              </w:fldChar>
            </w:r>
            <w:r w:rsidRPr="0058247A">
              <w:instrText xml:space="preserve"> FORMCHECKBOX </w:instrText>
            </w:r>
            <w:r w:rsidR="008D65C7">
              <w:fldChar w:fldCharType="separate"/>
            </w:r>
            <w:r w:rsidRPr="0058247A">
              <w:fldChar w:fldCharType="end"/>
            </w:r>
            <w:r w:rsidRPr="0058247A">
              <w:t xml:space="preserve">Medical Practitioners </w:t>
            </w:r>
          </w:p>
        </w:tc>
      </w:tr>
      <w:tr w:rsidR="00D30F1D" w:rsidRPr="0058247A" w14:paraId="59AA7AA8"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5CBC24" w14:textId="25CA16BF" w:rsidR="00D30F1D" w:rsidRPr="0058247A" w:rsidRDefault="00D30F1D" w:rsidP="00A25B4A">
            <w:pPr>
              <w:pStyle w:val="TableText0"/>
              <w:keepNext w:val="0"/>
              <w:widowControl w:val="0"/>
              <w:rPr>
                <w:rFonts w:eastAsia="Times New Roman"/>
              </w:rPr>
            </w:pPr>
            <w:r w:rsidRPr="0058247A">
              <w:rPr>
                <w:b/>
              </w:rPr>
              <w:t xml:space="preserve">Restriction type: </w:t>
            </w:r>
            <w:r w:rsidRPr="0058247A">
              <w:rPr>
                <w:rFonts w:eastAsia="Times New Roman"/>
              </w:rPr>
              <w:fldChar w:fldCharType="begin">
                <w:ffData>
                  <w:name w:val=""/>
                  <w:enabled/>
                  <w:calcOnExit w:val="0"/>
                  <w:checkBox>
                    <w:sizeAuto/>
                    <w:default w:val="1"/>
                  </w:checkBox>
                </w:ffData>
              </w:fldChar>
            </w:r>
            <w:r w:rsidRPr="0058247A">
              <w:rPr>
                <w:rFonts w:eastAsia="Times New Roman"/>
              </w:rPr>
              <w:instrText xml:space="preserve"> FORMCHECKBOX </w:instrText>
            </w:r>
            <w:r w:rsidR="008D65C7">
              <w:rPr>
                <w:rFonts w:eastAsia="Times New Roman"/>
              </w:rPr>
            </w:r>
            <w:r w:rsidR="008D65C7">
              <w:rPr>
                <w:rFonts w:eastAsia="Times New Roman"/>
              </w:rPr>
              <w:fldChar w:fldCharType="separate"/>
            </w:r>
            <w:r w:rsidRPr="0058247A">
              <w:rPr>
                <w:rFonts w:eastAsia="Times New Roman"/>
              </w:rPr>
              <w:fldChar w:fldCharType="end"/>
            </w:r>
            <w:r w:rsidRPr="0058247A">
              <w:rPr>
                <w:rFonts w:eastAsia="Times New Roman"/>
              </w:rPr>
              <w:t xml:space="preserve">Authority Required (telephone/online PBS Authorities system) </w:t>
            </w:r>
          </w:p>
        </w:tc>
      </w:tr>
      <w:tr w:rsidR="00D30F1D" w:rsidRPr="0058247A" w14:paraId="67F05C1C"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30671A" w14:textId="77777777" w:rsidR="00D30F1D" w:rsidRPr="0058247A" w:rsidRDefault="00D30F1D" w:rsidP="00A25B4A">
            <w:pPr>
              <w:pStyle w:val="TableText0"/>
              <w:keepNext w:val="0"/>
              <w:widowControl w:val="0"/>
              <w:rPr>
                <w:b/>
              </w:rPr>
            </w:pPr>
            <w:r w:rsidRPr="0058247A">
              <w:rPr>
                <w:b/>
              </w:rPr>
              <w:t xml:space="preserve">Condition: </w:t>
            </w:r>
            <w:r w:rsidRPr="0058247A">
              <w:rPr>
                <w:bCs w:val="0"/>
              </w:rPr>
              <w:t>Multiple myeloma</w:t>
            </w:r>
            <w:r w:rsidRPr="0058247A">
              <w:t xml:space="preserve"> </w:t>
            </w:r>
          </w:p>
        </w:tc>
      </w:tr>
      <w:tr w:rsidR="00D30F1D" w:rsidRPr="0058247A" w14:paraId="2EFDB67C"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0A8E31" w14:textId="77777777" w:rsidR="00D30F1D" w:rsidRPr="0058247A" w:rsidRDefault="00D30F1D" w:rsidP="00A25B4A">
            <w:pPr>
              <w:pStyle w:val="TableText0"/>
              <w:keepNext w:val="0"/>
              <w:widowControl w:val="0"/>
            </w:pPr>
            <w:r w:rsidRPr="0058247A">
              <w:rPr>
                <w:b/>
              </w:rPr>
              <w:t>Indication:</w:t>
            </w:r>
            <w:r w:rsidRPr="0058247A">
              <w:t xml:space="preserve"> Untreated Multiple Myeloma</w:t>
            </w:r>
          </w:p>
        </w:tc>
      </w:tr>
      <w:tr w:rsidR="00D30F1D" w:rsidRPr="0058247A" w14:paraId="19D9A7AE"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4E6DDD" w14:textId="77777777" w:rsidR="00D30F1D" w:rsidRPr="0058247A" w:rsidRDefault="00D30F1D" w:rsidP="00A25B4A">
            <w:pPr>
              <w:pStyle w:val="TableText0"/>
              <w:keepNext w:val="0"/>
              <w:widowControl w:val="0"/>
            </w:pPr>
            <w:r w:rsidRPr="0058247A">
              <w:rPr>
                <w:b/>
              </w:rPr>
              <w:t>Treatment Phase:</w:t>
            </w:r>
            <w:r w:rsidRPr="0058247A">
              <w:t xml:space="preserve"> </w:t>
            </w:r>
            <w:r w:rsidRPr="0058247A">
              <w:rPr>
                <w:bCs w:val="0"/>
              </w:rPr>
              <w:t>Continuing treatment from week 25 onwards (administered once every four weeks)</w:t>
            </w:r>
          </w:p>
        </w:tc>
      </w:tr>
      <w:tr w:rsidR="00D30F1D" w:rsidRPr="0058247A" w14:paraId="5176A016"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02835F" w14:textId="77777777" w:rsidR="00D30F1D" w:rsidRPr="0058247A" w:rsidRDefault="00D30F1D" w:rsidP="00A25B4A">
            <w:pPr>
              <w:pStyle w:val="TableText0"/>
              <w:keepNext w:val="0"/>
              <w:widowControl w:val="0"/>
            </w:pPr>
            <w:r w:rsidRPr="0058247A">
              <w:rPr>
                <w:b/>
              </w:rPr>
              <w:t>Clinical criteria:</w:t>
            </w:r>
          </w:p>
        </w:tc>
      </w:tr>
      <w:tr w:rsidR="00D30F1D" w:rsidRPr="0058247A" w14:paraId="4374E3E4"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E85E42" w14:textId="77777777" w:rsidR="00D30F1D" w:rsidRPr="0058247A" w:rsidRDefault="00D30F1D" w:rsidP="00A25B4A">
            <w:pPr>
              <w:pStyle w:val="TableText0"/>
              <w:keepNext w:val="0"/>
              <w:widowControl w:val="0"/>
            </w:pPr>
            <w:r w:rsidRPr="0058247A">
              <w:t>Patient must have previously received PBS-subsidised treatment with this drug for this condition,</w:t>
            </w:r>
          </w:p>
        </w:tc>
      </w:tr>
      <w:tr w:rsidR="00D30F1D" w:rsidRPr="0058247A" w14:paraId="150222DD"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577A77" w14:textId="77777777" w:rsidR="00D30F1D" w:rsidRPr="0058247A" w:rsidRDefault="00D30F1D" w:rsidP="00A25B4A">
            <w:pPr>
              <w:pStyle w:val="TableText0"/>
              <w:keepNext w:val="0"/>
              <w:widowControl w:val="0"/>
            </w:pPr>
            <w:r w:rsidRPr="0058247A">
              <w:rPr>
                <w:b/>
              </w:rPr>
              <w:t>AND</w:t>
            </w:r>
          </w:p>
        </w:tc>
      </w:tr>
      <w:tr w:rsidR="00D30F1D" w:rsidRPr="0058247A" w14:paraId="3BB1FA70"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00470A" w14:textId="77777777" w:rsidR="00D30F1D" w:rsidRPr="0058247A" w:rsidRDefault="00D30F1D" w:rsidP="00A25B4A">
            <w:pPr>
              <w:pStyle w:val="TableText0"/>
              <w:keepNext w:val="0"/>
              <w:widowControl w:val="0"/>
            </w:pPr>
            <w:r w:rsidRPr="0058247A">
              <w:t>The treatment must be in combination with lenalidomide and dexamethasone,</w:t>
            </w:r>
          </w:p>
        </w:tc>
      </w:tr>
      <w:tr w:rsidR="00D30F1D" w:rsidRPr="0058247A" w14:paraId="24997838"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E1702E" w14:textId="77777777" w:rsidR="00D30F1D" w:rsidRPr="0058247A" w:rsidRDefault="00D30F1D" w:rsidP="00A25B4A">
            <w:pPr>
              <w:pStyle w:val="TableText0"/>
              <w:keepNext w:val="0"/>
              <w:widowControl w:val="0"/>
            </w:pPr>
            <w:r w:rsidRPr="0058247A">
              <w:rPr>
                <w:b/>
              </w:rPr>
              <w:lastRenderedPageBreak/>
              <w:t>AND</w:t>
            </w:r>
          </w:p>
        </w:tc>
      </w:tr>
      <w:tr w:rsidR="00D30F1D" w:rsidRPr="0058247A" w14:paraId="2698CE7A"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A5B836" w14:textId="77777777" w:rsidR="00D30F1D" w:rsidRPr="0058247A" w:rsidRDefault="00D30F1D" w:rsidP="00A25B4A">
            <w:pPr>
              <w:pStyle w:val="TableText0"/>
              <w:keepNext w:val="0"/>
              <w:widowControl w:val="0"/>
            </w:pPr>
            <w:r w:rsidRPr="0058247A">
              <w:rPr>
                <w:rFonts w:cs="Arial"/>
              </w:rPr>
              <w:t>Patient must not have developed disease progression while receiving treatment with this drug for this condition.</w:t>
            </w:r>
          </w:p>
        </w:tc>
      </w:tr>
      <w:tr w:rsidR="00D30F1D" w:rsidRPr="0058247A" w14:paraId="643ED169" w14:textId="77777777" w:rsidTr="00A25B4A">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35F683" w14:textId="77777777" w:rsidR="00D30F1D" w:rsidRPr="0058247A" w:rsidRDefault="00D30F1D" w:rsidP="00A25B4A">
            <w:pPr>
              <w:pStyle w:val="TableText0"/>
              <w:keepNext w:val="0"/>
              <w:widowControl w:val="0"/>
            </w:pPr>
            <w:r w:rsidRPr="0058247A">
              <w:rPr>
                <w:b/>
              </w:rPr>
              <w:t xml:space="preserve">Administrative Advice: </w:t>
            </w:r>
            <w:r w:rsidRPr="0058247A">
              <w:rPr>
                <w:bCs w:val="0"/>
              </w:rPr>
              <w:t>Special Pricing Arrangements apply</w:t>
            </w:r>
          </w:p>
        </w:tc>
      </w:tr>
    </w:tbl>
    <w:p w14:paraId="58F49078" w14:textId="77777777" w:rsidR="00D30F1D" w:rsidRPr="0058247A" w:rsidRDefault="00D30F1D" w:rsidP="00D30F1D">
      <w:pPr>
        <w:pStyle w:val="FooterTableFigure"/>
        <w:widowControl w:val="0"/>
      </w:pPr>
      <w:r w:rsidRPr="0058247A">
        <w:t>Source: Table 1.17, p66 of the submission.</w:t>
      </w:r>
    </w:p>
    <w:p w14:paraId="395737F1" w14:textId="77777777" w:rsidR="00D30F1D" w:rsidRPr="0058247A" w:rsidRDefault="00D30F1D" w:rsidP="00D30F1D">
      <w:pPr>
        <w:pStyle w:val="FooterTableFigure"/>
        <w:widowControl w:val="0"/>
      </w:pPr>
      <w:r w:rsidRPr="0058247A">
        <w:t>IV= intravenous; PBS= Pharmaceutical Benefit Scheme; SC= subcutaneous.</w:t>
      </w:r>
    </w:p>
    <w:p w14:paraId="6209E50D" w14:textId="77777777" w:rsidR="00D30F1D" w:rsidRPr="0058247A" w:rsidRDefault="00D30F1D" w:rsidP="00D30F1D">
      <w:pPr>
        <w:pStyle w:val="FooterTableFigure"/>
        <w:widowControl w:val="0"/>
      </w:pPr>
      <w:r w:rsidRPr="0058247A">
        <w:rPr>
          <w:rFonts w:eastAsia="Calibri"/>
          <w:color w:val="000000"/>
          <w:szCs w:val="18"/>
          <w:vertAlign w:val="superscript"/>
          <w:lang w:eastAsia="en-US"/>
        </w:rPr>
        <w:t>a</w:t>
      </w:r>
      <w:r w:rsidRPr="0058247A">
        <w:rPr>
          <w:szCs w:val="18"/>
        </w:rPr>
        <w:t xml:space="preserve"> </w:t>
      </w:r>
      <w:r w:rsidRPr="0058247A">
        <w:rPr>
          <w:rFonts w:eastAsia="Calibri"/>
          <w:color w:val="000000"/>
          <w:szCs w:val="18"/>
          <w:lang w:eastAsia="en-US"/>
        </w:rPr>
        <w:t>The submission requested the inclusion of a grandfather provision aligned with the PBS-eligibility criteria applying to a non-grandfathered patient prior to having commenced treatment with this drug. The submission requested inclusion of a grandfathering restriction at the same requested prices but provided for 7 repeats.</w:t>
      </w:r>
    </w:p>
    <w:p w14:paraId="15A2CBD7" w14:textId="43071E9D" w:rsidR="008644B0" w:rsidRPr="006154DA" w:rsidRDefault="00D30F1D" w:rsidP="0021164A">
      <w:pPr>
        <w:pStyle w:val="3-BodyText"/>
      </w:pPr>
      <w:bookmarkStart w:id="19" w:name="_Ref127019635"/>
      <w:r w:rsidRPr="006154DA">
        <w:t xml:space="preserve">The proposed </w:t>
      </w:r>
      <w:bookmarkStart w:id="20" w:name="_Hlk122795899"/>
      <w:r w:rsidRPr="006154DA">
        <w:t xml:space="preserve">dispensed price per maximum quantity/amount (DPMQ/DPMA) for each formulation (SC and IV) incorporated the applicable mark-ups and fees as of </w:t>
      </w:r>
      <w:r w:rsidR="004D2A45" w:rsidRPr="006154DA">
        <w:t>October</w:t>
      </w:r>
      <w:r w:rsidR="004D2A45">
        <w:t> </w:t>
      </w:r>
      <w:r w:rsidRPr="006154DA">
        <w:t xml:space="preserve">2022. </w:t>
      </w:r>
      <w:bookmarkEnd w:id="20"/>
      <w:r w:rsidRPr="006154DA">
        <w:t xml:space="preserve">The </w:t>
      </w:r>
      <w:r w:rsidR="004F777D" w:rsidRPr="006154DA">
        <w:t xml:space="preserve">submission stated that the </w:t>
      </w:r>
      <w:r w:rsidRPr="006154DA">
        <w:t xml:space="preserve">effective prices proposed in the submission and used in </w:t>
      </w:r>
      <w:r w:rsidR="00EC1B8A" w:rsidRPr="006154DA">
        <w:t>economic evaluation and financial impact analysis</w:t>
      </w:r>
      <w:r w:rsidRPr="006154DA">
        <w:t xml:space="preserve"> were the same as the effective prices for daratumumab in second-line multiple myeloma (MM).</w:t>
      </w:r>
      <w:r w:rsidR="004F777D" w:rsidRPr="006154DA">
        <w:t xml:space="preserve"> </w:t>
      </w:r>
      <w:r w:rsidR="008644B0" w:rsidRPr="00340BE6">
        <w:t>T</w:t>
      </w:r>
      <w:r w:rsidR="004F777D" w:rsidRPr="00340BE6">
        <w:t>he ESC noted that the</w:t>
      </w:r>
      <w:r w:rsidR="008644B0" w:rsidRPr="00340BE6">
        <w:t xml:space="preserve"> </w:t>
      </w:r>
      <w:r w:rsidR="00154E14" w:rsidRPr="006E73CD">
        <w:t>net-cost</w:t>
      </w:r>
      <w:r w:rsidR="008644B0" w:rsidRPr="006E73CD">
        <w:t xml:space="preserve"> for daratumumab</w:t>
      </w:r>
      <w:r w:rsidR="008644B0" w:rsidRPr="00340BE6">
        <w:t xml:space="preserve"> </w:t>
      </w:r>
      <w:r w:rsidR="001C7A24" w:rsidRPr="00340BE6">
        <w:t xml:space="preserve">in second-line MM </w:t>
      </w:r>
      <w:r w:rsidR="008644B0" w:rsidRPr="00340BE6">
        <w:t xml:space="preserve">was achieved through a </w:t>
      </w:r>
      <w:r w:rsidR="0073068A" w:rsidRPr="00340BE6">
        <w:t>risk sharing arrangement (</w:t>
      </w:r>
      <w:r w:rsidR="008644B0" w:rsidRPr="00340BE6">
        <w:t>RSA</w:t>
      </w:r>
      <w:r w:rsidR="0073068A" w:rsidRPr="00340BE6">
        <w:t>)</w:t>
      </w:r>
      <w:r w:rsidR="008644B0" w:rsidRPr="00340BE6">
        <w:t xml:space="preserve"> and was </w:t>
      </w:r>
      <w:r w:rsidR="006E73CD" w:rsidRPr="00E93FF7">
        <w:rPr>
          <w:color w:val="000000"/>
          <w:w w:val="24"/>
          <w:shd w:val="solid" w:color="000000" w:fill="000000"/>
          <w:fitText w:val="80" w:id="-1236536824"/>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824"/>
          <w14:textFill>
            <w14:solidFill>
              <w14:srgbClr w14:val="000000">
                <w14:alpha w14:val="100000"/>
              </w14:srgbClr>
            </w14:solidFill>
          </w14:textFill>
        </w:rPr>
        <w:t>|</w:t>
      </w:r>
      <w:r w:rsidR="008644B0" w:rsidRPr="00283005">
        <w:t>% lower than the effective prices</w:t>
      </w:r>
      <w:r w:rsidR="001C7A24" w:rsidRPr="00283005">
        <w:t>.</w:t>
      </w:r>
      <w:r w:rsidR="001C7A24" w:rsidRPr="00340BE6">
        <w:t xml:space="preserve"> The proposed prices for first-line MM were therefore higher than that considered cost-effective for second-line MM.</w:t>
      </w:r>
    </w:p>
    <w:bookmarkEnd w:id="19"/>
    <w:p w14:paraId="06E584F1" w14:textId="3A2AE13B" w:rsidR="00E3370B" w:rsidRPr="006154DA" w:rsidRDefault="00E3370B" w:rsidP="0021164A">
      <w:pPr>
        <w:pStyle w:val="3-BodyText"/>
      </w:pPr>
      <w:r w:rsidRPr="006154DA">
        <w:t>The ESC considered that the criterion that a “Patient must be ineligible for a primary stem cell transplantation” was arbitrary and that there was a high risk that a number of patients who were transplant eligible would receive DLd. The ESC considered that a strong definition of transplant ineligibility which was applicable to the Australian population and a RSA would be required</w:t>
      </w:r>
      <w:r w:rsidR="00EC1B8A" w:rsidRPr="006154DA">
        <w:t xml:space="preserve"> to help mitigate the risk</w:t>
      </w:r>
      <w:r w:rsidRPr="006154DA">
        <w:t xml:space="preserve">. The ESC noted advice from the </w:t>
      </w:r>
      <w:r w:rsidR="00EC1B8A" w:rsidRPr="006154DA">
        <w:rPr>
          <w:szCs w:val="20"/>
        </w:rPr>
        <w:t xml:space="preserve">Myeloma and Related Diseases Registry (MRDR) </w:t>
      </w:r>
      <w:r w:rsidRPr="006154DA">
        <w:t xml:space="preserve">prepared for the </w:t>
      </w:r>
      <w:r w:rsidR="00EC1B8A" w:rsidRPr="006154DA">
        <w:t>submission suggested that the mean age of first line treatment in patients</w:t>
      </w:r>
      <w:r w:rsidR="002A1F66" w:rsidRPr="006154DA">
        <w:t xml:space="preserve"> who received ASCT was 61.1 years, compared with 74.5 years for patients</w:t>
      </w:r>
      <w:r w:rsidR="00EC1B8A" w:rsidRPr="006154DA">
        <w:t xml:space="preserve"> who did not receive a stem cell transplant </w:t>
      </w:r>
      <w:r w:rsidR="002A1F66" w:rsidRPr="006154DA">
        <w:t>(MRDR Report September 2022, Table 1 and Table 3)</w:t>
      </w:r>
      <w:r w:rsidR="00BD307E" w:rsidRPr="006154DA">
        <w:t xml:space="preserve"> and that the current MSAG guidelines (2022</w:t>
      </w:r>
      <w:r w:rsidR="007D68DC">
        <w:t>, p20</w:t>
      </w:r>
      <w:r w:rsidR="00BD307E" w:rsidRPr="006154DA">
        <w:t>) state that patients over the age of 75 are generally considered transplant ineligible</w:t>
      </w:r>
      <w:r w:rsidRPr="006154DA">
        <w:t>.</w:t>
      </w:r>
    </w:p>
    <w:p w14:paraId="1C7F91D6" w14:textId="74796E23" w:rsidR="00D54A8A" w:rsidRDefault="00622236" w:rsidP="004005BC">
      <w:pPr>
        <w:pStyle w:val="3-BodyText"/>
      </w:pPr>
      <w:r w:rsidRPr="006154DA">
        <w:t>T</w:t>
      </w:r>
      <w:r w:rsidR="00D54A8A" w:rsidRPr="006154DA">
        <w:t xml:space="preserve">he ESC noted that </w:t>
      </w:r>
      <w:r w:rsidRPr="006154DA">
        <w:t>the MSA</w:t>
      </w:r>
      <w:r w:rsidR="00541709">
        <w:t>G</w:t>
      </w:r>
      <w:r w:rsidRPr="006154DA">
        <w:t xml:space="preserve"> guidelines 2022 (p11) state that “</w:t>
      </w:r>
      <w:r w:rsidR="00D54A8A" w:rsidRPr="006154DA">
        <w:t>The traditional notion that patients aged above 65 years are ineligible for ASCT is no longer appropriate as it is clear that older patients who are biologically fit do benefit from intensive treatment.</w:t>
      </w:r>
      <w:r w:rsidRPr="006154DA">
        <w:t>”</w:t>
      </w:r>
      <w:r w:rsidR="00D54A8A" w:rsidRPr="006154DA">
        <w:t xml:space="preserve"> </w:t>
      </w:r>
      <w:r w:rsidRPr="006154DA">
        <w:t xml:space="preserve">With respect to eligibility for transplant, the ESC considered that </w:t>
      </w:r>
      <w:r w:rsidR="00D54A8A" w:rsidRPr="006154DA">
        <w:t xml:space="preserve">individual assessment that </w:t>
      </w:r>
      <w:r w:rsidRPr="006154DA">
        <w:t xml:space="preserve">considers the </w:t>
      </w:r>
      <w:r w:rsidR="00D54A8A" w:rsidRPr="006154DA">
        <w:t>patient’s age, comorbidities, frailty and disability</w:t>
      </w:r>
      <w:r w:rsidRPr="006154DA">
        <w:t xml:space="preserve"> status is required</w:t>
      </w:r>
      <w:r w:rsidR="00D54A8A" w:rsidRPr="006154DA">
        <w:t>. Clinical tools such as the haematopoietic stem cell transplant co-morbidity index (HCT-CI) may be useful to assess suitability for ASCT.</w:t>
      </w:r>
    </w:p>
    <w:p w14:paraId="64A76313" w14:textId="501001C5" w:rsidR="00354952" w:rsidRDefault="000B0BF9" w:rsidP="00354952">
      <w:pPr>
        <w:pStyle w:val="3-BodyText"/>
      </w:pPr>
      <w:r w:rsidRPr="006154DA">
        <w:t>T</w:t>
      </w:r>
      <w:r w:rsidR="00D30F1D" w:rsidRPr="006154DA">
        <w:t>he submission requested a special pricing arrangement (SPA) for the supply of daratumumab (SC and IV formulations) for TI NDMM, which will be captured by a Deed of Agreement.</w:t>
      </w:r>
      <w:r w:rsidRPr="006154DA">
        <w:t xml:space="preserve"> The submission noted an RSA is in place for daratumumab in second-line MM (see paragraphs </w:t>
      </w:r>
      <w:r w:rsidRPr="006154DA">
        <w:fldChar w:fldCharType="begin"/>
      </w:r>
      <w:r w:rsidRPr="006154DA">
        <w:instrText xml:space="preserve"> REF _Ref127437157 \r \h </w:instrText>
      </w:r>
      <w:r w:rsidR="006154DA" w:rsidRPr="006154DA">
        <w:instrText xml:space="preserve"> \* MERGEFORMAT </w:instrText>
      </w:r>
      <w:r w:rsidRPr="006154DA">
        <w:fldChar w:fldCharType="separate"/>
      </w:r>
      <w:r w:rsidR="008D65C7">
        <w:t>6.65</w:t>
      </w:r>
      <w:r w:rsidRPr="006154DA">
        <w:fldChar w:fldCharType="end"/>
      </w:r>
      <w:r w:rsidRPr="006154DA">
        <w:t xml:space="preserve"> and </w:t>
      </w:r>
      <w:r w:rsidRPr="006154DA">
        <w:fldChar w:fldCharType="begin"/>
      </w:r>
      <w:r w:rsidRPr="006154DA">
        <w:instrText xml:space="preserve"> REF _Ref127437159 \r \h </w:instrText>
      </w:r>
      <w:r w:rsidR="006154DA" w:rsidRPr="006154DA">
        <w:instrText xml:space="preserve"> \* MERGEFORMAT </w:instrText>
      </w:r>
      <w:r w:rsidRPr="006154DA">
        <w:fldChar w:fldCharType="separate"/>
      </w:r>
      <w:r w:rsidR="008D65C7">
        <w:t>6.66</w:t>
      </w:r>
      <w:r w:rsidRPr="006154DA">
        <w:fldChar w:fldCharType="end"/>
      </w:r>
      <w:r w:rsidRPr="006154DA">
        <w:t xml:space="preserve"> for further details) and stated one was currently under assessment for daratumumab in amyloid light chain (primary) amyloidosis at time of submission. The PBS listing for light chain amyloidosis became effective on 1 Jan 2023.</w:t>
      </w:r>
    </w:p>
    <w:p w14:paraId="443EAD3B" w14:textId="7C80E03E" w:rsidR="006154DA" w:rsidRPr="00354952" w:rsidRDefault="00D30F1D" w:rsidP="00354952">
      <w:pPr>
        <w:pStyle w:val="3-BodyText"/>
      </w:pPr>
      <w:r w:rsidRPr="00354952">
        <w:rPr>
          <w:rFonts w:eastAsia="Calibri"/>
          <w:lang w:eastAsia="en-US"/>
        </w:rPr>
        <w:lastRenderedPageBreak/>
        <w:t>The submission requested a grandfather provision aligned with the PBS-eligibility criteria applying to a non-grandfathered patient prior to commenc</w:t>
      </w:r>
      <w:r w:rsidR="00A64B4E" w:rsidRPr="00354952">
        <w:rPr>
          <w:rFonts w:eastAsia="Calibri"/>
          <w:lang w:eastAsia="en-US"/>
        </w:rPr>
        <w:t>ing</w:t>
      </w:r>
      <w:r w:rsidRPr="00354952">
        <w:rPr>
          <w:rFonts w:eastAsia="Calibri"/>
          <w:lang w:eastAsia="en-US"/>
        </w:rPr>
        <w:t xml:space="preserve"> treatment with </w:t>
      </w:r>
      <w:r w:rsidR="00A64B4E" w:rsidRPr="00354952">
        <w:rPr>
          <w:rFonts w:eastAsia="Calibri"/>
          <w:lang w:eastAsia="en-US"/>
        </w:rPr>
        <w:t>non-PBS daratumumab</w:t>
      </w:r>
      <w:r w:rsidR="00814607" w:rsidRPr="00354952">
        <w:rPr>
          <w:rFonts w:eastAsia="Calibri"/>
          <w:lang w:eastAsia="en-US"/>
        </w:rPr>
        <w:t xml:space="preserve">. </w:t>
      </w:r>
      <w:r w:rsidR="00DF6471" w:rsidRPr="00354952">
        <w:rPr>
          <w:rFonts w:eastAsia="Calibri"/>
          <w:color w:val="000000"/>
          <w:szCs w:val="18"/>
          <w:lang w:eastAsia="en-US"/>
        </w:rPr>
        <w:t xml:space="preserve">The submission stated that </w:t>
      </w:r>
      <w:r w:rsidR="004D2A45">
        <w:rPr>
          <w:rFonts w:eastAsia="Calibri"/>
          <w:color w:val="000000"/>
          <w:szCs w:val="18"/>
          <w:lang w:eastAsia="en-US"/>
        </w:rPr>
        <w:t>&lt; 500</w:t>
      </w:r>
      <w:r w:rsidR="004D2A45" w:rsidRPr="00354952">
        <w:rPr>
          <w:rFonts w:eastAsia="Calibri"/>
          <w:color w:val="000000"/>
          <w:szCs w:val="18"/>
          <w:lang w:eastAsia="en-US"/>
        </w:rPr>
        <w:t xml:space="preserve"> </w:t>
      </w:r>
      <w:r w:rsidR="00DF6471" w:rsidRPr="00354952">
        <w:rPr>
          <w:rFonts w:eastAsia="Calibri"/>
          <w:color w:val="000000"/>
          <w:szCs w:val="18"/>
          <w:lang w:eastAsia="en-US"/>
        </w:rPr>
        <w:t xml:space="preserve">patients will require </w:t>
      </w:r>
      <w:r w:rsidR="004A2794">
        <w:rPr>
          <w:rFonts w:eastAsia="Calibri"/>
          <w:color w:val="000000"/>
          <w:szCs w:val="18"/>
          <w:lang w:eastAsia="en-US"/>
        </w:rPr>
        <w:t xml:space="preserve">transitioning to </w:t>
      </w:r>
      <w:r w:rsidR="00DF6471" w:rsidRPr="00354952">
        <w:rPr>
          <w:rFonts w:eastAsia="Calibri"/>
          <w:color w:val="000000"/>
          <w:szCs w:val="18"/>
          <w:lang w:eastAsia="en-US"/>
        </w:rPr>
        <w:t>PBS</w:t>
      </w:r>
      <w:r w:rsidR="004A2794">
        <w:rPr>
          <w:rFonts w:eastAsia="Calibri"/>
          <w:color w:val="000000"/>
          <w:szCs w:val="18"/>
          <w:lang w:eastAsia="en-US"/>
        </w:rPr>
        <w:t>-subsidised supply</w:t>
      </w:r>
      <w:r w:rsidR="00DF6471" w:rsidRPr="00354952">
        <w:rPr>
          <w:rFonts w:eastAsia="Calibri"/>
          <w:color w:val="000000"/>
          <w:szCs w:val="18"/>
          <w:lang w:eastAsia="en-US"/>
        </w:rPr>
        <w:t xml:space="preserve">, after the </w:t>
      </w:r>
      <w:r w:rsidR="00FA7347" w:rsidRPr="00354952">
        <w:rPr>
          <w:rFonts w:eastAsia="Calibri"/>
          <w:color w:val="000000"/>
          <w:szCs w:val="18"/>
          <w:lang w:eastAsia="en-US"/>
        </w:rPr>
        <w:t>anticipated commencement of a</w:t>
      </w:r>
      <w:r w:rsidR="00DF6471" w:rsidRPr="00354952">
        <w:rPr>
          <w:rFonts w:eastAsia="Calibri"/>
          <w:color w:val="000000"/>
          <w:szCs w:val="18"/>
          <w:lang w:eastAsia="en-US"/>
        </w:rPr>
        <w:t>n</w:t>
      </w:r>
      <w:r w:rsidR="00FA7347" w:rsidRPr="00354952">
        <w:rPr>
          <w:rFonts w:eastAsia="Calibri"/>
          <w:color w:val="000000"/>
          <w:szCs w:val="18"/>
          <w:lang w:eastAsia="en-US"/>
        </w:rPr>
        <w:t xml:space="preserve"> Early Access Program three months prior to PBS lis</w:t>
      </w:r>
      <w:r w:rsidR="00D1411B" w:rsidRPr="00354952">
        <w:rPr>
          <w:rFonts w:eastAsia="Calibri"/>
          <w:color w:val="000000"/>
          <w:szCs w:val="18"/>
          <w:lang w:eastAsia="en-US"/>
        </w:rPr>
        <w:t>t</w:t>
      </w:r>
      <w:r w:rsidR="00FA7347" w:rsidRPr="00354952">
        <w:rPr>
          <w:rFonts w:eastAsia="Calibri"/>
          <w:color w:val="000000"/>
          <w:szCs w:val="18"/>
          <w:lang w:eastAsia="en-US"/>
        </w:rPr>
        <w:t xml:space="preserve">ing of DLd. </w:t>
      </w:r>
    </w:p>
    <w:p w14:paraId="6DA3AEA8" w14:textId="3388767E" w:rsidR="00D30F1D" w:rsidRPr="006154DA" w:rsidRDefault="006154DA" w:rsidP="004D2A45">
      <w:pPr>
        <w:pStyle w:val="3-BodyText"/>
        <w:numPr>
          <w:ilvl w:val="0"/>
          <w:numId w:val="0"/>
        </w:numPr>
        <w:ind w:left="720"/>
        <w:rPr>
          <w:i/>
          <w:iCs/>
        </w:rPr>
      </w:pPr>
      <w:r w:rsidRPr="006154DA">
        <w:rPr>
          <w:i/>
          <w:iCs/>
        </w:rPr>
        <w:t>For more detail on PBAC’s view, see section 7 PBAC outcome.</w:t>
      </w:r>
    </w:p>
    <w:p w14:paraId="3B70463D" w14:textId="77777777" w:rsidR="00D30F1D" w:rsidRPr="0058247A" w:rsidDel="00195452" w:rsidRDefault="00D30F1D" w:rsidP="00D30F1D">
      <w:pPr>
        <w:pStyle w:val="2-SectionHeading"/>
      </w:pPr>
      <w:bookmarkStart w:id="21" w:name="_Toc121741809"/>
      <w:bookmarkStart w:id="22" w:name="_Toc124878969"/>
      <w:r w:rsidRPr="0058247A" w:rsidDel="00195452">
        <w:t>Population and disease</w:t>
      </w:r>
      <w:bookmarkEnd w:id="21"/>
      <w:bookmarkEnd w:id="22"/>
    </w:p>
    <w:p w14:paraId="5D435884" w14:textId="05FEC4FA" w:rsidR="00D30F1D" w:rsidRPr="0058247A" w:rsidRDefault="00D30F1D" w:rsidP="00D30F1D">
      <w:pPr>
        <w:pStyle w:val="3-BodyText"/>
      </w:pPr>
      <w:r w:rsidRPr="0058247A">
        <w:t>MM is a cytogenetically heterogeneous clonal plasma cell proliferative disorder characterised by an abnormal serum and/or urine immunoglobulin known as M</w:t>
      </w:r>
      <w:r w:rsidR="00495ED0" w:rsidRPr="0058247A">
        <w:noBreakHyphen/>
      </w:r>
      <w:r w:rsidRPr="0058247A">
        <w:t>protein or free immunoglobulin light chain. The PBAC has seen multiple submissions across a variety of molecules and settings in MM since the early 2000s.</w:t>
      </w:r>
    </w:p>
    <w:p w14:paraId="7BA7AF4B" w14:textId="7183299A" w:rsidR="00D30F1D" w:rsidRPr="0058247A" w:rsidRDefault="00D30F1D" w:rsidP="00D30F1D">
      <w:pPr>
        <w:pStyle w:val="3-BodyText"/>
      </w:pPr>
      <w:r w:rsidRPr="0058247A">
        <w:t>According to local clinical guidelines, patients' eligibility for transplant is assessed based on age, comorbidities and functional status. In general, the MSAG considers patients over 75 years of age to be ineligible for transplant (MSAG 2022, p20). However, patient eligibility can be subjective and can change following treatment (para</w:t>
      </w:r>
      <w:r w:rsidR="00312955">
        <w:t>graph</w:t>
      </w:r>
      <w:r w:rsidRPr="0058247A">
        <w:t xml:space="preserve"> 7.5, lenalidomide Public Summary Document</w:t>
      </w:r>
      <w:r w:rsidR="00312955">
        <w:t xml:space="preserve"> (PSD)</w:t>
      </w:r>
      <w:r w:rsidRPr="0058247A">
        <w:t>, August 2019 PBAC meeting).</w:t>
      </w:r>
    </w:p>
    <w:p w14:paraId="39CBBDBC" w14:textId="587E97F9" w:rsidR="00354952" w:rsidRDefault="00D30F1D" w:rsidP="00354952">
      <w:pPr>
        <w:pStyle w:val="3-BodyText"/>
      </w:pPr>
      <w:r w:rsidRPr="0058247A">
        <w:t xml:space="preserve">The proposed clinical algorithm incorporated DLd as a third treatment alternative to BLd and Ld for frail TI NDMM patients, and as a fourth treatment option for fit and intermediately fit TI NDMM patients where BLd, Ld and bortezomib in combination with </w:t>
      </w:r>
      <w:r w:rsidRPr="0058247A">
        <w:rPr>
          <w:rFonts w:eastAsia="Calibri"/>
        </w:rPr>
        <w:t>cyclophosphamide and dexamethasone (BCd) are currently recommended</w:t>
      </w:r>
      <w:r w:rsidRPr="0058247A">
        <w:t>. It is expected that if listed, DLd would decrease the use of daratumumab in combination with bortezomib and dexamethasone (DBd) in the second-line setting. Additionally, like the proposed comparators, Ld and BLd, DLd has a</w:t>
      </w:r>
      <w:r w:rsidR="000B30DE" w:rsidRPr="0058247A">
        <w:t xml:space="preserve"> </w:t>
      </w:r>
      <w:r w:rsidRPr="0058247A">
        <w:t>lenalidomide backbone, therefore, no impact on subsequent lines of treatment containing lenalidomide as the backbone therapy are expected from DLd being used first-line.</w:t>
      </w:r>
      <w:r w:rsidR="00354952">
        <w:t xml:space="preserve"> </w:t>
      </w:r>
    </w:p>
    <w:p w14:paraId="07DD4CC0" w14:textId="77777777" w:rsidR="00312955" w:rsidRPr="006154DA" w:rsidRDefault="00312955" w:rsidP="00312955">
      <w:pPr>
        <w:pStyle w:val="3-BodyText"/>
      </w:pPr>
      <w:r>
        <w:t>The pre-PBAC response noted that the TGA approved regimen for daratumumab in the transplant eligible population includes thalidomide, which has an unfavourable side effect profile. The pre-PBAC response noted that there was an ongoing trial for daratumumab in combination with BLd in the transplant eligible population, but that no data were yet reported.</w:t>
      </w:r>
    </w:p>
    <w:p w14:paraId="706E6082" w14:textId="5085D867" w:rsidR="006154DA" w:rsidRDefault="00D30F1D" w:rsidP="00354952">
      <w:pPr>
        <w:pStyle w:val="3-BodyText"/>
      </w:pPr>
      <w:r w:rsidRPr="0058247A">
        <w:t>Daratumumab is a novel human monoclonal antibody that binds to and inhibits CD38, a transmembrane glycoprotein overexpressed in MM plasma cells. Daratumumab as DBd was recommended by the PBAC for patients with RRMM as a second-line treatment in July 2021.</w:t>
      </w:r>
      <w:r w:rsidR="006154DA">
        <w:t xml:space="preserve"> </w:t>
      </w:r>
    </w:p>
    <w:p w14:paraId="7F5CE2F4" w14:textId="5579404E" w:rsidR="00D30F1D" w:rsidRPr="006154DA" w:rsidDel="00195452" w:rsidRDefault="006154DA" w:rsidP="006154DA">
      <w:pPr>
        <w:pStyle w:val="3-BodyText"/>
        <w:numPr>
          <w:ilvl w:val="0"/>
          <w:numId w:val="0"/>
        </w:numPr>
        <w:ind w:left="720"/>
        <w:rPr>
          <w:i/>
          <w:iCs/>
        </w:rPr>
      </w:pPr>
      <w:r w:rsidRPr="006154DA">
        <w:rPr>
          <w:i/>
          <w:iCs/>
        </w:rPr>
        <w:t>For more detail on PBAC’s view, see section 7 PBAC outcome.</w:t>
      </w:r>
    </w:p>
    <w:p w14:paraId="297B9EB5" w14:textId="77777777" w:rsidR="00D30F1D" w:rsidRPr="0058247A" w:rsidRDefault="00D30F1D" w:rsidP="00D30F1D">
      <w:pPr>
        <w:pStyle w:val="2-SectionHeading"/>
      </w:pPr>
      <w:bookmarkStart w:id="23" w:name="_Toc121741810"/>
      <w:bookmarkStart w:id="24" w:name="_Toc124878970"/>
      <w:r w:rsidRPr="0058247A">
        <w:lastRenderedPageBreak/>
        <w:t>Comparator</w:t>
      </w:r>
      <w:bookmarkEnd w:id="23"/>
      <w:bookmarkEnd w:id="24"/>
    </w:p>
    <w:p w14:paraId="4AD46042" w14:textId="7727B1B1" w:rsidR="007528BF" w:rsidRPr="006154DA" w:rsidRDefault="00D30F1D" w:rsidP="004A15A0">
      <w:pPr>
        <w:pStyle w:val="3-BodyText"/>
      </w:pPr>
      <w:bookmarkStart w:id="25" w:name="_Ref124780791"/>
      <w:r w:rsidRPr="006154DA">
        <w:t>The submission nominated Ld and BLd as the comparators</w:t>
      </w:r>
      <w:r w:rsidR="004A15A0" w:rsidRPr="006154DA">
        <w:t xml:space="preserve"> arguing that these</w:t>
      </w:r>
      <w:r w:rsidRPr="006154DA">
        <w:t xml:space="preserve"> are the regimens most likely to be replaced in clinical practice. The submission included an analysis of </w:t>
      </w:r>
      <w:r w:rsidR="003B3CFE" w:rsidRPr="006154DA">
        <w:t xml:space="preserve">PBS </w:t>
      </w:r>
      <w:r w:rsidRPr="006154DA">
        <w:t xml:space="preserve">prescribing data </w:t>
      </w:r>
      <w:r w:rsidR="003B3CFE" w:rsidRPr="006154DA">
        <w:t xml:space="preserve">from the </w:t>
      </w:r>
      <w:r w:rsidR="003B3CFE" w:rsidRPr="006154DA">
        <w:rPr>
          <w:szCs w:val="20"/>
        </w:rPr>
        <w:t xml:space="preserve">Myeloma and Related Diseases Registry (MRDR) from </w:t>
      </w:r>
      <w:r w:rsidR="003B3CFE" w:rsidRPr="006154DA">
        <w:t xml:space="preserve">June 2019 to June </w:t>
      </w:r>
      <w:r w:rsidR="00D71956" w:rsidRPr="006154DA">
        <w:t>2022 and</w:t>
      </w:r>
      <w:r w:rsidR="008E61B5" w:rsidRPr="006154DA">
        <w:t xml:space="preserve"> presented data separately for the periods before and after the PBS listing of </w:t>
      </w:r>
      <w:r w:rsidR="003B3CFE" w:rsidRPr="006154DA">
        <w:t xml:space="preserve">BLd in June 2020. </w:t>
      </w:r>
      <w:r w:rsidR="00447820" w:rsidRPr="006154DA">
        <w:t>The d</w:t>
      </w:r>
      <w:r w:rsidR="003B3CFE" w:rsidRPr="006154DA">
        <w:t xml:space="preserve">ata </w:t>
      </w:r>
      <w:r w:rsidRPr="006154DA">
        <w:t xml:space="preserve">showed that </w:t>
      </w:r>
      <w:r w:rsidR="0074693C" w:rsidRPr="006154DA">
        <w:t>for the 12</w:t>
      </w:r>
      <w:r w:rsidR="004D2A45">
        <w:t> </w:t>
      </w:r>
      <w:r w:rsidR="0074693C" w:rsidRPr="006154DA">
        <w:t>-</w:t>
      </w:r>
      <w:r w:rsidR="004D2A45">
        <w:t> </w:t>
      </w:r>
      <w:r w:rsidR="0074693C" w:rsidRPr="006154DA">
        <w:t xml:space="preserve">24 month period </w:t>
      </w:r>
      <w:r w:rsidR="006D5BF5" w:rsidRPr="006154DA">
        <w:t>post</w:t>
      </w:r>
      <w:r w:rsidRPr="006154DA">
        <w:t xml:space="preserve"> </w:t>
      </w:r>
      <w:r w:rsidR="006D5BF5" w:rsidRPr="006154DA">
        <w:t>listing of BLd on the PBS</w:t>
      </w:r>
      <w:r w:rsidRPr="006154DA">
        <w:t xml:space="preserve">, 50.7% of patients </w:t>
      </w:r>
      <w:r w:rsidR="0074693C" w:rsidRPr="006154DA">
        <w:t xml:space="preserve">received BLd </w:t>
      </w:r>
      <w:r w:rsidRPr="006154DA">
        <w:t xml:space="preserve">and </w:t>
      </w:r>
      <w:r w:rsidR="0074693C" w:rsidRPr="006154DA">
        <w:t xml:space="preserve">21.3% received </w:t>
      </w:r>
      <w:r w:rsidRPr="006154DA">
        <w:t>Ld</w:t>
      </w:r>
      <w:r w:rsidR="0074693C" w:rsidRPr="006154DA">
        <w:t xml:space="preserve">; for the period </w:t>
      </w:r>
      <w:r w:rsidR="004D2A45" w:rsidRPr="006154DA">
        <w:t>&gt;</w:t>
      </w:r>
      <w:r w:rsidR="004D2A45">
        <w:t> </w:t>
      </w:r>
      <w:r w:rsidR="0074693C" w:rsidRPr="006154DA">
        <w:t>24 months post</w:t>
      </w:r>
      <w:r w:rsidR="00323BC7" w:rsidRPr="006154DA">
        <w:t xml:space="preserve"> listing of </w:t>
      </w:r>
      <w:r w:rsidR="0074693C" w:rsidRPr="006154DA">
        <w:t>BLd, the ESC noted that 38.0% of patients received BLd and 22.5% received Ld</w:t>
      </w:r>
      <w:r w:rsidR="00C147AB" w:rsidRPr="006154DA">
        <w:t xml:space="preserve"> (MRDR Report September 2022, Table 5)</w:t>
      </w:r>
      <w:r w:rsidRPr="006154DA">
        <w:t xml:space="preserve">. The </w:t>
      </w:r>
      <w:r w:rsidR="007528BF" w:rsidRPr="006154DA">
        <w:t xml:space="preserve">ESC considered that the </w:t>
      </w:r>
      <w:r w:rsidRPr="006154DA">
        <w:t xml:space="preserve">nominated comparators </w:t>
      </w:r>
      <w:r w:rsidR="00323BC7" w:rsidRPr="006154DA">
        <w:t>were</w:t>
      </w:r>
      <w:r w:rsidRPr="006154DA">
        <w:t xml:space="preserve"> reasonable on the basis that: (1) they align</w:t>
      </w:r>
      <w:r w:rsidR="00323BC7" w:rsidRPr="006154DA">
        <w:t>ed</w:t>
      </w:r>
      <w:r w:rsidRPr="006154DA">
        <w:t xml:space="preserve"> with the treatment recommendations in the MSAG guideline</w:t>
      </w:r>
      <w:r w:rsidR="00323BC7" w:rsidRPr="006154DA">
        <w:t>s</w:t>
      </w:r>
      <w:r w:rsidRPr="006154DA">
        <w:t xml:space="preserve"> (2022); and (2) they are the</w:t>
      </w:r>
      <w:r w:rsidR="005430C0" w:rsidRPr="006154DA">
        <w:t xml:space="preserve"> two</w:t>
      </w:r>
      <w:r w:rsidRPr="006154DA">
        <w:t xml:space="preserve"> most commonly prescribed treatments for TI NDMM as per the analysis of the MRDR. </w:t>
      </w:r>
      <w:r w:rsidR="007528BF" w:rsidRPr="006154DA">
        <w:t>The ESC also noted the high use of bortezomib in combination with cyclophosphamide and dexamethasone (B</w:t>
      </w:r>
      <w:r w:rsidR="00420249" w:rsidRPr="006154DA">
        <w:t>C</w:t>
      </w:r>
      <w:r w:rsidR="007528BF" w:rsidRPr="006154DA">
        <w:t xml:space="preserve">d) in elderly </w:t>
      </w:r>
      <w:r w:rsidR="00323BC7" w:rsidRPr="006154DA">
        <w:t xml:space="preserve">TI </w:t>
      </w:r>
      <w:r w:rsidR="007528BF" w:rsidRPr="006154DA">
        <w:t>patients in the poster by Zhao 2022</w:t>
      </w:r>
      <w:r w:rsidR="007528BF" w:rsidRPr="006154DA">
        <w:rPr>
          <w:rStyle w:val="FootnoteReference"/>
        </w:rPr>
        <w:footnoteReference w:id="2"/>
      </w:r>
      <w:r w:rsidR="007528BF" w:rsidRPr="006154DA">
        <w:t xml:space="preserve"> presented with the </w:t>
      </w:r>
      <w:r w:rsidR="006B5E2A">
        <w:t>Pre-Subcommittee Response (</w:t>
      </w:r>
      <w:r w:rsidR="007528BF" w:rsidRPr="006154DA">
        <w:t>PSCR</w:t>
      </w:r>
      <w:r w:rsidR="006B5E2A">
        <w:t>)</w:t>
      </w:r>
      <w:r w:rsidR="007528BF" w:rsidRPr="006154DA">
        <w:t xml:space="preserve">. The ESC noted that BCd was used by up to 15.5% of </w:t>
      </w:r>
      <w:r w:rsidR="00323BC7" w:rsidRPr="006154DA">
        <w:t>TI</w:t>
      </w:r>
      <w:r w:rsidR="007528BF" w:rsidRPr="006154DA">
        <w:t xml:space="preserve"> patients on the MRDR</w:t>
      </w:r>
      <w:r w:rsidR="00495ED0" w:rsidRPr="006154DA">
        <w:t xml:space="preserve"> (MRDR Report </w:t>
      </w:r>
      <w:r w:rsidR="002A1F66" w:rsidRPr="006154DA">
        <w:t xml:space="preserve">September 2022, </w:t>
      </w:r>
      <w:r w:rsidR="00495ED0" w:rsidRPr="006154DA">
        <w:t>Table 5)</w:t>
      </w:r>
      <w:r w:rsidR="007528BF" w:rsidRPr="006154DA">
        <w:t>, but considered as this regimen was recommended in the MSAG guidelines (2022) for patients who were unable to receive lenalidomide (e.g. those with severe renal impairment), that it was not a relevant comparator.</w:t>
      </w:r>
    </w:p>
    <w:p w14:paraId="028A9082" w14:textId="2F927756" w:rsidR="003D38F6" w:rsidRPr="006154DA" w:rsidRDefault="006C2FC3" w:rsidP="0021164A">
      <w:pPr>
        <w:pStyle w:val="3-BodyText"/>
      </w:pPr>
      <w:bookmarkStart w:id="26" w:name="_Ref130892841"/>
      <w:r w:rsidRPr="006154DA">
        <w:t xml:space="preserve">In </w:t>
      </w:r>
      <w:r w:rsidR="00F7603C" w:rsidRPr="006154DA">
        <w:t>the economic evaluation</w:t>
      </w:r>
      <w:r w:rsidRPr="006154DA">
        <w:t>, the submission refer</w:t>
      </w:r>
      <w:r w:rsidR="00AA4955">
        <w:t>red</w:t>
      </w:r>
      <w:r w:rsidRPr="006154DA">
        <w:t xml:space="preserve"> to the mix of BLd and Ld as the standard of care (SoC) comparator</w:t>
      </w:r>
      <w:r w:rsidR="00F7603C" w:rsidRPr="006154DA">
        <w:t>; however</w:t>
      </w:r>
      <w:r w:rsidR="00541168" w:rsidRPr="006154DA">
        <w:t>,</w:t>
      </w:r>
      <w:r w:rsidR="00F7603C" w:rsidRPr="006154DA">
        <w:t xml:space="preserve"> it </w:t>
      </w:r>
      <w:r w:rsidRPr="006154DA">
        <w:t xml:space="preserve">did not </w:t>
      </w:r>
      <w:r w:rsidR="007C1B30" w:rsidRPr="006154DA">
        <w:t xml:space="preserve">conduct </w:t>
      </w:r>
      <w:r w:rsidR="00FB3520" w:rsidRPr="006154DA">
        <w:t>a weighted comparison</w:t>
      </w:r>
      <w:r w:rsidR="007C1B30" w:rsidRPr="006154DA">
        <w:t xml:space="preserve"> and instead utilised efficacy data for Ld only</w:t>
      </w:r>
      <w:r w:rsidR="00A50BAC" w:rsidRPr="006154DA">
        <w:t xml:space="preserve"> in the SOC arm</w:t>
      </w:r>
      <w:r w:rsidR="00FB3520" w:rsidRPr="006154DA">
        <w:t xml:space="preserve">. </w:t>
      </w:r>
      <w:r w:rsidR="00F7603C" w:rsidRPr="006154DA">
        <w:t xml:space="preserve">Although </w:t>
      </w:r>
      <w:r w:rsidR="00D30F1D" w:rsidRPr="006154DA">
        <w:t>BLd might be considered a more relevant comparator, as DLd and BLd are triple</w:t>
      </w:r>
      <w:r w:rsidR="00226688" w:rsidRPr="006154DA">
        <w:t>t</w:t>
      </w:r>
      <w:r w:rsidR="00D30F1D" w:rsidRPr="006154DA">
        <w:t xml:space="preserve"> therapies</w:t>
      </w:r>
      <w:r w:rsidR="00D939C4" w:rsidRPr="006154DA">
        <w:t>,</w:t>
      </w:r>
      <w:r w:rsidR="00D30F1D" w:rsidRPr="006154DA">
        <w:t xml:space="preserve"> and </w:t>
      </w:r>
      <w:r w:rsidR="00D939C4" w:rsidRPr="006154DA">
        <w:t>are more likely to</w:t>
      </w:r>
      <w:r w:rsidR="00D30F1D" w:rsidRPr="006154DA">
        <w:t xml:space="preserve"> be used in </w:t>
      </w:r>
      <w:r w:rsidR="00D939C4" w:rsidRPr="006154DA">
        <w:t xml:space="preserve">the same </w:t>
      </w:r>
      <w:r w:rsidR="00D30F1D" w:rsidRPr="006154DA">
        <w:t xml:space="preserve">patients </w:t>
      </w:r>
      <w:r w:rsidR="00F7603C" w:rsidRPr="006154DA">
        <w:t>(</w:t>
      </w:r>
      <w:r w:rsidR="006D5BF5" w:rsidRPr="006154DA">
        <w:t xml:space="preserve">Ld is more likely to be </w:t>
      </w:r>
      <w:r w:rsidR="00D939C4" w:rsidRPr="006154DA">
        <w:t>used in patients unfit for triplet regimens</w:t>
      </w:r>
      <w:r w:rsidR="00F7603C" w:rsidRPr="006154DA">
        <w:t>), the PSCR stated that DLd is better tolerated than BLd and will be used in frail patients with TI NDMM who would have previously received Ld. Thus, the PSCR considered that DLd would replace both BLd and Ld if PBS listed</w:t>
      </w:r>
      <w:r w:rsidR="00EC1B8A" w:rsidRPr="006154DA">
        <w:t>.</w:t>
      </w:r>
      <w:bookmarkEnd w:id="25"/>
      <w:r w:rsidR="00F7603C" w:rsidRPr="006154DA">
        <w:t xml:space="preserve"> The ESC noted that use of BLd reflects the current MSAG guidelines (2022) which advise that a ‘three drug combination, where feasible, is preferred to achieve the bast response rate and consequently a long first remission’</w:t>
      </w:r>
      <w:r w:rsidR="00EC1B8A" w:rsidRPr="006154DA">
        <w:t>. Noting that Ld would be used in some frailer patients, the ESC</w:t>
      </w:r>
      <w:r w:rsidR="00F7603C" w:rsidRPr="006154DA">
        <w:t xml:space="preserve"> considered that a</w:t>
      </w:r>
      <w:r w:rsidR="004A15A0" w:rsidRPr="006154DA">
        <w:t xml:space="preserve"> weighted comparison best reflect</w:t>
      </w:r>
      <w:r w:rsidR="005303CF" w:rsidRPr="006154DA">
        <w:t>ed</w:t>
      </w:r>
      <w:r w:rsidR="004A15A0" w:rsidRPr="006154DA">
        <w:t xml:space="preserve"> current clinical practice. </w:t>
      </w:r>
      <w:r w:rsidR="00F7603C" w:rsidRPr="006154DA">
        <w:t xml:space="preserve">The ESC considered that </w:t>
      </w:r>
      <w:r w:rsidR="005303CF" w:rsidRPr="006154DA">
        <w:t xml:space="preserve">the </w:t>
      </w:r>
      <w:r w:rsidR="00F7603C" w:rsidRPr="006154DA">
        <w:t>w</w:t>
      </w:r>
      <w:r w:rsidR="004A15A0" w:rsidRPr="006154DA">
        <w:t>eighting based on</w:t>
      </w:r>
      <w:r w:rsidR="00F7603C" w:rsidRPr="006154DA">
        <w:t xml:space="preserve"> the MRDR data</w:t>
      </w:r>
      <w:r w:rsidR="004A15A0" w:rsidRPr="006154DA">
        <w:t xml:space="preserve"> </w:t>
      </w:r>
      <w:r w:rsidR="005303CF" w:rsidRPr="006154DA">
        <w:t>and applied in the economic evaluation of 68%</w:t>
      </w:r>
      <w:r w:rsidR="004A15A0" w:rsidRPr="006154DA">
        <w:t xml:space="preserve"> BLd v</w:t>
      </w:r>
      <w:r w:rsidR="00F7603C" w:rsidRPr="006154DA">
        <w:t>ersu</w:t>
      </w:r>
      <w:r w:rsidR="004A15A0" w:rsidRPr="006154DA">
        <w:t>s 3</w:t>
      </w:r>
      <w:r w:rsidR="005303CF" w:rsidRPr="006154DA">
        <w:t>2</w:t>
      </w:r>
      <w:r w:rsidR="004A15A0" w:rsidRPr="006154DA">
        <w:t xml:space="preserve">% Ld </w:t>
      </w:r>
      <w:r w:rsidR="00A50BAC" w:rsidRPr="006154DA">
        <w:t>would</w:t>
      </w:r>
      <w:r w:rsidR="004A15A0" w:rsidRPr="006154DA">
        <w:t xml:space="preserve"> </w:t>
      </w:r>
      <w:r w:rsidR="00F7603C" w:rsidRPr="006154DA">
        <w:t>be reasonable</w:t>
      </w:r>
      <w:r w:rsidR="00A50BAC" w:rsidRPr="006154DA">
        <w:t xml:space="preserve"> (see paragraph </w:t>
      </w:r>
      <w:r w:rsidR="00A50BAC" w:rsidRPr="006154DA">
        <w:fldChar w:fldCharType="begin"/>
      </w:r>
      <w:r w:rsidR="00A50BAC" w:rsidRPr="006154DA">
        <w:instrText xml:space="preserve"> REF _Ref126945579 \r \h </w:instrText>
      </w:r>
      <w:r w:rsidR="00541168" w:rsidRPr="006154DA">
        <w:instrText xml:space="preserve"> \* MERGEFORMAT </w:instrText>
      </w:r>
      <w:r w:rsidR="00A50BAC" w:rsidRPr="006154DA">
        <w:fldChar w:fldCharType="separate"/>
      </w:r>
      <w:r w:rsidR="008D65C7">
        <w:t>6.38</w:t>
      </w:r>
      <w:r w:rsidR="00A50BAC" w:rsidRPr="006154DA">
        <w:fldChar w:fldCharType="end"/>
      </w:r>
      <w:r w:rsidR="00A50BAC" w:rsidRPr="006154DA">
        <w:t>)</w:t>
      </w:r>
      <w:r w:rsidR="003F288C" w:rsidRPr="006154DA">
        <w:t>.</w:t>
      </w:r>
      <w:bookmarkEnd w:id="26"/>
      <w:r w:rsidR="003F288C" w:rsidRPr="006154DA">
        <w:t xml:space="preserve"> </w:t>
      </w:r>
    </w:p>
    <w:p w14:paraId="39C91A33" w14:textId="52B8227B" w:rsidR="006154DA" w:rsidRPr="003D38F6" w:rsidRDefault="00977535" w:rsidP="003D38F6">
      <w:pPr>
        <w:pStyle w:val="3-BodyText"/>
        <w:rPr>
          <w:color w:val="000000" w:themeColor="text1"/>
        </w:rPr>
      </w:pPr>
      <w:r w:rsidRPr="006154DA">
        <w:t xml:space="preserve">The submission did not consider </w:t>
      </w:r>
      <w:r w:rsidR="00DB2073" w:rsidRPr="006154DA">
        <w:t xml:space="preserve">BLd-lite </w:t>
      </w:r>
      <w:r w:rsidRPr="006154DA">
        <w:t xml:space="preserve">as a </w:t>
      </w:r>
      <w:r w:rsidR="00DB2073" w:rsidRPr="006154DA">
        <w:t>comparator</w:t>
      </w:r>
      <w:r w:rsidRPr="006154DA">
        <w:t xml:space="preserve">. BLd-lite </w:t>
      </w:r>
      <w:r w:rsidR="00DB2073" w:rsidRPr="006154DA">
        <w:t xml:space="preserve">has a reduced dosing frequency of bortezomib (from twice-weekly to weekly) and a reduced dose of lenalidomide (from </w:t>
      </w:r>
      <w:r w:rsidR="005377AE" w:rsidRPr="006154DA">
        <w:t>25</w:t>
      </w:r>
      <w:r w:rsidR="005377AE">
        <w:t> </w:t>
      </w:r>
      <w:r w:rsidR="00DB2073" w:rsidRPr="006154DA">
        <w:t>mg to 15</w:t>
      </w:r>
      <w:r w:rsidR="005377AE">
        <w:t> </w:t>
      </w:r>
      <w:r w:rsidR="00DB2073" w:rsidRPr="006154DA">
        <w:t xml:space="preserve">mg). </w:t>
      </w:r>
      <w:r w:rsidRPr="006154DA">
        <w:t xml:space="preserve">An analysis of the MRDR database indicated that </w:t>
      </w:r>
      <w:r w:rsidRPr="006154DA">
        <w:lastRenderedPageBreak/>
        <w:t xml:space="preserve">of the TI NDMM patients analysed, only 12.0% received </w:t>
      </w:r>
      <w:r w:rsidR="00B25671" w:rsidRPr="006154DA">
        <w:t xml:space="preserve">the recommended full </w:t>
      </w:r>
      <w:r w:rsidR="004973DA" w:rsidRPr="006154DA">
        <w:t>dose</w:t>
      </w:r>
      <w:r w:rsidR="00B25671" w:rsidRPr="006154DA">
        <w:t xml:space="preserve"> of bortezomib as part of</w:t>
      </w:r>
      <w:r w:rsidRPr="006154DA">
        <w:t xml:space="preserve"> BLd</w:t>
      </w:r>
      <w:r w:rsidR="00B25671" w:rsidRPr="006154DA">
        <w:t xml:space="preserve"> (Table 1.8, p42 of the submission</w:t>
      </w:r>
      <w:r w:rsidR="0087348A" w:rsidRPr="006154DA">
        <w:t xml:space="preserve">, </w:t>
      </w:r>
      <w:r w:rsidR="00D35657" w:rsidRPr="006154DA">
        <w:t>MRDR Report September 2022, Table 4</w:t>
      </w:r>
      <w:r w:rsidR="00B25671" w:rsidRPr="006154DA">
        <w:t>)</w:t>
      </w:r>
      <w:r w:rsidRPr="006154DA">
        <w:t>; the rest are described as having dose reductions, and/or less frequent dosing schedules of bortezomib and lenalidomide.</w:t>
      </w:r>
      <w:r w:rsidR="00E04422" w:rsidRPr="006154DA">
        <w:t xml:space="preserve"> </w:t>
      </w:r>
      <w:r w:rsidR="00DB2073" w:rsidRPr="006154DA">
        <w:t>The MSAG guidelines state that in the target population, BLd-lite achieves a similar cumulative dose compared to traditional BLd (due to fewer early treatment cessations)</w:t>
      </w:r>
      <w:r w:rsidRPr="006154DA">
        <w:t>. However, the evidence for BLd-lite in the TI</w:t>
      </w:r>
      <w:r w:rsidR="00AA4955">
        <w:t xml:space="preserve"> </w:t>
      </w:r>
      <w:r w:rsidRPr="006154DA">
        <w:t>NDMM setting is drawn from one single arm phase II study</w:t>
      </w:r>
      <w:r w:rsidR="009C15CC" w:rsidRPr="006154DA">
        <w:rPr>
          <w:rStyle w:val="FootnoteReference"/>
        </w:rPr>
        <w:footnoteReference w:id="3"/>
      </w:r>
      <w:r w:rsidRPr="006154DA">
        <w:t xml:space="preserve">, and the MSAG note that as yet there are no phase III comparative data of its use relative to Ld </w:t>
      </w:r>
      <w:r w:rsidR="00DB2073" w:rsidRPr="006154DA">
        <w:t xml:space="preserve">(MSAG 2022). </w:t>
      </w:r>
      <w:r w:rsidRPr="006154DA">
        <w:t>U</w:t>
      </w:r>
      <w:r w:rsidR="00DB2073" w:rsidRPr="006154DA">
        <w:t>se of BLd-lite compared to Ld or Bd</w:t>
      </w:r>
      <w:r w:rsidR="00557861" w:rsidRPr="006154DA">
        <w:t xml:space="preserve"> </w:t>
      </w:r>
      <w:r w:rsidR="00DB2073" w:rsidRPr="006154DA">
        <w:t>is currently under investigation in an ongoing Australian trial, FRAIL-M</w:t>
      </w:r>
      <w:r w:rsidR="00557861" w:rsidRPr="006154DA">
        <w:t>)</w:t>
      </w:r>
      <w:r w:rsidR="000624A7" w:rsidRPr="006154DA">
        <w:t>.</w:t>
      </w:r>
      <w:r w:rsidR="00DB2073" w:rsidRPr="006154DA">
        <w:rPr>
          <w:rStyle w:val="FootnoteReference"/>
        </w:rPr>
        <w:footnoteReference w:id="4"/>
      </w:r>
      <w:r w:rsidR="004A15A0" w:rsidRPr="006154DA">
        <w:t xml:space="preserve"> </w:t>
      </w:r>
      <w:r w:rsidR="00EC23B0" w:rsidRPr="006154DA">
        <w:t xml:space="preserve">The </w:t>
      </w:r>
      <w:r w:rsidR="004A15A0" w:rsidRPr="003D38F6">
        <w:rPr>
          <w:rStyle w:val="FootnoteReference"/>
          <w:vertAlign w:val="baseline"/>
        </w:rPr>
        <w:t>ESC consider</w:t>
      </w:r>
      <w:r w:rsidR="00250B56" w:rsidRPr="006154DA">
        <w:t>ed</w:t>
      </w:r>
      <w:r w:rsidR="004A15A0" w:rsidRPr="003D38F6">
        <w:rPr>
          <w:rStyle w:val="FootnoteReference"/>
          <w:vertAlign w:val="baseline"/>
        </w:rPr>
        <w:t xml:space="preserve"> that BL</w:t>
      </w:r>
      <w:r w:rsidR="00EF2570" w:rsidRPr="006154DA">
        <w:t>d</w:t>
      </w:r>
      <w:r w:rsidR="004A15A0" w:rsidRPr="003D38F6">
        <w:rPr>
          <w:rStyle w:val="FootnoteReference"/>
          <w:vertAlign w:val="baseline"/>
        </w:rPr>
        <w:t xml:space="preserve">-lite is </w:t>
      </w:r>
      <w:r w:rsidR="00EC23B0" w:rsidRPr="006154DA">
        <w:t xml:space="preserve">not commonly used </w:t>
      </w:r>
      <w:r w:rsidR="004A15A0" w:rsidRPr="003D38F6">
        <w:rPr>
          <w:rStyle w:val="FootnoteReference"/>
          <w:vertAlign w:val="baseline"/>
        </w:rPr>
        <w:t xml:space="preserve">and </w:t>
      </w:r>
      <w:r w:rsidR="00EC23B0" w:rsidRPr="003D38F6">
        <w:rPr>
          <w:rStyle w:val="FootnoteReference"/>
          <w:vertAlign w:val="baseline"/>
        </w:rPr>
        <w:t>t</w:t>
      </w:r>
      <w:r w:rsidR="00EC23B0" w:rsidRPr="006154DA">
        <w:t xml:space="preserve">hat patients are likely to </w:t>
      </w:r>
      <w:r w:rsidR="004A15A0" w:rsidRPr="003D38F6">
        <w:rPr>
          <w:rStyle w:val="FootnoteReference"/>
          <w:vertAlign w:val="baseline"/>
        </w:rPr>
        <w:t>achieve a similar cumulative dose of bortezomi</w:t>
      </w:r>
      <w:r w:rsidR="00433E03" w:rsidRPr="006154DA">
        <w:t>b</w:t>
      </w:r>
      <w:r w:rsidR="004A15A0" w:rsidRPr="003D38F6">
        <w:rPr>
          <w:rStyle w:val="FootnoteReference"/>
          <w:vertAlign w:val="baseline"/>
        </w:rPr>
        <w:t xml:space="preserve"> and lenalidomide and </w:t>
      </w:r>
      <w:r w:rsidR="00EC23B0" w:rsidRPr="003D38F6">
        <w:rPr>
          <w:rStyle w:val="FootnoteReference"/>
          <w:vertAlign w:val="baseline"/>
        </w:rPr>
        <w:t>t</w:t>
      </w:r>
      <w:r w:rsidR="00EC23B0" w:rsidRPr="006154DA">
        <w:t xml:space="preserve">herefore it </w:t>
      </w:r>
      <w:r w:rsidR="004A15A0" w:rsidRPr="003D38F6">
        <w:rPr>
          <w:rStyle w:val="FootnoteReference"/>
          <w:vertAlign w:val="baseline"/>
        </w:rPr>
        <w:t xml:space="preserve">does not need to be considered as a separate comparator. </w:t>
      </w:r>
      <w:r w:rsidR="00EC23B0" w:rsidRPr="003D38F6">
        <w:rPr>
          <w:rStyle w:val="FootnoteReference"/>
          <w:vertAlign w:val="baseline"/>
        </w:rPr>
        <w:t>T</w:t>
      </w:r>
      <w:r w:rsidR="00EC23B0" w:rsidRPr="006154DA">
        <w:t xml:space="preserve">he </w:t>
      </w:r>
      <w:r w:rsidR="00250B56" w:rsidRPr="003D38F6">
        <w:rPr>
          <w:color w:val="000000" w:themeColor="text1"/>
        </w:rPr>
        <w:t xml:space="preserve">ESC considered that </w:t>
      </w:r>
      <w:r w:rsidR="00EC23B0" w:rsidRPr="003D38F6">
        <w:rPr>
          <w:color w:val="000000" w:themeColor="text1"/>
        </w:rPr>
        <w:t xml:space="preserve">the implications of </w:t>
      </w:r>
      <w:r w:rsidR="00250B56" w:rsidRPr="003D38F6">
        <w:rPr>
          <w:color w:val="000000" w:themeColor="text1"/>
        </w:rPr>
        <w:t xml:space="preserve">BLD-lite </w:t>
      </w:r>
      <w:r w:rsidR="00EC23B0" w:rsidRPr="003D38F6">
        <w:rPr>
          <w:color w:val="000000" w:themeColor="text1"/>
        </w:rPr>
        <w:t>would be minimal with respect to the clinical comparison of DLd with BLd</w:t>
      </w:r>
      <w:r w:rsidR="00250B56" w:rsidRPr="003D38F6">
        <w:rPr>
          <w:color w:val="000000" w:themeColor="text1"/>
        </w:rPr>
        <w:t>.</w:t>
      </w:r>
      <w:r w:rsidR="006154DA" w:rsidRPr="003D38F6">
        <w:rPr>
          <w:color w:val="000000" w:themeColor="text1"/>
        </w:rPr>
        <w:t xml:space="preserve"> </w:t>
      </w:r>
    </w:p>
    <w:p w14:paraId="1900F53E" w14:textId="72FEF7A2" w:rsidR="006154DA" w:rsidRPr="006154DA" w:rsidRDefault="006154DA" w:rsidP="006154DA">
      <w:pPr>
        <w:pStyle w:val="3-BodyText"/>
        <w:numPr>
          <w:ilvl w:val="0"/>
          <w:numId w:val="0"/>
        </w:numPr>
        <w:ind w:left="720"/>
        <w:rPr>
          <w:i/>
          <w:iCs/>
        </w:rPr>
      </w:pPr>
      <w:r w:rsidRPr="006154DA">
        <w:rPr>
          <w:i/>
          <w:iCs/>
        </w:rPr>
        <w:t>For more detail on PBAC’s view, see section 7 PBAC outcome.</w:t>
      </w:r>
    </w:p>
    <w:p w14:paraId="0B13FADD" w14:textId="77777777" w:rsidR="00D30F1D" w:rsidRPr="0058247A" w:rsidRDefault="00D30F1D" w:rsidP="005377AE">
      <w:pPr>
        <w:pStyle w:val="2-SectionHeading"/>
      </w:pPr>
      <w:bookmarkStart w:id="27" w:name="_Toc121741811"/>
      <w:bookmarkStart w:id="28" w:name="_Toc124878971"/>
      <w:bookmarkStart w:id="29" w:name="_Toc22897640"/>
      <w:r w:rsidRPr="0058247A">
        <w:t>Consideration of the evidence</w:t>
      </w:r>
      <w:bookmarkEnd w:id="27"/>
      <w:bookmarkEnd w:id="28"/>
    </w:p>
    <w:p w14:paraId="59BC22EC" w14:textId="77777777" w:rsidR="006154DA" w:rsidRPr="006E1229" w:rsidRDefault="006154DA" w:rsidP="005377AE">
      <w:pPr>
        <w:pStyle w:val="4-SubsectionHeading"/>
      </w:pPr>
      <w:bookmarkStart w:id="30" w:name="_Hlk76375935"/>
      <w:bookmarkStart w:id="31" w:name="_Hlk128479259"/>
      <w:bookmarkStart w:id="32" w:name="_Toc121741812"/>
      <w:bookmarkStart w:id="33" w:name="_Toc124878972"/>
      <w:r w:rsidRPr="006E1229">
        <w:t>Sponsor hearing</w:t>
      </w:r>
    </w:p>
    <w:p w14:paraId="58C8F114" w14:textId="5B2B683D" w:rsidR="00943E61" w:rsidRPr="00733A92" w:rsidRDefault="006154DA" w:rsidP="00733A92">
      <w:pPr>
        <w:widowControl w:val="0"/>
        <w:numPr>
          <w:ilvl w:val="1"/>
          <w:numId w:val="1"/>
        </w:numPr>
        <w:spacing w:after="120"/>
        <w:rPr>
          <w:rFonts w:asciiTheme="minorHAnsi" w:hAnsiTheme="minorHAnsi"/>
          <w:bCs/>
          <w:snapToGrid w:val="0"/>
        </w:rPr>
      </w:pPr>
      <w:bookmarkStart w:id="34" w:name="_Hlk76382586"/>
      <w:r w:rsidRPr="00733A92">
        <w:rPr>
          <w:rFonts w:asciiTheme="minorHAnsi" w:hAnsiTheme="minorHAnsi"/>
          <w:bCs/>
          <w:snapToGrid w:val="0"/>
        </w:rPr>
        <w:t xml:space="preserve">The sponsor requested a hearing for this item. The clinician discussed the </w:t>
      </w:r>
      <w:r w:rsidR="00733A92" w:rsidRPr="00733A92">
        <w:rPr>
          <w:rFonts w:asciiTheme="minorHAnsi" w:hAnsiTheme="minorHAnsi"/>
          <w:bCs/>
          <w:snapToGrid w:val="0"/>
        </w:rPr>
        <w:t>therapies commonly used in Australian clinical practice</w:t>
      </w:r>
      <w:r w:rsidR="00733A92">
        <w:rPr>
          <w:rFonts w:asciiTheme="minorHAnsi" w:hAnsiTheme="minorHAnsi"/>
          <w:bCs/>
          <w:snapToGrid w:val="0"/>
        </w:rPr>
        <w:t>,</w:t>
      </w:r>
      <w:r w:rsidR="00733A92" w:rsidRPr="00733A92">
        <w:rPr>
          <w:rFonts w:asciiTheme="minorHAnsi" w:hAnsiTheme="minorHAnsi"/>
          <w:bCs/>
          <w:snapToGrid w:val="0"/>
        </w:rPr>
        <w:t xml:space="preserve"> and how daratumumab would be used under the proposed listing.</w:t>
      </w:r>
      <w:r w:rsidR="00733A92">
        <w:rPr>
          <w:rFonts w:asciiTheme="minorHAnsi" w:hAnsiTheme="minorHAnsi"/>
          <w:bCs/>
          <w:snapToGrid w:val="0"/>
        </w:rPr>
        <w:t xml:space="preserve"> The clinician also </w:t>
      </w:r>
      <w:r w:rsidRPr="00733A92">
        <w:rPr>
          <w:rFonts w:asciiTheme="minorHAnsi" w:hAnsiTheme="minorHAnsi"/>
          <w:bCs/>
          <w:snapToGrid w:val="0"/>
        </w:rPr>
        <w:t xml:space="preserve">addressed other matters </w:t>
      </w:r>
      <w:r w:rsidR="00B8011F" w:rsidRPr="00733A92">
        <w:rPr>
          <w:rFonts w:asciiTheme="minorHAnsi" w:hAnsiTheme="minorHAnsi"/>
          <w:bCs/>
          <w:snapToGrid w:val="0"/>
        </w:rPr>
        <w:t xml:space="preserve">such as </w:t>
      </w:r>
      <w:r w:rsidR="00733A92" w:rsidRPr="00733A92">
        <w:rPr>
          <w:rFonts w:asciiTheme="minorHAnsi" w:hAnsiTheme="minorHAnsi"/>
          <w:bCs/>
          <w:snapToGrid w:val="0"/>
        </w:rPr>
        <w:t xml:space="preserve">attrition by line of treatment and </w:t>
      </w:r>
      <w:r w:rsidR="00B8011F" w:rsidRPr="00733A92">
        <w:rPr>
          <w:rFonts w:asciiTheme="minorHAnsi" w:hAnsiTheme="minorHAnsi"/>
          <w:bCs/>
          <w:snapToGrid w:val="0"/>
        </w:rPr>
        <w:t xml:space="preserve">the need for new and effective therapies in patients aged </w:t>
      </w:r>
      <w:r w:rsidR="005377AE" w:rsidRPr="00733A92">
        <w:rPr>
          <w:rFonts w:asciiTheme="minorHAnsi" w:hAnsiTheme="minorHAnsi" w:cstheme="minorHAnsi"/>
          <w:bCs/>
          <w:snapToGrid w:val="0"/>
        </w:rPr>
        <w:t>≥</w:t>
      </w:r>
      <w:r w:rsidR="005377AE">
        <w:rPr>
          <w:rFonts w:asciiTheme="minorHAnsi" w:hAnsiTheme="minorHAnsi"/>
          <w:bCs/>
          <w:snapToGrid w:val="0"/>
        </w:rPr>
        <w:t> </w:t>
      </w:r>
      <w:r w:rsidR="00B8011F" w:rsidRPr="00733A92">
        <w:rPr>
          <w:rFonts w:asciiTheme="minorHAnsi" w:hAnsiTheme="minorHAnsi"/>
          <w:bCs/>
          <w:snapToGrid w:val="0"/>
        </w:rPr>
        <w:t>75 years of age who were unlikely to receive a transplant</w:t>
      </w:r>
      <w:r w:rsidR="004910CB">
        <w:rPr>
          <w:rFonts w:asciiTheme="minorHAnsi" w:hAnsiTheme="minorHAnsi"/>
          <w:bCs/>
          <w:snapToGrid w:val="0"/>
        </w:rPr>
        <w:t>,</w:t>
      </w:r>
      <w:r w:rsidR="00B8011F" w:rsidRPr="00733A92">
        <w:rPr>
          <w:rFonts w:asciiTheme="minorHAnsi" w:hAnsiTheme="minorHAnsi"/>
          <w:bCs/>
          <w:snapToGrid w:val="0"/>
        </w:rPr>
        <w:t xml:space="preserve"> and the expected and manageable adverse event profile associated with daratumumab. </w:t>
      </w:r>
      <w:r w:rsidRPr="00733A92">
        <w:rPr>
          <w:rFonts w:asciiTheme="minorHAnsi" w:hAnsiTheme="minorHAnsi"/>
          <w:bCs/>
          <w:snapToGrid w:val="0"/>
        </w:rPr>
        <w:t xml:space="preserve">The PBAC considered that the hearing was informative as it provided a clinical perspective on </w:t>
      </w:r>
      <w:r w:rsidR="00733A92">
        <w:rPr>
          <w:rFonts w:asciiTheme="minorHAnsi" w:hAnsiTheme="minorHAnsi"/>
          <w:bCs/>
          <w:snapToGrid w:val="0"/>
        </w:rPr>
        <w:t xml:space="preserve">the </w:t>
      </w:r>
      <w:r w:rsidR="00367C34">
        <w:rPr>
          <w:rFonts w:asciiTheme="minorHAnsi" w:hAnsiTheme="minorHAnsi"/>
          <w:bCs/>
          <w:snapToGrid w:val="0"/>
        </w:rPr>
        <w:t xml:space="preserve">Australian </w:t>
      </w:r>
      <w:r w:rsidR="00733A92">
        <w:rPr>
          <w:rFonts w:asciiTheme="minorHAnsi" w:hAnsiTheme="minorHAnsi"/>
          <w:bCs/>
          <w:snapToGrid w:val="0"/>
        </w:rPr>
        <w:t xml:space="preserve">treatment </w:t>
      </w:r>
      <w:r w:rsidR="00367C34">
        <w:rPr>
          <w:rFonts w:asciiTheme="minorHAnsi" w:hAnsiTheme="minorHAnsi"/>
          <w:bCs/>
          <w:snapToGrid w:val="0"/>
        </w:rPr>
        <w:t xml:space="preserve">algorithm and the range of potential therapeutic interventions, and the factors considered </w:t>
      </w:r>
      <w:r w:rsidR="0015148F">
        <w:rPr>
          <w:rFonts w:asciiTheme="minorHAnsi" w:hAnsiTheme="minorHAnsi"/>
          <w:bCs/>
          <w:snapToGrid w:val="0"/>
        </w:rPr>
        <w:t>regarding</w:t>
      </w:r>
      <w:r w:rsidR="00367C34">
        <w:rPr>
          <w:rFonts w:asciiTheme="minorHAnsi" w:hAnsiTheme="minorHAnsi"/>
          <w:bCs/>
          <w:snapToGrid w:val="0"/>
        </w:rPr>
        <w:t xml:space="preserve"> eligibility for transplant</w:t>
      </w:r>
      <w:r w:rsidRPr="00733A92">
        <w:rPr>
          <w:rFonts w:asciiTheme="minorHAnsi" w:hAnsiTheme="minorHAnsi"/>
          <w:bCs/>
          <w:snapToGrid w:val="0"/>
        </w:rPr>
        <w:t>.</w:t>
      </w:r>
      <w:r w:rsidR="00B8011F" w:rsidRPr="00733A92">
        <w:rPr>
          <w:rFonts w:asciiTheme="minorHAnsi" w:hAnsiTheme="minorHAnsi"/>
          <w:bCs/>
          <w:snapToGrid w:val="0"/>
        </w:rPr>
        <w:t xml:space="preserve"> </w:t>
      </w:r>
      <w:bookmarkEnd w:id="34"/>
    </w:p>
    <w:p w14:paraId="19411CF8" w14:textId="77777777" w:rsidR="006154DA" w:rsidRPr="006E1229" w:rsidRDefault="006154DA" w:rsidP="006154DA">
      <w:pPr>
        <w:pStyle w:val="4-SubsectionHeading"/>
      </w:pPr>
      <w:r w:rsidRPr="006E1229">
        <w:t>Consumer comments</w:t>
      </w:r>
    </w:p>
    <w:p w14:paraId="720108E5" w14:textId="5DF49352" w:rsidR="006154DA" w:rsidRPr="00247CA6" w:rsidRDefault="006154DA" w:rsidP="00DC4752">
      <w:pPr>
        <w:widowControl w:val="0"/>
        <w:numPr>
          <w:ilvl w:val="1"/>
          <w:numId w:val="1"/>
        </w:numPr>
        <w:spacing w:after="120"/>
        <w:rPr>
          <w:rFonts w:asciiTheme="minorHAnsi" w:hAnsiTheme="minorHAnsi"/>
          <w:bCs/>
          <w:snapToGrid w:val="0"/>
        </w:rPr>
      </w:pPr>
      <w:bookmarkStart w:id="35" w:name="_Hlk76382618"/>
      <w:r w:rsidRPr="00247CA6">
        <w:rPr>
          <w:rFonts w:asciiTheme="minorHAnsi" w:hAnsiTheme="minorHAnsi"/>
          <w:bCs/>
          <w:snapToGrid w:val="0"/>
        </w:rPr>
        <w:t>The PBAC noted and welcomed the input from individuals (</w:t>
      </w:r>
      <w:r w:rsidR="000B09F8" w:rsidRPr="00247CA6">
        <w:rPr>
          <w:rFonts w:asciiTheme="minorHAnsi" w:hAnsiTheme="minorHAnsi"/>
          <w:bCs/>
          <w:snapToGrid w:val="0"/>
        </w:rPr>
        <w:t>100</w:t>
      </w:r>
      <w:r w:rsidRPr="00247CA6">
        <w:rPr>
          <w:rFonts w:asciiTheme="minorHAnsi" w:hAnsiTheme="minorHAnsi"/>
          <w:bCs/>
          <w:snapToGrid w:val="0"/>
        </w:rPr>
        <w:t>), health care professionals (</w:t>
      </w:r>
      <w:r w:rsidR="000B09F8" w:rsidRPr="00247CA6">
        <w:rPr>
          <w:rFonts w:asciiTheme="minorHAnsi" w:hAnsiTheme="minorHAnsi"/>
          <w:bCs/>
          <w:snapToGrid w:val="0"/>
        </w:rPr>
        <w:t>3</w:t>
      </w:r>
      <w:r w:rsidRPr="00247CA6">
        <w:rPr>
          <w:rFonts w:asciiTheme="minorHAnsi" w:hAnsiTheme="minorHAnsi"/>
          <w:bCs/>
          <w:snapToGrid w:val="0"/>
        </w:rPr>
        <w:t>) and organisations (</w:t>
      </w:r>
      <w:r w:rsidR="000B09F8" w:rsidRPr="00247CA6">
        <w:rPr>
          <w:rFonts w:asciiTheme="minorHAnsi" w:hAnsiTheme="minorHAnsi"/>
          <w:bCs/>
          <w:snapToGrid w:val="0"/>
        </w:rPr>
        <w:t>3</w:t>
      </w:r>
      <w:r w:rsidRPr="00247CA6">
        <w:rPr>
          <w:rFonts w:asciiTheme="minorHAnsi" w:hAnsiTheme="minorHAnsi"/>
          <w:bCs/>
          <w:snapToGrid w:val="0"/>
        </w:rPr>
        <w:t xml:space="preserve">) via the Consumer Comments facility on the PBS website. The comments </w:t>
      </w:r>
      <w:r w:rsidR="00BB6193" w:rsidRPr="00247CA6">
        <w:rPr>
          <w:rFonts w:asciiTheme="minorHAnsi" w:hAnsiTheme="minorHAnsi"/>
          <w:bCs/>
          <w:snapToGrid w:val="0"/>
        </w:rPr>
        <w:t xml:space="preserve">by health care professionals </w:t>
      </w:r>
      <w:r w:rsidRPr="00247CA6">
        <w:rPr>
          <w:rFonts w:asciiTheme="minorHAnsi" w:hAnsiTheme="minorHAnsi"/>
          <w:bCs/>
          <w:snapToGrid w:val="0"/>
        </w:rPr>
        <w:t xml:space="preserve">described a range of benefits of treatment with </w:t>
      </w:r>
      <w:r w:rsidR="00BB6193" w:rsidRPr="00247CA6">
        <w:rPr>
          <w:rFonts w:asciiTheme="minorHAnsi" w:hAnsiTheme="minorHAnsi"/>
          <w:bCs/>
          <w:snapToGrid w:val="0"/>
        </w:rPr>
        <w:t xml:space="preserve">daratumumab </w:t>
      </w:r>
      <w:r w:rsidRPr="00247CA6">
        <w:rPr>
          <w:rFonts w:asciiTheme="minorHAnsi" w:hAnsiTheme="minorHAnsi"/>
          <w:bCs/>
          <w:snapToGrid w:val="0"/>
        </w:rPr>
        <w:t xml:space="preserve">including the </w:t>
      </w:r>
      <w:r w:rsidR="00BB6193" w:rsidRPr="00247CA6">
        <w:rPr>
          <w:rFonts w:asciiTheme="minorHAnsi" w:hAnsiTheme="minorHAnsi"/>
          <w:bCs/>
          <w:snapToGrid w:val="0"/>
        </w:rPr>
        <w:t xml:space="preserve">improvement in progression free survival without additional toxicities. The comments from individuals described the need for more effective treatments, such as daratumumab, in the first line setting. The </w:t>
      </w:r>
      <w:r w:rsidR="00BB6193" w:rsidRPr="00247CA6">
        <w:rPr>
          <w:rFonts w:asciiTheme="minorHAnsi" w:hAnsiTheme="minorHAnsi"/>
          <w:bCs/>
          <w:snapToGrid w:val="0"/>
        </w:rPr>
        <w:lastRenderedPageBreak/>
        <w:t>comments also note</w:t>
      </w:r>
      <w:r w:rsidR="00943E61" w:rsidRPr="00247CA6">
        <w:rPr>
          <w:rFonts w:asciiTheme="minorHAnsi" w:hAnsiTheme="minorHAnsi"/>
          <w:bCs/>
          <w:snapToGrid w:val="0"/>
        </w:rPr>
        <w:t>d</w:t>
      </w:r>
      <w:r w:rsidR="00BB6193" w:rsidRPr="00247CA6">
        <w:rPr>
          <w:rFonts w:asciiTheme="minorHAnsi" w:hAnsiTheme="minorHAnsi"/>
          <w:bCs/>
          <w:snapToGrid w:val="0"/>
        </w:rPr>
        <w:t xml:space="preserve"> that daratumumab </w:t>
      </w:r>
      <w:r w:rsidR="00943E61" w:rsidRPr="00247CA6">
        <w:rPr>
          <w:rFonts w:asciiTheme="minorHAnsi" w:hAnsiTheme="minorHAnsi"/>
          <w:bCs/>
          <w:snapToGrid w:val="0"/>
        </w:rPr>
        <w:t>wa</w:t>
      </w:r>
      <w:r w:rsidR="00BB6193" w:rsidRPr="00247CA6">
        <w:rPr>
          <w:rFonts w:asciiTheme="minorHAnsi" w:hAnsiTheme="minorHAnsi"/>
          <w:bCs/>
          <w:snapToGrid w:val="0"/>
        </w:rPr>
        <w:t xml:space="preserve">s associated with </w:t>
      </w:r>
      <w:r w:rsidR="00943E61" w:rsidRPr="00247CA6">
        <w:rPr>
          <w:rFonts w:asciiTheme="minorHAnsi" w:hAnsiTheme="minorHAnsi"/>
          <w:bCs/>
          <w:snapToGrid w:val="0"/>
        </w:rPr>
        <w:t xml:space="preserve">improved disease control, </w:t>
      </w:r>
      <w:r w:rsidR="00BB6193" w:rsidRPr="00247CA6">
        <w:rPr>
          <w:rFonts w:asciiTheme="minorHAnsi" w:hAnsiTheme="minorHAnsi"/>
          <w:bCs/>
          <w:snapToGrid w:val="0"/>
        </w:rPr>
        <w:t>few side effects and an improved quality of life</w:t>
      </w:r>
      <w:r w:rsidR="00943E61" w:rsidRPr="00247CA6">
        <w:rPr>
          <w:rFonts w:asciiTheme="minorHAnsi" w:hAnsiTheme="minorHAnsi"/>
          <w:bCs/>
          <w:snapToGrid w:val="0"/>
        </w:rPr>
        <w:t>.</w:t>
      </w:r>
    </w:p>
    <w:p w14:paraId="0D84D856" w14:textId="5CDD1B71" w:rsidR="006154DA" w:rsidRPr="00B31DB2" w:rsidRDefault="006154DA" w:rsidP="00D10249">
      <w:pPr>
        <w:widowControl w:val="0"/>
        <w:numPr>
          <w:ilvl w:val="1"/>
          <w:numId w:val="1"/>
        </w:numPr>
        <w:spacing w:after="120"/>
        <w:rPr>
          <w:rFonts w:asciiTheme="minorHAnsi" w:hAnsiTheme="minorHAnsi"/>
          <w:bCs/>
          <w:snapToGrid w:val="0"/>
        </w:rPr>
      </w:pPr>
      <w:r w:rsidRPr="00B31DB2">
        <w:rPr>
          <w:rFonts w:asciiTheme="minorHAnsi" w:hAnsiTheme="minorHAnsi"/>
          <w:bCs/>
          <w:snapToGrid w:val="0"/>
        </w:rPr>
        <w:t xml:space="preserve">The PBAC noted the advice received from </w:t>
      </w:r>
      <w:r w:rsidR="000B09F8" w:rsidRPr="00B31DB2">
        <w:rPr>
          <w:rFonts w:asciiTheme="minorHAnsi" w:hAnsiTheme="minorHAnsi"/>
          <w:bCs/>
          <w:snapToGrid w:val="0"/>
        </w:rPr>
        <w:t>Myeloma Australia, Myeloma Australia’s Medical and Scientific Advisory Group (MSAG) and the Haematology Society of Australia and New Zealand (HSANZ)</w:t>
      </w:r>
      <w:r w:rsidR="000F2204" w:rsidRPr="00B31DB2">
        <w:rPr>
          <w:rFonts w:asciiTheme="minorHAnsi" w:hAnsiTheme="minorHAnsi"/>
          <w:bCs/>
          <w:snapToGrid w:val="0"/>
        </w:rPr>
        <w:t xml:space="preserve"> </w:t>
      </w:r>
      <w:r w:rsidRPr="00B31DB2">
        <w:rPr>
          <w:rFonts w:asciiTheme="minorHAnsi" w:hAnsiTheme="minorHAnsi"/>
          <w:bCs/>
          <w:snapToGrid w:val="0"/>
        </w:rPr>
        <w:t xml:space="preserve">clarifying the likely use of </w:t>
      </w:r>
      <w:r w:rsidR="000F2204" w:rsidRPr="00B31DB2">
        <w:rPr>
          <w:rFonts w:asciiTheme="minorHAnsi" w:hAnsiTheme="minorHAnsi"/>
          <w:bCs/>
          <w:snapToGrid w:val="0"/>
        </w:rPr>
        <w:t>daratumumab</w:t>
      </w:r>
      <w:r w:rsidRPr="00B31DB2">
        <w:rPr>
          <w:rFonts w:asciiTheme="minorHAnsi" w:hAnsiTheme="minorHAnsi"/>
          <w:bCs/>
          <w:snapToGrid w:val="0"/>
        </w:rPr>
        <w:t xml:space="preserve"> in clinical practice. The PBAC specifically noted the advice that the use of </w:t>
      </w:r>
      <w:r w:rsidR="000F2204" w:rsidRPr="00B31DB2">
        <w:rPr>
          <w:rFonts w:asciiTheme="minorHAnsi" w:hAnsiTheme="minorHAnsi"/>
          <w:bCs/>
          <w:snapToGrid w:val="0"/>
        </w:rPr>
        <w:t>daratumumab</w:t>
      </w:r>
      <w:r w:rsidRPr="00B31DB2">
        <w:rPr>
          <w:rFonts w:asciiTheme="minorHAnsi" w:hAnsiTheme="minorHAnsi"/>
          <w:bCs/>
          <w:snapToGrid w:val="0"/>
        </w:rPr>
        <w:t xml:space="preserve"> may </w:t>
      </w:r>
      <w:r w:rsidR="000F2204" w:rsidRPr="00B31DB2">
        <w:rPr>
          <w:rFonts w:asciiTheme="minorHAnsi" w:hAnsiTheme="minorHAnsi"/>
          <w:bCs/>
          <w:snapToGrid w:val="0"/>
        </w:rPr>
        <w:t>improve progression free</w:t>
      </w:r>
      <w:r w:rsidR="0015148F">
        <w:rPr>
          <w:rFonts w:asciiTheme="minorHAnsi" w:hAnsiTheme="minorHAnsi"/>
          <w:bCs/>
          <w:snapToGrid w:val="0"/>
        </w:rPr>
        <w:t xml:space="preserve"> survival,</w:t>
      </w:r>
      <w:r w:rsidR="000F2204" w:rsidRPr="00B31DB2">
        <w:rPr>
          <w:rFonts w:asciiTheme="minorHAnsi" w:hAnsiTheme="minorHAnsi"/>
          <w:bCs/>
          <w:snapToGrid w:val="0"/>
        </w:rPr>
        <w:t xml:space="preserve"> overall survival</w:t>
      </w:r>
      <w:r w:rsidR="00BB6193" w:rsidRPr="00B31DB2">
        <w:rPr>
          <w:rFonts w:asciiTheme="minorHAnsi" w:hAnsiTheme="minorHAnsi"/>
          <w:bCs/>
          <w:snapToGrid w:val="0"/>
        </w:rPr>
        <w:t xml:space="preserve"> and quality of life and has a favourable side effect profile. </w:t>
      </w:r>
      <w:r w:rsidRPr="00B31DB2">
        <w:rPr>
          <w:rFonts w:asciiTheme="minorHAnsi" w:hAnsiTheme="minorHAnsi"/>
          <w:bCs/>
          <w:snapToGrid w:val="0"/>
        </w:rPr>
        <w:t xml:space="preserve">The PBAC noted that this advice was </w:t>
      </w:r>
      <w:r w:rsidR="005404AF" w:rsidRPr="00B31DB2">
        <w:rPr>
          <w:rFonts w:asciiTheme="minorHAnsi" w:hAnsiTheme="minorHAnsi"/>
          <w:bCs/>
          <w:snapToGrid w:val="0"/>
        </w:rPr>
        <w:t xml:space="preserve">generally </w:t>
      </w:r>
      <w:r w:rsidRPr="00B31DB2">
        <w:rPr>
          <w:rFonts w:asciiTheme="minorHAnsi" w:hAnsiTheme="minorHAnsi"/>
          <w:bCs/>
          <w:snapToGrid w:val="0"/>
        </w:rPr>
        <w:t>supportive of the evidence provided in the submission</w:t>
      </w:r>
      <w:r w:rsidR="005404AF" w:rsidRPr="00B31DB2">
        <w:rPr>
          <w:rFonts w:asciiTheme="minorHAnsi" w:hAnsiTheme="minorHAnsi"/>
          <w:bCs/>
          <w:snapToGrid w:val="0"/>
        </w:rPr>
        <w:t xml:space="preserve">. </w:t>
      </w:r>
      <w:r w:rsidR="00154E14">
        <w:rPr>
          <w:rFonts w:asciiTheme="minorHAnsi" w:hAnsiTheme="minorHAnsi"/>
          <w:bCs/>
          <w:snapToGrid w:val="0"/>
        </w:rPr>
        <w:t>T</w:t>
      </w:r>
      <w:r w:rsidR="00B31DB2" w:rsidRPr="00B31DB2">
        <w:rPr>
          <w:rFonts w:asciiTheme="minorHAnsi" w:hAnsiTheme="minorHAnsi"/>
          <w:bCs/>
          <w:snapToGrid w:val="0"/>
        </w:rPr>
        <w:t>wo of the organisations (Myeloma Australia, and MSAG</w:t>
      </w:r>
      <w:r w:rsidR="00B31DB2">
        <w:rPr>
          <w:rFonts w:asciiTheme="minorHAnsi" w:hAnsiTheme="minorHAnsi"/>
          <w:bCs/>
          <w:snapToGrid w:val="0"/>
        </w:rPr>
        <w:t>)</w:t>
      </w:r>
      <w:r w:rsidR="00B31DB2" w:rsidRPr="00B31DB2">
        <w:rPr>
          <w:rFonts w:asciiTheme="minorHAnsi" w:hAnsiTheme="minorHAnsi"/>
          <w:bCs/>
          <w:snapToGrid w:val="0"/>
        </w:rPr>
        <w:t xml:space="preserve"> </w:t>
      </w:r>
      <w:r w:rsidR="005404AF" w:rsidRPr="00B31DB2">
        <w:rPr>
          <w:rFonts w:asciiTheme="minorHAnsi" w:hAnsiTheme="minorHAnsi"/>
          <w:bCs/>
          <w:snapToGrid w:val="0"/>
        </w:rPr>
        <w:t xml:space="preserve">differentiated between BLd and Ld in terms of efficacy, noting that BLd is highly effective at recommended doses, </w:t>
      </w:r>
      <w:r w:rsidR="0048337A">
        <w:rPr>
          <w:rFonts w:asciiTheme="minorHAnsi" w:hAnsiTheme="minorHAnsi"/>
          <w:bCs/>
          <w:snapToGrid w:val="0"/>
        </w:rPr>
        <w:t>and noting</w:t>
      </w:r>
      <w:r w:rsidR="00B31DB2" w:rsidRPr="00B31DB2">
        <w:rPr>
          <w:rFonts w:asciiTheme="minorHAnsi" w:hAnsiTheme="minorHAnsi"/>
          <w:bCs/>
          <w:snapToGrid w:val="0"/>
        </w:rPr>
        <w:t xml:space="preserve"> that </w:t>
      </w:r>
      <w:r w:rsidR="005404AF" w:rsidRPr="00B31DB2">
        <w:rPr>
          <w:rFonts w:asciiTheme="minorHAnsi" w:hAnsiTheme="minorHAnsi"/>
          <w:bCs/>
          <w:snapToGrid w:val="0"/>
        </w:rPr>
        <w:t>patients in the transplant ineligible group are frequently unable to tolerate the</w:t>
      </w:r>
      <w:r w:rsidR="00B31DB2" w:rsidRPr="00B31DB2">
        <w:rPr>
          <w:rFonts w:asciiTheme="minorHAnsi" w:hAnsiTheme="minorHAnsi"/>
          <w:bCs/>
          <w:snapToGrid w:val="0"/>
        </w:rPr>
        <w:t xml:space="preserve"> recommended </w:t>
      </w:r>
      <w:r w:rsidR="005404AF" w:rsidRPr="00B31DB2">
        <w:rPr>
          <w:rFonts w:asciiTheme="minorHAnsi" w:hAnsiTheme="minorHAnsi"/>
          <w:bCs/>
          <w:snapToGrid w:val="0"/>
        </w:rPr>
        <w:t>doses</w:t>
      </w:r>
      <w:r w:rsidR="00B31DB2" w:rsidRPr="00B31DB2">
        <w:rPr>
          <w:rFonts w:asciiTheme="minorHAnsi" w:hAnsiTheme="minorHAnsi"/>
          <w:bCs/>
          <w:snapToGrid w:val="0"/>
        </w:rPr>
        <w:t xml:space="preserve"> which </w:t>
      </w:r>
      <w:r w:rsidR="00B31DB2">
        <w:rPr>
          <w:rFonts w:asciiTheme="minorHAnsi" w:hAnsiTheme="minorHAnsi"/>
          <w:bCs/>
          <w:snapToGrid w:val="0"/>
        </w:rPr>
        <w:t>may</w:t>
      </w:r>
      <w:r w:rsidR="00B31DB2" w:rsidRPr="00B31DB2">
        <w:rPr>
          <w:rFonts w:asciiTheme="minorHAnsi" w:hAnsiTheme="minorHAnsi"/>
          <w:bCs/>
          <w:snapToGrid w:val="0"/>
        </w:rPr>
        <w:t xml:space="preserve"> compromis</w:t>
      </w:r>
      <w:r w:rsidR="00B31DB2">
        <w:rPr>
          <w:rFonts w:asciiTheme="minorHAnsi" w:hAnsiTheme="minorHAnsi"/>
          <w:bCs/>
          <w:snapToGrid w:val="0"/>
        </w:rPr>
        <w:t xml:space="preserve">e </w:t>
      </w:r>
      <w:r w:rsidR="00B31DB2" w:rsidRPr="00B31DB2">
        <w:rPr>
          <w:rFonts w:asciiTheme="minorHAnsi" w:hAnsiTheme="minorHAnsi"/>
          <w:bCs/>
          <w:snapToGrid w:val="0"/>
        </w:rPr>
        <w:t>efficacy</w:t>
      </w:r>
      <w:r w:rsidRPr="00B31DB2">
        <w:rPr>
          <w:rFonts w:asciiTheme="minorHAnsi" w:hAnsiTheme="minorHAnsi"/>
          <w:bCs/>
          <w:snapToGrid w:val="0"/>
        </w:rPr>
        <w:t>.</w:t>
      </w:r>
      <w:bookmarkEnd w:id="30"/>
      <w:bookmarkEnd w:id="35"/>
    </w:p>
    <w:bookmarkEnd w:id="31"/>
    <w:p w14:paraId="188BB778" w14:textId="77777777" w:rsidR="00D30F1D" w:rsidRPr="0058247A" w:rsidRDefault="00D30F1D" w:rsidP="00D30F1D">
      <w:pPr>
        <w:pStyle w:val="4-SubsectionHeading"/>
      </w:pPr>
      <w:r w:rsidRPr="0058247A">
        <w:t>Clinical trials</w:t>
      </w:r>
      <w:bookmarkEnd w:id="29"/>
      <w:bookmarkEnd w:id="32"/>
      <w:bookmarkEnd w:id="33"/>
    </w:p>
    <w:p w14:paraId="430A3F80" w14:textId="71E31E70" w:rsidR="00D30F1D" w:rsidRPr="006154DA" w:rsidRDefault="00D30F1D" w:rsidP="00D30F1D">
      <w:pPr>
        <w:pStyle w:val="3-BodyText"/>
      </w:pPr>
      <w:r w:rsidRPr="006154DA">
        <w:t>The submission was based on 2 open-label, phase 3, head-to-head randomised controlled trials (RCTs):</w:t>
      </w:r>
    </w:p>
    <w:p w14:paraId="7B32E138" w14:textId="48F939ED" w:rsidR="00D30F1D" w:rsidRPr="006154DA" w:rsidRDefault="00D30F1D" w:rsidP="0015148F">
      <w:pPr>
        <w:pStyle w:val="3-BodyText"/>
        <w:numPr>
          <w:ilvl w:val="0"/>
          <w:numId w:val="9"/>
        </w:numPr>
        <w:ind w:left="1080"/>
      </w:pPr>
      <w:r w:rsidRPr="006154DA">
        <w:t>MAIA comparing DLd to Ld in TI NDMM patients (DLd: n</w:t>
      </w:r>
      <w:r w:rsidR="001A03E0">
        <w:t xml:space="preserve"> </w:t>
      </w:r>
      <w:r w:rsidRPr="006154DA">
        <w:t>= 368, Ld: n</w:t>
      </w:r>
      <w:r w:rsidR="001A03E0">
        <w:t xml:space="preserve"> </w:t>
      </w:r>
      <w:r w:rsidRPr="006154DA">
        <w:t>= 369), and;</w:t>
      </w:r>
    </w:p>
    <w:p w14:paraId="69F72BBC" w14:textId="7E52D053" w:rsidR="00D30F1D" w:rsidRPr="006154DA" w:rsidRDefault="00D30F1D" w:rsidP="0015148F">
      <w:pPr>
        <w:pStyle w:val="3-BodyText"/>
        <w:numPr>
          <w:ilvl w:val="0"/>
          <w:numId w:val="9"/>
        </w:numPr>
        <w:ind w:left="1080"/>
      </w:pPr>
      <w:r w:rsidRPr="006154DA">
        <w:t>SWOG s0777 comparing BLd to Ld in patients with NDMM without an intent for immediate transplant (BLd: n</w:t>
      </w:r>
      <w:r w:rsidR="001A03E0">
        <w:t xml:space="preserve"> </w:t>
      </w:r>
      <w:r w:rsidRPr="006154DA">
        <w:t>= 242, Ld: n</w:t>
      </w:r>
      <w:r w:rsidR="001A03E0">
        <w:t xml:space="preserve"> </w:t>
      </w:r>
      <w:r w:rsidRPr="006154DA">
        <w:t xml:space="preserve">= 229). </w:t>
      </w:r>
    </w:p>
    <w:p w14:paraId="5EFFE238" w14:textId="621F3BFD" w:rsidR="00C369CB" w:rsidRPr="006154DA" w:rsidRDefault="00D30F1D" w:rsidP="0021164A">
      <w:pPr>
        <w:pStyle w:val="3-BodyText"/>
      </w:pPr>
      <w:bookmarkStart w:id="36" w:name="_Ref121729808"/>
      <w:bookmarkStart w:id="37" w:name="_Ref127015975"/>
      <w:r w:rsidRPr="006154DA">
        <w:t>Both trials enrolled adult patients with NDMM with a presence of CRAB (calcium elevation, renal insufficiency, anaemia and bone abnormalities) and measurable disease. Randomisation in MAIA was stratified by International Staging System (ISS) (I</w:t>
      </w:r>
      <w:r w:rsidR="00400940" w:rsidRPr="006154DA">
        <w:t> </w:t>
      </w:r>
      <w:r w:rsidRPr="006154DA">
        <w:t xml:space="preserve">vs II vs III), region (North America vs Other), and age (&lt;75 vs ≥75) whereas SWOG s0777 stratified based on ISS stage (I, II, or III) and intent to transplant (yes vs no). MAIA enrolled patients that were not considered eligible for transplant (determined by age </w:t>
      </w:r>
      <w:r w:rsidR="005377AE" w:rsidRPr="006154DA">
        <w:t>≥</w:t>
      </w:r>
      <w:r w:rsidR="005377AE">
        <w:t> </w:t>
      </w:r>
      <w:r w:rsidRPr="006154DA">
        <w:t xml:space="preserve">65, or </w:t>
      </w:r>
      <w:r w:rsidR="005377AE" w:rsidRPr="006154DA">
        <w:t>&lt;</w:t>
      </w:r>
      <w:r w:rsidR="005377AE">
        <w:t> </w:t>
      </w:r>
      <w:r w:rsidRPr="006154DA">
        <w:t xml:space="preserve">65 years with presence of important comorbid conditions, for example unstable angina or congestive heart failure), and SWOG s0777 enrolled patients without intent for immediate transplant </w:t>
      </w:r>
      <w:bookmarkStart w:id="38" w:name="_Hlk121656934"/>
      <w:r w:rsidRPr="006154DA">
        <w:t>(either based on the patients’ decision, or due to transplant ineligibility)</w:t>
      </w:r>
      <w:bookmarkEnd w:id="38"/>
      <w:r w:rsidRPr="006154DA">
        <w:t>. The submission stated that SWOG s0777 enrolled a broader population that included patients who were potentially candidates for transplant</w:t>
      </w:r>
      <w:r w:rsidR="00A04210" w:rsidRPr="006154DA">
        <w:t xml:space="preserve"> and therefore, an ITC </w:t>
      </w:r>
      <w:r w:rsidR="00977535" w:rsidRPr="006154DA">
        <w:t xml:space="preserve">informed by the data from </w:t>
      </w:r>
      <w:r w:rsidR="00A04210" w:rsidRPr="006154DA">
        <w:t xml:space="preserve">the ITT populations of MAIA and SWOG s0777 would be biased against </w:t>
      </w:r>
      <w:r w:rsidR="00B951C7" w:rsidRPr="006154DA">
        <w:t>DLd</w:t>
      </w:r>
      <w:r w:rsidR="00245A43" w:rsidRPr="006154DA">
        <w:t xml:space="preserve"> (discussed in paragraph </w:t>
      </w:r>
      <w:r w:rsidR="00245A43" w:rsidRPr="006154DA">
        <w:fldChar w:fldCharType="begin"/>
      </w:r>
      <w:r w:rsidR="00245A43" w:rsidRPr="006154DA">
        <w:instrText xml:space="preserve"> REF _Ref122710553 \r \h </w:instrText>
      </w:r>
      <w:r w:rsidR="00414700" w:rsidRPr="006154DA">
        <w:instrText xml:space="preserve"> \* MERGEFORMAT </w:instrText>
      </w:r>
      <w:r w:rsidR="00245A43" w:rsidRPr="006154DA">
        <w:fldChar w:fldCharType="separate"/>
      </w:r>
      <w:r w:rsidR="008D65C7">
        <w:t>6.21</w:t>
      </w:r>
      <w:r w:rsidR="00245A43" w:rsidRPr="006154DA">
        <w:fldChar w:fldCharType="end"/>
      </w:r>
      <w:r w:rsidR="00245A43" w:rsidRPr="006154DA">
        <w:t xml:space="preserve">). </w:t>
      </w:r>
      <w:r w:rsidR="00977535" w:rsidRPr="006154DA">
        <w:t>T</w:t>
      </w:r>
      <w:r w:rsidR="008228E5" w:rsidRPr="006154DA">
        <w:t xml:space="preserve">he submission </w:t>
      </w:r>
      <w:r w:rsidRPr="006154DA">
        <w:t xml:space="preserve">presented the results of a subgroup of patients </w:t>
      </w:r>
      <w:r w:rsidR="005377AE" w:rsidRPr="006154DA">
        <w:rPr>
          <w:rFonts w:cstheme="minorHAnsi"/>
        </w:rPr>
        <w:t>≥</w:t>
      </w:r>
      <w:r w:rsidR="005377AE">
        <w:rPr>
          <w:rFonts w:cstheme="minorHAnsi"/>
        </w:rPr>
        <w:t> </w:t>
      </w:r>
      <w:r w:rsidRPr="006154DA">
        <w:t>65 years</w:t>
      </w:r>
      <w:r w:rsidR="008228E5" w:rsidRPr="006154DA">
        <w:t xml:space="preserve"> </w:t>
      </w:r>
      <w:r w:rsidR="006D5BF5" w:rsidRPr="006154DA">
        <w:t xml:space="preserve">of age </w:t>
      </w:r>
      <w:r w:rsidR="001E4453" w:rsidRPr="006154DA">
        <w:t>from</w:t>
      </w:r>
      <w:r w:rsidR="008228E5" w:rsidRPr="006154DA">
        <w:t xml:space="preserve"> SWOG s0777</w:t>
      </w:r>
      <w:r w:rsidR="00EC7830" w:rsidRPr="006154DA">
        <w:t>, which it claimed more accurately represented the target population</w:t>
      </w:r>
      <w:r w:rsidRPr="006154DA">
        <w:t xml:space="preserve">. However, the choice of </w:t>
      </w:r>
      <w:r w:rsidR="00977535" w:rsidRPr="006154DA">
        <w:t xml:space="preserve">a </w:t>
      </w:r>
      <w:r w:rsidRPr="006154DA">
        <w:t xml:space="preserve">subgroup of </w:t>
      </w:r>
      <w:r w:rsidR="00977535" w:rsidRPr="006154DA">
        <w:t xml:space="preserve">patients from </w:t>
      </w:r>
      <w:r w:rsidRPr="006154DA">
        <w:t>SWOG s0777 to improve comparability with MAIA do</w:t>
      </w:r>
      <w:r w:rsidR="00414700" w:rsidRPr="006154DA">
        <w:t>es</w:t>
      </w:r>
      <w:r w:rsidRPr="006154DA">
        <w:t xml:space="preserve"> not overcome the issue that patients included in MAIA might have also been eligible for transplant. Transplant eligibility within the Australian setting is determined by various factors, </w:t>
      </w:r>
      <w:r w:rsidR="007255AF" w:rsidRPr="006154DA">
        <w:t xml:space="preserve">including </w:t>
      </w:r>
      <w:r w:rsidR="006D5BF5" w:rsidRPr="006154DA">
        <w:t xml:space="preserve">age, </w:t>
      </w:r>
      <w:r w:rsidRPr="006154DA">
        <w:t>comorbidities, frailty and disabilities. In this regard,</w:t>
      </w:r>
      <w:r w:rsidR="00414700" w:rsidRPr="006154DA">
        <w:t xml:space="preserve"> </w:t>
      </w:r>
      <w:r w:rsidRPr="006154DA">
        <w:t xml:space="preserve">the MSAG guidelines </w:t>
      </w:r>
      <w:r w:rsidR="00BD307E" w:rsidRPr="006154DA">
        <w:t xml:space="preserve">(2022) </w:t>
      </w:r>
      <w:r w:rsidRPr="006154DA">
        <w:t xml:space="preserve">state: "The traditional notion that patients aged above 65 years are ineligible for transplant is no longer appropriate </w:t>
      </w:r>
      <w:r w:rsidRPr="006154DA">
        <w:lastRenderedPageBreak/>
        <w:t xml:space="preserve">as it is clear that older patients who are biologically fit do benefit from intensive treatment. In assessing eligibility for transplant (generally in patients aged up to </w:t>
      </w:r>
      <w:r w:rsidR="005377AE" w:rsidRPr="006154DA">
        <w:t>70</w:t>
      </w:r>
      <w:r w:rsidR="005377AE">
        <w:t> </w:t>
      </w:r>
      <w:r w:rsidRPr="006154DA">
        <w:t>years), individual assessment that takes into consideration the patient’s age, comorbidities, frailty and disability is required". Therefore, some patients aged ≥</w:t>
      </w:r>
      <w:r w:rsidR="005A046F" w:rsidRPr="006154DA">
        <w:t> </w:t>
      </w:r>
      <w:r w:rsidR="005377AE" w:rsidRPr="006154DA">
        <w:t>65</w:t>
      </w:r>
      <w:r w:rsidR="005377AE">
        <w:t> </w:t>
      </w:r>
      <w:r w:rsidRPr="006154DA">
        <w:t>years within MAIA may have also been considered eligible for transplant in local clinical practice.</w:t>
      </w:r>
      <w:bookmarkEnd w:id="36"/>
      <w:r w:rsidR="00EF2570" w:rsidRPr="006154DA">
        <w:t xml:space="preserve"> The PSCR </w:t>
      </w:r>
      <w:r w:rsidR="00C369CB" w:rsidRPr="006154DA">
        <w:rPr>
          <w:szCs w:val="22"/>
        </w:rPr>
        <w:t xml:space="preserve">maintained that MAIA was applicable to the Australian TI NDMM setting and </w:t>
      </w:r>
      <w:r w:rsidR="00EF2570" w:rsidRPr="006154DA">
        <w:t>noted that of the 322 patients who received a subsequent therapy in MAIA, only 9 received a stem cell transplant</w:t>
      </w:r>
      <w:r w:rsidR="00C369CB" w:rsidRPr="006154DA">
        <w:t xml:space="preserve"> (2.8%).</w:t>
      </w:r>
      <w:r w:rsidR="00355D2B" w:rsidRPr="006154DA">
        <w:t xml:space="preserve"> The PSCR also maintained that the submission’s approach which utilised a cut-off of 65 years to identify a subgroup of patients from SWOG s0777, provided an appropriate comparison </w:t>
      </w:r>
      <w:r w:rsidR="003E5BD5" w:rsidRPr="006154DA">
        <w:t>because it captured</w:t>
      </w:r>
      <w:r w:rsidR="00355D2B" w:rsidRPr="006154DA">
        <w:t xml:space="preserve"> a </w:t>
      </w:r>
      <w:r w:rsidR="003E5BD5" w:rsidRPr="006154DA">
        <w:t>“vastly”</w:t>
      </w:r>
      <w:r w:rsidR="00355D2B" w:rsidRPr="006154DA">
        <w:t xml:space="preserve"> TI population. </w:t>
      </w:r>
      <w:r w:rsidR="003E5BD5" w:rsidRPr="006154DA">
        <w:t>Based on analysis of the PBS 10% sample, the PSCR suggested that 91.2% of TI NDMM patients were aged over 65 years, and the remaining 8.8% were aged 36-65 years (PSCR Figure 1).</w:t>
      </w:r>
      <w:r w:rsidR="008A1C26" w:rsidRPr="006154DA">
        <w:t xml:space="preserve"> The ESC considered that the ‘no transplant’ subgroup in the Durie 2020 analysis best reflected the TI NDMM Australian population as these patients did not receive a transplant (see paragraph </w:t>
      </w:r>
      <w:r w:rsidR="008A1C26" w:rsidRPr="006154DA">
        <w:fldChar w:fldCharType="begin"/>
      </w:r>
      <w:r w:rsidR="008A1C26" w:rsidRPr="006154DA">
        <w:instrText xml:space="preserve"> REF _Ref127014259 \r \h </w:instrText>
      </w:r>
      <w:r w:rsidR="006154DA" w:rsidRPr="006154DA">
        <w:instrText xml:space="preserve"> \* MERGEFORMAT </w:instrText>
      </w:r>
      <w:r w:rsidR="008A1C26" w:rsidRPr="006154DA">
        <w:fldChar w:fldCharType="separate"/>
      </w:r>
      <w:r w:rsidR="008D65C7">
        <w:t>6.17</w:t>
      </w:r>
      <w:r w:rsidR="008A1C26" w:rsidRPr="006154DA">
        <w:fldChar w:fldCharType="end"/>
      </w:r>
      <w:r w:rsidR="008A1C26" w:rsidRPr="006154DA">
        <w:t>).</w:t>
      </w:r>
      <w:bookmarkEnd w:id="37"/>
    </w:p>
    <w:p w14:paraId="558160CC" w14:textId="3BA14FF5" w:rsidR="00D30F1D" w:rsidRPr="006154DA" w:rsidRDefault="00D30F1D" w:rsidP="00D30F1D">
      <w:pPr>
        <w:pStyle w:val="3-BodyText"/>
      </w:pPr>
      <w:r w:rsidRPr="006154DA">
        <w:t xml:space="preserve">In reviewing the application for BLd in August 2019, the PBAC noted that SWOG s0777 did not specifically restrict recruitment to patients considered ineligible for transplant and that a number of patients received high dose chemotherapy/transplant as the first subsequent antimyeloma therapy. However, </w:t>
      </w:r>
      <w:r w:rsidR="00032E74" w:rsidRPr="006154DA">
        <w:t xml:space="preserve">in 2019 </w:t>
      </w:r>
      <w:r w:rsidRPr="006154DA">
        <w:t>the PBAC considered this to be consistent with clinical practice as a patient's suitability for a transplant can change following treatment (para</w:t>
      </w:r>
      <w:r w:rsidR="00323BC7" w:rsidRPr="006154DA">
        <w:t>graph</w:t>
      </w:r>
      <w:r w:rsidRPr="006154DA">
        <w:t xml:space="preserve"> 2.9, lenalidomide </w:t>
      </w:r>
      <w:r w:rsidR="00323BC7" w:rsidRPr="006154DA">
        <w:t>PSD</w:t>
      </w:r>
      <w:r w:rsidRPr="006154DA">
        <w:t>, August 2019 PBAC meeting).</w:t>
      </w:r>
    </w:p>
    <w:p w14:paraId="5F6B48CD" w14:textId="28102E57" w:rsidR="00D30F1D" w:rsidRPr="006154DA" w:rsidRDefault="00D30F1D" w:rsidP="007C3FD5">
      <w:pPr>
        <w:pStyle w:val="3-BodyText"/>
      </w:pPr>
      <w:r w:rsidRPr="006154DA">
        <w:t xml:space="preserve">The submission provided an unpublished subgroup analysis of the </w:t>
      </w:r>
      <w:r w:rsidRPr="006154DA">
        <w:rPr>
          <w:rFonts w:cstheme="minorHAnsi"/>
        </w:rPr>
        <w:t>≥</w:t>
      </w:r>
      <w:r w:rsidR="00323BC7" w:rsidRPr="006154DA">
        <w:rPr>
          <w:rFonts w:cstheme="minorHAnsi"/>
        </w:rPr>
        <w:t xml:space="preserve"> </w:t>
      </w:r>
      <w:r w:rsidRPr="006154DA">
        <w:t>65 year</w:t>
      </w:r>
      <w:r w:rsidR="007127BF" w:rsidRPr="006154DA">
        <w:t xml:space="preserve"> age group of</w:t>
      </w:r>
      <w:r w:rsidRPr="006154DA">
        <w:t xml:space="preserve"> patients in SWOG s0777 </w:t>
      </w:r>
      <w:r w:rsidR="00DD4D8A" w:rsidRPr="006154DA">
        <w:t xml:space="preserve">using </w:t>
      </w:r>
      <w:r w:rsidRPr="006154DA">
        <w:t xml:space="preserve">data provided by the NCTN/NCORP Data Archive. The median follow-up time from that subgroup (55 months) aligned with that from the Durie </w:t>
      </w:r>
      <w:r w:rsidR="00323BC7" w:rsidRPr="006154DA">
        <w:t xml:space="preserve">et al </w:t>
      </w:r>
      <w:r w:rsidRPr="006154DA">
        <w:t xml:space="preserve">2017 publication (previously considered by the PBAC in </w:t>
      </w:r>
      <w:r w:rsidR="005377AE" w:rsidRPr="006154DA">
        <w:t>August</w:t>
      </w:r>
      <w:r w:rsidR="005377AE">
        <w:t> </w:t>
      </w:r>
      <w:r w:rsidRPr="006154DA">
        <w:t xml:space="preserve">2019). However, a more recent </w:t>
      </w:r>
      <w:r w:rsidR="00DD4D8A" w:rsidRPr="006154DA">
        <w:t xml:space="preserve">publication </w:t>
      </w:r>
      <w:r w:rsidRPr="006154DA">
        <w:t xml:space="preserve">by Durie et al. in 2020 </w:t>
      </w:r>
      <w:r w:rsidR="005242A5" w:rsidRPr="006154DA">
        <w:t>provided in the submission ha</w:t>
      </w:r>
      <w:r w:rsidR="00DD4D8A" w:rsidRPr="006154DA">
        <w:t>d</w:t>
      </w:r>
      <w:r w:rsidR="005242A5" w:rsidRPr="006154DA">
        <w:t xml:space="preserve"> a median follow-up of 84 months </w:t>
      </w:r>
      <w:r w:rsidR="00DD4D8A" w:rsidRPr="006154DA">
        <w:t xml:space="preserve">and </w:t>
      </w:r>
      <w:r w:rsidRPr="006154DA">
        <w:t>present</w:t>
      </w:r>
      <w:r w:rsidR="007127BF" w:rsidRPr="006154DA">
        <w:t>ed</w:t>
      </w:r>
      <w:r w:rsidRPr="006154DA">
        <w:t xml:space="preserve"> results for the ITT</w:t>
      </w:r>
      <w:r w:rsidR="005242A5" w:rsidRPr="006154DA">
        <w:t>,</w:t>
      </w:r>
      <w:r w:rsidRPr="006154DA">
        <w:t xml:space="preserve"> </w:t>
      </w:r>
      <w:r w:rsidR="005242A5" w:rsidRPr="006154DA">
        <w:t xml:space="preserve">the </w:t>
      </w:r>
      <w:r w:rsidRPr="006154DA">
        <w:t xml:space="preserve">subgroup of patients </w:t>
      </w:r>
      <w:r w:rsidRPr="006154DA">
        <w:rPr>
          <w:rFonts w:cstheme="minorHAnsi"/>
        </w:rPr>
        <w:t>≥</w:t>
      </w:r>
      <w:r w:rsidR="00323BC7" w:rsidRPr="006154DA">
        <w:rPr>
          <w:rFonts w:cstheme="minorHAnsi"/>
        </w:rPr>
        <w:t xml:space="preserve"> </w:t>
      </w:r>
      <w:r w:rsidRPr="006154DA">
        <w:t>65 year</w:t>
      </w:r>
      <w:r w:rsidR="005242A5" w:rsidRPr="006154DA">
        <w:t>s, and for that subgroup of patients who did not go on to receive a transplant</w:t>
      </w:r>
      <w:r w:rsidRPr="006154DA">
        <w:t xml:space="preserve">. A comparison of results of the </w:t>
      </w:r>
      <w:r w:rsidR="00DD4D8A" w:rsidRPr="006154DA">
        <w:t xml:space="preserve">submission’s </w:t>
      </w:r>
      <w:r w:rsidRPr="006154DA">
        <w:t>analysis after 55 months</w:t>
      </w:r>
      <w:r w:rsidR="00DD4D8A" w:rsidRPr="006154DA">
        <w:t xml:space="preserve"> of follow-up</w:t>
      </w:r>
      <w:r w:rsidRPr="006154DA">
        <w:t xml:space="preserve"> and the Durie et al. 2020 </w:t>
      </w:r>
      <w:r w:rsidR="00DD4D8A" w:rsidRPr="006154DA">
        <w:t xml:space="preserve">analysis </w:t>
      </w:r>
      <w:r w:rsidRPr="006154DA">
        <w:t>after 84 months of follow-up is presented in paragraph</w:t>
      </w:r>
      <w:r w:rsidR="00F42E98" w:rsidRPr="006154DA">
        <w:t xml:space="preserve"> </w:t>
      </w:r>
      <w:r w:rsidR="00F42E98" w:rsidRPr="006154DA">
        <w:fldChar w:fldCharType="begin"/>
      </w:r>
      <w:r w:rsidR="00F42E98" w:rsidRPr="006154DA">
        <w:instrText xml:space="preserve"> REF _Ref127530519 \r \h </w:instrText>
      </w:r>
      <w:r w:rsidR="006154DA" w:rsidRPr="006154DA">
        <w:instrText xml:space="preserve"> \* MERGEFORMAT </w:instrText>
      </w:r>
      <w:r w:rsidR="00F42E98" w:rsidRPr="006154DA">
        <w:fldChar w:fldCharType="separate"/>
      </w:r>
      <w:r w:rsidR="008D65C7">
        <w:t>6.18</w:t>
      </w:r>
      <w:r w:rsidR="00F42E98" w:rsidRPr="006154DA">
        <w:fldChar w:fldCharType="end"/>
      </w:r>
      <w:r w:rsidRPr="006154DA">
        <w:t xml:space="preserve">. </w:t>
      </w:r>
    </w:p>
    <w:p w14:paraId="31D4C062" w14:textId="0154F972" w:rsidR="00D30F1D" w:rsidRPr="006154DA" w:rsidRDefault="00900621" w:rsidP="00D30F1D">
      <w:pPr>
        <w:pStyle w:val="3-BodyText"/>
      </w:pPr>
      <w:r w:rsidRPr="006154DA">
        <w:t xml:space="preserve">The submission </w:t>
      </w:r>
      <w:r w:rsidR="00DD4D8A" w:rsidRPr="006154DA">
        <w:t xml:space="preserve">considered </w:t>
      </w:r>
      <w:r w:rsidRPr="006154DA">
        <w:t>an ITC between DLd and BLd was not required, because a statistically significant difference was not demonstrated between BLd and Ld in the ≥</w:t>
      </w:r>
      <w:r w:rsidR="007C3FD5" w:rsidRPr="006154DA">
        <w:t> </w:t>
      </w:r>
      <w:r w:rsidRPr="006154DA">
        <w:t>65 year-old subgroup from SWOG s0777</w:t>
      </w:r>
      <w:r w:rsidR="00D30F1D" w:rsidRPr="006154DA">
        <w:t xml:space="preserve">. </w:t>
      </w:r>
      <w:r w:rsidR="00A04099" w:rsidRPr="006154DA">
        <w:t xml:space="preserve">This </w:t>
      </w:r>
      <w:r w:rsidR="00024097" w:rsidRPr="006154DA">
        <w:t>claim</w:t>
      </w:r>
      <w:r w:rsidR="00A04099" w:rsidRPr="006154DA">
        <w:t xml:space="preserve"> </w:t>
      </w:r>
      <w:r w:rsidR="00EE52D3" w:rsidRPr="006154DA">
        <w:t>wa</w:t>
      </w:r>
      <w:r w:rsidR="00A04099" w:rsidRPr="006154DA">
        <w:t xml:space="preserve">s poorly justified </w:t>
      </w:r>
      <w:r w:rsidR="00323BC7" w:rsidRPr="006154DA">
        <w:t xml:space="preserve">and is </w:t>
      </w:r>
      <w:r w:rsidR="00A04099" w:rsidRPr="006154DA">
        <w:t>discussed in</w:t>
      </w:r>
      <w:r w:rsidR="00A04099" w:rsidRPr="006154DA">
        <w:rPr>
          <w:rFonts w:eastAsia="Calibri"/>
        </w:rPr>
        <w:t xml:space="preserve"> </w:t>
      </w:r>
      <w:r w:rsidR="00D30F1D" w:rsidRPr="006154DA">
        <w:rPr>
          <w:rFonts w:eastAsia="Calibri"/>
        </w:rPr>
        <w:t>para</w:t>
      </w:r>
      <w:r w:rsidR="00A04099" w:rsidRPr="006154DA">
        <w:rPr>
          <w:rFonts w:eastAsia="Calibri"/>
        </w:rPr>
        <w:t>graph</w:t>
      </w:r>
      <w:r w:rsidR="00D30F1D" w:rsidRPr="006154DA">
        <w:rPr>
          <w:rFonts w:eastAsia="Calibri"/>
        </w:rPr>
        <w:t xml:space="preserve"> </w:t>
      </w:r>
      <w:r w:rsidR="007C3FD5" w:rsidRPr="006154DA">
        <w:rPr>
          <w:rFonts w:eastAsia="Calibri"/>
        </w:rPr>
        <w:fldChar w:fldCharType="begin"/>
      </w:r>
      <w:r w:rsidR="007C3FD5" w:rsidRPr="006154DA">
        <w:rPr>
          <w:rFonts w:eastAsia="Calibri"/>
        </w:rPr>
        <w:instrText xml:space="preserve"> REF _Ref122532110 \r \h </w:instrText>
      </w:r>
      <w:r w:rsidR="00F1110F" w:rsidRPr="006154DA">
        <w:rPr>
          <w:rFonts w:eastAsia="Calibri"/>
        </w:rPr>
        <w:instrText xml:space="preserve"> \* MERGEFORMAT </w:instrText>
      </w:r>
      <w:r w:rsidR="007C3FD5" w:rsidRPr="006154DA">
        <w:rPr>
          <w:rFonts w:eastAsia="Calibri"/>
        </w:rPr>
      </w:r>
      <w:r w:rsidR="007C3FD5" w:rsidRPr="006154DA">
        <w:rPr>
          <w:rFonts w:eastAsia="Calibri"/>
        </w:rPr>
        <w:fldChar w:fldCharType="separate"/>
      </w:r>
      <w:r w:rsidR="008D65C7">
        <w:rPr>
          <w:rFonts w:eastAsia="Calibri"/>
        </w:rPr>
        <w:t>6.22</w:t>
      </w:r>
      <w:r w:rsidR="007C3FD5" w:rsidRPr="006154DA">
        <w:rPr>
          <w:rFonts w:eastAsia="Calibri"/>
        </w:rPr>
        <w:fldChar w:fldCharType="end"/>
      </w:r>
      <w:r w:rsidR="00D30F1D" w:rsidRPr="006154DA">
        <w:rPr>
          <w:rFonts w:eastAsia="Calibri"/>
        </w:rPr>
        <w:t xml:space="preserve">. </w:t>
      </w:r>
    </w:p>
    <w:p w14:paraId="7542D5B0" w14:textId="7862EB73" w:rsidR="0088759C" w:rsidRPr="006154DA" w:rsidRDefault="00D30F1D" w:rsidP="00A8529D">
      <w:pPr>
        <w:pStyle w:val="3-BodyText"/>
      </w:pPr>
      <w:r w:rsidRPr="006154DA">
        <w:rPr>
          <w:snapToGrid/>
        </w:rPr>
        <w:t xml:space="preserve">A listing of the trials presented in the submission is provided in </w:t>
      </w:r>
      <w:r w:rsidRPr="006154DA">
        <w:rPr>
          <w:snapToGrid/>
        </w:rPr>
        <w:fldChar w:fldCharType="begin"/>
      </w:r>
      <w:r w:rsidRPr="006154DA">
        <w:rPr>
          <w:snapToGrid/>
        </w:rPr>
        <w:instrText xml:space="preserve"> REF _Ref104803956 \h </w:instrText>
      </w:r>
      <w:r w:rsidR="006A6407" w:rsidRPr="006154DA">
        <w:rPr>
          <w:snapToGrid/>
        </w:rPr>
        <w:instrText xml:space="preserve"> \* MERGEFORMAT </w:instrText>
      </w:r>
      <w:r w:rsidRPr="006154DA">
        <w:rPr>
          <w:snapToGrid/>
        </w:rPr>
      </w:r>
      <w:r w:rsidRPr="006154DA">
        <w:rPr>
          <w:snapToGrid/>
        </w:rPr>
        <w:fldChar w:fldCharType="separate"/>
      </w:r>
      <w:r w:rsidR="008D65C7" w:rsidRPr="0058247A">
        <w:t xml:space="preserve">Table </w:t>
      </w:r>
      <w:r w:rsidR="008D65C7">
        <w:t>2</w:t>
      </w:r>
      <w:r w:rsidRPr="006154DA">
        <w:rPr>
          <w:snapToGrid/>
        </w:rPr>
        <w:fldChar w:fldCharType="end"/>
      </w:r>
      <w:r w:rsidRPr="006154DA">
        <w:rPr>
          <w:snapToGrid/>
        </w:rPr>
        <w:t xml:space="preserve">. </w:t>
      </w:r>
    </w:p>
    <w:p w14:paraId="795F66D4" w14:textId="44D7A3F8" w:rsidR="00D30F1D" w:rsidRPr="0058247A" w:rsidRDefault="00D30F1D" w:rsidP="007A3E08">
      <w:pPr>
        <w:pStyle w:val="TableFigureHeading"/>
        <w:pageBreakBefore/>
        <w:rPr>
          <w:rStyle w:val="CommentReference"/>
          <w:b/>
          <w:szCs w:val="24"/>
        </w:rPr>
      </w:pPr>
      <w:bookmarkStart w:id="39" w:name="_Ref104803956"/>
      <w:r w:rsidRPr="0058247A">
        <w:lastRenderedPageBreak/>
        <w:t xml:space="preserve">Table </w:t>
      </w:r>
      <w:fldSimple w:instr=" SEQ Table \* ARABIC ">
        <w:r w:rsidR="008D65C7">
          <w:rPr>
            <w:noProof/>
          </w:rPr>
          <w:t>2</w:t>
        </w:r>
      </w:fldSimple>
      <w:bookmarkEnd w:id="39"/>
      <w:r w:rsidRPr="0058247A">
        <w:t>:</w:t>
      </w:r>
      <w:r w:rsidRPr="0058247A">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D30F1D" w:rsidRPr="0058247A" w14:paraId="4C617076" w14:textId="77777777" w:rsidTr="00A25B4A">
        <w:trPr>
          <w:tblHeader/>
        </w:trPr>
        <w:tc>
          <w:tcPr>
            <w:tcW w:w="796" w:type="pct"/>
            <w:vAlign w:val="center"/>
          </w:tcPr>
          <w:p w14:paraId="5BF8BF96" w14:textId="77777777" w:rsidR="00D30F1D" w:rsidRPr="0058247A" w:rsidRDefault="00D30F1D" w:rsidP="00A25B4A">
            <w:pPr>
              <w:pStyle w:val="In-tableHeading"/>
              <w:keepNext w:val="0"/>
              <w:widowControl w:val="0"/>
              <w:rPr>
                <w:lang w:val="en-AU"/>
              </w:rPr>
            </w:pPr>
            <w:r w:rsidRPr="0058247A">
              <w:rPr>
                <w:lang w:val="en-AU"/>
              </w:rPr>
              <w:t>Trial ID</w:t>
            </w:r>
          </w:p>
        </w:tc>
        <w:tc>
          <w:tcPr>
            <w:tcW w:w="3027" w:type="pct"/>
            <w:vAlign w:val="center"/>
          </w:tcPr>
          <w:p w14:paraId="70DABEF9" w14:textId="77777777" w:rsidR="00D30F1D" w:rsidRPr="0058247A" w:rsidRDefault="00D30F1D" w:rsidP="00A25B4A">
            <w:pPr>
              <w:pStyle w:val="In-tableHeading"/>
              <w:keepNext w:val="0"/>
              <w:widowControl w:val="0"/>
              <w:rPr>
                <w:lang w:val="en-AU"/>
              </w:rPr>
            </w:pPr>
            <w:r w:rsidRPr="0058247A">
              <w:rPr>
                <w:lang w:val="en-AU"/>
              </w:rPr>
              <w:t>Protocol title/ Publication title</w:t>
            </w:r>
          </w:p>
        </w:tc>
        <w:tc>
          <w:tcPr>
            <w:tcW w:w="1177" w:type="pct"/>
            <w:vAlign w:val="center"/>
          </w:tcPr>
          <w:p w14:paraId="12DD3C5D" w14:textId="77777777" w:rsidR="00D30F1D" w:rsidRPr="0058247A" w:rsidRDefault="00D30F1D" w:rsidP="00A25B4A">
            <w:pPr>
              <w:pStyle w:val="In-tableHeading"/>
              <w:keepNext w:val="0"/>
              <w:widowControl w:val="0"/>
              <w:rPr>
                <w:lang w:val="en-AU"/>
              </w:rPr>
            </w:pPr>
            <w:r w:rsidRPr="0058247A">
              <w:rPr>
                <w:lang w:val="en-AU"/>
              </w:rPr>
              <w:t>Publication citation</w:t>
            </w:r>
          </w:p>
        </w:tc>
      </w:tr>
      <w:tr w:rsidR="00D30F1D" w:rsidRPr="0058247A" w14:paraId="6B918F4C" w14:textId="77777777" w:rsidTr="00A25B4A">
        <w:tc>
          <w:tcPr>
            <w:tcW w:w="796" w:type="pct"/>
            <w:vMerge w:val="restart"/>
            <w:vAlign w:val="center"/>
          </w:tcPr>
          <w:p w14:paraId="51242CF1" w14:textId="77777777" w:rsidR="00D30F1D" w:rsidRPr="0058247A" w:rsidRDefault="00D30F1D" w:rsidP="00A25B4A">
            <w:pPr>
              <w:pStyle w:val="TableText0"/>
              <w:keepNext w:val="0"/>
              <w:widowControl w:val="0"/>
            </w:pPr>
            <w:r w:rsidRPr="0058247A">
              <w:t>MAIA</w:t>
            </w:r>
          </w:p>
        </w:tc>
        <w:tc>
          <w:tcPr>
            <w:tcW w:w="3027" w:type="pct"/>
            <w:vAlign w:val="center"/>
          </w:tcPr>
          <w:p w14:paraId="73DCFDBA" w14:textId="77777777" w:rsidR="00D30F1D" w:rsidRPr="0058247A" w:rsidRDefault="00D30F1D" w:rsidP="00A25B4A">
            <w:pPr>
              <w:pStyle w:val="TableText0"/>
              <w:keepNext w:val="0"/>
              <w:widowControl w:val="0"/>
              <w:rPr>
                <w:szCs w:val="18"/>
              </w:rPr>
            </w:pPr>
            <w:r w:rsidRPr="0058247A">
              <w:rPr>
                <w:szCs w:val="18"/>
              </w:rPr>
              <w:t>Phase 3 Study Comparing Daratumumab, Lenalidomide, and Dexamethasone (DRd) vs Lenalidomide and Dexamethasone (Rd) in Subjects with Previously Untreated Multiple Myeloma who are Ineligible for High Dose Therapy (CSR of primary analysis, CSR of interim OS analysis [CCO as of Oct 2021], Protocol, SAP)</w:t>
            </w:r>
          </w:p>
        </w:tc>
        <w:tc>
          <w:tcPr>
            <w:tcW w:w="1177" w:type="pct"/>
            <w:vAlign w:val="center"/>
          </w:tcPr>
          <w:p w14:paraId="7FFEC326" w14:textId="77777777" w:rsidR="00D30F1D" w:rsidRPr="0058247A" w:rsidRDefault="00D30F1D" w:rsidP="00A25B4A">
            <w:pPr>
              <w:pStyle w:val="TableText0"/>
              <w:keepNext w:val="0"/>
              <w:widowControl w:val="0"/>
              <w:rPr>
                <w:szCs w:val="18"/>
              </w:rPr>
            </w:pPr>
            <w:r w:rsidRPr="0058247A">
              <w:rPr>
                <w:szCs w:val="18"/>
              </w:rPr>
              <w:t>Oct 2021</w:t>
            </w:r>
          </w:p>
        </w:tc>
      </w:tr>
      <w:tr w:rsidR="00D30F1D" w:rsidRPr="0058247A" w14:paraId="6FDE5C6B" w14:textId="77777777" w:rsidTr="00A25B4A">
        <w:tc>
          <w:tcPr>
            <w:tcW w:w="796" w:type="pct"/>
            <w:vMerge/>
            <w:vAlign w:val="center"/>
          </w:tcPr>
          <w:p w14:paraId="4A33589C" w14:textId="77777777" w:rsidR="00D30F1D" w:rsidRPr="0058247A" w:rsidRDefault="00D30F1D" w:rsidP="00A25B4A">
            <w:pPr>
              <w:pStyle w:val="TableText0"/>
              <w:keepNext w:val="0"/>
              <w:widowControl w:val="0"/>
            </w:pPr>
          </w:p>
        </w:tc>
        <w:tc>
          <w:tcPr>
            <w:tcW w:w="3027" w:type="pct"/>
          </w:tcPr>
          <w:p w14:paraId="2EDB3835" w14:textId="31FF9CEF" w:rsidR="00D30F1D" w:rsidRPr="0058247A" w:rsidRDefault="00D30F1D" w:rsidP="00A25B4A">
            <w:pPr>
              <w:pStyle w:val="TableText0"/>
              <w:keepNext w:val="0"/>
              <w:widowControl w:val="0"/>
              <w:rPr>
                <w:szCs w:val="18"/>
              </w:rPr>
            </w:pPr>
            <w:r w:rsidRPr="0058247A">
              <w:t>Facon, Thierry, et al. Daratumumab plus lenalidomide and dexamethasone in transplant-ineligible newly diagnosed multiple myeloma: frailty subgroup analysis of MAIA</w:t>
            </w:r>
          </w:p>
        </w:tc>
        <w:tc>
          <w:tcPr>
            <w:tcW w:w="1177" w:type="pct"/>
            <w:vAlign w:val="center"/>
          </w:tcPr>
          <w:p w14:paraId="2B08136F" w14:textId="77777777" w:rsidR="00D30F1D" w:rsidRPr="0058247A" w:rsidRDefault="00D30F1D" w:rsidP="00A25B4A">
            <w:pPr>
              <w:pStyle w:val="TableText0"/>
              <w:keepNext w:val="0"/>
              <w:widowControl w:val="0"/>
              <w:rPr>
                <w:i/>
                <w:szCs w:val="18"/>
              </w:rPr>
            </w:pPr>
            <w:r w:rsidRPr="0058247A">
              <w:rPr>
                <w:i/>
                <w:iCs/>
              </w:rPr>
              <w:t>Leukemia</w:t>
            </w:r>
            <w:r w:rsidRPr="0058247A">
              <w:t>, 2022, 36.4: 1066-1077.</w:t>
            </w:r>
          </w:p>
        </w:tc>
      </w:tr>
      <w:tr w:rsidR="00D30F1D" w:rsidRPr="0058247A" w14:paraId="047D72C8" w14:textId="77777777" w:rsidTr="00A25B4A">
        <w:tc>
          <w:tcPr>
            <w:tcW w:w="796" w:type="pct"/>
            <w:vMerge/>
            <w:vAlign w:val="center"/>
          </w:tcPr>
          <w:p w14:paraId="408C5F92" w14:textId="77777777" w:rsidR="00D30F1D" w:rsidRPr="0058247A" w:rsidRDefault="00D30F1D" w:rsidP="00A25B4A">
            <w:pPr>
              <w:pStyle w:val="TableText0"/>
              <w:keepNext w:val="0"/>
              <w:widowControl w:val="0"/>
            </w:pPr>
          </w:p>
        </w:tc>
        <w:tc>
          <w:tcPr>
            <w:tcW w:w="3027" w:type="pct"/>
          </w:tcPr>
          <w:p w14:paraId="643B30B0" w14:textId="36344FD8" w:rsidR="00D30F1D" w:rsidRPr="0058247A" w:rsidRDefault="00D30F1D" w:rsidP="00A25B4A">
            <w:pPr>
              <w:pStyle w:val="TableText0"/>
              <w:keepNext w:val="0"/>
              <w:widowControl w:val="0"/>
            </w:pPr>
            <w:r w:rsidRPr="0058247A">
              <w:t>Perrot, Aurore, et al. Health-related quality of life in transplant-ineligible patients with newly diagnosed multiple myeloma: findings from the phase III MAIA trial</w:t>
            </w:r>
          </w:p>
        </w:tc>
        <w:tc>
          <w:tcPr>
            <w:tcW w:w="1177" w:type="pct"/>
            <w:vAlign w:val="center"/>
          </w:tcPr>
          <w:p w14:paraId="4DC7C92C" w14:textId="77777777" w:rsidR="00D30F1D" w:rsidRPr="0058247A" w:rsidRDefault="00D30F1D" w:rsidP="00A25B4A">
            <w:pPr>
              <w:pStyle w:val="TableText0"/>
              <w:keepNext w:val="0"/>
              <w:widowControl w:val="0"/>
            </w:pPr>
            <w:r w:rsidRPr="0058247A">
              <w:rPr>
                <w:i/>
                <w:iCs/>
              </w:rPr>
              <w:t>Journal of Clinical Oncology</w:t>
            </w:r>
            <w:r w:rsidRPr="0058247A">
              <w:t>, 2021, 39.3: 227.</w:t>
            </w:r>
          </w:p>
        </w:tc>
      </w:tr>
      <w:tr w:rsidR="00D30F1D" w:rsidRPr="0058247A" w14:paraId="6B83C808" w14:textId="77777777" w:rsidTr="00A25B4A">
        <w:tc>
          <w:tcPr>
            <w:tcW w:w="796" w:type="pct"/>
            <w:vMerge/>
            <w:vAlign w:val="center"/>
          </w:tcPr>
          <w:p w14:paraId="5BA9154E" w14:textId="77777777" w:rsidR="00D30F1D" w:rsidRPr="0058247A" w:rsidRDefault="00D30F1D" w:rsidP="00A25B4A">
            <w:pPr>
              <w:pStyle w:val="TableText0"/>
              <w:keepNext w:val="0"/>
              <w:widowControl w:val="0"/>
            </w:pPr>
          </w:p>
        </w:tc>
        <w:tc>
          <w:tcPr>
            <w:tcW w:w="3027" w:type="pct"/>
          </w:tcPr>
          <w:p w14:paraId="00A34973" w14:textId="0FE7F534" w:rsidR="00D30F1D" w:rsidRPr="0058247A" w:rsidRDefault="00D30F1D" w:rsidP="00A25B4A">
            <w:pPr>
              <w:pStyle w:val="TableText0"/>
              <w:keepNext w:val="0"/>
              <w:widowControl w:val="0"/>
              <w:rPr>
                <w:szCs w:val="18"/>
              </w:rPr>
            </w:pPr>
            <w:r w:rsidRPr="0058247A">
              <w:t>Usmani, Saad Z, et al.</w:t>
            </w:r>
            <w:r w:rsidR="005377AE">
              <w:t xml:space="preserve"> </w:t>
            </w:r>
            <w:r w:rsidRPr="0058247A">
              <w:t>Efficacy of Daratumumab, Lenalidomide, and Dexamethasone in Transplant-Ineligible Patients with Newly Diagnosed Multiple Myeloma and Impaired Renal Function from the Phase 3 Maia Study Based on Lenalidomide Starting Dose</w:t>
            </w:r>
          </w:p>
        </w:tc>
        <w:tc>
          <w:tcPr>
            <w:tcW w:w="1177" w:type="pct"/>
            <w:vAlign w:val="center"/>
          </w:tcPr>
          <w:p w14:paraId="13457AC6" w14:textId="77777777" w:rsidR="00D30F1D" w:rsidRPr="0058247A" w:rsidRDefault="00D30F1D" w:rsidP="00A25B4A">
            <w:pPr>
              <w:pStyle w:val="TableText0"/>
              <w:keepNext w:val="0"/>
              <w:widowControl w:val="0"/>
              <w:rPr>
                <w:i/>
              </w:rPr>
            </w:pPr>
            <w:r w:rsidRPr="0058247A">
              <w:rPr>
                <w:i/>
                <w:iCs/>
              </w:rPr>
              <w:t>Blood</w:t>
            </w:r>
            <w:r w:rsidRPr="0058247A">
              <w:t>, 2021, 138: 1646.</w:t>
            </w:r>
          </w:p>
        </w:tc>
      </w:tr>
      <w:tr w:rsidR="00D30F1D" w:rsidRPr="0058247A" w14:paraId="475C5A43" w14:textId="77777777" w:rsidTr="00A25B4A">
        <w:tc>
          <w:tcPr>
            <w:tcW w:w="796" w:type="pct"/>
            <w:vMerge/>
            <w:vAlign w:val="center"/>
          </w:tcPr>
          <w:p w14:paraId="399DD8E6" w14:textId="77777777" w:rsidR="00D30F1D" w:rsidRPr="0058247A" w:rsidRDefault="00D30F1D" w:rsidP="00A25B4A">
            <w:pPr>
              <w:pStyle w:val="TableText0"/>
              <w:keepNext w:val="0"/>
              <w:widowControl w:val="0"/>
            </w:pPr>
          </w:p>
        </w:tc>
        <w:tc>
          <w:tcPr>
            <w:tcW w:w="3027" w:type="pct"/>
          </w:tcPr>
          <w:p w14:paraId="7796C6B1" w14:textId="50B6764D" w:rsidR="00D30F1D" w:rsidRPr="0058247A" w:rsidRDefault="00D30F1D" w:rsidP="00A25B4A">
            <w:pPr>
              <w:pStyle w:val="TableText0"/>
              <w:keepNext w:val="0"/>
              <w:widowControl w:val="0"/>
              <w:rPr>
                <w:szCs w:val="18"/>
              </w:rPr>
            </w:pPr>
            <w:r w:rsidRPr="0058247A">
              <w:t>Weisel, Facon, et al. Overall survival (OS) results with Daratumumab (DARA), Lenalidomide and Dexamethasone (D-Rd) Vs Lenalidomide and Dexamethasone (Rd) in transplant-ineligible newly diagnosed multiple myeloma (TIE-NDMM): Phase 3 MAIA study</w:t>
            </w:r>
          </w:p>
        </w:tc>
        <w:tc>
          <w:tcPr>
            <w:tcW w:w="1177" w:type="pct"/>
            <w:vAlign w:val="center"/>
          </w:tcPr>
          <w:p w14:paraId="6E517E04" w14:textId="77777777" w:rsidR="00D30F1D" w:rsidRPr="0058247A" w:rsidRDefault="00D30F1D" w:rsidP="00A25B4A">
            <w:pPr>
              <w:pStyle w:val="TableText0"/>
              <w:keepNext w:val="0"/>
              <w:widowControl w:val="0"/>
            </w:pPr>
            <w:r w:rsidRPr="0058247A">
              <w:rPr>
                <w:i/>
                <w:iCs/>
              </w:rPr>
              <w:t>Oncology Research and Treatment</w:t>
            </w:r>
            <w:r w:rsidRPr="0058247A">
              <w:t>, 2021, 2022.2: 184-185</w:t>
            </w:r>
          </w:p>
        </w:tc>
      </w:tr>
      <w:tr w:rsidR="00D30F1D" w:rsidRPr="0058247A" w14:paraId="3C4ABC7D" w14:textId="77777777" w:rsidTr="00A25B4A">
        <w:tc>
          <w:tcPr>
            <w:tcW w:w="796" w:type="pct"/>
            <w:vMerge/>
            <w:vAlign w:val="center"/>
          </w:tcPr>
          <w:p w14:paraId="3CFF8B17" w14:textId="77777777" w:rsidR="00D30F1D" w:rsidRPr="0058247A" w:rsidRDefault="00D30F1D" w:rsidP="00A25B4A">
            <w:pPr>
              <w:pStyle w:val="TableText0"/>
              <w:keepNext w:val="0"/>
              <w:widowControl w:val="0"/>
            </w:pPr>
          </w:p>
        </w:tc>
        <w:tc>
          <w:tcPr>
            <w:tcW w:w="3027" w:type="pct"/>
            <w:vAlign w:val="bottom"/>
          </w:tcPr>
          <w:p w14:paraId="3287C786" w14:textId="02E53A79" w:rsidR="00D30F1D" w:rsidRPr="0058247A" w:rsidRDefault="00D30F1D" w:rsidP="00A25B4A">
            <w:pPr>
              <w:pStyle w:val="TableText0"/>
              <w:keepNext w:val="0"/>
              <w:widowControl w:val="0"/>
            </w:pPr>
            <w:r w:rsidRPr="0058247A">
              <w:t>Zweegman, S, et al. Daratumumab plus lenalidomide and dexamethasone (D-Rd) versus lenalidomide and dexamethasone (Rd) in transplant-ineligible newly diagnosed multiple myeloma (NDMM): frailty subgroup analysis of MAIA</w:t>
            </w:r>
          </w:p>
        </w:tc>
        <w:tc>
          <w:tcPr>
            <w:tcW w:w="1177" w:type="pct"/>
            <w:vAlign w:val="center"/>
          </w:tcPr>
          <w:p w14:paraId="1DFE352D" w14:textId="77777777" w:rsidR="00D30F1D" w:rsidRPr="0058247A" w:rsidRDefault="00D30F1D" w:rsidP="00A25B4A">
            <w:pPr>
              <w:pStyle w:val="TableText0"/>
              <w:keepNext w:val="0"/>
              <w:widowControl w:val="0"/>
            </w:pPr>
            <w:r w:rsidRPr="0058247A">
              <w:rPr>
                <w:i/>
                <w:iCs/>
              </w:rPr>
              <w:t>2nd European Myeloma Network (EMN) Meeting</w:t>
            </w:r>
            <w:r w:rsidRPr="0058247A">
              <w:t>; March 3-6. 2021.</w:t>
            </w:r>
          </w:p>
        </w:tc>
      </w:tr>
      <w:tr w:rsidR="00D30F1D" w:rsidRPr="0058247A" w14:paraId="4A2FB8A2" w14:textId="77777777" w:rsidTr="00A25B4A">
        <w:tc>
          <w:tcPr>
            <w:tcW w:w="796" w:type="pct"/>
            <w:vMerge/>
            <w:vAlign w:val="center"/>
          </w:tcPr>
          <w:p w14:paraId="1A2DE9A5" w14:textId="77777777" w:rsidR="00D30F1D" w:rsidRPr="0058247A" w:rsidRDefault="00D30F1D" w:rsidP="00A25B4A">
            <w:pPr>
              <w:pStyle w:val="TableText0"/>
              <w:keepNext w:val="0"/>
              <w:widowControl w:val="0"/>
            </w:pPr>
          </w:p>
        </w:tc>
        <w:tc>
          <w:tcPr>
            <w:tcW w:w="3027" w:type="pct"/>
            <w:vAlign w:val="bottom"/>
          </w:tcPr>
          <w:p w14:paraId="6E69176F" w14:textId="2F00E6E9" w:rsidR="00D30F1D" w:rsidRPr="0058247A" w:rsidRDefault="00D30F1D" w:rsidP="00A25B4A">
            <w:pPr>
              <w:pStyle w:val="TableText0"/>
              <w:keepNext w:val="0"/>
              <w:widowControl w:val="0"/>
            </w:pPr>
            <w:r w:rsidRPr="0058247A">
              <w:t>Perrot, Aurore, et al. Health-related quality of life in transplant-ineligible patients with newly diagnosed multiple myeloma: findings from the phase III MAIA trial</w:t>
            </w:r>
          </w:p>
        </w:tc>
        <w:tc>
          <w:tcPr>
            <w:tcW w:w="1177" w:type="pct"/>
            <w:vAlign w:val="center"/>
          </w:tcPr>
          <w:p w14:paraId="50B4FBE1" w14:textId="77777777" w:rsidR="00D30F1D" w:rsidRPr="0058247A" w:rsidRDefault="00D30F1D" w:rsidP="00A25B4A">
            <w:pPr>
              <w:pStyle w:val="TableText0"/>
              <w:keepNext w:val="0"/>
              <w:widowControl w:val="0"/>
            </w:pPr>
            <w:r w:rsidRPr="0058247A">
              <w:rPr>
                <w:i/>
                <w:iCs/>
              </w:rPr>
              <w:t>Journal of Clinical Oncology</w:t>
            </w:r>
            <w:r w:rsidRPr="0058247A">
              <w:t>, 2021, 39.3: 227.</w:t>
            </w:r>
          </w:p>
        </w:tc>
      </w:tr>
      <w:tr w:rsidR="00D30F1D" w:rsidRPr="0058247A" w14:paraId="65B2E669" w14:textId="77777777" w:rsidTr="00A25B4A">
        <w:tc>
          <w:tcPr>
            <w:tcW w:w="796" w:type="pct"/>
            <w:vMerge/>
            <w:vAlign w:val="center"/>
          </w:tcPr>
          <w:p w14:paraId="23CB0D26" w14:textId="77777777" w:rsidR="00D30F1D" w:rsidRPr="0058247A" w:rsidRDefault="00D30F1D" w:rsidP="00A25B4A">
            <w:pPr>
              <w:pStyle w:val="TableText0"/>
              <w:keepNext w:val="0"/>
              <w:widowControl w:val="0"/>
            </w:pPr>
          </w:p>
        </w:tc>
        <w:tc>
          <w:tcPr>
            <w:tcW w:w="3027" w:type="pct"/>
            <w:vAlign w:val="bottom"/>
          </w:tcPr>
          <w:p w14:paraId="3FC42CAB" w14:textId="50A73FE7" w:rsidR="00D30F1D" w:rsidRPr="0058247A" w:rsidRDefault="00D30F1D" w:rsidP="00A25B4A">
            <w:pPr>
              <w:pStyle w:val="TableText0"/>
              <w:keepNext w:val="0"/>
              <w:widowControl w:val="0"/>
            </w:pPr>
            <w:r w:rsidRPr="0058247A">
              <w:t>Orlowski, Robert, et al.</w:t>
            </w:r>
            <w:r w:rsidR="005377AE">
              <w:t xml:space="preserve"> </w:t>
            </w:r>
            <w:r w:rsidRPr="0058247A">
              <w:t>MM-155: Phase 3 MAIA Study: Overall Survival (OS) Results with Daratumumab, Lenalidomide, and Dexamethasone (D-Rd) vs Lenalidomide and Dexamethasone (Rd) in Patients with Transplant-Ineligible Newly Diagnosed Multiple Myeloma (TIE-NDMM)</w:t>
            </w:r>
          </w:p>
        </w:tc>
        <w:tc>
          <w:tcPr>
            <w:tcW w:w="1177" w:type="pct"/>
            <w:vAlign w:val="center"/>
          </w:tcPr>
          <w:p w14:paraId="63F268FF" w14:textId="77777777" w:rsidR="00D30F1D" w:rsidRPr="0058247A" w:rsidRDefault="00D30F1D" w:rsidP="00A25B4A">
            <w:pPr>
              <w:pStyle w:val="TableText0"/>
              <w:keepNext w:val="0"/>
              <w:widowControl w:val="0"/>
              <w:rPr>
                <w:i/>
                <w:szCs w:val="18"/>
              </w:rPr>
            </w:pPr>
            <w:r w:rsidRPr="0058247A">
              <w:rPr>
                <w:i/>
                <w:iCs/>
              </w:rPr>
              <w:t>Clinical Lymphoma, Myeloma and Leukemia</w:t>
            </w:r>
            <w:r w:rsidRPr="0058247A">
              <w:t>, 2021, 21: S424-S425.</w:t>
            </w:r>
          </w:p>
        </w:tc>
      </w:tr>
      <w:tr w:rsidR="00D30F1D" w:rsidRPr="0058247A" w14:paraId="298C9AEF" w14:textId="77777777" w:rsidTr="00A25B4A">
        <w:tc>
          <w:tcPr>
            <w:tcW w:w="796" w:type="pct"/>
            <w:vMerge/>
            <w:vAlign w:val="center"/>
          </w:tcPr>
          <w:p w14:paraId="1B3E39F1" w14:textId="77777777" w:rsidR="00D30F1D" w:rsidRPr="0058247A" w:rsidRDefault="00D30F1D" w:rsidP="00A25B4A">
            <w:pPr>
              <w:pStyle w:val="TableText0"/>
              <w:keepNext w:val="0"/>
              <w:widowControl w:val="0"/>
            </w:pPr>
          </w:p>
        </w:tc>
        <w:tc>
          <w:tcPr>
            <w:tcW w:w="3027" w:type="pct"/>
            <w:vAlign w:val="bottom"/>
          </w:tcPr>
          <w:p w14:paraId="3D418654" w14:textId="3B4B67CC" w:rsidR="00D30F1D" w:rsidRPr="0058247A" w:rsidRDefault="00D30F1D" w:rsidP="00A25B4A">
            <w:pPr>
              <w:pStyle w:val="TableText0"/>
              <w:keepNext w:val="0"/>
              <w:widowControl w:val="0"/>
            </w:pPr>
            <w:r w:rsidRPr="0058247A">
              <w:t>Moreau, Philippe, et al. OAB-001: Overall survival and progression-free survival by treatment duration with Daratumumab+ Lenalidomide/Dexamethasone in transplant-ineligible newly diagnosed multiple myeloma: phase 3 MAIA study</w:t>
            </w:r>
          </w:p>
        </w:tc>
        <w:tc>
          <w:tcPr>
            <w:tcW w:w="1177" w:type="pct"/>
            <w:vAlign w:val="center"/>
          </w:tcPr>
          <w:p w14:paraId="15CB0BB3" w14:textId="77777777" w:rsidR="00D30F1D" w:rsidRPr="0058247A" w:rsidRDefault="00D30F1D" w:rsidP="00A25B4A">
            <w:pPr>
              <w:pStyle w:val="TableText0"/>
              <w:keepNext w:val="0"/>
              <w:widowControl w:val="0"/>
              <w:rPr>
                <w:i/>
                <w:szCs w:val="18"/>
              </w:rPr>
            </w:pPr>
            <w:r w:rsidRPr="0058247A">
              <w:rPr>
                <w:i/>
                <w:iCs/>
              </w:rPr>
              <w:t>Clinical Lymphoma, Myeloma and Leukemia</w:t>
            </w:r>
            <w:r w:rsidRPr="0058247A">
              <w:t>, 2021, 21: S1.</w:t>
            </w:r>
          </w:p>
        </w:tc>
      </w:tr>
      <w:tr w:rsidR="00D30F1D" w:rsidRPr="0058247A" w14:paraId="0614CF8D" w14:textId="77777777" w:rsidTr="00A25B4A">
        <w:tc>
          <w:tcPr>
            <w:tcW w:w="796" w:type="pct"/>
            <w:vMerge/>
            <w:vAlign w:val="center"/>
          </w:tcPr>
          <w:p w14:paraId="1220928D" w14:textId="77777777" w:rsidR="00D30F1D" w:rsidRPr="0058247A" w:rsidRDefault="00D30F1D" w:rsidP="00A25B4A">
            <w:pPr>
              <w:pStyle w:val="TableText0"/>
              <w:keepNext w:val="0"/>
              <w:widowControl w:val="0"/>
            </w:pPr>
          </w:p>
        </w:tc>
        <w:tc>
          <w:tcPr>
            <w:tcW w:w="3027" w:type="pct"/>
            <w:vAlign w:val="bottom"/>
          </w:tcPr>
          <w:p w14:paraId="06A2E8E4" w14:textId="56D9BFA5" w:rsidR="00D30F1D" w:rsidRPr="0058247A" w:rsidRDefault="00D30F1D" w:rsidP="00A25B4A">
            <w:pPr>
              <w:pStyle w:val="TableText0"/>
              <w:keepNext w:val="0"/>
              <w:widowControl w:val="0"/>
            </w:pPr>
            <w:r w:rsidRPr="0058247A">
              <w:t>Facon, Thierry, et al. Daratumumab, lenalidomide, and dexamethasone versus lenalidomide and dexamethasone alone in newly diagnosed multiple myeloma (MAIA): overall survival results from a randomised, open-label, phase 3 trial</w:t>
            </w:r>
          </w:p>
        </w:tc>
        <w:tc>
          <w:tcPr>
            <w:tcW w:w="1177" w:type="pct"/>
            <w:vAlign w:val="center"/>
          </w:tcPr>
          <w:p w14:paraId="32CD391D" w14:textId="77777777" w:rsidR="00D30F1D" w:rsidRPr="0058247A" w:rsidRDefault="00D30F1D" w:rsidP="00A25B4A">
            <w:pPr>
              <w:pStyle w:val="TableText0"/>
              <w:keepNext w:val="0"/>
              <w:widowControl w:val="0"/>
              <w:rPr>
                <w:i/>
                <w:szCs w:val="18"/>
              </w:rPr>
            </w:pPr>
            <w:r w:rsidRPr="0058247A">
              <w:rPr>
                <w:i/>
                <w:iCs/>
              </w:rPr>
              <w:t>The Lancet Oncology</w:t>
            </w:r>
            <w:r w:rsidRPr="0058247A">
              <w:t>, 2021, 22.11: 1582-1596.</w:t>
            </w:r>
          </w:p>
        </w:tc>
      </w:tr>
      <w:tr w:rsidR="00D30F1D" w:rsidRPr="0058247A" w14:paraId="60B14CBB" w14:textId="77777777" w:rsidTr="00A25B4A">
        <w:tc>
          <w:tcPr>
            <w:tcW w:w="796" w:type="pct"/>
            <w:vMerge/>
            <w:vAlign w:val="center"/>
          </w:tcPr>
          <w:p w14:paraId="676B08AC" w14:textId="77777777" w:rsidR="00D30F1D" w:rsidRPr="0058247A" w:rsidRDefault="00D30F1D" w:rsidP="00A25B4A">
            <w:pPr>
              <w:pStyle w:val="TableText0"/>
              <w:keepNext w:val="0"/>
              <w:widowControl w:val="0"/>
            </w:pPr>
          </w:p>
        </w:tc>
        <w:tc>
          <w:tcPr>
            <w:tcW w:w="3027" w:type="pct"/>
            <w:vAlign w:val="bottom"/>
          </w:tcPr>
          <w:p w14:paraId="10388E05" w14:textId="7A9A022B" w:rsidR="00D30F1D" w:rsidRPr="0058247A" w:rsidRDefault="00D30F1D" w:rsidP="00A25B4A">
            <w:pPr>
              <w:pStyle w:val="TableText0"/>
              <w:keepNext w:val="0"/>
              <w:widowControl w:val="0"/>
            </w:pPr>
            <w:r w:rsidRPr="0058247A">
              <w:t>Kumar, Shaji K, et al. Updated analysis of daratumumab plus lenalidomide and dexamethasone (D-Rd) versus lenalidomide and dexamethasone (Rd) in patients with transplant-ineligible newly diagnosed multiple myeloma (NDMM): the phase 3 Maia study</w:t>
            </w:r>
          </w:p>
        </w:tc>
        <w:tc>
          <w:tcPr>
            <w:tcW w:w="1177" w:type="pct"/>
            <w:vAlign w:val="center"/>
          </w:tcPr>
          <w:p w14:paraId="64AD1FFE" w14:textId="77777777" w:rsidR="00D30F1D" w:rsidRPr="0058247A" w:rsidRDefault="00D30F1D" w:rsidP="00A25B4A">
            <w:pPr>
              <w:pStyle w:val="TableText0"/>
              <w:keepNext w:val="0"/>
              <w:widowControl w:val="0"/>
              <w:rPr>
                <w:i/>
                <w:szCs w:val="18"/>
              </w:rPr>
            </w:pPr>
            <w:r w:rsidRPr="0058247A">
              <w:rPr>
                <w:i/>
                <w:iCs/>
              </w:rPr>
              <w:t>Blood</w:t>
            </w:r>
            <w:r w:rsidRPr="0058247A">
              <w:t>, 2020, 136: 24-26.</w:t>
            </w:r>
          </w:p>
        </w:tc>
      </w:tr>
      <w:tr w:rsidR="00D30F1D" w:rsidRPr="0058247A" w14:paraId="3163D417" w14:textId="77777777" w:rsidTr="00A25B4A">
        <w:tc>
          <w:tcPr>
            <w:tcW w:w="796" w:type="pct"/>
            <w:vMerge/>
            <w:vAlign w:val="center"/>
          </w:tcPr>
          <w:p w14:paraId="0CD98CA3" w14:textId="77777777" w:rsidR="00D30F1D" w:rsidRPr="0058247A" w:rsidRDefault="00D30F1D" w:rsidP="00A25B4A">
            <w:pPr>
              <w:pStyle w:val="TableText0"/>
              <w:keepNext w:val="0"/>
              <w:widowControl w:val="0"/>
            </w:pPr>
          </w:p>
        </w:tc>
        <w:tc>
          <w:tcPr>
            <w:tcW w:w="3027" w:type="pct"/>
            <w:vAlign w:val="bottom"/>
          </w:tcPr>
          <w:p w14:paraId="10F4EF82" w14:textId="015214AD" w:rsidR="00D30F1D" w:rsidRPr="0058247A" w:rsidRDefault="00D30F1D" w:rsidP="00A25B4A">
            <w:pPr>
              <w:pStyle w:val="TableText0"/>
              <w:keepNext w:val="0"/>
              <w:widowControl w:val="0"/>
            </w:pPr>
            <w:r w:rsidRPr="0058247A">
              <w:t>Bahlis, Nizar, et al. Daratumumab plus lenalidomide and dexamethasone (D-Rd) versus lenalidomide and dexamethasone (Rd) in patients with newly diagnosed multiple myeloma (NDMM) ineligible for transplant: updated analysis of MAIA</w:t>
            </w:r>
          </w:p>
        </w:tc>
        <w:tc>
          <w:tcPr>
            <w:tcW w:w="1177" w:type="pct"/>
            <w:vAlign w:val="center"/>
          </w:tcPr>
          <w:p w14:paraId="1F94FABC" w14:textId="77777777" w:rsidR="00D30F1D" w:rsidRPr="0058247A" w:rsidRDefault="00D30F1D" w:rsidP="00A25B4A">
            <w:pPr>
              <w:pStyle w:val="TableText0"/>
              <w:keepNext w:val="0"/>
              <w:widowControl w:val="0"/>
              <w:rPr>
                <w:i/>
                <w:szCs w:val="18"/>
              </w:rPr>
            </w:pPr>
            <w:r w:rsidRPr="0058247A">
              <w:rPr>
                <w:i/>
                <w:iCs/>
              </w:rPr>
              <w:t>Blood</w:t>
            </w:r>
            <w:r w:rsidRPr="0058247A">
              <w:t>, 2019, 134: 1875.</w:t>
            </w:r>
          </w:p>
        </w:tc>
      </w:tr>
      <w:tr w:rsidR="00D30F1D" w:rsidRPr="0058247A" w14:paraId="16C06A5A" w14:textId="77777777" w:rsidTr="00A25B4A">
        <w:tc>
          <w:tcPr>
            <w:tcW w:w="796" w:type="pct"/>
            <w:vMerge/>
            <w:vAlign w:val="center"/>
          </w:tcPr>
          <w:p w14:paraId="5DCC4F5E" w14:textId="77777777" w:rsidR="00D30F1D" w:rsidRPr="0058247A" w:rsidRDefault="00D30F1D" w:rsidP="00A25B4A">
            <w:pPr>
              <w:pStyle w:val="TableText0"/>
              <w:keepNext w:val="0"/>
              <w:widowControl w:val="0"/>
            </w:pPr>
          </w:p>
        </w:tc>
        <w:tc>
          <w:tcPr>
            <w:tcW w:w="3027" w:type="pct"/>
            <w:vAlign w:val="bottom"/>
          </w:tcPr>
          <w:p w14:paraId="020DC143" w14:textId="44EFD770" w:rsidR="00D30F1D" w:rsidRPr="0058247A" w:rsidRDefault="00D30F1D" w:rsidP="00A25B4A">
            <w:pPr>
              <w:pStyle w:val="TableText0"/>
              <w:keepNext w:val="0"/>
              <w:widowControl w:val="0"/>
            </w:pPr>
            <w:r w:rsidRPr="0058247A">
              <w:t>Usmani, Saad Zafar, et al. Impact of age on efficacy and safety of daratumumab in combination with lenalidomide and dexamethasone (D-Rd) in patients (pts) with transplant-ineligible newly diagnosed multiple myeloma (NDMM): MAIA</w:t>
            </w:r>
          </w:p>
        </w:tc>
        <w:tc>
          <w:tcPr>
            <w:tcW w:w="1177" w:type="pct"/>
            <w:vAlign w:val="center"/>
          </w:tcPr>
          <w:p w14:paraId="64BBE155" w14:textId="77777777" w:rsidR="00D30F1D" w:rsidRPr="0058247A" w:rsidRDefault="00D30F1D" w:rsidP="00A25B4A">
            <w:pPr>
              <w:pStyle w:val="TableText0"/>
              <w:keepNext w:val="0"/>
              <w:widowControl w:val="0"/>
              <w:rPr>
                <w:i/>
                <w:szCs w:val="18"/>
              </w:rPr>
            </w:pPr>
            <w:r w:rsidRPr="0058247A">
              <w:t>2019</w:t>
            </w:r>
          </w:p>
        </w:tc>
      </w:tr>
      <w:tr w:rsidR="00D30F1D" w:rsidRPr="0058247A" w14:paraId="6E4FAF57" w14:textId="77777777" w:rsidTr="00A25B4A">
        <w:tc>
          <w:tcPr>
            <w:tcW w:w="796" w:type="pct"/>
            <w:vMerge/>
            <w:vAlign w:val="center"/>
          </w:tcPr>
          <w:p w14:paraId="6EBCBB76" w14:textId="77777777" w:rsidR="00D30F1D" w:rsidRPr="0058247A" w:rsidRDefault="00D30F1D" w:rsidP="00A25B4A">
            <w:pPr>
              <w:pStyle w:val="TableText0"/>
              <w:keepNext w:val="0"/>
              <w:widowControl w:val="0"/>
            </w:pPr>
          </w:p>
        </w:tc>
        <w:tc>
          <w:tcPr>
            <w:tcW w:w="3027" w:type="pct"/>
            <w:vAlign w:val="center"/>
          </w:tcPr>
          <w:p w14:paraId="5970839E" w14:textId="4028AC12" w:rsidR="00D30F1D" w:rsidRPr="0058247A" w:rsidRDefault="00D30F1D" w:rsidP="00A25B4A">
            <w:pPr>
              <w:pStyle w:val="TableText0"/>
              <w:keepNext w:val="0"/>
              <w:widowControl w:val="0"/>
            </w:pPr>
            <w:r w:rsidRPr="0058247A">
              <w:t>Facon, Thierry, et al. Daratumumab plus lenalidomide and dexamethasone for untreated myeloma</w:t>
            </w:r>
          </w:p>
        </w:tc>
        <w:tc>
          <w:tcPr>
            <w:tcW w:w="1177" w:type="pct"/>
            <w:vAlign w:val="center"/>
          </w:tcPr>
          <w:p w14:paraId="4C763803" w14:textId="77777777" w:rsidR="00D30F1D" w:rsidRPr="0058247A" w:rsidRDefault="00D30F1D" w:rsidP="00A25B4A">
            <w:pPr>
              <w:pStyle w:val="TableText0"/>
              <w:keepNext w:val="0"/>
              <w:widowControl w:val="0"/>
              <w:rPr>
                <w:i/>
                <w:szCs w:val="18"/>
              </w:rPr>
            </w:pPr>
            <w:r w:rsidRPr="0058247A">
              <w:rPr>
                <w:i/>
                <w:iCs/>
              </w:rPr>
              <w:t>New England Journal of Medicine</w:t>
            </w:r>
            <w:r w:rsidRPr="0058247A">
              <w:t>, 2019, 380.22: 2104-2115.</w:t>
            </w:r>
          </w:p>
        </w:tc>
      </w:tr>
      <w:tr w:rsidR="00D30F1D" w:rsidRPr="0058247A" w14:paraId="27112830" w14:textId="77777777" w:rsidTr="00A25B4A">
        <w:tc>
          <w:tcPr>
            <w:tcW w:w="796" w:type="pct"/>
            <w:vMerge/>
            <w:vAlign w:val="center"/>
          </w:tcPr>
          <w:p w14:paraId="02069E29" w14:textId="77777777" w:rsidR="00D30F1D" w:rsidRPr="0058247A" w:rsidRDefault="00D30F1D" w:rsidP="00A25B4A">
            <w:pPr>
              <w:pStyle w:val="TableText0"/>
              <w:keepNext w:val="0"/>
              <w:widowControl w:val="0"/>
            </w:pPr>
          </w:p>
        </w:tc>
        <w:tc>
          <w:tcPr>
            <w:tcW w:w="3027" w:type="pct"/>
            <w:vAlign w:val="bottom"/>
          </w:tcPr>
          <w:p w14:paraId="52EE409E" w14:textId="735DFF4F" w:rsidR="00D30F1D" w:rsidRPr="0058247A" w:rsidRDefault="00D30F1D" w:rsidP="00A25B4A">
            <w:pPr>
              <w:pStyle w:val="TableText0"/>
              <w:keepNext w:val="0"/>
              <w:widowControl w:val="0"/>
            </w:pPr>
            <w:r w:rsidRPr="0058247A">
              <w:t>Facon, Thierry, et al. Phase 3 randomized study of daratumumab plus lenalidomide and dexamethasone (D-Rd) versus lenalidomide and dexamethasone (Rd) in patients with newly diagnosed multiple myeloma (NDMM) ineligible for transplant (MAIA)</w:t>
            </w:r>
          </w:p>
        </w:tc>
        <w:tc>
          <w:tcPr>
            <w:tcW w:w="1177" w:type="pct"/>
            <w:vAlign w:val="center"/>
          </w:tcPr>
          <w:p w14:paraId="1931D04F" w14:textId="77777777" w:rsidR="00D30F1D" w:rsidRPr="0058247A" w:rsidRDefault="00D30F1D" w:rsidP="00A25B4A">
            <w:pPr>
              <w:pStyle w:val="TableText0"/>
              <w:keepNext w:val="0"/>
              <w:widowControl w:val="0"/>
              <w:rPr>
                <w:i/>
                <w:szCs w:val="18"/>
              </w:rPr>
            </w:pPr>
            <w:r w:rsidRPr="0058247A">
              <w:rPr>
                <w:i/>
                <w:iCs/>
              </w:rPr>
              <w:t>Blood</w:t>
            </w:r>
            <w:r w:rsidRPr="0058247A">
              <w:t>, 2018, 132.Supplement 1: LBA-2-LBA-2.</w:t>
            </w:r>
          </w:p>
        </w:tc>
      </w:tr>
      <w:tr w:rsidR="00D30F1D" w:rsidRPr="0058247A" w14:paraId="52701A70" w14:textId="77777777" w:rsidTr="00A25B4A">
        <w:tc>
          <w:tcPr>
            <w:tcW w:w="796" w:type="pct"/>
            <w:vMerge w:val="restart"/>
            <w:vAlign w:val="center"/>
          </w:tcPr>
          <w:p w14:paraId="583F89D6" w14:textId="77777777" w:rsidR="00D30F1D" w:rsidRPr="0058247A" w:rsidRDefault="00D30F1D" w:rsidP="00A25B4A">
            <w:pPr>
              <w:pStyle w:val="TableText0"/>
              <w:keepNext w:val="0"/>
              <w:widowControl w:val="0"/>
            </w:pPr>
            <w:r w:rsidRPr="0058247A">
              <w:rPr>
                <w:szCs w:val="20"/>
              </w:rPr>
              <w:t>SWOG s0777</w:t>
            </w:r>
          </w:p>
        </w:tc>
        <w:tc>
          <w:tcPr>
            <w:tcW w:w="3027" w:type="pct"/>
            <w:vAlign w:val="bottom"/>
          </w:tcPr>
          <w:p w14:paraId="1897ACC3" w14:textId="7818728E" w:rsidR="00D30F1D" w:rsidRPr="0058247A" w:rsidRDefault="00D30F1D" w:rsidP="00A25B4A">
            <w:pPr>
              <w:pStyle w:val="TableText0"/>
              <w:keepNext w:val="0"/>
              <w:widowControl w:val="0"/>
            </w:pPr>
            <w:r w:rsidRPr="0058247A">
              <w:t>Durie, Brian GM, et al. Longer term follow-up of the randomized phase III trial SWOG S0777: bortezomib, lenalidomide and dexamethasone vs lenalidomide and dexamethasone in patients (Pts) with previously untreated multiple myeloma without an intent for immediate autologous stem cell transplant (ASCT).</w:t>
            </w:r>
          </w:p>
        </w:tc>
        <w:tc>
          <w:tcPr>
            <w:tcW w:w="1177" w:type="pct"/>
            <w:vAlign w:val="center"/>
          </w:tcPr>
          <w:p w14:paraId="0DCB7C66" w14:textId="77777777" w:rsidR="00D30F1D" w:rsidRPr="0058247A" w:rsidRDefault="00D30F1D" w:rsidP="00A25B4A">
            <w:pPr>
              <w:pStyle w:val="TableText0"/>
              <w:keepNext w:val="0"/>
              <w:widowControl w:val="0"/>
              <w:rPr>
                <w:i/>
                <w:szCs w:val="18"/>
              </w:rPr>
            </w:pPr>
            <w:r w:rsidRPr="0058247A">
              <w:rPr>
                <w:i/>
                <w:iCs/>
              </w:rPr>
              <w:t>Blood cancer journal</w:t>
            </w:r>
            <w:r w:rsidRPr="0058247A">
              <w:t>, 2020, 10.5: 1-11.</w:t>
            </w:r>
          </w:p>
        </w:tc>
      </w:tr>
      <w:tr w:rsidR="00D30F1D" w:rsidRPr="0058247A" w14:paraId="46630EEB" w14:textId="77777777" w:rsidTr="00A25B4A">
        <w:tc>
          <w:tcPr>
            <w:tcW w:w="796" w:type="pct"/>
            <w:vMerge/>
            <w:vAlign w:val="center"/>
          </w:tcPr>
          <w:p w14:paraId="31B31C2C" w14:textId="77777777" w:rsidR="00D30F1D" w:rsidRPr="0058247A" w:rsidRDefault="00D30F1D" w:rsidP="00A25B4A">
            <w:pPr>
              <w:pStyle w:val="TableText0"/>
              <w:keepNext w:val="0"/>
              <w:widowControl w:val="0"/>
            </w:pPr>
          </w:p>
        </w:tc>
        <w:tc>
          <w:tcPr>
            <w:tcW w:w="3027" w:type="pct"/>
            <w:vAlign w:val="center"/>
          </w:tcPr>
          <w:p w14:paraId="3F4C8386" w14:textId="77777777" w:rsidR="00D30F1D" w:rsidRPr="0058247A" w:rsidRDefault="00D30F1D" w:rsidP="00A25B4A">
            <w:pPr>
              <w:pStyle w:val="TableText0"/>
              <w:keepNext w:val="0"/>
              <w:widowControl w:val="0"/>
              <w:rPr>
                <w:szCs w:val="18"/>
              </w:rPr>
            </w:pPr>
            <w:r w:rsidRPr="0058247A">
              <w:rPr>
                <w:szCs w:val="18"/>
              </w:rPr>
              <w:t>European Medicines Agency Assessment Report (EPAR) – lenalidomide in combination with bortezomib and dexamethasone (new indication)</w:t>
            </w:r>
          </w:p>
        </w:tc>
        <w:tc>
          <w:tcPr>
            <w:tcW w:w="1177" w:type="pct"/>
            <w:vAlign w:val="center"/>
          </w:tcPr>
          <w:p w14:paraId="755E86B7" w14:textId="77777777" w:rsidR="00D30F1D" w:rsidRPr="0058247A" w:rsidRDefault="00D30F1D" w:rsidP="00A25B4A">
            <w:pPr>
              <w:pStyle w:val="TableText0"/>
              <w:keepNext w:val="0"/>
              <w:widowControl w:val="0"/>
              <w:rPr>
                <w:szCs w:val="18"/>
              </w:rPr>
            </w:pPr>
            <w:r w:rsidRPr="0058247A">
              <w:t>2017</w:t>
            </w:r>
          </w:p>
        </w:tc>
      </w:tr>
      <w:tr w:rsidR="00D30F1D" w:rsidRPr="0058247A" w14:paraId="024E0C1F" w14:textId="77777777" w:rsidTr="00A25B4A">
        <w:tc>
          <w:tcPr>
            <w:tcW w:w="796" w:type="pct"/>
            <w:vMerge/>
            <w:vAlign w:val="center"/>
          </w:tcPr>
          <w:p w14:paraId="614031B3" w14:textId="77777777" w:rsidR="00D30F1D" w:rsidRPr="0058247A" w:rsidRDefault="00D30F1D" w:rsidP="00A25B4A">
            <w:pPr>
              <w:pStyle w:val="TableText0"/>
              <w:keepNext w:val="0"/>
              <w:widowControl w:val="0"/>
            </w:pPr>
          </w:p>
        </w:tc>
        <w:tc>
          <w:tcPr>
            <w:tcW w:w="3027" w:type="pct"/>
          </w:tcPr>
          <w:p w14:paraId="76BF822E" w14:textId="5CEFB156" w:rsidR="00D30F1D" w:rsidRPr="0058247A" w:rsidRDefault="00D30F1D" w:rsidP="00A25B4A">
            <w:pPr>
              <w:pStyle w:val="TableText0"/>
              <w:keepNext w:val="0"/>
              <w:widowControl w:val="0"/>
              <w:rPr>
                <w:szCs w:val="18"/>
              </w:rPr>
            </w:pPr>
            <w:r w:rsidRPr="0058247A">
              <w:t>Durie, Brian GM, et al. Bortezomib with lenalidomide and dexamethasone versus lenalidomide and dexamethasone alone in patients with newly diagnosed myeloma without intent for immediate autologous stem-cell transplant (SWOG S0777): a randomised, open-label, phase 3 trial</w:t>
            </w:r>
          </w:p>
        </w:tc>
        <w:tc>
          <w:tcPr>
            <w:tcW w:w="1177" w:type="pct"/>
            <w:vAlign w:val="center"/>
          </w:tcPr>
          <w:p w14:paraId="2BF21CF7" w14:textId="77777777" w:rsidR="00D30F1D" w:rsidRPr="0058247A" w:rsidRDefault="00D30F1D" w:rsidP="00A25B4A">
            <w:pPr>
              <w:pStyle w:val="TableText0"/>
              <w:keepNext w:val="0"/>
              <w:widowControl w:val="0"/>
              <w:rPr>
                <w:i/>
                <w:szCs w:val="18"/>
              </w:rPr>
            </w:pPr>
            <w:r w:rsidRPr="0058247A">
              <w:rPr>
                <w:i/>
                <w:iCs/>
              </w:rPr>
              <w:t>The Lancet</w:t>
            </w:r>
            <w:r w:rsidRPr="0058247A">
              <w:t>, 2017, 389.10068: 519-527.</w:t>
            </w:r>
          </w:p>
        </w:tc>
      </w:tr>
      <w:tr w:rsidR="00D30F1D" w:rsidRPr="0058247A" w14:paraId="77F293B9" w14:textId="77777777" w:rsidTr="00A25B4A">
        <w:tc>
          <w:tcPr>
            <w:tcW w:w="796" w:type="pct"/>
            <w:vMerge/>
            <w:vAlign w:val="center"/>
          </w:tcPr>
          <w:p w14:paraId="0733B351" w14:textId="77777777" w:rsidR="00D30F1D" w:rsidRPr="0058247A" w:rsidRDefault="00D30F1D" w:rsidP="00A25B4A">
            <w:pPr>
              <w:pStyle w:val="TableText0"/>
              <w:keepNext w:val="0"/>
              <w:widowControl w:val="0"/>
            </w:pPr>
          </w:p>
        </w:tc>
        <w:tc>
          <w:tcPr>
            <w:tcW w:w="3027" w:type="pct"/>
          </w:tcPr>
          <w:p w14:paraId="6572EACA" w14:textId="77777777" w:rsidR="00D30F1D" w:rsidRPr="0058247A" w:rsidRDefault="00D30F1D" w:rsidP="00A25B4A">
            <w:pPr>
              <w:pStyle w:val="TableText0"/>
              <w:keepNext w:val="0"/>
              <w:widowControl w:val="0"/>
              <w:rPr>
                <w:szCs w:val="18"/>
              </w:rPr>
            </w:pPr>
            <w:r w:rsidRPr="0058247A">
              <w:rPr>
                <w:szCs w:val="20"/>
              </w:rPr>
              <w:t>Durie, Brian, et al. Bortezomib, lenalidomide and dexamethasone vs. lenalidomide and dexamethasone in patients (Pts) with previously untreated multiple myeloma without an intent for immediate autologous stem cell transplant (ASCT): results of the randomized phase III trial SWOG S0777.</w:t>
            </w:r>
          </w:p>
        </w:tc>
        <w:tc>
          <w:tcPr>
            <w:tcW w:w="1177" w:type="pct"/>
            <w:vAlign w:val="center"/>
          </w:tcPr>
          <w:p w14:paraId="04A63958" w14:textId="77777777" w:rsidR="00D30F1D" w:rsidRPr="0058247A" w:rsidRDefault="00D30F1D" w:rsidP="00A25B4A">
            <w:pPr>
              <w:pStyle w:val="TableText0"/>
              <w:keepNext w:val="0"/>
              <w:widowControl w:val="0"/>
              <w:rPr>
                <w:i/>
                <w:szCs w:val="18"/>
              </w:rPr>
            </w:pPr>
            <w:r w:rsidRPr="0058247A">
              <w:rPr>
                <w:i/>
                <w:iCs/>
              </w:rPr>
              <w:t>Blood</w:t>
            </w:r>
            <w:r w:rsidRPr="0058247A">
              <w:t>, 2015, 126.23: 25.</w:t>
            </w:r>
          </w:p>
        </w:tc>
      </w:tr>
    </w:tbl>
    <w:p w14:paraId="301A073C" w14:textId="77777777" w:rsidR="00D30F1D" w:rsidRPr="0058247A" w:rsidRDefault="00D30F1D" w:rsidP="00D30F1D">
      <w:pPr>
        <w:pStyle w:val="FooterTableFigure"/>
        <w:rPr>
          <w:sz w:val="20"/>
        </w:rPr>
      </w:pPr>
      <w:r w:rsidRPr="0058247A">
        <w:t>Source: Table 2.7, p85 of the submission.</w:t>
      </w:r>
    </w:p>
    <w:p w14:paraId="71945958" w14:textId="7A5A45BC" w:rsidR="00D30F1D" w:rsidRPr="0058247A" w:rsidRDefault="00D30F1D" w:rsidP="00D30F1D">
      <w:pPr>
        <w:pStyle w:val="3-BodyText"/>
        <w:rPr>
          <w:color w:val="0066FF"/>
        </w:rPr>
      </w:pPr>
      <w:r w:rsidRPr="0058247A">
        <w:t xml:space="preserve">The key features of the direct randomised trials are summarised in </w:t>
      </w:r>
      <w:r w:rsidRPr="0058247A">
        <w:fldChar w:fldCharType="begin"/>
      </w:r>
      <w:r w:rsidRPr="0058247A">
        <w:instrText xml:space="preserve"> REF _Ref104804098 \h  \* MERGEFORMAT </w:instrText>
      </w:r>
      <w:r w:rsidRPr="0058247A">
        <w:fldChar w:fldCharType="separate"/>
      </w:r>
      <w:r w:rsidR="008D65C7" w:rsidRPr="008D65C7">
        <w:t>Table 3</w:t>
      </w:r>
      <w:r w:rsidRPr="0058247A">
        <w:fldChar w:fldCharType="end"/>
      </w:r>
      <w:r w:rsidRPr="0058247A">
        <w:t xml:space="preserve">. </w:t>
      </w:r>
    </w:p>
    <w:p w14:paraId="633468EC" w14:textId="79DF7B6E" w:rsidR="00D30F1D" w:rsidRPr="0058247A" w:rsidRDefault="00D30F1D" w:rsidP="00D30F1D">
      <w:pPr>
        <w:pStyle w:val="Caption"/>
        <w:rPr>
          <w:rStyle w:val="CommentReference"/>
          <w:rFonts w:eastAsiaTheme="majorEastAsia" w:cstheme="majorBidi"/>
          <w:b/>
          <w:szCs w:val="24"/>
        </w:rPr>
      </w:pPr>
      <w:bookmarkStart w:id="40" w:name="_Ref104804098"/>
      <w:r w:rsidRPr="0058247A">
        <w:rPr>
          <w:rStyle w:val="CommentReference"/>
          <w:rFonts w:eastAsiaTheme="majorEastAsia" w:cstheme="majorBidi"/>
          <w:b/>
          <w:szCs w:val="24"/>
        </w:rPr>
        <w:t xml:space="preserve">Table </w:t>
      </w:r>
      <w:r w:rsidRPr="0058247A">
        <w:rPr>
          <w:rStyle w:val="CommentReference"/>
          <w:rFonts w:eastAsiaTheme="majorEastAsia" w:cstheme="majorBidi"/>
          <w:b/>
          <w:szCs w:val="24"/>
        </w:rPr>
        <w:fldChar w:fldCharType="begin"/>
      </w:r>
      <w:r w:rsidRPr="0058247A">
        <w:rPr>
          <w:rStyle w:val="CommentReference"/>
          <w:rFonts w:eastAsiaTheme="majorEastAsia" w:cstheme="majorBidi"/>
          <w:b/>
          <w:szCs w:val="24"/>
        </w:rPr>
        <w:instrText xml:space="preserve"> SEQ Table \* ARABIC </w:instrText>
      </w:r>
      <w:r w:rsidRPr="0058247A">
        <w:rPr>
          <w:rStyle w:val="CommentReference"/>
          <w:rFonts w:eastAsiaTheme="majorEastAsia" w:cstheme="majorBidi"/>
          <w:b/>
          <w:szCs w:val="24"/>
        </w:rPr>
        <w:fldChar w:fldCharType="separate"/>
      </w:r>
      <w:r w:rsidR="008D65C7">
        <w:rPr>
          <w:rStyle w:val="CommentReference"/>
          <w:rFonts w:eastAsiaTheme="majorEastAsia" w:cstheme="majorBidi"/>
          <w:b/>
          <w:noProof/>
          <w:szCs w:val="24"/>
        </w:rPr>
        <w:t>3</w:t>
      </w:r>
      <w:r w:rsidRPr="0058247A">
        <w:rPr>
          <w:rStyle w:val="CommentReference"/>
          <w:rFonts w:eastAsiaTheme="majorEastAsia" w:cstheme="majorBidi"/>
          <w:b/>
          <w:szCs w:val="24"/>
        </w:rPr>
        <w:fldChar w:fldCharType="end"/>
      </w:r>
      <w:bookmarkEnd w:id="40"/>
      <w:r w:rsidRPr="0058247A">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8"/>
        <w:gridCol w:w="1188"/>
        <w:gridCol w:w="1080"/>
        <w:gridCol w:w="720"/>
        <w:gridCol w:w="1686"/>
        <w:gridCol w:w="2408"/>
        <w:gridCol w:w="1087"/>
      </w:tblGrid>
      <w:tr w:rsidR="00D30F1D" w:rsidRPr="0058247A" w14:paraId="08D91AFA" w14:textId="77777777" w:rsidTr="00004066">
        <w:trPr>
          <w:cantSplit/>
          <w:tblHeader/>
        </w:trPr>
        <w:tc>
          <w:tcPr>
            <w:tcW w:w="470" w:type="pct"/>
            <w:shd w:val="clear" w:color="auto" w:fill="auto"/>
            <w:vAlign w:val="center"/>
          </w:tcPr>
          <w:p w14:paraId="6CAA0B8F" w14:textId="77777777" w:rsidR="00D30F1D" w:rsidRPr="0058247A" w:rsidRDefault="00D30F1D" w:rsidP="00A25B4A">
            <w:pPr>
              <w:pStyle w:val="In-tableHeading"/>
              <w:rPr>
                <w:lang w:val="en-AU"/>
              </w:rPr>
            </w:pPr>
            <w:r w:rsidRPr="0058247A">
              <w:rPr>
                <w:lang w:val="en-AU"/>
              </w:rPr>
              <w:t>Trial</w:t>
            </w:r>
          </w:p>
        </w:tc>
        <w:tc>
          <w:tcPr>
            <w:tcW w:w="659" w:type="pct"/>
            <w:shd w:val="clear" w:color="auto" w:fill="auto"/>
            <w:vAlign w:val="center"/>
          </w:tcPr>
          <w:p w14:paraId="528A6762" w14:textId="77777777" w:rsidR="00D30F1D" w:rsidRPr="0058247A" w:rsidRDefault="00D30F1D" w:rsidP="00A25B4A">
            <w:pPr>
              <w:pStyle w:val="In-tableHeading"/>
              <w:jc w:val="center"/>
              <w:rPr>
                <w:lang w:val="en-AU"/>
              </w:rPr>
            </w:pPr>
            <w:r w:rsidRPr="0058247A">
              <w:rPr>
                <w:lang w:val="en-AU"/>
              </w:rPr>
              <w:t>N</w:t>
            </w:r>
          </w:p>
        </w:tc>
        <w:tc>
          <w:tcPr>
            <w:tcW w:w="599" w:type="pct"/>
            <w:shd w:val="clear" w:color="auto" w:fill="auto"/>
            <w:vAlign w:val="center"/>
          </w:tcPr>
          <w:p w14:paraId="22ACECF3" w14:textId="77777777" w:rsidR="00D30F1D" w:rsidRPr="0058247A" w:rsidRDefault="00D30F1D" w:rsidP="00A25B4A">
            <w:pPr>
              <w:pStyle w:val="In-tableHeading"/>
              <w:jc w:val="center"/>
              <w:rPr>
                <w:lang w:val="en-AU"/>
              </w:rPr>
            </w:pPr>
            <w:r w:rsidRPr="0058247A">
              <w:rPr>
                <w:lang w:val="en-AU"/>
              </w:rPr>
              <w:t>Design/ duration</w:t>
            </w:r>
          </w:p>
        </w:tc>
        <w:tc>
          <w:tcPr>
            <w:tcW w:w="399" w:type="pct"/>
            <w:shd w:val="clear" w:color="auto" w:fill="auto"/>
            <w:vAlign w:val="center"/>
          </w:tcPr>
          <w:p w14:paraId="5F0AF1A7" w14:textId="77777777" w:rsidR="00D30F1D" w:rsidRPr="0058247A" w:rsidRDefault="00D30F1D" w:rsidP="00A25B4A">
            <w:pPr>
              <w:pStyle w:val="In-tableHeading"/>
              <w:jc w:val="center"/>
              <w:rPr>
                <w:lang w:val="en-AU"/>
              </w:rPr>
            </w:pPr>
            <w:r w:rsidRPr="0058247A">
              <w:rPr>
                <w:lang w:val="en-AU"/>
              </w:rPr>
              <w:t>Risk of bias</w:t>
            </w:r>
          </w:p>
        </w:tc>
        <w:tc>
          <w:tcPr>
            <w:tcW w:w="935" w:type="pct"/>
            <w:shd w:val="clear" w:color="auto" w:fill="auto"/>
            <w:vAlign w:val="center"/>
          </w:tcPr>
          <w:p w14:paraId="41E58988" w14:textId="77777777" w:rsidR="00D30F1D" w:rsidRPr="0058247A" w:rsidRDefault="00D30F1D" w:rsidP="00A25B4A">
            <w:pPr>
              <w:pStyle w:val="In-tableHeading"/>
              <w:jc w:val="center"/>
              <w:rPr>
                <w:lang w:val="en-AU"/>
              </w:rPr>
            </w:pPr>
            <w:r w:rsidRPr="0058247A">
              <w:rPr>
                <w:lang w:val="en-AU"/>
              </w:rPr>
              <w:t>Patient population</w:t>
            </w:r>
          </w:p>
        </w:tc>
        <w:tc>
          <w:tcPr>
            <w:tcW w:w="1335" w:type="pct"/>
            <w:shd w:val="clear" w:color="auto" w:fill="auto"/>
            <w:vAlign w:val="center"/>
          </w:tcPr>
          <w:p w14:paraId="1DD9F588" w14:textId="77777777" w:rsidR="00D30F1D" w:rsidRPr="0058247A" w:rsidRDefault="00D30F1D" w:rsidP="00A25B4A">
            <w:pPr>
              <w:pStyle w:val="In-tableHeading"/>
              <w:jc w:val="center"/>
              <w:rPr>
                <w:lang w:val="en-AU"/>
              </w:rPr>
            </w:pPr>
            <w:r w:rsidRPr="0058247A">
              <w:rPr>
                <w:lang w:val="en-AU"/>
              </w:rPr>
              <w:t>Outcome(s)</w:t>
            </w:r>
          </w:p>
        </w:tc>
        <w:tc>
          <w:tcPr>
            <w:tcW w:w="603" w:type="pct"/>
            <w:shd w:val="clear" w:color="auto" w:fill="auto"/>
            <w:vAlign w:val="center"/>
          </w:tcPr>
          <w:p w14:paraId="4DAD350D" w14:textId="77777777" w:rsidR="00D30F1D" w:rsidRPr="0058247A" w:rsidRDefault="00D30F1D" w:rsidP="00A25B4A">
            <w:pPr>
              <w:pStyle w:val="In-tableHeading"/>
              <w:jc w:val="center"/>
              <w:rPr>
                <w:lang w:val="en-AU"/>
              </w:rPr>
            </w:pPr>
            <w:r w:rsidRPr="0058247A">
              <w:rPr>
                <w:lang w:val="en-AU"/>
              </w:rPr>
              <w:t>Use in modelled evaluation</w:t>
            </w:r>
          </w:p>
        </w:tc>
      </w:tr>
      <w:tr w:rsidR="00D30F1D" w:rsidRPr="0058247A" w14:paraId="10EF8D5E" w14:textId="77777777" w:rsidTr="00A25B4A">
        <w:trPr>
          <w:cantSplit/>
        </w:trPr>
        <w:tc>
          <w:tcPr>
            <w:tcW w:w="5000" w:type="pct"/>
            <w:gridSpan w:val="7"/>
            <w:shd w:val="clear" w:color="auto" w:fill="auto"/>
            <w:vAlign w:val="center"/>
          </w:tcPr>
          <w:p w14:paraId="0BECA7D7" w14:textId="77777777" w:rsidR="00D30F1D" w:rsidRPr="0058247A" w:rsidRDefault="00D30F1D" w:rsidP="00A25B4A">
            <w:pPr>
              <w:pStyle w:val="In-tableHeading"/>
              <w:rPr>
                <w:lang w:val="en-AU"/>
              </w:rPr>
            </w:pPr>
            <w:r w:rsidRPr="0058247A">
              <w:rPr>
                <w:lang w:val="en-AU"/>
              </w:rPr>
              <w:t>DLd vs Ld</w:t>
            </w:r>
          </w:p>
        </w:tc>
      </w:tr>
      <w:tr w:rsidR="00D30F1D" w:rsidRPr="0058247A" w14:paraId="0F0F14F5" w14:textId="77777777" w:rsidTr="00004066">
        <w:trPr>
          <w:cantSplit/>
        </w:trPr>
        <w:tc>
          <w:tcPr>
            <w:tcW w:w="470" w:type="pct"/>
            <w:shd w:val="clear" w:color="auto" w:fill="auto"/>
            <w:vAlign w:val="center"/>
          </w:tcPr>
          <w:p w14:paraId="510F13B5" w14:textId="77777777" w:rsidR="00D30F1D" w:rsidRPr="0058247A" w:rsidRDefault="00D30F1D" w:rsidP="00A25B4A">
            <w:pPr>
              <w:pStyle w:val="TableText0"/>
            </w:pPr>
            <w:r w:rsidRPr="0058247A">
              <w:t>MAIA (ITT)</w:t>
            </w:r>
          </w:p>
        </w:tc>
        <w:tc>
          <w:tcPr>
            <w:tcW w:w="659" w:type="pct"/>
            <w:shd w:val="clear" w:color="auto" w:fill="auto"/>
            <w:vAlign w:val="center"/>
          </w:tcPr>
          <w:p w14:paraId="4A73E84F" w14:textId="77777777" w:rsidR="00D30F1D" w:rsidRPr="0058247A" w:rsidRDefault="00D30F1D" w:rsidP="00A25B4A">
            <w:pPr>
              <w:pStyle w:val="TableText0"/>
              <w:jc w:val="center"/>
            </w:pPr>
            <w:r w:rsidRPr="0058247A">
              <w:t>737</w:t>
            </w:r>
          </w:p>
        </w:tc>
        <w:tc>
          <w:tcPr>
            <w:tcW w:w="599" w:type="pct"/>
            <w:shd w:val="clear" w:color="auto" w:fill="auto"/>
            <w:vAlign w:val="center"/>
          </w:tcPr>
          <w:p w14:paraId="5BA40B92" w14:textId="77777777" w:rsidR="00D30F1D" w:rsidRPr="0058247A" w:rsidRDefault="00D30F1D" w:rsidP="00A25B4A">
            <w:pPr>
              <w:pStyle w:val="TableText0"/>
              <w:jc w:val="center"/>
            </w:pPr>
            <w:r w:rsidRPr="0058247A">
              <w:t>R, MC, OL</w:t>
            </w:r>
          </w:p>
          <w:p w14:paraId="3F5CB6F5" w14:textId="77777777" w:rsidR="00D30F1D" w:rsidRPr="0058247A" w:rsidRDefault="00D30F1D" w:rsidP="00A25B4A">
            <w:pPr>
              <w:pStyle w:val="TableText0"/>
              <w:jc w:val="center"/>
            </w:pPr>
            <w:r w:rsidRPr="0058247A">
              <w:t>64.5 months</w:t>
            </w:r>
          </w:p>
        </w:tc>
        <w:tc>
          <w:tcPr>
            <w:tcW w:w="399" w:type="pct"/>
            <w:shd w:val="clear" w:color="auto" w:fill="auto"/>
            <w:vAlign w:val="center"/>
          </w:tcPr>
          <w:p w14:paraId="62E3A374" w14:textId="77777777" w:rsidR="00D30F1D" w:rsidRPr="0058247A" w:rsidRDefault="00D30F1D" w:rsidP="00A25B4A">
            <w:pPr>
              <w:pStyle w:val="TableText0"/>
              <w:jc w:val="center"/>
              <w:rPr>
                <w:iCs/>
              </w:rPr>
            </w:pPr>
            <w:r w:rsidRPr="0058247A">
              <w:rPr>
                <w:iCs/>
              </w:rPr>
              <w:t>Low</w:t>
            </w:r>
          </w:p>
        </w:tc>
        <w:tc>
          <w:tcPr>
            <w:tcW w:w="935" w:type="pct"/>
            <w:shd w:val="clear" w:color="auto" w:fill="auto"/>
            <w:vAlign w:val="center"/>
          </w:tcPr>
          <w:p w14:paraId="520279CC" w14:textId="77777777" w:rsidR="00D30F1D" w:rsidRPr="0058247A" w:rsidRDefault="00D30F1D" w:rsidP="00A25B4A">
            <w:pPr>
              <w:pStyle w:val="TableText0"/>
              <w:jc w:val="center"/>
            </w:pPr>
            <w:r w:rsidRPr="0058247A">
              <w:t>TI NDMM</w:t>
            </w:r>
          </w:p>
        </w:tc>
        <w:tc>
          <w:tcPr>
            <w:tcW w:w="1335" w:type="pct"/>
            <w:shd w:val="clear" w:color="auto" w:fill="auto"/>
            <w:vAlign w:val="center"/>
          </w:tcPr>
          <w:p w14:paraId="44076D16" w14:textId="77777777" w:rsidR="00D30F1D" w:rsidRPr="0058247A" w:rsidRDefault="00D30F1D" w:rsidP="00A25B4A">
            <w:pPr>
              <w:pStyle w:val="TableText0"/>
              <w:jc w:val="center"/>
            </w:pPr>
            <w:r w:rsidRPr="0058247A">
              <w:t>PFS, OS, TTP, CR rate, MRD negativity rate, PFS2, Time to next treatment, sCR rate, ORR, VGPR, Time to response, DOR, HRQoL.</w:t>
            </w:r>
          </w:p>
        </w:tc>
        <w:tc>
          <w:tcPr>
            <w:tcW w:w="603" w:type="pct"/>
            <w:shd w:val="clear" w:color="auto" w:fill="auto"/>
            <w:vAlign w:val="center"/>
          </w:tcPr>
          <w:p w14:paraId="6BF0C6FF" w14:textId="77777777" w:rsidR="00D30F1D" w:rsidRPr="0058247A" w:rsidRDefault="00D30F1D" w:rsidP="00A25B4A">
            <w:pPr>
              <w:pStyle w:val="TableText0"/>
              <w:jc w:val="center"/>
            </w:pPr>
            <w:r w:rsidRPr="0058247A">
              <w:t>PFS, OS, TTP, CR rate, Time to next treatment, HRQoL</w:t>
            </w:r>
          </w:p>
        </w:tc>
      </w:tr>
      <w:tr w:rsidR="00D30F1D" w:rsidRPr="0058247A" w14:paraId="340763BC" w14:textId="77777777" w:rsidTr="00A25B4A">
        <w:trPr>
          <w:cantSplit/>
        </w:trPr>
        <w:tc>
          <w:tcPr>
            <w:tcW w:w="5000" w:type="pct"/>
            <w:gridSpan w:val="7"/>
            <w:shd w:val="clear" w:color="auto" w:fill="auto"/>
            <w:vAlign w:val="center"/>
          </w:tcPr>
          <w:p w14:paraId="50A3B945" w14:textId="77777777" w:rsidR="00D30F1D" w:rsidRPr="0058247A" w:rsidRDefault="00D30F1D" w:rsidP="00A25B4A">
            <w:pPr>
              <w:pStyle w:val="TableText0"/>
              <w:rPr>
                <w:b/>
                <w:bCs w:val="0"/>
                <w:iCs/>
              </w:rPr>
            </w:pPr>
            <w:r w:rsidRPr="0058247A">
              <w:rPr>
                <w:b/>
                <w:bCs w:val="0"/>
                <w:iCs/>
              </w:rPr>
              <w:t>BLd vs Ld</w:t>
            </w:r>
          </w:p>
        </w:tc>
      </w:tr>
      <w:tr w:rsidR="00D30F1D" w:rsidRPr="0058247A" w14:paraId="69412ACB" w14:textId="77777777" w:rsidTr="00004066">
        <w:trPr>
          <w:cantSplit/>
        </w:trPr>
        <w:tc>
          <w:tcPr>
            <w:tcW w:w="470" w:type="pct"/>
            <w:shd w:val="clear" w:color="auto" w:fill="auto"/>
            <w:vAlign w:val="center"/>
          </w:tcPr>
          <w:p w14:paraId="1A89EAB5" w14:textId="77777777" w:rsidR="00D30F1D" w:rsidRPr="0058247A" w:rsidRDefault="00D30F1D" w:rsidP="00A25B4A">
            <w:pPr>
              <w:pStyle w:val="TableText0"/>
            </w:pPr>
            <w:r w:rsidRPr="0058247A">
              <w:t>SWOG s0777</w:t>
            </w:r>
          </w:p>
        </w:tc>
        <w:tc>
          <w:tcPr>
            <w:tcW w:w="659" w:type="pct"/>
            <w:shd w:val="clear" w:color="auto" w:fill="auto"/>
            <w:vAlign w:val="center"/>
          </w:tcPr>
          <w:p w14:paraId="37FDD934" w14:textId="77777777" w:rsidR="00D30F1D" w:rsidRPr="0058247A" w:rsidRDefault="00D30F1D" w:rsidP="00A25B4A">
            <w:pPr>
              <w:pStyle w:val="TableText0"/>
              <w:jc w:val="center"/>
            </w:pPr>
            <w:r w:rsidRPr="0058247A">
              <w:t xml:space="preserve">523 </w:t>
            </w:r>
          </w:p>
          <w:p w14:paraId="20826341" w14:textId="77777777" w:rsidR="00D30F1D" w:rsidRPr="0058247A" w:rsidRDefault="00D30F1D" w:rsidP="00A25B4A">
            <w:pPr>
              <w:pStyle w:val="TableText0"/>
              <w:jc w:val="center"/>
            </w:pPr>
            <w:r w:rsidRPr="0058247A">
              <w:t>(subgroup ≥65 years n=202)</w:t>
            </w:r>
          </w:p>
        </w:tc>
        <w:tc>
          <w:tcPr>
            <w:tcW w:w="599" w:type="pct"/>
            <w:shd w:val="clear" w:color="auto" w:fill="auto"/>
            <w:vAlign w:val="center"/>
          </w:tcPr>
          <w:p w14:paraId="45267367" w14:textId="77777777" w:rsidR="00D30F1D" w:rsidRPr="0058247A" w:rsidRDefault="00D30F1D" w:rsidP="00A25B4A">
            <w:pPr>
              <w:pStyle w:val="TableText0"/>
              <w:jc w:val="center"/>
            </w:pPr>
            <w:r w:rsidRPr="0058247A">
              <w:t>R, MC, OL</w:t>
            </w:r>
          </w:p>
          <w:p w14:paraId="6F26187F" w14:textId="77777777" w:rsidR="00D30F1D" w:rsidRPr="0058247A" w:rsidRDefault="00D30F1D" w:rsidP="00A25B4A">
            <w:pPr>
              <w:pStyle w:val="TableText0"/>
              <w:jc w:val="center"/>
            </w:pPr>
            <w:r w:rsidRPr="0058247A">
              <w:t>55 months</w:t>
            </w:r>
          </w:p>
        </w:tc>
        <w:tc>
          <w:tcPr>
            <w:tcW w:w="399" w:type="pct"/>
            <w:shd w:val="clear" w:color="auto" w:fill="auto"/>
            <w:vAlign w:val="center"/>
          </w:tcPr>
          <w:p w14:paraId="2386B76D" w14:textId="77777777" w:rsidR="00D30F1D" w:rsidRPr="0058247A" w:rsidRDefault="00D30F1D" w:rsidP="00A25B4A">
            <w:pPr>
              <w:pStyle w:val="TableText0"/>
              <w:jc w:val="center"/>
              <w:rPr>
                <w:iCs/>
              </w:rPr>
            </w:pPr>
            <w:r w:rsidRPr="0058247A">
              <w:rPr>
                <w:iCs/>
              </w:rPr>
              <w:t>Low</w:t>
            </w:r>
          </w:p>
        </w:tc>
        <w:tc>
          <w:tcPr>
            <w:tcW w:w="935" w:type="pct"/>
            <w:shd w:val="clear" w:color="auto" w:fill="auto"/>
            <w:vAlign w:val="center"/>
          </w:tcPr>
          <w:p w14:paraId="02378AAC" w14:textId="77777777" w:rsidR="00D30F1D" w:rsidRPr="0058247A" w:rsidRDefault="00D30F1D" w:rsidP="00A25B4A">
            <w:pPr>
              <w:pStyle w:val="TableText0"/>
              <w:jc w:val="center"/>
            </w:pPr>
            <w:r w:rsidRPr="0058247A">
              <w:t>Previously</w:t>
            </w:r>
          </w:p>
          <w:p w14:paraId="27CF9332" w14:textId="77777777" w:rsidR="00D30F1D" w:rsidRPr="0058247A" w:rsidRDefault="00D30F1D" w:rsidP="00A25B4A">
            <w:pPr>
              <w:pStyle w:val="TableText0"/>
              <w:jc w:val="center"/>
            </w:pPr>
            <w:r w:rsidRPr="0058247A">
              <w:t>untreated MM without an intent for</w:t>
            </w:r>
          </w:p>
          <w:p w14:paraId="614EAD2C" w14:textId="77777777" w:rsidR="00D30F1D" w:rsidRPr="0058247A" w:rsidRDefault="00D30F1D" w:rsidP="00A25B4A">
            <w:pPr>
              <w:pStyle w:val="TableText0"/>
              <w:jc w:val="center"/>
            </w:pPr>
            <w:r w:rsidRPr="0058247A">
              <w:t>immediate transplant.</w:t>
            </w:r>
          </w:p>
        </w:tc>
        <w:tc>
          <w:tcPr>
            <w:tcW w:w="1335" w:type="pct"/>
            <w:shd w:val="clear" w:color="auto" w:fill="auto"/>
            <w:vAlign w:val="center"/>
          </w:tcPr>
          <w:p w14:paraId="225650D2" w14:textId="77777777" w:rsidR="00D30F1D" w:rsidRPr="0058247A" w:rsidRDefault="00D30F1D" w:rsidP="00A25B4A">
            <w:pPr>
              <w:pStyle w:val="TableText0"/>
              <w:jc w:val="center"/>
            </w:pPr>
            <w:r w:rsidRPr="0058247A">
              <w:t>PFS, OS, ORR.</w:t>
            </w:r>
          </w:p>
        </w:tc>
        <w:tc>
          <w:tcPr>
            <w:tcW w:w="603" w:type="pct"/>
            <w:shd w:val="clear" w:color="auto" w:fill="auto"/>
            <w:vAlign w:val="center"/>
          </w:tcPr>
          <w:p w14:paraId="646747FA" w14:textId="77777777" w:rsidR="00D30F1D" w:rsidRPr="0058247A" w:rsidRDefault="00D30F1D" w:rsidP="00A25B4A">
            <w:pPr>
              <w:pStyle w:val="TableText0"/>
              <w:jc w:val="center"/>
            </w:pPr>
            <w:r w:rsidRPr="0058247A">
              <w:t>Not used</w:t>
            </w:r>
          </w:p>
        </w:tc>
      </w:tr>
    </w:tbl>
    <w:p w14:paraId="041399F2" w14:textId="77777777" w:rsidR="00D30F1D" w:rsidRPr="0058247A" w:rsidRDefault="00D30F1D" w:rsidP="00D30F1D">
      <w:pPr>
        <w:pStyle w:val="FooterTableFigure"/>
      </w:pPr>
      <w:r w:rsidRPr="0058247A">
        <w:t>Source: Table 2.23, p131, Table 2.24, p134 of the submission. Text from p134-136 of the submission.</w:t>
      </w:r>
    </w:p>
    <w:p w14:paraId="149116DD" w14:textId="283E62E3" w:rsidR="00D30F1D" w:rsidRPr="0088759C" w:rsidRDefault="00D30F1D" w:rsidP="00D30F1D">
      <w:pPr>
        <w:pStyle w:val="FooterTableFigure"/>
        <w:rPr>
          <w:szCs w:val="20"/>
        </w:rPr>
      </w:pPr>
      <w:r w:rsidRPr="0058247A">
        <w:t xml:space="preserve">CR= complete response; DB = double blind; DOR= duration of response; HRQoL= health related quality of life; IMWG= International Myeloma Working Group; ITT = intention-to-treat; MC= multi-centre; MM= multiple myeloma; MRD= minimal residual disease; NR= not reported; ORR= overall response rate; OS= overall survival; OL = open label; PFS= progression-free survival; PFS2= progression-free survival on next line of therapy; PR= partial response; R = randomised; sCR= stringent complete response; TI NDMM= transplant ineligible, newly diagnosed multiple myeloma; TTP= time to disease progression; TTR= time to response. </w:t>
      </w:r>
    </w:p>
    <w:p w14:paraId="1D26D35C" w14:textId="77777777" w:rsidR="00D30F1D" w:rsidRPr="0058247A" w:rsidRDefault="00D30F1D" w:rsidP="00D30F1D">
      <w:pPr>
        <w:pStyle w:val="4-SubsectionHeading"/>
      </w:pPr>
      <w:bookmarkStart w:id="41" w:name="_Toc121741813"/>
      <w:bookmarkStart w:id="42" w:name="_Toc124878973"/>
      <w:bookmarkStart w:id="43" w:name="_Toc22897641"/>
      <w:r w:rsidRPr="0058247A">
        <w:t>Comparative effectiveness</w:t>
      </w:r>
      <w:bookmarkEnd w:id="41"/>
      <w:bookmarkEnd w:id="42"/>
    </w:p>
    <w:bookmarkEnd w:id="43"/>
    <w:p w14:paraId="7587374D" w14:textId="77777777" w:rsidR="00D30F1D" w:rsidRPr="0058247A" w:rsidRDefault="00D30F1D" w:rsidP="00D30F1D">
      <w:pPr>
        <w:pStyle w:val="3-BodyText"/>
        <w:numPr>
          <w:ilvl w:val="0"/>
          <w:numId w:val="0"/>
        </w:numPr>
        <w:spacing w:after="0"/>
        <w:ind w:left="720" w:hanging="720"/>
        <w:rPr>
          <w:u w:val="single"/>
        </w:rPr>
      </w:pPr>
      <w:r w:rsidRPr="0058247A">
        <w:rPr>
          <w:u w:val="single"/>
        </w:rPr>
        <w:t>MAIA: DLd versus Ld</w:t>
      </w:r>
    </w:p>
    <w:p w14:paraId="5F617EBB" w14:textId="281521FD" w:rsidR="00D30F1D" w:rsidRPr="00B218AA" w:rsidRDefault="00D30F1D" w:rsidP="00D30F1D">
      <w:pPr>
        <w:pStyle w:val="3-BodyText"/>
        <w:rPr>
          <w:color w:val="0066FF"/>
        </w:rPr>
      </w:pPr>
      <w:r w:rsidRPr="0058247A">
        <w:rPr>
          <w:rFonts w:cstheme="minorHAnsi"/>
        </w:rPr>
        <w:t xml:space="preserve">A summary of the efficacy results for PFS and OS from the ITT population in MAIA is presented in </w:t>
      </w:r>
      <w:r w:rsidRPr="0058247A">
        <w:rPr>
          <w:rFonts w:cstheme="minorHAnsi"/>
        </w:rPr>
        <w:fldChar w:fldCharType="begin"/>
      </w:r>
      <w:r w:rsidRPr="0058247A">
        <w:rPr>
          <w:rFonts w:cstheme="minorHAnsi"/>
        </w:rPr>
        <w:instrText xml:space="preserve"> REF _Ref121314117 \h </w:instrText>
      </w:r>
      <w:r w:rsidRPr="0058247A">
        <w:rPr>
          <w:rFonts w:cstheme="minorHAnsi"/>
        </w:rPr>
      </w:r>
      <w:r w:rsidRPr="0058247A">
        <w:rPr>
          <w:rFonts w:cstheme="minorHAnsi"/>
        </w:rPr>
        <w:fldChar w:fldCharType="separate"/>
      </w:r>
      <w:r w:rsidR="008D65C7" w:rsidRPr="0058247A">
        <w:t xml:space="preserve">Table </w:t>
      </w:r>
      <w:r w:rsidR="008D65C7">
        <w:rPr>
          <w:noProof/>
        </w:rPr>
        <w:t>4</w:t>
      </w:r>
      <w:r w:rsidRPr="0058247A">
        <w:rPr>
          <w:rFonts w:cstheme="minorHAnsi"/>
        </w:rPr>
        <w:fldChar w:fldCharType="end"/>
      </w:r>
      <w:r w:rsidRPr="0058247A">
        <w:rPr>
          <w:rFonts w:cstheme="minorHAnsi"/>
        </w:rPr>
        <w:t xml:space="preserve"> with the corresponding Kaplan Meier (KM) curves presented in </w:t>
      </w:r>
      <w:r w:rsidRPr="0058247A">
        <w:rPr>
          <w:rFonts w:cstheme="minorHAnsi"/>
        </w:rPr>
        <w:fldChar w:fldCharType="begin"/>
      </w:r>
      <w:r w:rsidRPr="0058247A">
        <w:rPr>
          <w:rFonts w:cstheme="minorHAnsi"/>
        </w:rPr>
        <w:instrText xml:space="preserve"> REF _Ref121315155 \h </w:instrText>
      </w:r>
      <w:r w:rsidRPr="0058247A">
        <w:rPr>
          <w:rFonts w:cstheme="minorHAnsi"/>
        </w:rPr>
      </w:r>
      <w:r w:rsidRPr="0058247A">
        <w:rPr>
          <w:rFonts w:cstheme="minorHAnsi"/>
        </w:rPr>
        <w:fldChar w:fldCharType="separate"/>
      </w:r>
      <w:r w:rsidR="008D65C7" w:rsidRPr="0058247A">
        <w:t xml:space="preserve">Figure </w:t>
      </w:r>
      <w:r w:rsidR="008D65C7">
        <w:rPr>
          <w:noProof/>
        </w:rPr>
        <w:t>1</w:t>
      </w:r>
      <w:r w:rsidRPr="0058247A">
        <w:rPr>
          <w:rFonts w:cstheme="minorHAnsi"/>
        </w:rPr>
        <w:fldChar w:fldCharType="end"/>
      </w:r>
      <w:r w:rsidRPr="0058247A">
        <w:rPr>
          <w:rFonts w:cstheme="minorHAnsi"/>
        </w:rPr>
        <w:t xml:space="preserve"> and </w:t>
      </w:r>
      <w:r w:rsidRPr="0058247A">
        <w:rPr>
          <w:rFonts w:cstheme="minorHAnsi"/>
        </w:rPr>
        <w:fldChar w:fldCharType="begin"/>
      </w:r>
      <w:r w:rsidRPr="0058247A">
        <w:rPr>
          <w:rFonts w:cstheme="minorHAnsi"/>
        </w:rPr>
        <w:instrText xml:space="preserve"> REF _Ref121315157 \h </w:instrText>
      </w:r>
      <w:r w:rsidRPr="0058247A">
        <w:rPr>
          <w:rFonts w:cstheme="minorHAnsi"/>
        </w:rPr>
      </w:r>
      <w:r w:rsidRPr="0058247A">
        <w:rPr>
          <w:rFonts w:cstheme="minorHAnsi"/>
        </w:rPr>
        <w:fldChar w:fldCharType="separate"/>
      </w:r>
      <w:r w:rsidR="008D65C7" w:rsidRPr="0058247A">
        <w:t xml:space="preserve">Figure </w:t>
      </w:r>
      <w:r w:rsidR="008D65C7">
        <w:rPr>
          <w:noProof/>
        </w:rPr>
        <w:t>2</w:t>
      </w:r>
      <w:r w:rsidRPr="0058247A">
        <w:rPr>
          <w:rFonts w:cstheme="minorHAnsi"/>
        </w:rPr>
        <w:fldChar w:fldCharType="end"/>
      </w:r>
      <w:r w:rsidRPr="0058247A">
        <w:rPr>
          <w:rFonts w:cstheme="minorHAnsi"/>
        </w:rPr>
        <w:t xml:space="preserve">. </w:t>
      </w:r>
      <w:r w:rsidRPr="0058247A">
        <w:t xml:space="preserve">After a median follow-up of 64.5 months, significantly fewer deaths were observed in the DLd group (132/368; 35.9%) than in the Ld group </w:t>
      </w:r>
      <w:r w:rsidRPr="0058247A">
        <w:lastRenderedPageBreak/>
        <w:t>(176/369; 47.7%) (HR = 0.66; 95% CI: 0.53, 0.83; p &lt; 0.0003) with a 45% reduction in the risk of progressive disease (HR = 0.55; 95% CI: 0.45, 0.67; p</w:t>
      </w:r>
      <w:r w:rsidR="000533DA">
        <w:t> </w:t>
      </w:r>
      <w:r w:rsidRPr="0058247A">
        <w:t>&lt;</w:t>
      </w:r>
      <w:r w:rsidR="000533DA">
        <w:t> </w:t>
      </w:r>
      <w:r w:rsidRPr="0058247A">
        <w:t>0.0001).</w:t>
      </w:r>
    </w:p>
    <w:p w14:paraId="3A47AC38" w14:textId="3ECFB898" w:rsidR="00D30F1D" w:rsidRPr="0058247A" w:rsidRDefault="00D30F1D" w:rsidP="00A8529D">
      <w:pPr>
        <w:pStyle w:val="Caption"/>
        <w:keepLines w:val="0"/>
      </w:pPr>
      <w:bookmarkStart w:id="44" w:name="_Ref121314117"/>
      <w:r w:rsidRPr="0058247A">
        <w:t xml:space="preserve">Table </w:t>
      </w:r>
      <w:fldSimple w:instr=" SEQ Table \* ARABIC ">
        <w:r w:rsidR="008D65C7">
          <w:rPr>
            <w:noProof/>
          </w:rPr>
          <w:t>4</w:t>
        </w:r>
      </w:fldSimple>
      <w:bookmarkEnd w:id="44"/>
      <w:r w:rsidRPr="0058247A">
        <w:t>: Results of overall survival and progression free survival (MAIA, ITT population).</w:t>
      </w:r>
    </w:p>
    <w:tbl>
      <w:tblPr>
        <w:tblStyle w:val="ASDTable2"/>
        <w:tblW w:w="4969" w:type="pct"/>
        <w:tblLook w:val="04A0" w:firstRow="1" w:lastRow="0" w:firstColumn="1" w:lastColumn="0" w:noHBand="0" w:noVBand="1"/>
      </w:tblPr>
      <w:tblGrid>
        <w:gridCol w:w="4431"/>
        <w:gridCol w:w="2525"/>
        <w:gridCol w:w="2005"/>
      </w:tblGrid>
      <w:tr w:rsidR="00D30F1D" w:rsidRPr="0058247A" w14:paraId="6E4DA914" w14:textId="77777777" w:rsidTr="003B3112">
        <w:trPr>
          <w:trHeight w:val="60"/>
        </w:trPr>
        <w:tc>
          <w:tcPr>
            <w:tcW w:w="2472" w:type="pct"/>
          </w:tcPr>
          <w:p w14:paraId="6AA6A37A" w14:textId="77777777" w:rsidR="00D30F1D" w:rsidRPr="0058247A" w:rsidRDefault="00D30F1D" w:rsidP="00B218AA">
            <w:pPr>
              <w:jc w:val="left"/>
              <w:rPr>
                <w:rFonts w:ascii="Arial Narrow" w:hAnsi="Arial Narrow" w:cs="Calibri"/>
                <w:b/>
                <w:bCs/>
                <w:color w:val="000000"/>
                <w:sz w:val="20"/>
                <w:szCs w:val="20"/>
              </w:rPr>
            </w:pPr>
          </w:p>
        </w:tc>
        <w:tc>
          <w:tcPr>
            <w:tcW w:w="1409" w:type="pct"/>
          </w:tcPr>
          <w:p w14:paraId="15DA75EF" w14:textId="77777777" w:rsidR="00D30F1D" w:rsidRPr="0058247A" w:rsidRDefault="00D30F1D" w:rsidP="00B218AA">
            <w:pPr>
              <w:jc w:val="center"/>
              <w:rPr>
                <w:rFonts w:ascii="Arial Narrow" w:hAnsi="Arial Narrow" w:cs="Calibri"/>
                <w:b/>
                <w:bCs/>
                <w:color w:val="000000"/>
                <w:sz w:val="20"/>
                <w:szCs w:val="20"/>
              </w:rPr>
            </w:pPr>
            <w:r w:rsidRPr="0058247A">
              <w:rPr>
                <w:rFonts w:ascii="Arial Narrow" w:hAnsi="Arial Narrow" w:cs="Calibri"/>
                <w:b/>
                <w:bCs/>
                <w:color w:val="000000"/>
                <w:sz w:val="20"/>
                <w:szCs w:val="20"/>
              </w:rPr>
              <w:t>DLd (N= 368)</w:t>
            </w:r>
          </w:p>
        </w:tc>
        <w:tc>
          <w:tcPr>
            <w:tcW w:w="1119" w:type="pct"/>
          </w:tcPr>
          <w:p w14:paraId="78EB19E7" w14:textId="77777777" w:rsidR="00D30F1D" w:rsidRPr="0058247A" w:rsidRDefault="00D30F1D" w:rsidP="00B218AA">
            <w:pPr>
              <w:jc w:val="center"/>
              <w:rPr>
                <w:rFonts w:ascii="Arial Narrow" w:hAnsi="Arial Narrow" w:cs="Calibri"/>
                <w:b/>
                <w:bCs/>
                <w:color w:val="000000"/>
                <w:sz w:val="20"/>
                <w:szCs w:val="20"/>
              </w:rPr>
            </w:pPr>
            <w:r w:rsidRPr="0058247A">
              <w:rPr>
                <w:rFonts w:ascii="Arial Narrow" w:hAnsi="Arial Narrow" w:cs="Calibri"/>
                <w:b/>
                <w:bCs/>
                <w:color w:val="000000"/>
                <w:sz w:val="20"/>
                <w:szCs w:val="20"/>
              </w:rPr>
              <w:t>Ld (N= 369)</w:t>
            </w:r>
          </w:p>
        </w:tc>
      </w:tr>
      <w:tr w:rsidR="00D30F1D" w:rsidRPr="0058247A" w14:paraId="7C8641CB" w14:textId="77777777" w:rsidTr="00A25B4A">
        <w:trPr>
          <w:trHeight w:val="197"/>
        </w:trPr>
        <w:tc>
          <w:tcPr>
            <w:tcW w:w="2472" w:type="pct"/>
          </w:tcPr>
          <w:p w14:paraId="345C4F57" w14:textId="7777777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color w:val="000000"/>
                <w:sz w:val="20"/>
                <w:szCs w:val="20"/>
              </w:rPr>
              <w:t>Median follow-up (months)</w:t>
            </w:r>
          </w:p>
        </w:tc>
        <w:tc>
          <w:tcPr>
            <w:tcW w:w="2528" w:type="pct"/>
            <w:gridSpan w:val="2"/>
          </w:tcPr>
          <w:p w14:paraId="545C85CF" w14:textId="77777777" w:rsidR="00D30F1D" w:rsidRPr="0058247A" w:rsidRDefault="00D30F1D" w:rsidP="00B218AA">
            <w:pPr>
              <w:jc w:val="center"/>
              <w:rPr>
                <w:rFonts w:ascii="Arial Narrow" w:hAnsi="Arial Narrow" w:cs="Calibri"/>
                <w:color w:val="000000"/>
                <w:sz w:val="20"/>
                <w:szCs w:val="20"/>
              </w:rPr>
            </w:pPr>
            <w:r w:rsidRPr="0058247A">
              <w:rPr>
                <w:rFonts w:ascii="Arial Narrow" w:hAnsi="Arial Narrow" w:cs="Calibri"/>
                <w:color w:val="000000"/>
                <w:sz w:val="20"/>
                <w:szCs w:val="20"/>
              </w:rPr>
              <w:t>64.5</w:t>
            </w:r>
          </w:p>
        </w:tc>
      </w:tr>
      <w:tr w:rsidR="00D30F1D" w:rsidRPr="0058247A" w14:paraId="4D4DAEE3" w14:textId="77777777" w:rsidTr="00A25B4A">
        <w:trPr>
          <w:trHeight w:val="197"/>
        </w:trPr>
        <w:tc>
          <w:tcPr>
            <w:tcW w:w="5000" w:type="pct"/>
            <w:gridSpan w:val="3"/>
            <w:vAlign w:val="center"/>
          </w:tcPr>
          <w:p w14:paraId="459702A8" w14:textId="7777777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b/>
                <w:bCs/>
                <w:color w:val="000000"/>
                <w:sz w:val="20"/>
                <w:szCs w:val="20"/>
              </w:rPr>
              <w:t>PFS</w:t>
            </w:r>
          </w:p>
        </w:tc>
      </w:tr>
      <w:tr w:rsidR="00D30F1D" w:rsidRPr="0058247A" w14:paraId="41FE9533" w14:textId="77777777" w:rsidTr="00A25B4A">
        <w:trPr>
          <w:trHeight w:val="197"/>
        </w:trPr>
        <w:tc>
          <w:tcPr>
            <w:tcW w:w="2472" w:type="pct"/>
          </w:tcPr>
          <w:p w14:paraId="383B1BB9" w14:textId="7777777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color w:val="000000"/>
                <w:sz w:val="20"/>
                <w:szCs w:val="20"/>
              </w:rPr>
              <w:t>Number of events (%)</w:t>
            </w:r>
          </w:p>
        </w:tc>
        <w:tc>
          <w:tcPr>
            <w:tcW w:w="1409" w:type="pct"/>
          </w:tcPr>
          <w:p w14:paraId="4EA35934" w14:textId="77777777" w:rsidR="00D30F1D" w:rsidRPr="0058247A" w:rsidRDefault="00D30F1D" w:rsidP="00B218AA">
            <w:pPr>
              <w:jc w:val="center"/>
              <w:rPr>
                <w:rFonts w:ascii="Arial Narrow" w:hAnsi="Arial Narrow" w:cs="Calibri"/>
                <w:color w:val="000000"/>
                <w:sz w:val="20"/>
                <w:szCs w:val="20"/>
              </w:rPr>
            </w:pPr>
            <w:r w:rsidRPr="0058247A">
              <w:rPr>
                <w:rFonts w:ascii="Arial Narrow" w:hAnsi="Arial Narrow" w:cs="Calibri"/>
                <w:color w:val="000000"/>
                <w:sz w:val="20"/>
                <w:szCs w:val="20"/>
              </w:rPr>
              <w:t>176 (47.8)</w:t>
            </w:r>
          </w:p>
        </w:tc>
        <w:tc>
          <w:tcPr>
            <w:tcW w:w="1119" w:type="pct"/>
          </w:tcPr>
          <w:p w14:paraId="6BA2074A" w14:textId="77777777" w:rsidR="00D30F1D" w:rsidRPr="0058247A" w:rsidRDefault="00D30F1D" w:rsidP="00B218AA">
            <w:pPr>
              <w:jc w:val="center"/>
              <w:rPr>
                <w:rFonts w:ascii="Arial Narrow" w:hAnsi="Arial Narrow" w:cs="Calibri"/>
                <w:color w:val="000000"/>
                <w:sz w:val="20"/>
                <w:szCs w:val="20"/>
              </w:rPr>
            </w:pPr>
            <w:r w:rsidRPr="0058247A">
              <w:rPr>
                <w:rFonts w:ascii="Arial Narrow" w:hAnsi="Arial Narrow" w:cs="Calibri"/>
                <w:color w:val="000000"/>
                <w:sz w:val="20"/>
                <w:szCs w:val="20"/>
              </w:rPr>
              <w:t>228 (61.8)</w:t>
            </w:r>
          </w:p>
        </w:tc>
      </w:tr>
      <w:tr w:rsidR="00D30F1D" w:rsidRPr="0058247A" w14:paraId="61691964" w14:textId="77777777" w:rsidTr="00A25B4A">
        <w:trPr>
          <w:trHeight w:val="210"/>
        </w:trPr>
        <w:tc>
          <w:tcPr>
            <w:tcW w:w="2472" w:type="pct"/>
          </w:tcPr>
          <w:p w14:paraId="5EAE8DFB" w14:textId="7777777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color w:val="000000"/>
                <w:sz w:val="20"/>
                <w:szCs w:val="20"/>
              </w:rPr>
              <w:t>Number censored (%)</w:t>
            </w:r>
          </w:p>
        </w:tc>
        <w:tc>
          <w:tcPr>
            <w:tcW w:w="1409" w:type="pct"/>
          </w:tcPr>
          <w:p w14:paraId="6989C8D2" w14:textId="77777777" w:rsidR="00D30F1D" w:rsidRPr="0058247A" w:rsidRDefault="00D30F1D" w:rsidP="00B218AA">
            <w:pPr>
              <w:jc w:val="center"/>
              <w:rPr>
                <w:rFonts w:ascii="Arial Narrow" w:hAnsi="Arial Narrow" w:cs="Calibri"/>
                <w:color w:val="000000"/>
                <w:sz w:val="20"/>
                <w:szCs w:val="20"/>
              </w:rPr>
            </w:pPr>
            <w:r w:rsidRPr="0058247A">
              <w:rPr>
                <w:rFonts w:ascii="Arial Narrow" w:hAnsi="Arial Narrow" w:cs="Calibri"/>
                <w:color w:val="000000"/>
                <w:sz w:val="20"/>
                <w:szCs w:val="20"/>
              </w:rPr>
              <w:t>192 (52.2)</w:t>
            </w:r>
          </w:p>
        </w:tc>
        <w:tc>
          <w:tcPr>
            <w:tcW w:w="1119" w:type="pct"/>
          </w:tcPr>
          <w:p w14:paraId="65EA1D0B" w14:textId="77777777" w:rsidR="00D30F1D" w:rsidRPr="0058247A" w:rsidRDefault="00D30F1D" w:rsidP="00B218AA">
            <w:pPr>
              <w:tabs>
                <w:tab w:val="left" w:pos="2980"/>
              </w:tabs>
              <w:jc w:val="center"/>
              <w:rPr>
                <w:rFonts w:ascii="Arial Narrow" w:hAnsi="Arial Narrow" w:cs="Calibri"/>
                <w:color w:val="000000"/>
                <w:sz w:val="20"/>
                <w:szCs w:val="20"/>
              </w:rPr>
            </w:pPr>
            <w:r w:rsidRPr="0058247A">
              <w:rPr>
                <w:rFonts w:ascii="Arial Narrow" w:hAnsi="Arial Narrow" w:cs="Calibri"/>
                <w:color w:val="000000"/>
                <w:sz w:val="20"/>
                <w:szCs w:val="20"/>
              </w:rPr>
              <w:t>141 (38.2)</w:t>
            </w:r>
          </w:p>
        </w:tc>
      </w:tr>
      <w:tr w:rsidR="00D30F1D" w:rsidRPr="0058247A" w14:paraId="383C8BF5" w14:textId="77777777" w:rsidTr="00A25B4A">
        <w:trPr>
          <w:trHeight w:val="60"/>
        </w:trPr>
        <w:tc>
          <w:tcPr>
            <w:tcW w:w="2472" w:type="pct"/>
          </w:tcPr>
          <w:p w14:paraId="18000ED6" w14:textId="7C8AA6B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color w:val="000000"/>
                <w:sz w:val="20"/>
                <w:szCs w:val="20"/>
              </w:rPr>
              <w:t>Median Kaplan-Meier estimate (months, 95% CI)</w:t>
            </w:r>
          </w:p>
        </w:tc>
        <w:tc>
          <w:tcPr>
            <w:tcW w:w="1409" w:type="pct"/>
          </w:tcPr>
          <w:p w14:paraId="5545E4BC" w14:textId="77777777" w:rsidR="00D30F1D" w:rsidRPr="0058247A" w:rsidRDefault="00D30F1D" w:rsidP="00B218AA">
            <w:pPr>
              <w:jc w:val="center"/>
              <w:rPr>
                <w:rFonts w:ascii="Arial Narrow" w:hAnsi="Arial Narrow" w:cs="Calibri"/>
                <w:color w:val="000000"/>
                <w:sz w:val="20"/>
                <w:szCs w:val="20"/>
              </w:rPr>
            </w:pPr>
            <w:r w:rsidRPr="0058247A">
              <w:rPr>
                <w:rFonts w:ascii="Arial Narrow" w:hAnsi="Arial Narrow" w:cs="Calibri"/>
                <w:color w:val="000000"/>
                <w:sz w:val="20"/>
                <w:szCs w:val="20"/>
              </w:rPr>
              <w:t>61.9 (54.8, NE)</w:t>
            </w:r>
          </w:p>
        </w:tc>
        <w:tc>
          <w:tcPr>
            <w:tcW w:w="1119" w:type="pct"/>
          </w:tcPr>
          <w:p w14:paraId="7564D497" w14:textId="77777777" w:rsidR="00D30F1D" w:rsidRPr="0058247A" w:rsidRDefault="00D30F1D" w:rsidP="00B218AA">
            <w:pPr>
              <w:jc w:val="center"/>
              <w:rPr>
                <w:rFonts w:ascii="Arial Narrow" w:hAnsi="Arial Narrow" w:cs="Calibri"/>
                <w:color w:val="000000"/>
                <w:sz w:val="20"/>
                <w:szCs w:val="20"/>
              </w:rPr>
            </w:pPr>
            <w:r w:rsidRPr="0058247A">
              <w:rPr>
                <w:rFonts w:ascii="Arial Narrow" w:hAnsi="Arial Narrow" w:cs="Calibri"/>
                <w:color w:val="000000"/>
                <w:sz w:val="20"/>
                <w:szCs w:val="20"/>
              </w:rPr>
              <w:t>34.4 (29.6, 39.2)</w:t>
            </w:r>
          </w:p>
        </w:tc>
      </w:tr>
      <w:tr w:rsidR="00D30F1D" w:rsidRPr="0058247A" w14:paraId="3ED038F7" w14:textId="77777777" w:rsidTr="00A25B4A">
        <w:trPr>
          <w:trHeight w:val="197"/>
        </w:trPr>
        <w:tc>
          <w:tcPr>
            <w:tcW w:w="2472" w:type="pct"/>
          </w:tcPr>
          <w:p w14:paraId="05D20D73" w14:textId="7777777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color w:val="000000"/>
                <w:sz w:val="20"/>
                <w:szCs w:val="20"/>
              </w:rPr>
              <w:t xml:space="preserve">p-value </w:t>
            </w:r>
            <w:r w:rsidRPr="0058247A">
              <w:rPr>
                <w:rFonts w:ascii="Arial Narrow" w:hAnsi="Arial Narrow" w:cs="Calibri"/>
                <w:color w:val="000000"/>
                <w:sz w:val="20"/>
                <w:szCs w:val="20"/>
                <w:vertAlign w:val="superscript"/>
              </w:rPr>
              <w:t>a</w:t>
            </w:r>
          </w:p>
        </w:tc>
        <w:tc>
          <w:tcPr>
            <w:tcW w:w="2528" w:type="pct"/>
            <w:gridSpan w:val="2"/>
          </w:tcPr>
          <w:p w14:paraId="665AA747" w14:textId="77777777" w:rsidR="00D30F1D" w:rsidRPr="0058247A" w:rsidRDefault="00D30F1D" w:rsidP="00B218AA">
            <w:pPr>
              <w:jc w:val="center"/>
              <w:rPr>
                <w:rFonts w:ascii="Arial Narrow" w:hAnsi="Arial Narrow" w:cs="Calibri"/>
                <w:b/>
                <w:bCs/>
                <w:color w:val="000000"/>
                <w:sz w:val="20"/>
                <w:szCs w:val="20"/>
              </w:rPr>
            </w:pPr>
            <w:r w:rsidRPr="0058247A">
              <w:rPr>
                <w:rFonts w:ascii="Arial Narrow" w:hAnsi="Arial Narrow" w:cs="Calibri"/>
                <w:b/>
                <w:bCs/>
                <w:color w:val="000000"/>
                <w:sz w:val="20"/>
                <w:szCs w:val="20"/>
              </w:rPr>
              <w:t>&lt; 0.0001</w:t>
            </w:r>
          </w:p>
        </w:tc>
      </w:tr>
      <w:tr w:rsidR="00D30F1D" w:rsidRPr="0058247A" w14:paraId="147EE2F8" w14:textId="77777777" w:rsidTr="00A25B4A">
        <w:trPr>
          <w:trHeight w:val="197"/>
        </w:trPr>
        <w:tc>
          <w:tcPr>
            <w:tcW w:w="2472" w:type="pct"/>
          </w:tcPr>
          <w:p w14:paraId="55264454" w14:textId="77777777" w:rsidR="00D30F1D" w:rsidRPr="0058247A" w:rsidRDefault="00D30F1D" w:rsidP="00B218AA">
            <w:pPr>
              <w:jc w:val="left"/>
              <w:rPr>
                <w:rFonts w:ascii="Arial Narrow" w:hAnsi="Arial Narrow" w:cs="Calibri"/>
                <w:color w:val="000000"/>
                <w:sz w:val="20"/>
                <w:szCs w:val="20"/>
              </w:rPr>
            </w:pPr>
            <w:r w:rsidRPr="0058247A">
              <w:rPr>
                <w:rFonts w:ascii="Arial Narrow" w:hAnsi="Arial Narrow" w:cs="Calibri"/>
                <w:color w:val="000000"/>
                <w:sz w:val="20"/>
                <w:szCs w:val="20"/>
              </w:rPr>
              <w:t xml:space="preserve">Hazard ratio (95% CI) </w:t>
            </w:r>
            <w:r w:rsidRPr="0058247A">
              <w:rPr>
                <w:rFonts w:ascii="Arial Narrow" w:hAnsi="Arial Narrow" w:cs="Calibri"/>
                <w:color w:val="000000"/>
                <w:sz w:val="20"/>
                <w:szCs w:val="20"/>
                <w:vertAlign w:val="superscript"/>
              </w:rPr>
              <w:t>b</w:t>
            </w:r>
          </w:p>
        </w:tc>
        <w:tc>
          <w:tcPr>
            <w:tcW w:w="2528" w:type="pct"/>
            <w:gridSpan w:val="2"/>
          </w:tcPr>
          <w:p w14:paraId="38183A3C" w14:textId="77777777" w:rsidR="00D30F1D" w:rsidRPr="0058247A" w:rsidRDefault="00D30F1D" w:rsidP="00B218AA">
            <w:pPr>
              <w:jc w:val="center"/>
              <w:rPr>
                <w:rFonts w:ascii="Arial Narrow" w:hAnsi="Arial Narrow" w:cs="Calibri"/>
                <w:b/>
                <w:bCs/>
                <w:color w:val="000000"/>
                <w:sz w:val="20"/>
                <w:szCs w:val="20"/>
              </w:rPr>
            </w:pPr>
            <w:r w:rsidRPr="0058247A">
              <w:rPr>
                <w:rFonts w:ascii="Arial Narrow" w:hAnsi="Arial Narrow" w:cs="Calibri"/>
                <w:b/>
                <w:bCs/>
                <w:color w:val="000000"/>
                <w:sz w:val="20"/>
                <w:szCs w:val="20"/>
              </w:rPr>
              <w:t>0.55 (0.45, 0.67)</w:t>
            </w:r>
          </w:p>
        </w:tc>
      </w:tr>
      <w:tr w:rsidR="00D30F1D" w:rsidRPr="0058247A" w14:paraId="49198496" w14:textId="77777777" w:rsidTr="00A25B4A">
        <w:trPr>
          <w:trHeight w:val="151"/>
          <w:tblHeader/>
        </w:trPr>
        <w:tc>
          <w:tcPr>
            <w:tcW w:w="5000" w:type="pct"/>
            <w:gridSpan w:val="3"/>
            <w:tcBorders>
              <w:bottom w:val="single" w:sz="4" w:space="0" w:color="auto"/>
            </w:tcBorders>
            <w:shd w:val="clear" w:color="auto" w:fill="auto"/>
            <w:vAlign w:val="center"/>
          </w:tcPr>
          <w:p w14:paraId="62D60F65" w14:textId="77777777" w:rsidR="00D30F1D" w:rsidRPr="0058247A" w:rsidRDefault="00D30F1D" w:rsidP="00B218AA">
            <w:pPr>
              <w:jc w:val="left"/>
              <w:rPr>
                <w:rFonts w:ascii="Arial Narrow" w:hAnsi="Arial Narrow" w:cs="Times New Roman"/>
                <w:b/>
                <w:bCs/>
                <w:sz w:val="20"/>
                <w:szCs w:val="20"/>
              </w:rPr>
            </w:pPr>
            <w:r w:rsidRPr="0058247A">
              <w:rPr>
                <w:rFonts w:ascii="Arial Narrow" w:hAnsi="Arial Narrow" w:cs="Times New Roman"/>
                <w:b/>
                <w:bCs/>
                <w:sz w:val="20"/>
                <w:szCs w:val="20"/>
              </w:rPr>
              <w:t>OS</w:t>
            </w:r>
          </w:p>
        </w:tc>
      </w:tr>
      <w:tr w:rsidR="00D30F1D" w:rsidRPr="0058247A" w14:paraId="458A3B3C" w14:textId="77777777" w:rsidTr="00A25B4A">
        <w:trPr>
          <w:trHeight w:val="197"/>
        </w:trPr>
        <w:tc>
          <w:tcPr>
            <w:tcW w:w="2472" w:type="pct"/>
          </w:tcPr>
          <w:p w14:paraId="730041BC" w14:textId="77777777" w:rsidR="00D30F1D" w:rsidRPr="0058247A" w:rsidRDefault="00D30F1D" w:rsidP="00B218AA">
            <w:pPr>
              <w:tabs>
                <w:tab w:val="left" w:pos="2980"/>
              </w:tabs>
              <w:jc w:val="left"/>
              <w:rPr>
                <w:rFonts w:ascii="Arial Narrow" w:hAnsi="Arial Narrow" w:cs="Times New Roman"/>
                <w:sz w:val="20"/>
                <w:szCs w:val="20"/>
              </w:rPr>
            </w:pPr>
            <w:r w:rsidRPr="0058247A">
              <w:rPr>
                <w:rFonts w:ascii="Arial Narrow" w:hAnsi="Arial Narrow" w:cs="Times New Roman"/>
                <w:sz w:val="20"/>
                <w:szCs w:val="20"/>
              </w:rPr>
              <w:t>Number of events (%)</w:t>
            </w:r>
          </w:p>
        </w:tc>
        <w:tc>
          <w:tcPr>
            <w:tcW w:w="1409" w:type="pct"/>
            <w:vAlign w:val="center"/>
          </w:tcPr>
          <w:p w14:paraId="6BE6C1EE" w14:textId="77777777" w:rsidR="00D30F1D" w:rsidRPr="0058247A" w:rsidRDefault="00D30F1D" w:rsidP="00B218A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132 (35.9)</w:t>
            </w:r>
          </w:p>
        </w:tc>
        <w:tc>
          <w:tcPr>
            <w:tcW w:w="1119" w:type="pct"/>
            <w:vAlign w:val="center"/>
          </w:tcPr>
          <w:p w14:paraId="0EAAB263" w14:textId="77777777" w:rsidR="00D30F1D" w:rsidRPr="0058247A" w:rsidRDefault="00D30F1D" w:rsidP="00B218AA">
            <w:pPr>
              <w:jc w:val="center"/>
              <w:rPr>
                <w:rFonts w:ascii="Arial Narrow" w:hAnsi="Arial Narrow" w:cs="Times New Roman"/>
                <w:sz w:val="20"/>
                <w:szCs w:val="20"/>
              </w:rPr>
            </w:pPr>
            <w:r w:rsidRPr="0058247A">
              <w:rPr>
                <w:rFonts w:ascii="Arial Narrow" w:hAnsi="Arial Narrow" w:cs="Times New Roman"/>
                <w:sz w:val="20"/>
                <w:szCs w:val="20"/>
              </w:rPr>
              <w:t xml:space="preserve">176 (47.7) </w:t>
            </w:r>
          </w:p>
        </w:tc>
      </w:tr>
      <w:tr w:rsidR="00D30F1D" w:rsidRPr="0058247A" w14:paraId="70D24353" w14:textId="77777777" w:rsidTr="00A25B4A">
        <w:trPr>
          <w:trHeight w:val="210"/>
        </w:trPr>
        <w:tc>
          <w:tcPr>
            <w:tcW w:w="2472" w:type="pct"/>
          </w:tcPr>
          <w:p w14:paraId="630F3A45" w14:textId="77777777" w:rsidR="00D30F1D" w:rsidRPr="0058247A" w:rsidRDefault="00D30F1D" w:rsidP="00B218AA">
            <w:pPr>
              <w:jc w:val="left"/>
              <w:rPr>
                <w:rFonts w:ascii="Arial Narrow" w:hAnsi="Arial Narrow" w:cs="Times New Roman"/>
                <w:sz w:val="20"/>
                <w:szCs w:val="20"/>
              </w:rPr>
            </w:pPr>
            <w:r w:rsidRPr="0058247A">
              <w:rPr>
                <w:rFonts w:ascii="Arial Narrow" w:hAnsi="Arial Narrow" w:cs="Times New Roman"/>
                <w:sz w:val="20"/>
                <w:szCs w:val="20"/>
              </w:rPr>
              <w:t>Number censored (%)</w:t>
            </w:r>
          </w:p>
        </w:tc>
        <w:tc>
          <w:tcPr>
            <w:tcW w:w="1409" w:type="pct"/>
            <w:vAlign w:val="center"/>
          </w:tcPr>
          <w:p w14:paraId="5A3B6239" w14:textId="77777777" w:rsidR="00D30F1D" w:rsidRPr="0058247A" w:rsidRDefault="00D30F1D" w:rsidP="00B218AA">
            <w:pPr>
              <w:jc w:val="center"/>
              <w:rPr>
                <w:rFonts w:ascii="Arial Narrow" w:hAnsi="Arial Narrow" w:cs="Times New Roman"/>
                <w:sz w:val="20"/>
                <w:szCs w:val="20"/>
              </w:rPr>
            </w:pPr>
            <w:r w:rsidRPr="0058247A">
              <w:rPr>
                <w:rFonts w:ascii="Arial Narrow" w:hAnsi="Arial Narrow" w:cs="Times New Roman"/>
                <w:sz w:val="20"/>
                <w:szCs w:val="20"/>
              </w:rPr>
              <w:t>236 (64.1)</w:t>
            </w:r>
          </w:p>
        </w:tc>
        <w:tc>
          <w:tcPr>
            <w:tcW w:w="1119" w:type="pct"/>
            <w:vAlign w:val="center"/>
          </w:tcPr>
          <w:p w14:paraId="333419E5" w14:textId="77777777" w:rsidR="00D30F1D" w:rsidRPr="0058247A" w:rsidRDefault="00D30F1D" w:rsidP="00B218A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 xml:space="preserve">193 (52.3) </w:t>
            </w:r>
          </w:p>
        </w:tc>
      </w:tr>
      <w:tr w:rsidR="00D30F1D" w:rsidRPr="0058247A" w14:paraId="18EFA540" w14:textId="77777777" w:rsidTr="00A25B4A">
        <w:trPr>
          <w:trHeight w:val="281"/>
        </w:trPr>
        <w:tc>
          <w:tcPr>
            <w:tcW w:w="2472" w:type="pct"/>
            <w:vAlign w:val="center"/>
          </w:tcPr>
          <w:p w14:paraId="4D6DBEE3" w14:textId="6E2AAED7" w:rsidR="00D30F1D" w:rsidRPr="0058247A" w:rsidRDefault="00D30F1D" w:rsidP="00B218AA">
            <w:pPr>
              <w:rPr>
                <w:rFonts w:ascii="Arial Narrow" w:hAnsi="Arial Narrow" w:cs="Times New Roman"/>
                <w:sz w:val="20"/>
                <w:szCs w:val="20"/>
              </w:rPr>
            </w:pPr>
            <w:r w:rsidRPr="0058247A">
              <w:rPr>
                <w:rFonts w:ascii="Arial Narrow" w:hAnsi="Arial Narrow" w:cs="Times New Roman"/>
                <w:sz w:val="20"/>
                <w:szCs w:val="20"/>
              </w:rPr>
              <w:t>Median Kaplan-Meier estimate (months, 95% CI)</w:t>
            </w:r>
          </w:p>
        </w:tc>
        <w:tc>
          <w:tcPr>
            <w:tcW w:w="1409" w:type="pct"/>
            <w:vAlign w:val="center"/>
          </w:tcPr>
          <w:p w14:paraId="0640EE7F" w14:textId="77777777" w:rsidR="00D30F1D" w:rsidRPr="0058247A" w:rsidRDefault="00D30F1D" w:rsidP="00B218AA">
            <w:pPr>
              <w:jc w:val="center"/>
              <w:rPr>
                <w:rFonts w:ascii="Arial Narrow" w:hAnsi="Arial Narrow" w:cs="Times New Roman"/>
                <w:sz w:val="20"/>
                <w:szCs w:val="20"/>
              </w:rPr>
            </w:pPr>
            <w:r w:rsidRPr="0058247A">
              <w:rPr>
                <w:rFonts w:ascii="Arial Narrow" w:hAnsi="Arial Narrow" w:cs="Times New Roman"/>
                <w:sz w:val="20"/>
                <w:szCs w:val="20"/>
              </w:rPr>
              <w:t>NE (73.72, NE)</w:t>
            </w:r>
          </w:p>
        </w:tc>
        <w:tc>
          <w:tcPr>
            <w:tcW w:w="1119" w:type="pct"/>
            <w:vAlign w:val="center"/>
          </w:tcPr>
          <w:p w14:paraId="040A446C" w14:textId="77777777" w:rsidR="00D30F1D" w:rsidRPr="0058247A" w:rsidRDefault="00D30F1D" w:rsidP="00B218AA">
            <w:pPr>
              <w:jc w:val="center"/>
              <w:rPr>
                <w:rFonts w:ascii="Arial Narrow" w:hAnsi="Arial Narrow" w:cs="Times New Roman"/>
                <w:sz w:val="20"/>
                <w:szCs w:val="20"/>
              </w:rPr>
            </w:pPr>
            <w:r w:rsidRPr="0058247A">
              <w:rPr>
                <w:rFonts w:ascii="Arial Narrow" w:hAnsi="Arial Narrow" w:cs="Times New Roman"/>
                <w:sz w:val="20"/>
                <w:szCs w:val="20"/>
              </w:rPr>
              <w:t>65.54 (55.98, 75.66)</w:t>
            </w:r>
          </w:p>
        </w:tc>
      </w:tr>
      <w:tr w:rsidR="00D30F1D" w:rsidRPr="0058247A" w14:paraId="4070247E" w14:textId="77777777" w:rsidTr="00A25B4A">
        <w:trPr>
          <w:trHeight w:val="197"/>
        </w:trPr>
        <w:tc>
          <w:tcPr>
            <w:tcW w:w="2472" w:type="pct"/>
          </w:tcPr>
          <w:p w14:paraId="3CA33CB3" w14:textId="77777777" w:rsidR="00D30F1D" w:rsidRPr="0058247A" w:rsidRDefault="00D30F1D" w:rsidP="00B218AA">
            <w:pPr>
              <w:jc w:val="left"/>
              <w:rPr>
                <w:rFonts w:ascii="Arial Narrow" w:hAnsi="Arial Narrow" w:cs="Times New Roman"/>
                <w:sz w:val="20"/>
                <w:szCs w:val="20"/>
              </w:rPr>
            </w:pPr>
            <w:r w:rsidRPr="0058247A">
              <w:rPr>
                <w:rFonts w:ascii="Arial Narrow" w:hAnsi="Arial Narrow" w:cs="Times New Roman"/>
                <w:sz w:val="20"/>
                <w:szCs w:val="20"/>
              </w:rPr>
              <w:t xml:space="preserve">p-value </w:t>
            </w:r>
            <w:r w:rsidRPr="0058247A">
              <w:rPr>
                <w:rFonts w:ascii="Arial Narrow" w:hAnsi="Arial Narrow" w:cs="Times New Roman"/>
                <w:sz w:val="20"/>
                <w:szCs w:val="20"/>
                <w:vertAlign w:val="superscript"/>
              </w:rPr>
              <w:t>a</w:t>
            </w:r>
          </w:p>
        </w:tc>
        <w:tc>
          <w:tcPr>
            <w:tcW w:w="2528" w:type="pct"/>
            <w:gridSpan w:val="2"/>
            <w:vAlign w:val="center"/>
          </w:tcPr>
          <w:p w14:paraId="5D5C7E8F" w14:textId="77777777" w:rsidR="00D30F1D" w:rsidRPr="0058247A" w:rsidRDefault="00D30F1D" w:rsidP="00B218AA">
            <w:pPr>
              <w:jc w:val="center"/>
              <w:rPr>
                <w:rFonts w:ascii="Arial Narrow" w:hAnsi="Arial Narrow" w:cs="Times New Roman"/>
                <w:b/>
                <w:bCs/>
                <w:sz w:val="20"/>
                <w:szCs w:val="20"/>
              </w:rPr>
            </w:pPr>
            <w:r w:rsidRPr="0058247A">
              <w:rPr>
                <w:rFonts w:ascii="Arial Narrow" w:hAnsi="Arial Narrow" w:cs="Times New Roman"/>
                <w:b/>
                <w:bCs/>
                <w:sz w:val="20"/>
                <w:szCs w:val="20"/>
              </w:rPr>
              <w:t>0.0003</w:t>
            </w:r>
          </w:p>
        </w:tc>
      </w:tr>
      <w:tr w:rsidR="00D30F1D" w:rsidRPr="0058247A" w14:paraId="5FF43DFB" w14:textId="77777777" w:rsidTr="00A25B4A">
        <w:trPr>
          <w:trHeight w:val="197"/>
        </w:trPr>
        <w:tc>
          <w:tcPr>
            <w:tcW w:w="2472" w:type="pct"/>
          </w:tcPr>
          <w:p w14:paraId="2934C8DF" w14:textId="77777777" w:rsidR="00D30F1D" w:rsidRPr="0058247A" w:rsidRDefault="00D30F1D" w:rsidP="00B218AA">
            <w:pPr>
              <w:jc w:val="left"/>
              <w:rPr>
                <w:rFonts w:ascii="Arial Narrow" w:hAnsi="Arial Narrow" w:cs="Times New Roman"/>
                <w:sz w:val="20"/>
                <w:szCs w:val="20"/>
              </w:rPr>
            </w:pPr>
            <w:r w:rsidRPr="0058247A">
              <w:rPr>
                <w:rFonts w:ascii="Arial Narrow" w:hAnsi="Arial Narrow" w:cs="Times New Roman"/>
                <w:sz w:val="20"/>
                <w:szCs w:val="20"/>
              </w:rPr>
              <w:t xml:space="preserve">Hazard ratio (95% CI) </w:t>
            </w:r>
            <w:r w:rsidRPr="0058247A">
              <w:rPr>
                <w:rFonts w:ascii="Arial Narrow" w:hAnsi="Arial Narrow" w:cs="Times New Roman"/>
                <w:sz w:val="20"/>
                <w:szCs w:val="20"/>
                <w:vertAlign w:val="superscript"/>
              </w:rPr>
              <w:t>b</w:t>
            </w:r>
          </w:p>
        </w:tc>
        <w:tc>
          <w:tcPr>
            <w:tcW w:w="2528" w:type="pct"/>
            <w:gridSpan w:val="2"/>
            <w:vAlign w:val="center"/>
          </w:tcPr>
          <w:p w14:paraId="690AD758" w14:textId="77777777" w:rsidR="00D30F1D" w:rsidRPr="0058247A" w:rsidRDefault="00D30F1D" w:rsidP="00B218AA">
            <w:pPr>
              <w:jc w:val="center"/>
              <w:rPr>
                <w:rFonts w:ascii="Arial Narrow" w:hAnsi="Arial Narrow" w:cs="Times New Roman"/>
                <w:b/>
                <w:bCs/>
                <w:sz w:val="20"/>
                <w:szCs w:val="20"/>
              </w:rPr>
            </w:pPr>
            <w:r w:rsidRPr="0058247A">
              <w:rPr>
                <w:rFonts w:ascii="Arial Narrow" w:hAnsi="Arial Narrow" w:cs="Times New Roman"/>
                <w:b/>
                <w:bCs/>
                <w:sz w:val="20"/>
                <w:szCs w:val="20"/>
              </w:rPr>
              <w:t>0.66 (0.53, 0.83)</w:t>
            </w:r>
          </w:p>
        </w:tc>
      </w:tr>
    </w:tbl>
    <w:p w14:paraId="37FABF6B" w14:textId="77777777" w:rsidR="00D30F1D" w:rsidRPr="0058247A" w:rsidRDefault="00D30F1D" w:rsidP="00B218AA">
      <w:pPr>
        <w:pStyle w:val="FooterTableFigure"/>
        <w:rPr>
          <w:lang w:eastAsia="en-US"/>
        </w:rPr>
      </w:pPr>
      <w:r w:rsidRPr="0058247A">
        <w:rPr>
          <w:lang w:eastAsia="en-US"/>
        </w:rPr>
        <w:t xml:space="preserve">Source: Table 2.27, p146 and </w:t>
      </w:r>
      <w:r w:rsidRPr="0058247A">
        <w:t xml:space="preserve">Table 2.25, p142 </w:t>
      </w:r>
      <w:r w:rsidRPr="0058247A">
        <w:rPr>
          <w:lang w:eastAsia="en-US"/>
        </w:rPr>
        <w:t xml:space="preserve">of the submission. </w:t>
      </w:r>
    </w:p>
    <w:p w14:paraId="298E41AA" w14:textId="77777777" w:rsidR="00D30F1D" w:rsidRPr="0058247A" w:rsidRDefault="00D30F1D" w:rsidP="00B218AA">
      <w:pPr>
        <w:pStyle w:val="FooterTableFigure"/>
        <w:rPr>
          <w:rFonts w:eastAsia="Calibri"/>
        </w:rPr>
      </w:pPr>
      <w:r w:rsidRPr="0058247A">
        <w:rPr>
          <w:rFonts w:eastAsia="Calibri"/>
        </w:rPr>
        <w:t xml:space="preserve">CI= confidence interval; DLd= daratumumab, lenalidomide, dexamethasone; ITT= intention to treat; Ld= lenalidomide, dexamethasone; N= total participants in group; </w:t>
      </w:r>
      <w:r w:rsidRPr="0058247A">
        <w:rPr>
          <w:szCs w:val="18"/>
        </w:rPr>
        <w:t>NE= not estimable;</w:t>
      </w:r>
      <w:r w:rsidRPr="0058247A">
        <w:rPr>
          <w:rFonts w:eastAsia="Calibri"/>
        </w:rPr>
        <w:t xml:space="preserve"> PFS= progression free survival; OS= overall survival.</w:t>
      </w:r>
    </w:p>
    <w:p w14:paraId="5179EFC6" w14:textId="77777777" w:rsidR="00D30F1D" w:rsidRPr="0058247A" w:rsidRDefault="00D30F1D" w:rsidP="00B218AA">
      <w:pPr>
        <w:pStyle w:val="FooterTableFigure"/>
      </w:pPr>
      <w:r w:rsidRPr="0058247A">
        <w:rPr>
          <w:vertAlign w:val="superscript"/>
        </w:rPr>
        <w:t>a</w:t>
      </w:r>
      <w:r w:rsidRPr="0058247A">
        <w:t xml:space="preserve"> p-value is based on the log-rank test stratified with ISS staging (I, II, III), region (North America vs. Other), and age (&lt;75 years vs. ≥75 years) as randomised.</w:t>
      </w:r>
    </w:p>
    <w:p w14:paraId="4DF050AD" w14:textId="77777777" w:rsidR="00D30F1D" w:rsidRPr="0058247A" w:rsidRDefault="00D30F1D" w:rsidP="00B218AA">
      <w:pPr>
        <w:pStyle w:val="FooterTableFigure"/>
      </w:pPr>
      <w:r w:rsidRPr="0058247A">
        <w:rPr>
          <w:vertAlign w:val="superscript"/>
        </w:rPr>
        <w:t>b</w:t>
      </w:r>
      <w:r w:rsidRPr="0058247A">
        <w:t xml:space="preserve"> Hazard ratio and 95% CI from a Cox proportional hazards model with treatment as the sole explanatory variable and stratified with ISS staging (I, II, III), region (North America vs. Other), and age (&lt;75 years vs. ≥75 years) as randomised. A hazard ratio &lt;1 indicates an advantage for DLd.</w:t>
      </w:r>
    </w:p>
    <w:p w14:paraId="2A439DD4" w14:textId="0AD85DBD" w:rsidR="000533DA" w:rsidRPr="000533DA" w:rsidRDefault="00D30F1D" w:rsidP="0088759C">
      <w:pPr>
        <w:pStyle w:val="FooterTableFigure"/>
      </w:pPr>
      <w:r w:rsidRPr="0058247A">
        <w:t>Bold text indicates statistically significant results.</w:t>
      </w:r>
    </w:p>
    <w:p w14:paraId="075A045D" w14:textId="44E281F9" w:rsidR="00D30F1D" w:rsidRPr="0058247A" w:rsidRDefault="00D30F1D" w:rsidP="000533DA">
      <w:pPr>
        <w:pStyle w:val="Caption"/>
        <w:keepLines w:val="0"/>
      </w:pPr>
      <w:bookmarkStart w:id="45" w:name="_Ref121315155"/>
      <w:r w:rsidRPr="0058247A">
        <w:t xml:space="preserve">Figure </w:t>
      </w:r>
      <w:fldSimple w:instr=" SEQ Figure \* ARABIC ">
        <w:r w:rsidR="008D65C7">
          <w:rPr>
            <w:noProof/>
          </w:rPr>
          <w:t>1</w:t>
        </w:r>
      </w:fldSimple>
      <w:bookmarkEnd w:id="45"/>
      <w:r w:rsidRPr="0058247A">
        <w:t xml:space="preserve">: Kaplan-Meier curves for progression free survival (MAIA ITT population). </w:t>
      </w:r>
    </w:p>
    <w:p w14:paraId="2366098D" w14:textId="77777777" w:rsidR="00D30F1D" w:rsidRPr="0058247A" w:rsidRDefault="00D30F1D" w:rsidP="00B218AA">
      <w:pPr>
        <w:jc w:val="center"/>
        <w:rPr>
          <w:color w:val="3366FF"/>
        </w:rPr>
      </w:pPr>
      <w:r w:rsidRPr="0058247A">
        <w:rPr>
          <w:noProof/>
        </w:rPr>
        <w:drawing>
          <wp:inline distT="0" distB="0" distL="0" distR="0" wp14:anchorId="706A437D" wp14:editId="5A69137B">
            <wp:extent cx="4635391" cy="2930396"/>
            <wp:effectExtent l="0" t="0" r="0" b="3810"/>
            <wp:docPr id="22" name="Picture 22" descr="Figure 1: Kaplan-Meier curves for progression free survival (MAIA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1: Kaplan-Meier curves for progression free survival (MAIA ITT population). "/>
                    <pic:cNvPicPr/>
                  </pic:nvPicPr>
                  <pic:blipFill>
                    <a:blip r:embed="rId8" cstate="screen">
                      <a:extLst>
                        <a:ext uri="{28A0092B-C50C-407E-A947-70E740481C1C}">
                          <a14:useLocalDpi xmlns:a14="http://schemas.microsoft.com/office/drawing/2010/main"/>
                        </a:ext>
                      </a:extLst>
                    </a:blip>
                    <a:stretch>
                      <a:fillRect/>
                    </a:stretch>
                  </pic:blipFill>
                  <pic:spPr>
                    <a:xfrm>
                      <a:off x="0" y="0"/>
                      <a:ext cx="4668582" cy="2951379"/>
                    </a:xfrm>
                    <a:prstGeom prst="rect">
                      <a:avLst/>
                    </a:prstGeom>
                  </pic:spPr>
                </pic:pic>
              </a:graphicData>
            </a:graphic>
          </wp:inline>
        </w:drawing>
      </w:r>
    </w:p>
    <w:p w14:paraId="1C892EAE" w14:textId="77777777" w:rsidR="00D30F1D" w:rsidRPr="0058247A" w:rsidRDefault="00D30F1D" w:rsidP="00B218AA">
      <w:pPr>
        <w:pStyle w:val="FooterTableFigure"/>
      </w:pPr>
      <w:r w:rsidRPr="0058247A">
        <w:t xml:space="preserve">Source: Figure 2.5, p143 of the submission. </w:t>
      </w:r>
    </w:p>
    <w:p w14:paraId="55D0957D" w14:textId="77777777" w:rsidR="00D30F1D" w:rsidRPr="0058247A" w:rsidRDefault="00D30F1D" w:rsidP="00B218AA">
      <w:pPr>
        <w:pStyle w:val="FooterTableFigure"/>
      </w:pPr>
      <w:r w:rsidRPr="0058247A">
        <w:t xml:space="preserve"> DLd= daratumumab, lenalidomide, dexamethasone; ITT= intention to treat; Rd= lenalidomide, dexamethasone.</w:t>
      </w:r>
    </w:p>
    <w:p w14:paraId="3E03B2CE" w14:textId="705C5D92" w:rsidR="00D30F1D" w:rsidRPr="0058247A" w:rsidRDefault="00D30F1D" w:rsidP="00D30F1D">
      <w:pPr>
        <w:pStyle w:val="3-BodyText"/>
      </w:pPr>
      <w:r w:rsidRPr="0058247A">
        <w:rPr>
          <w:rFonts w:cstheme="minorHAnsi"/>
        </w:rPr>
        <w:t xml:space="preserve">For PFS, the superior treatment effect for DLd over Ld was consistent across </w:t>
      </w:r>
      <w:r w:rsidR="00831661" w:rsidRPr="0058247A">
        <w:rPr>
          <w:rFonts w:cstheme="minorHAnsi"/>
        </w:rPr>
        <w:t>subgroups</w:t>
      </w:r>
      <w:r w:rsidRPr="0058247A">
        <w:rPr>
          <w:rFonts w:cstheme="minorHAnsi"/>
        </w:rPr>
        <w:t>, including age ≥</w:t>
      </w:r>
      <w:r w:rsidR="00323BC7" w:rsidRPr="0058247A">
        <w:rPr>
          <w:rFonts w:cstheme="minorHAnsi"/>
        </w:rPr>
        <w:t xml:space="preserve"> </w:t>
      </w:r>
      <w:r w:rsidRPr="0058247A">
        <w:rPr>
          <w:rFonts w:cstheme="minorHAnsi"/>
        </w:rPr>
        <w:t xml:space="preserve">75 years, with the exception of patients with impaired hepatic function at baseline (HR = 0.99; 95% CI: 0.51, 1.91) for whom there was no </w:t>
      </w:r>
      <w:r w:rsidRPr="0058247A">
        <w:rPr>
          <w:rFonts w:cstheme="minorHAnsi"/>
        </w:rPr>
        <w:lastRenderedPageBreak/>
        <w:t xml:space="preserve">significant treatment effect. However, the submission noted that the interpretation of the result for patients with impaired hepatic function was limited by the small sample size (31 and 29 patients in the DLd and Ld </w:t>
      </w:r>
      <w:r w:rsidR="00323BC7" w:rsidRPr="0058247A">
        <w:rPr>
          <w:rFonts w:cstheme="minorHAnsi"/>
        </w:rPr>
        <w:t>arms</w:t>
      </w:r>
      <w:r w:rsidRPr="0058247A">
        <w:rPr>
          <w:rFonts w:cstheme="minorHAnsi"/>
        </w:rPr>
        <w:t xml:space="preserve">, respectively) and differences in cytogenetic risk categories between </w:t>
      </w:r>
      <w:r w:rsidR="00323BC7" w:rsidRPr="0058247A">
        <w:rPr>
          <w:rFonts w:cstheme="minorHAnsi"/>
        </w:rPr>
        <w:t xml:space="preserve">arms </w:t>
      </w:r>
      <w:r w:rsidRPr="0058247A">
        <w:rPr>
          <w:rFonts w:cstheme="minorHAnsi"/>
        </w:rPr>
        <w:t xml:space="preserve">at study entry (20.0% of patients with hepatic impairment in the DLd </w:t>
      </w:r>
      <w:r w:rsidR="00323BC7" w:rsidRPr="0058247A">
        <w:rPr>
          <w:rFonts w:cstheme="minorHAnsi"/>
        </w:rPr>
        <w:t xml:space="preserve">arm </w:t>
      </w:r>
      <w:r w:rsidRPr="0058247A">
        <w:rPr>
          <w:rFonts w:cstheme="minorHAnsi"/>
        </w:rPr>
        <w:t xml:space="preserve">had high-risk cytogenetic features compared with 7.4% in the Ld </w:t>
      </w:r>
      <w:r w:rsidR="00323BC7" w:rsidRPr="0058247A">
        <w:rPr>
          <w:rFonts w:cstheme="minorHAnsi"/>
        </w:rPr>
        <w:t>arm</w:t>
      </w:r>
      <w:r w:rsidRPr="0058247A">
        <w:rPr>
          <w:rFonts w:cstheme="minorHAnsi"/>
        </w:rPr>
        <w:t xml:space="preserve">; p31 of the CSR 2022). </w:t>
      </w:r>
    </w:p>
    <w:p w14:paraId="2EEF4CDF" w14:textId="504F30BA" w:rsidR="00D30F1D" w:rsidRPr="006154DA" w:rsidRDefault="003550BD" w:rsidP="0021164A">
      <w:pPr>
        <w:pStyle w:val="3-BodyText"/>
      </w:pPr>
      <w:r>
        <w:rPr>
          <w:rFonts w:cstheme="minorHAnsi"/>
        </w:rPr>
        <w:t>Although r</w:t>
      </w:r>
      <w:r w:rsidR="00D30F1D" w:rsidRPr="006154DA">
        <w:rPr>
          <w:rFonts w:cstheme="minorHAnsi"/>
        </w:rPr>
        <w:t>esults of the s</w:t>
      </w:r>
      <w:r w:rsidR="00D30F1D" w:rsidRPr="006154DA">
        <w:t>ubgroup analyses</w:t>
      </w:r>
      <w:r w:rsidR="00154E14">
        <w:t xml:space="preserve"> presented in the submission</w:t>
      </w:r>
      <w:r w:rsidR="00D30F1D" w:rsidRPr="006154DA">
        <w:t xml:space="preserve"> of OS indicated that the treatment effect of DLd for patients </w:t>
      </w:r>
      <w:r w:rsidR="00D30F1D" w:rsidRPr="006154DA">
        <w:rPr>
          <w:rFonts w:cstheme="minorHAnsi"/>
        </w:rPr>
        <w:t>≥</w:t>
      </w:r>
      <w:r w:rsidR="00323BC7" w:rsidRPr="006154DA">
        <w:rPr>
          <w:rFonts w:cstheme="minorHAnsi"/>
        </w:rPr>
        <w:t xml:space="preserve"> </w:t>
      </w:r>
      <w:r w:rsidR="00D30F1D" w:rsidRPr="006154DA">
        <w:t xml:space="preserve">75 years was not statistically significant when compared to Ld </w:t>
      </w:r>
      <w:r w:rsidR="00154E14">
        <w:t xml:space="preserve">after a median follow up of 64.5 </w:t>
      </w:r>
      <w:r w:rsidR="00D30F1D" w:rsidRPr="006154DA">
        <w:t>(HR</w:t>
      </w:r>
      <w:r w:rsidR="000533DA">
        <w:t> </w:t>
      </w:r>
      <w:r w:rsidR="00D30F1D" w:rsidRPr="006154DA">
        <w:t>= 0.75; 95% CI: 0.55, 1.02</w:t>
      </w:r>
      <w:r>
        <w:t>), the pre-PBAC presented results from Kumar et al (2022) which were statistically significant for this population at a median follow up of 73.6 months (HR = 0.67; 95% CI:0.50, 0.90)</w:t>
      </w:r>
      <w:bookmarkStart w:id="46" w:name="_Hlk137216462"/>
      <w:r>
        <w:rPr>
          <w:rStyle w:val="FootnoteReference"/>
        </w:rPr>
        <w:footnoteReference w:id="5"/>
      </w:r>
      <w:bookmarkEnd w:id="46"/>
      <w:r>
        <w:t>.</w:t>
      </w:r>
      <w:r w:rsidR="00D30F1D" w:rsidRPr="006154DA">
        <w:t xml:space="preserve"> </w:t>
      </w:r>
      <w:r w:rsidR="00004066">
        <w:rPr>
          <w:rFonts w:cstheme="minorHAnsi"/>
        </w:rPr>
        <w:t>Other s</w:t>
      </w:r>
      <w:r w:rsidR="00D30F1D" w:rsidRPr="006154DA">
        <w:rPr>
          <w:rFonts w:cstheme="minorHAnsi"/>
        </w:rPr>
        <w:t xml:space="preserve">ubgroup analyses showed generally consistent results </w:t>
      </w:r>
      <w:r w:rsidR="00EE52D3" w:rsidRPr="006154DA">
        <w:rPr>
          <w:rFonts w:cstheme="minorHAnsi"/>
        </w:rPr>
        <w:t xml:space="preserve">for OS </w:t>
      </w:r>
      <w:r w:rsidR="00D30F1D" w:rsidRPr="006154DA">
        <w:rPr>
          <w:rFonts w:cstheme="minorHAnsi"/>
        </w:rPr>
        <w:t xml:space="preserve">with the ITT population. However, similar to PFS, when OS among the subgroup of patients with impaired hepatic function at baseline was analysed, the treatment effect </w:t>
      </w:r>
      <w:r w:rsidR="007127BF" w:rsidRPr="006154DA">
        <w:rPr>
          <w:rFonts w:cstheme="minorHAnsi"/>
        </w:rPr>
        <w:t>for</w:t>
      </w:r>
      <w:r w:rsidR="00D30F1D" w:rsidRPr="006154DA">
        <w:rPr>
          <w:rFonts w:cstheme="minorHAnsi"/>
        </w:rPr>
        <w:t xml:space="preserve"> DLd was not statistically significant</w:t>
      </w:r>
      <w:r w:rsidR="00EE52D3" w:rsidRPr="006154DA">
        <w:rPr>
          <w:rFonts w:cstheme="minorHAnsi"/>
        </w:rPr>
        <w:t>ly</w:t>
      </w:r>
      <w:r w:rsidR="00D30F1D" w:rsidRPr="006154DA">
        <w:rPr>
          <w:rFonts w:cstheme="minorHAnsi"/>
        </w:rPr>
        <w:t xml:space="preserve"> different from Ld</w:t>
      </w:r>
      <w:r w:rsidR="007C09C4" w:rsidRPr="006154DA">
        <w:rPr>
          <w:rFonts w:cstheme="minorHAnsi"/>
        </w:rPr>
        <w:t xml:space="preserve">, noting the small </w:t>
      </w:r>
      <w:r w:rsidR="00EE52D3" w:rsidRPr="006154DA">
        <w:rPr>
          <w:rFonts w:cstheme="minorHAnsi"/>
        </w:rPr>
        <w:t xml:space="preserve">patient </w:t>
      </w:r>
      <w:r w:rsidR="007C09C4" w:rsidRPr="006154DA">
        <w:rPr>
          <w:rFonts w:cstheme="minorHAnsi"/>
        </w:rPr>
        <w:t>numbers and wide confidence intervals</w:t>
      </w:r>
      <w:r w:rsidR="00D30F1D" w:rsidRPr="006154DA">
        <w:rPr>
          <w:rFonts w:cstheme="minorHAnsi"/>
        </w:rPr>
        <w:t xml:space="preserve"> (HR = 1.23; 95% CI: 0.57, 2.63).</w:t>
      </w:r>
    </w:p>
    <w:p w14:paraId="2D64DE28" w14:textId="2838FFEB" w:rsidR="00D30F1D" w:rsidRPr="0058247A" w:rsidRDefault="00D30F1D" w:rsidP="00D30F1D">
      <w:pPr>
        <w:pStyle w:val="Caption"/>
      </w:pPr>
      <w:bookmarkStart w:id="47" w:name="_Ref121315157"/>
      <w:r w:rsidRPr="0058247A">
        <w:t xml:space="preserve">Figure </w:t>
      </w:r>
      <w:fldSimple w:instr=" SEQ Figure \* ARABIC ">
        <w:r w:rsidR="008D65C7">
          <w:rPr>
            <w:noProof/>
          </w:rPr>
          <w:t>2</w:t>
        </w:r>
      </w:fldSimple>
      <w:bookmarkEnd w:id="47"/>
      <w:r w:rsidRPr="0058247A">
        <w:t>: Kaplan-Meier Curve of overall survival (MAIA, ITT population)</w:t>
      </w:r>
    </w:p>
    <w:p w14:paraId="11AB6187" w14:textId="77777777" w:rsidR="00D30F1D" w:rsidRPr="0058247A" w:rsidRDefault="00D30F1D" w:rsidP="00D30F1D">
      <w:pPr>
        <w:jc w:val="center"/>
      </w:pPr>
      <w:r w:rsidRPr="0058247A">
        <w:rPr>
          <w:noProof/>
        </w:rPr>
        <w:drawing>
          <wp:inline distT="0" distB="0" distL="0" distR="0" wp14:anchorId="5B8FEE08" wp14:editId="0DB912E8">
            <wp:extent cx="4456623" cy="3299727"/>
            <wp:effectExtent l="0" t="0" r="1270" b="0"/>
            <wp:docPr id="23" name="Picture 23" descr="Figure 2: Kaplan-Meier Curve of overall survival (MAIA,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2: Kaplan-Meier Curve of overall survival (MAIA, ITT population)"/>
                    <pic:cNvPicPr/>
                  </pic:nvPicPr>
                  <pic:blipFill>
                    <a:blip r:embed="rId9" cstate="screen">
                      <a:extLst>
                        <a:ext uri="{28A0092B-C50C-407E-A947-70E740481C1C}">
                          <a14:useLocalDpi xmlns:a14="http://schemas.microsoft.com/office/drawing/2010/main"/>
                        </a:ext>
                      </a:extLst>
                    </a:blip>
                    <a:stretch>
                      <a:fillRect/>
                    </a:stretch>
                  </pic:blipFill>
                  <pic:spPr>
                    <a:xfrm>
                      <a:off x="0" y="0"/>
                      <a:ext cx="4504571" cy="3335228"/>
                    </a:xfrm>
                    <a:prstGeom prst="rect">
                      <a:avLst/>
                    </a:prstGeom>
                  </pic:spPr>
                </pic:pic>
              </a:graphicData>
            </a:graphic>
          </wp:inline>
        </w:drawing>
      </w:r>
    </w:p>
    <w:p w14:paraId="76C925F9" w14:textId="77777777" w:rsidR="00D30F1D" w:rsidRPr="0058247A" w:rsidRDefault="00D30F1D" w:rsidP="00D30F1D">
      <w:pPr>
        <w:pStyle w:val="FooterTableFigure"/>
      </w:pPr>
      <w:r w:rsidRPr="0058247A">
        <w:t>Source: Figure 2.7, p147 of the submission.</w:t>
      </w:r>
    </w:p>
    <w:p w14:paraId="1DC2A890" w14:textId="77777777" w:rsidR="00D30F1D" w:rsidRPr="0058247A" w:rsidRDefault="00D30F1D" w:rsidP="00D30F1D">
      <w:pPr>
        <w:pStyle w:val="FooterTableFigure"/>
      </w:pPr>
      <w:r w:rsidRPr="0058247A">
        <w:t>DRd= daratumumab, lenalidomide, dexamethasone; ITT= intention to treat; Rd= lenalidomide, dexamethasone.</w:t>
      </w:r>
    </w:p>
    <w:p w14:paraId="4FC94D64" w14:textId="31E82E6E" w:rsidR="00D30F1D" w:rsidRPr="0058247A" w:rsidRDefault="00D30F1D" w:rsidP="00D30F1D">
      <w:pPr>
        <w:pStyle w:val="3-BodyText"/>
        <w:rPr>
          <w:rFonts w:eastAsia="Calibri"/>
          <w:lang w:eastAsia="en-US"/>
        </w:rPr>
      </w:pPr>
      <w:r w:rsidRPr="0058247A">
        <w:rPr>
          <w:rFonts w:cstheme="minorHAnsi"/>
        </w:rPr>
        <w:lastRenderedPageBreak/>
        <w:t>The overall response rate (ORR) after a median follow-up of 64.5 months was statistically significantly higher in patients treated with DLd compared with Ld (92.9% vs 81.6%; OR</w:t>
      </w:r>
      <w:r w:rsidR="007F790A">
        <w:rPr>
          <w:rFonts w:cstheme="minorHAnsi"/>
        </w:rPr>
        <w:t xml:space="preserve"> </w:t>
      </w:r>
      <w:r w:rsidRPr="0058247A">
        <w:rPr>
          <w:rFonts w:cstheme="minorHAnsi"/>
        </w:rPr>
        <w:t>= 3.00; 95% CI: 1.85, 4.86; p&lt;0.0001</w:t>
      </w:r>
      <w:r w:rsidR="007F790A">
        <w:rPr>
          <w:rFonts w:cstheme="minorHAnsi"/>
        </w:rPr>
        <w:t xml:space="preserve">; </w:t>
      </w:r>
      <w:r w:rsidRPr="0058247A">
        <w:rPr>
          <w:rFonts w:cstheme="minorHAnsi"/>
        </w:rPr>
        <w:t xml:space="preserve">see </w:t>
      </w:r>
      <w:r w:rsidRPr="0058247A">
        <w:rPr>
          <w:rFonts w:cstheme="minorHAnsi"/>
        </w:rPr>
        <w:fldChar w:fldCharType="begin"/>
      </w:r>
      <w:r w:rsidRPr="0058247A">
        <w:rPr>
          <w:rFonts w:cstheme="minorHAnsi"/>
        </w:rPr>
        <w:instrText xml:space="preserve"> REF _Ref121317832 \h </w:instrText>
      </w:r>
      <w:r w:rsidRPr="0058247A">
        <w:rPr>
          <w:rFonts w:cstheme="minorHAnsi"/>
        </w:rPr>
      </w:r>
      <w:r w:rsidRPr="0058247A">
        <w:rPr>
          <w:rFonts w:cstheme="minorHAnsi"/>
        </w:rPr>
        <w:fldChar w:fldCharType="separate"/>
      </w:r>
      <w:r w:rsidR="008D65C7" w:rsidRPr="0058247A">
        <w:t xml:space="preserve">Table </w:t>
      </w:r>
      <w:r w:rsidR="008D65C7">
        <w:rPr>
          <w:noProof/>
        </w:rPr>
        <w:t>5</w:t>
      </w:r>
      <w:r w:rsidRPr="0058247A">
        <w:rPr>
          <w:rFonts w:cstheme="minorHAnsi"/>
        </w:rPr>
        <w:fldChar w:fldCharType="end"/>
      </w:r>
      <w:r w:rsidRPr="0058247A">
        <w:rPr>
          <w:rFonts w:cstheme="minorHAnsi"/>
        </w:rPr>
        <w:t xml:space="preserve">). ORRs were consistent across the </w:t>
      </w:r>
      <w:r w:rsidR="00B72717" w:rsidRPr="0058247A">
        <w:rPr>
          <w:rFonts w:cstheme="minorHAnsi"/>
        </w:rPr>
        <w:t xml:space="preserve">analysed </w:t>
      </w:r>
      <w:r w:rsidRPr="0058247A">
        <w:rPr>
          <w:rFonts w:cstheme="minorHAnsi"/>
        </w:rPr>
        <w:t>subgroups</w:t>
      </w:r>
      <w:r w:rsidR="00F42E98" w:rsidRPr="0058247A">
        <w:rPr>
          <w:rFonts w:cstheme="minorHAnsi"/>
        </w:rPr>
        <w:t xml:space="preserve"> (including age)</w:t>
      </w:r>
      <w:r w:rsidR="00B72717" w:rsidRPr="0058247A">
        <w:rPr>
          <w:rStyle w:val="FootnoteReference"/>
          <w:rFonts w:cstheme="minorHAnsi"/>
        </w:rPr>
        <w:footnoteReference w:id="6"/>
      </w:r>
      <w:r w:rsidRPr="0058247A">
        <w:rPr>
          <w:rFonts w:cstheme="minorHAnsi"/>
        </w:rPr>
        <w:t xml:space="preserve"> </w:t>
      </w:r>
      <w:r w:rsidR="00F42E98" w:rsidRPr="0058247A">
        <w:rPr>
          <w:rFonts w:cstheme="minorHAnsi"/>
        </w:rPr>
        <w:t>and</w:t>
      </w:r>
      <w:r w:rsidRPr="0058247A">
        <w:rPr>
          <w:rFonts w:cstheme="minorHAnsi"/>
        </w:rPr>
        <w:t xml:space="preserve"> the ITT population, with the exception of ECOG performance score ≥</w:t>
      </w:r>
      <w:r w:rsidR="00651F45" w:rsidRPr="0058247A">
        <w:rPr>
          <w:rFonts w:cstheme="minorHAnsi"/>
        </w:rPr>
        <w:t xml:space="preserve"> </w:t>
      </w:r>
      <w:r w:rsidRPr="0058247A">
        <w:rPr>
          <w:rFonts w:cstheme="minorHAnsi"/>
        </w:rPr>
        <w:t>2, where the OR favoured Ld but was not statistically significant (OR = 0.78; 95% CI: 0.31, 1.96). This has implications for the anticipated benefit from PBS listing of DLd, compared with Ld, given that a higher proportion of TI NDMM patients in Australia are of ECOG ≥</w:t>
      </w:r>
      <w:r w:rsidR="00651F45" w:rsidRPr="0058247A">
        <w:rPr>
          <w:rFonts w:cstheme="minorHAnsi"/>
        </w:rPr>
        <w:t xml:space="preserve"> </w:t>
      </w:r>
      <w:r w:rsidRPr="0058247A">
        <w:rPr>
          <w:rFonts w:cstheme="minorHAnsi"/>
        </w:rPr>
        <w:t>2 compared to those in MAIA (</w:t>
      </w:r>
      <w:r w:rsidRPr="0058247A">
        <w:t>MRDR: ECOG</w:t>
      </w:r>
      <w:r w:rsidR="00651F45" w:rsidRPr="0058247A">
        <w:t xml:space="preserve"> </w:t>
      </w:r>
      <w:r w:rsidRPr="0058247A">
        <w:t>≥</w:t>
      </w:r>
      <w:r w:rsidR="00651F45" w:rsidRPr="0058247A">
        <w:t xml:space="preserve"> </w:t>
      </w:r>
      <w:r w:rsidRPr="0058247A">
        <w:t>2</w:t>
      </w:r>
      <w:r w:rsidR="007F790A">
        <w:t xml:space="preserve"> </w:t>
      </w:r>
      <w:r w:rsidRPr="0058247A">
        <w:t>= 27.8%; ITT population in MAIA: ECOG</w:t>
      </w:r>
      <w:r w:rsidR="00651F45" w:rsidRPr="0058247A">
        <w:t xml:space="preserve"> </w:t>
      </w:r>
      <w:r w:rsidRPr="0058247A">
        <w:t>≥</w:t>
      </w:r>
      <w:r w:rsidR="00651F45" w:rsidRPr="0058247A">
        <w:t xml:space="preserve"> </w:t>
      </w:r>
      <w:r w:rsidRPr="0058247A">
        <w:t>2</w:t>
      </w:r>
      <w:r w:rsidR="007F790A">
        <w:t xml:space="preserve"> </w:t>
      </w:r>
      <w:r w:rsidRPr="0058247A">
        <w:t xml:space="preserve">= 16.6%). </w:t>
      </w:r>
    </w:p>
    <w:p w14:paraId="78AACE31" w14:textId="4B6019FC" w:rsidR="00D30F1D" w:rsidRPr="0058247A" w:rsidRDefault="00D30F1D" w:rsidP="00D30F1D">
      <w:pPr>
        <w:pStyle w:val="Caption"/>
      </w:pPr>
      <w:bookmarkStart w:id="48" w:name="_Ref121317832"/>
      <w:r w:rsidRPr="0058247A">
        <w:t xml:space="preserve">Table </w:t>
      </w:r>
      <w:fldSimple w:instr=" SEQ Table \* ARABIC ">
        <w:r w:rsidR="008D65C7">
          <w:rPr>
            <w:noProof/>
          </w:rPr>
          <w:t>5</w:t>
        </w:r>
      </w:fldSimple>
      <w:bookmarkEnd w:id="48"/>
      <w:r w:rsidRPr="0058247A">
        <w:t>: Overall response rate (MAIA, ITT population).</w:t>
      </w:r>
    </w:p>
    <w:tbl>
      <w:tblPr>
        <w:tblStyle w:val="ASDTable3"/>
        <w:tblW w:w="5000" w:type="pct"/>
        <w:tblLayout w:type="fixed"/>
        <w:tblLook w:val="04A0" w:firstRow="1" w:lastRow="0" w:firstColumn="1" w:lastColumn="0" w:noHBand="0" w:noVBand="1"/>
        <w:tblCaption w:val="Table 5"/>
        <w:tblDescription w:val="Overall response rate (MAIA, ITT population)."/>
      </w:tblPr>
      <w:tblGrid>
        <w:gridCol w:w="2925"/>
        <w:gridCol w:w="1749"/>
        <w:gridCol w:w="1681"/>
        <w:gridCol w:w="1681"/>
        <w:gridCol w:w="981"/>
      </w:tblGrid>
      <w:tr w:rsidR="00D30F1D" w:rsidRPr="0058247A" w14:paraId="5E1EEFD2" w14:textId="77777777" w:rsidTr="003B3112">
        <w:tc>
          <w:tcPr>
            <w:tcW w:w="1622" w:type="pct"/>
            <w:shd w:val="clear" w:color="auto" w:fill="auto"/>
            <w:vAlign w:val="center"/>
          </w:tcPr>
          <w:p w14:paraId="4BB517F9" w14:textId="77777777" w:rsidR="00D30F1D" w:rsidRPr="0058247A" w:rsidRDefault="00D30F1D" w:rsidP="00A25B4A">
            <w:pPr>
              <w:keepNext/>
              <w:jc w:val="left"/>
              <w:rPr>
                <w:rFonts w:ascii="Arial Narrow" w:hAnsi="Arial Narrow"/>
                <w:b/>
                <w:bCs/>
                <w:sz w:val="20"/>
                <w:szCs w:val="20"/>
              </w:rPr>
            </w:pPr>
          </w:p>
        </w:tc>
        <w:tc>
          <w:tcPr>
            <w:tcW w:w="970" w:type="pct"/>
            <w:shd w:val="clear" w:color="auto" w:fill="auto"/>
            <w:vAlign w:val="center"/>
          </w:tcPr>
          <w:p w14:paraId="7D659421"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DLd</w:t>
            </w:r>
          </w:p>
          <w:p w14:paraId="3CF0ACAD"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(N= 368)</w:t>
            </w:r>
          </w:p>
        </w:tc>
        <w:tc>
          <w:tcPr>
            <w:tcW w:w="932" w:type="pct"/>
            <w:shd w:val="clear" w:color="auto" w:fill="auto"/>
            <w:vAlign w:val="center"/>
          </w:tcPr>
          <w:p w14:paraId="781D37E5"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Ld</w:t>
            </w:r>
          </w:p>
          <w:p w14:paraId="13F63E3C"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(N= 369)</w:t>
            </w:r>
          </w:p>
        </w:tc>
        <w:tc>
          <w:tcPr>
            <w:tcW w:w="932" w:type="pct"/>
            <w:shd w:val="clear" w:color="auto" w:fill="auto"/>
          </w:tcPr>
          <w:p w14:paraId="68BE48F4"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Odds Ratio</w:t>
            </w:r>
          </w:p>
          <w:p w14:paraId="6701AB94"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(95% CI)</w:t>
            </w:r>
            <w:r w:rsidRPr="0058247A">
              <w:rPr>
                <w:rFonts w:ascii="Arial Narrow" w:hAnsi="Arial Narrow"/>
                <w:b/>
                <w:bCs/>
                <w:sz w:val="20"/>
                <w:szCs w:val="20"/>
                <w:vertAlign w:val="superscript"/>
              </w:rPr>
              <w:t>a</w:t>
            </w:r>
          </w:p>
        </w:tc>
        <w:tc>
          <w:tcPr>
            <w:tcW w:w="544" w:type="pct"/>
            <w:shd w:val="clear" w:color="auto" w:fill="auto"/>
          </w:tcPr>
          <w:p w14:paraId="46203F08"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b/>
                <w:bCs/>
                <w:sz w:val="20"/>
                <w:szCs w:val="20"/>
              </w:rPr>
              <w:t>P-value</w:t>
            </w:r>
            <w:r w:rsidRPr="0058247A">
              <w:rPr>
                <w:rFonts w:ascii="Arial Narrow" w:hAnsi="Arial Narrow"/>
                <w:b/>
                <w:bCs/>
                <w:sz w:val="20"/>
                <w:szCs w:val="20"/>
                <w:vertAlign w:val="superscript"/>
              </w:rPr>
              <w:t>b</w:t>
            </w:r>
            <w:r w:rsidRPr="0058247A">
              <w:rPr>
                <w:rFonts w:ascii="Arial Narrow" w:hAnsi="Arial Narrow"/>
                <w:b/>
                <w:bCs/>
                <w:sz w:val="20"/>
                <w:szCs w:val="20"/>
              </w:rPr>
              <w:t xml:space="preserve"> </w:t>
            </w:r>
          </w:p>
        </w:tc>
      </w:tr>
      <w:tr w:rsidR="003B3112" w:rsidRPr="003B3112" w14:paraId="3CF3620E" w14:textId="77777777" w:rsidTr="003B3112">
        <w:tc>
          <w:tcPr>
            <w:tcW w:w="5000" w:type="pct"/>
            <w:gridSpan w:val="5"/>
          </w:tcPr>
          <w:p w14:paraId="73486FBC" w14:textId="09505BE5" w:rsidR="003B3112" w:rsidRPr="003B3112" w:rsidRDefault="003B3112" w:rsidP="003B3112">
            <w:pPr>
              <w:keepNext/>
              <w:jc w:val="left"/>
              <w:rPr>
                <w:rFonts w:ascii="Arial Narrow" w:hAnsi="Arial Narrow"/>
                <w:b/>
                <w:bCs/>
                <w:sz w:val="20"/>
                <w:szCs w:val="20"/>
              </w:rPr>
            </w:pPr>
            <w:r w:rsidRPr="003B3112">
              <w:rPr>
                <w:rFonts w:ascii="Arial Narrow" w:hAnsi="Arial Narrow"/>
                <w:b/>
                <w:bCs/>
                <w:sz w:val="20"/>
                <w:szCs w:val="20"/>
              </w:rPr>
              <w:t>Response category, % (95% CI)</w:t>
            </w:r>
          </w:p>
        </w:tc>
      </w:tr>
      <w:tr w:rsidR="00D30F1D" w:rsidRPr="0058247A" w14:paraId="52A404DB" w14:textId="77777777" w:rsidTr="003B3112">
        <w:tc>
          <w:tcPr>
            <w:tcW w:w="1622" w:type="pct"/>
          </w:tcPr>
          <w:p w14:paraId="60057625"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Stringent complete response (sCR)</w:t>
            </w:r>
          </w:p>
        </w:tc>
        <w:tc>
          <w:tcPr>
            <w:tcW w:w="970" w:type="pct"/>
            <w:vAlign w:val="center"/>
          </w:tcPr>
          <w:p w14:paraId="4C925916"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35.6 (30.7, 40.7)</w:t>
            </w:r>
          </w:p>
        </w:tc>
        <w:tc>
          <w:tcPr>
            <w:tcW w:w="932" w:type="pct"/>
            <w:vAlign w:val="center"/>
          </w:tcPr>
          <w:p w14:paraId="25706D32"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15.7 (12.2, 19.8)</w:t>
            </w:r>
          </w:p>
        </w:tc>
        <w:tc>
          <w:tcPr>
            <w:tcW w:w="932" w:type="pct"/>
            <w:vAlign w:val="center"/>
          </w:tcPr>
          <w:p w14:paraId="6519E696" w14:textId="77777777" w:rsidR="00D30F1D" w:rsidRPr="0058247A" w:rsidRDefault="00D30F1D" w:rsidP="003B3112">
            <w:pPr>
              <w:keepNext/>
              <w:jc w:val="center"/>
              <w:rPr>
                <w:rFonts w:ascii="Arial Narrow" w:hAnsi="Arial Narrow"/>
                <w:b/>
                <w:bCs/>
                <w:sz w:val="20"/>
                <w:szCs w:val="20"/>
              </w:rPr>
            </w:pPr>
            <w:r w:rsidRPr="0058247A">
              <w:rPr>
                <w:rFonts w:ascii="Arial Narrow" w:hAnsi="Arial Narrow"/>
                <w:b/>
                <w:bCs/>
                <w:sz w:val="20"/>
                <w:szCs w:val="20"/>
              </w:rPr>
              <w:t>2.98 (2.09, 4.24)</w:t>
            </w:r>
          </w:p>
        </w:tc>
        <w:tc>
          <w:tcPr>
            <w:tcW w:w="544" w:type="pct"/>
            <w:vAlign w:val="center"/>
          </w:tcPr>
          <w:p w14:paraId="2DAFF703" w14:textId="77777777" w:rsidR="00D30F1D" w:rsidRPr="0058247A" w:rsidRDefault="00D30F1D" w:rsidP="00A25B4A">
            <w:pPr>
              <w:keepNext/>
              <w:jc w:val="left"/>
              <w:rPr>
                <w:rFonts w:ascii="Arial Narrow" w:hAnsi="Arial Narrow"/>
                <w:b/>
                <w:bCs/>
                <w:sz w:val="20"/>
                <w:szCs w:val="20"/>
              </w:rPr>
            </w:pPr>
            <w:r w:rsidRPr="0058247A">
              <w:rPr>
                <w:rFonts w:ascii="Arial Narrow" w:hAnsi="Arial Narrow"/>
                <w:b/>
                <w:bCs/>
                <w:sz w:val="20"/>
                <w:szCs w:val="20"/>
              </w:rPr>
              <w:t>&lt;0.0001</w:t>
            </w:r>
          </w:p>
        </w:tc>
      </w:tr>
      <w:tr w:rsidR="00D30F1D" w:rsidRPr="0058247A" w14:paraId="149C6828" w14:textId="77777777" w:rsidTr="003B3112">
        <w:tc>
          <w:tcPr>
            <w:tcW w:w="1622" w:type="pct"/>
          </w:tcPr>
          <w:p w14:paraId="795B2C6F"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Complete response (CR)</w:t>
            </w:r>
          </w:p>
        </w:tc>
        <w:tc>
          <w:tcPr>
            <w:tcW w:w="970" w:type="pct"/>
            <w:vAlign w:val="center"/>
          </w:tcPr>
          <w:p w14:paraId="39C48739"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15.5 (11.9, 19.6)</w:t>
            </w:r>
          </w:p>
        </w:tc>
        <w:tc>
          <w:tcPr>
            <w:tcW w:w="932" w:type="pct"/>
            <w:vAlign w:val="center"/>
          </w:tcPr>
          <w:p w14:paraId="43847AEF"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14.4 (10.9, 18.4)</w:t>
            </w:r>
          </w:p>
        </w:tc>
        <w:tc>
          <w:tcPr>
            <w:tcW w:w="932" w:type="pct"/>
            <w:vAlign w:val="center"/>
          </w:tcPr>
          <w:p w14:paraId="4C6D0BE0" w14:textId="77777777" w:rsidR="00D30F1D" w:rsidRPr="0058247A" w:rsidRDefault="00D30F1D" w:rsidP="003B3112">
            <w:pPr>
              <w:keepNext/>
              <w:jc w:val="center"/>
              <w:rPr>
                <w:rFonts w:ascii="Arial Narrow" w:hAnsi="Arial Narrow"/>
                <w:sz w:val="20"/>
                <w:szCs w:val="20"/>
              </w:rPr>
            </w:pPr>
            <w:r w:rsidRPr="0058247A">
              <w:rPr>
                <w:rFonts w:ascii="Arial Narrow" w:hAnsi="Arial Narrow"/>
                <w:sz w:val="20"/>
                <w:szCs w:val="20"/>
              </w:rPr>
              <w:t>NR</w:t>
            </w:r>
          </w:p>
        </w:tc>
        <w:tc>
          <w:tcPr>
            <w:tcW w:w="544" w:type="pct"/>
            <w:vAlign w:val="center"/>
          </w:tcPr>
          <w:p w14:paraId="0E6D5D2E"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NR</w:t>
            </w:r>
          </w:p>
        </w:tc>
      </w:tr>
      <w:tr w:rsidR="00D30F1D" w:rsidRPr="0058247A" w14:paraId="20D29E10" w14:textId="77777777" w:rsidTr="003B3112">
        <w:tc>
          <w:tcPr>
            <w:tcW w:w="1622" w:type="pct"/>
          </w:tcPr>
          <w:p w14:paraId="4F549415"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Very good partial response (VGPR)</w:t>
            </w:r>
          </w:p>
        </w:tc>
        <w:tc>
          <w:tcPr>
            <w:tcW w:w="970" w:type="pct"/>
            <w:vAlign w:val="center"/>
          </w:tcPr>
          <w:p w14:paraId="7AC1C364"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30.4 (25.8, 35.4)</w:t>
            </w:r>
          </w:p>
        </w:tc>
        <w:tc>
          <w:tcPr>
            <w:tcW w:w="932" w:type="pct"/>
            <w:vAlign w:val="center"/>
          </w:tcPr>
          <w:p w14:paraId="7671C464"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26.8 (22.4, 31.7)</w:t>
            </w:r>
          </w:p>
        </w:tc>
        <w:tc>
          <w:tcPr>
            <w:tcW w:w="932" w:type="pct"/>
            <w:vAlign w:val="center"/>
          </w:tcPr>
          <w:p w14:paraId="05883448" w14:textId="77777777" w:rsidR="00D30F1D" w:rsidRPr="0058247A" w:rsidRDefault="00D30F1D" w:rsidP="003B3112">
            <w:pPr>
              <w:keepNext/>
              <w:jc w:val="center"/>
              <w:rPr>
                <w:rFonts w:ascii="Arial Narrow" w:hAnsi="Arial Narrow"/>
                <w:sz w:val="20"/>
                <w:szCs w:val="20"/>
              </w:rPr>
            </w:pPr>
            <w:r w:rsidRPr="0058247A">
              <w:rPr>
                <w:rFonts w:ascii="Arial Narrow" w:hAnsi="Arial Narrow"/>
                <w:sz w:val="20"/>
                <w:szCs w:val="20"/>
              </w:rPr>
              <w:t>NR</w:t>
            </w:r>
          </w:p>
        </w:tc>
        <w:tc>
          <w:tcPr>
            <w:tcW w:w="544" w:type="pct"/>
            <w:vAlign w:val="center"/>
          </w:tcPr>
          <w:p w14:paraId="554A5CB0"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sz w:val="20"/>
                <w:szCs w:val="20"/>
              </w:rPr>
              <w:t>NR</w:t>
            </w:r>
          </w:p>
        </w:tc>
      </w:tr>
      <w:tr w:rsidR="00D30F1D" w:rsidRPr="0058247A" w14:paraId="362098C5" w14:textId="77777777" w:rsidTr="003B3112">
        <w:tc>
          <w:tcPr>
            <w:tcW w:w="1622" w:type="pct"/>
          </w:tcPr>
          <w:p w14:paraId="4B068249"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Partial response (PR)</w:t>
            </w:r>
          </w:p>
        </w:tc>
        <w:tc>
          <w:tcPr>
            <w:tcW w:w="970" w:type="pct"/>
            <w:vAlign w:val="center"/>
          </w:tcPr>
          <w:p w14:paraId="53C10661"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11.4 (8.4, 15.1)</w:t>
            </w:r>
          </w:p>
        </w:tc>
        <w:tc>
          <w:tcPr>
            <w:tcW w:w="932" w:type="pct"/>
            <w:vAlign w:val="center"/>
          </w:tcPr>
          <w:p w14:paraId="2F1EAB9A"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24.7 (20.3, 29.4)</w:t>
            </w:r>
          </w:p>
        </w:tc>
        <w:tc>
          <w:tcPr>
            <w:tcW w:w="932" w:type="pct"/>
            <w:vAlign w:val="center"/>
          </w:tcPr>
          <w:p w14:paraId="46AA1028" w14:textId="77777777" w:rsidR="00D30F1D" w:rsidRPr="0058247A" w:rsidRDefault="00D30F1D" w:rsidP="003B3112">
            <w:pPr>
              <w:keepNext/>
              <w:jc w:val="center"/>
              <w:rPr>
                <w:rFonts w:ascii="Arial Narrow" w:hAnsi="Arial Narrow"/>
                <w:sz w:val="20"/>
                <w:szCs w:val="20"/>
              </w:rPr>
            </w:pPr>
            <w:r w:rsidRPr="0058247A">
              <w:rPr>
                <w:rFonts w:ascii="Arial Narrow" w:hAnsi="Arial Narrow"/>
                <w:sz w:val="20"/>
                <w:szCs w:val="20"/>
              </w:rPr>
              <w:t>NR</w:t>
            </w:r>
          </w:p>
        </w:tc>
        <w:tc>
          <w:tcPr>
            <w:tcW w:w="544" w:type="pct"/>
            <w:vAlign w:val="center"/>
          </w:tcPr>
          <w:p w14:paraId="053AA6E0" w14:textId="77777777" w:rsidR="00D30F1D" w:rsidRPr="0058247A" w:rsidRDefault="00D30F1D" w:rsidP="00A25B4A">
            <w:pPr>
              <w:keepNext/>
              <w:jc w:val="center"/>
              <w:rPr>
                <w:rFonts w:ascii="Arial Narrow" w:hAnsi="Arial Narrow"/>
                <w:b/>
                <w:bCs/>
                <w:sz w:val="20"/>
                <w:szCs w:val="20"/>
              </w:rPr>
            </w:pPr>
            <w:r w:rsidRPr="0058247A">
              <w:rPr>
                <w:rFonts w:ascii="Arial Narrow" w:hAnsi="Arial Narrow"/>
                <w:sz w:val="20"/>
                <w:szCs w:val="20"/>
              </w:rPr>
              <w:t>NR</w:t>
            </w:r>
          </w:p>
        </w:tc>
      </w:tr>
      <w:tr w:rsidR="00D30F1D" w:rsidRPr="0058247A" w14:paraId="6AFBCBBC" w14:textId="77777777" w:rsidTr="003B3112">
        <w:tc>
          <w:tcPr>
            <w:tcW w:w="1622" w:type="pct"/>
          </w:tcPr>
          <w:p w14:paraId="1B919CA7"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Stable disease (SD)</w:t>
            </w:r>
          </w:p>
        </w:tc>
        <w:tc>
          <w:tcPr>
            <w:tcW w:w="970" w:type="pct"/>
            <w:vAlign w:val="center"/>
          </w:tcPr>
          <w:p w14:paraId="3C337967"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3.0 (1.5, 5.3)</w:t>
            </w:r>
          </w:p>
        </w:tc>
        <w:tc>
          <w:tcPr>
            <w:tcW w:w="932" w:type="pct"/>
            <w:vAlign w:val="center"/>
          </w:tcPr>
          <w:p w14:paraId="1DC529E1"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14.9 (11.4, 19.0)</w:t>
            </w:r>
          </w:p>
        </w:tc>
        <w:tc>
          <w:tcPr>
            <w:tcW w:w="932" w:type="pct"/>
            <w:vAlign w:val="center"/>
          </w:tcPr>
          <w:p w14:paraId="2FE45ED4" w14:textId="77777777" w:rsidR="00D30F1D" w:rsidRPr="0058247A" w:rsidRDefault="00D30F1D" w:rsidP="003B3112">
            <w:pPr>
              <w:keepNext/>
              <w:jc w:val="center"/>
              <w:rPr>
                <w:rFonts w:ascii="Arial Narrow" w:hAnsi="Arial Narrow"/>
                <w:sz w:val="20"/>
                <w:szCs w:val="20"/>
              </w:rPr>
            </w:pPr>
            <w:r w:rsidRPr="0058247A">
              <w:rPr>
                <w:rFonts w:ascii="Arial Narrow" w:hAnsi="Arial Narrow"/>
                <w:sz w:val="20"/>
                <w:szCs w:val="20"/>
              </w:rPr>
              <w:t>NR</w:t>
            </w:r>
          </w:p>
        </w:tc>
        <w:tc>
          <w:tcPr>
            <w:tcW w:w="544" w:type="pct"/>
            <w:vAlign w:val="center"/>
          </w:tcPr>
          <w:p w14:paraId="6716A66F"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NR</w:t>
            </w:r>
          </w:p>
        </w:tc>
      </w:tr>
      <w:tr w:rsidR="00D30F1D" w:rsidRPr="0058247A" w14:paraId="2E5F603E" w14:textId="77777777" w:rsidTr="003B3112">
        <w:tc>
          <w:tcPr>
            <w:tcW w:w="1622" w:type="pct"/>
          </w:tcPr>
          <w:p w14:paraId="58C3DC36"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Progressive disease (PD)</w:t>
            </w:r>
          </w:p>
        </w:tc>
        <w:tc>
          <w:tcPr>
            <w:tcW w:w="970" w:type="pct"/>
            <w:vAlign w:val="center"/>
          </w:tcPr>
          <w:p w14:paraId="6CE3F9A0"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0.3 (0.0, 1.5)</w:t>
            </w:r>
          </w:p>
        </w:tc>
        <w:tc>
          <w:tcPr>
            <w:tcW w:w="932" w:type="pct"/>
            <w:vAlign w:val="center"/>
          </w:tcPr>
          <w:p w14:paraId="00EC728E"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0 (NE, NE)</w:t>
            </w:r>
          </w:p>
        </w:tc>
        <w:tc>
          <w:tcPr>
            <w:tcW w:w="932" w:type="pct"/>
            <w:vAlign w:val="center"/>
          </w:tcPr>
          <w:p w14:paraId="09F355C8" w14:textId="77777777" w:rsidR="00D30F1D" w:rsidRPr="0058247A" w:rsidRDefault="00D30F1D" w:rsidP="003B3112">
            <w:pPr>
              <w:keepNext/>
              <w:jc w:val="center"/>
              <w:rPr>
                <w:rFonts w:ascii="Arial Narrow" w:hAnsi="Arial Narrow"/>
                <w:sz w:val="20"/>
                <w:szCs w:val="20"/>
              </w:rPr>
            </w:pPr>
            <w:r w:rsidRPr="0058247A">
              <w:rPr>
                <w:rFonts w:ascii="Arial Narrow" w:hAnsi="Arial Narrow"/>
                <w:sz w:val="20"/>
                <w:szCs w:val="20"/>
              </w:rPr>
              <w:t>NR</w:t>
            </w:r>
          </w:p>
        </w:tc>
        <w:tc>
          <w:tcPr>
            <w:tcW w:w="544" w:type="pct"/>
            <w:vAlign w:val="center"/>
          </w:tcPr>
          <w:p w14:paraId="572E82DE"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NR</w:t>
            </w:r>
          </w:p>
        </w:tc>
      </w:tr>
      <w:tr w:rsidR="00D30F1D" w:rsidRPr="0058247A" w14:paraId="27100DE5" w14:textId="77777777" w:rsidTr="003B3112">
        <w:tc>
          <w:tcPr>
            <w:tcW w:w="1622" w:type="pct"/>
          </w:tcPr>
          <w:p w14:paraId="1BFC07BD" w14:textId="77777777" w:rsidR="00D30F1D" w:rsidRPr="0058247A" w:rsidRDefault="00D30F1D" w:rsidP="00A25B4A">
            <w:pPr>
              <w:keepNext/>
              <w:ind w:left="113"/>
              <w:jc w:val="left"/>
              <w:rPr>
                <w:rFonts w:ascii="Arial Narrow" w:hAnsi="Arial Narrow"/>
                <w:sz w:val="20"/>
                <w:szCs w:val="20"/>
              </w:rPr>
            </w:pPr>
            <w:r w:rsidRPr="0058247A">
              <w:rPr>
                <w:rFonts w:ascii="Arial Narrow" w:hAnsi="Arial Narrow"/>
                <w:sz w:val="20"/>
                <w:szCs w:val="20"/>
              </w:rPr>
              <w:t>Not evaluable (NE)</w:t>
            </w:r>
          </w:p>
        </w:tc>
        <w:tc>
          <w:tcPr>
            <w:tcW w:w="970" w:type="pct"/>
            <w:vAlign w:val="center"/>
          </w:tcPr>
          <w:p w14:paraId="2EC18FA4"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3.8 (2.1, 6.3)</w:t>
            </w:r>
          </w:p>
        </w:tc>
        <w:tc>
          <w:tcPr>
            <w:tcW w:w="932" w:type="pct"/>
            <w:vAlign w:val="center"/>
          </w:tcPr>
          <w:p w14:paraId="52B03FF9"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3.5 (1.9, 5.9)</w:t>
            </w:r>
          </w:p>
        </w:tc>
        <w:tc>
          <w:tcPr>
            <w:tcW w:w="932" w:type="pct"/>
            <w:vAlign w:val="center"/>
          </w:tcPr>
          <w:p w14:paraId="4E93128A" w14:textId="77777777" w:rsidR="00D30F1D" w:rsidRPr="0058247A" w:rsidRDefault="00D30F1D" w:rsidP="003B3112">
            <w:pPr>
              <w:keepNext/>
              <w:jc w:val="center"/>
              <w:rPr>
                <w:rFonts w:ascii="Arial Narrow" w:hAnsi="Arial Narrow"/>
                <w:sz w:val="20"/>
                <w:szCs w:val="20"/>
              </w:rPr>
            </w:pPr>
            <w:r w:rsidRPr="0058247A">
              <w:rPr>
                <w:rFonts w:ascii="Arial Narrow" w:hAnsi="Arial Narrow"/>
                <w:sz w:val="20"/>
                <w:szCs w:val="20"/>
              </w:rPr>
              <w:t>NR</w:t>
            </w:r>
          </w:p>
        </w:tc>
        <w:tc>
          <w:tcPr>
            <w:tcW w:w="544" w:type="pct"/>
            <w:vAlign w:val="center"/>
          </w:tcPr>
          <w:p w14:paraId="7B3B253A"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NR</w:t>
            </w:r>
          </w:p>
        </w:tc>
      </w:tr>
      <w:tr w:rsidR="00D30F1D" w:rsidRPr="0058247A" w14:paraId="30F75A0D" w14:textId="77777777" w:rsidTr="003B3112">
        <w:tc>
          <w:tcPr>
            <w:tcW w:w="1622" w:type="pct"/>
          </w:tcPr>
          <w:p w14:paraId="2DF1CC5B" w14:textId="77777777" w:rsidR="00D30F1D" w:rsidRPr="0058247A" w:rsidRDefault="00D30F1D" w:rsidP="00A25B4A">
            <w:pPr>
              <w:keepNext/>
              <w:jc w:val="left"/>
              <w:rPr>
                <w:rFonts w:ascii="Arial Narrow" w:hAnsi="Arial Narrow"/>
                <w:sz w:val="20"/>
                <w:szCs w:val="20"/>
              </w:rPr>
            </w:pPr>
            <w:r w:rsidRPr="0058247A">
              <w:rPr>
                <w:rFonts w:ascii="Arial Narrow" w:hAnsi="Arial Narrow"/>
                <w:sz w:val="20"/>
                <w:szCs w:val="20"/>
              </w:rPr>
              <w:t>Overall response rate (sCR+CR+VGPR+PR)</w:t>
            </w:r>
          </w:p>
        </w:tc>
        <w:tc>
          <w:tcPr>
            <w:tcW w:w="970" w:type="pct"/>
            <w:vAlign w:val="center"/>
          </w:tcPr>
          <w:p w14:paraId="30398172"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92.9 (89.8, 95.3)</w:t>
            </w:r>
          </w:p>
        </w:tc>
        <w:tc>
          <w:tcPr>
            <w:tcW w:w="932" w:type="pct"/>
            <w:vAlign w:val="center"/>
          </w:tcPr>
          <w:p w14:paraId="2927C9B5"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81.6 (77.2, 85.4)</w:t>
            </w:r>
          </w:p>
        </w:tc>
        <w:tc>
          <w:tcPr>
            <w:tcW w:w="932" w:type="pct"/>
            <w:vAlign w:val="center"/>
          </w:tcPr>
          <w:p w14:paraId="7671EFAE" w14:textId="77777777" w:rsidR="00D30F1D" w:rsidRPr="0058247A" w:rsidRDefault="00D30F1D" w:rsidP="003B3112">
            <w:pPr>
              <w:keepNext/>
              <w:jc w:val="center"/>
              <w:rPr>
                <w:rFonts w:ascii="Arial Narrow" w:hAnsi="Arial Narrow"/>
                <w:b/>
                <w:bCs/>
                <w:sz w:val="20"/>
                <w:szCs w:val="20"/>
              </w:rPr>
            </w:pPr>
            <w:r w:rsidRPr="0058247A">
              <w:rPr>
                <w:rFonts w:ascii="Arial Narrow" w:hAnsi="Arial Narrow"/>
                <w:b/>
                <w:bCs/>
                <w:sz w:val="20"/>
                <w:szCs w:val="20"/>
              </w:rPr>
              <w:t>3.00 (1.85, 4.86)</w:t>
            </w:r>
          </w:p>
        </w:tc>
        <w:tc>
          <w:tcPr>
            <w:tcW w:w="544" w:type="pct"/>
            <w:vAlign w:val="center"/>
          </w:tcPr>
          <w:p w14:paraId="0C04D8A1" w14:textId="77777777" w:rsidR="00D30F1D" w:rsidRPr="0058247A" w:rsidRDefault="00D30F1D" w:rsidP="00A25B4A">
            <w:pPr>
              <w:keepNext/>
              <w:jc w:val="left"/>
              <w:rPr>
                <w:rFonts w:ascii="Arial Narrow" w:hAnsi="Arial Narrow"/>
                <w:b/>
                <w:bCs/>
                <w:sz w:val="20"/>
                <w:szCs w:val="20"/>
              </w:rPr>
            </w:pPr>
            <w:r w:rsidRPr="0058247A">
              <w:rPr>
                <w:rFonts w:ascii="Arial Narrow" w:hAnsi="Arial Narrow"/>
                <w:b/>
                <w:bCs/>
                <w:sz w:val="20"/>
                <w:szCs w:val="20"/>
              </w:rPr>
              <w:t>&lt;0.0001</w:t>
            </w:r>
          </w:p>
        </w:tc>
      </w:tr>
      <w:tr w:rsidR="00D30F1D" w:rsidRPr="0058247A" w14:paraId="10424068" w14:textId="77777777" w:rsidTr="003B3112">
        <w:tc>
          <w:tcPr>
            <w:tcW w:w="1622" w:type="pct"/>
          </w:tcPr>
          <w:p w14:paraId="1C467C17" w14:textId="77777777" w:rsidR="00D30F1D" w:rsidRPr="0058247A" w:rsidRDefault="00D30F1D" w:rsidP="00A25B4A">
            <w:pPr>
              <w:keepNext/>
              <w:jc w:val="left"/>
              <w:rPr>
                <w:rFonts w:ascii="Arial Narrow" w:hAnsi="Arial Narrow"/>
                <w:sz w:val="20"/>
                <w:szCs w:val="20"/>
              </w:rPr>
            </w:pPr>
            <w:r w:rsidRPr="0058247A">
              <w:rPr>
                <w:rFonts w:ascii="Arial Narrow" w:hAnsi="Arial Narrow"/>
                <w:sz w:val="20"/>
                <w:szCs w:val="20"/>
              </w:rPr>
              <w:t>VGPR or better (sCR + CR + VGPR)</w:t>
            </w:r>
          </w:p>
        </w:tc>
        <w:tc>
          <w:tcPr>
            <w:tcW w:w="970" w:type="pct"/>
            <w:vAlign w:val="center"/>
          </w:tcPr>
          <w:p w14:paraId="57135040"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81.5 (77.2, 85.4)</w:t>
            </w:r>
          </w:p>
        </w:tc>
        <w:tc>
          <w:tcPr>
            <w:tcW w:w="932" w:type="pct"/>
            <w:vAlign w:val="center"/>
          </w:tcPr>
          <w:p w14:paraId="1AFA958C"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56.9 (51.7, 62.0)</w:t>
            </w:r>
          </w:p>
        </w:tc>
        <w:tc>
          <w:tcPr>
            <w:tcW w:w="932" w:type="pct"/>
            <w:vAlign w:val="center"/>
          </w:tcPr>
          <w:p w14:paraId="1A47DDB9" w14:textId="77777777" w:rsidR="00D30F1D" w:rsidRPr="0058247A" w:rsidRDefault="00D30F1D" w:rsidP="003B3112">
            <w:pPr>
              <w:keepNext/>
              <w:jc w:val="center"/>
              <w:rPr>
                <w:rFonts w:ascii="Arial Narrow" w:hAnsi="Arial Narrow"/>
                <w:b/>
                <w:bCs/>
                <w:sz w:val="20"/>
                <w:szCs w:val="20"/>
              </w:rPr>
            </w:pPr>
            <w:r w:rsidRPr="0058247A">
              <w:rPr>
                <w:rFonts w:ascii="Arial Narrow" w:hAnsi="Arial Narrow"/>
                <w:b/>
                <w:bCs/>
                <w:sz w:val="20"/>
                <w:szCs w:val="20"/>
              </w:rPr>
              <w:t>3.40 (2.42, 4.77)</w:t>
            </w:r>
          </w:p>
        </w:tc>
        <w:tc>
          <w:tcPr>
            <w:tcW w:w="544" w:type="pct"/>
            <w:vAlign w:val="center"/>
          </w:tcPr>
          <w:p w14:paraId="5211CF15" w14:textId="77777777" w:rsidR="00D30F1D" w:rsidRPr="0058247A" w:rsidRDefault="00D30F1D" w:rsidP="00A25B4A">
            <w:pPr>
              <w:keepNext/>
              <w:jc w:val="left"/>
              <w:rPr>
                <w:rFonts w:ascii="Arial Narrow" w:hAnsi="Arial Narrow"/>
                <w:b/>
                <w:bCs/>
                <w:sz w:val="20"/>
                <w:szCs w:val="20"/>
              </w:rPr>
            </w:pPr>
            <w:r w:rsidRPr="0058247A">
              <w:rPr>
                <w:rFonts w:ascii="Arial Narrow" w:hAnsi="Arial Narrow"/>
                <w:b/>
                <w:bCs/>
                <w:sz w:val="20"/>
                <w:szCs w:val="20"/>
              </w:rPr>
              <w:t>&lt;0.0001</w:t>
            </w:r>
          </w:p>
        </w:tc>
      </w:tr>
      <w:tr w:rsidR="00D30F1D" w:rsidRPr="0058247A" w14:paraId="50B9F290" w14:textId="77777777" w:rsidTr="003B3112">
        <w:trPr>
          <w:trHeight w:val="60"/>
        </w:trPr>
        <w:tc>
          <w:tcPr>
            <w:tcW w:w="1622" w:type="pct"/>
          </w:tcPr>
          <w:p w14:paraId="58AD9F36" w14:textId="77777777" w:rsidR="00D30F1D" w:rsidRPr="0058247A" w:rsidRDefault="00D30F1D" w:rsidP="00A25B4A">
            <w:pPr>
              <w:keepNext/>
              <w:jc w:val="left"/>
              <w:rPr>
                <w:rFonts w:ascii="Arial Narrow" w:hAnsi="Arial Narrow"/>
                <w:sz w:val="20"/>
                <w:szCs w:val="20"/>
              </w:rPr>
            </w:pPr>
            <w:r w:rsidRPr="0058247A">
              <w:rPr>
                <w:rFonts w:ascii="Arial Narrow" w:hAnsi="Arial Narrow"/>
                <w:sz w:val="20"/>
                <w:szCs w:val="20"/>
              </w:rPr>
              <w:t>CR or better (sCR + CR)</w:t>
            </w:r>
          </w:p>
        </w:tc>
        <w:tc>
          <w:tcPr>
            <w:tcW w:w="970" w:type="pct"/>
            <w:vAlign w:val="center"/>
          </w:tcPr>
          <w:p w14:paraId="17C1B4C2"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51.1 (45.9, 56.3)</w:t>
            </w:r>
          </w:p>
        </w:tc>
        <w:tc>
          <w:tcPr>
            <w:tcW w:w="932" w:type="pct"/>
            <w:vAlign w:val="center"/>
          </w:tcPr>
          <w:p w14:paraId="7D403DA8" w14:textId="77777777" w:rsidR="00D30F1D" w:rsidRPr="0058247A" w:rsidRDefault="00D30F1D" w:rsidP="00A25B4A">
            <w:pPr>
              <w:keepNext/>
              <w:jc w:val="center"/>
              <w:rPr>
                <w:rFonts w:ascii="Arial Narrow" w:hAnsi="Arial Narrow"/>
                <w:sz w:val="20"/>
                <w:szCs w:val="20"/>
              </w:rPr>
            </w:pPr>
            <w:r w:rsidRPr="0058247A">
              <w:rPr>
                <w:rFonts w:ascii="Arial Narrow" w:hAnsi="Arial Narrow"/>
                <w:sz w:val="20"/>
                <w:szCs w:val="20"/>
              </w:rPr>
              <w:t>30.1 (25.4, 35.0)</w:t>
            </w:r>
          </w:p>
        </w:tc>
        <w:tc>
          <w:tcPr>
            <w:tcW w:w="932" w:type="pct"/>
            <w:vAlign w:val="center"/>
          </w:tcPr>
          <w:p w14:paraId="248A454D" w14:textId="77777777" w:rsidR="00D30F1D" w:rsidRPr="0058247A" w:rsidRDefault="00D30F1D" w:rsidP="003B3112">
            <w:pPr>
              <w:keepNext/>
              <w:jc w:val="center"/>
              <w:rPr>
                <w:rFonts w:ascii="Arial Narrow" w:hAnsi="Arial Narrow"/>
                <w:b/>
                <w:bCs/>
                <w:sz w:val="20"/>
                <w:szCs w:val="20"/>
              </w:rPr>
            </w:pPr>
            <w:r w:rsidRPr="0058247A">
              <w:rPr>
                <w:rFonts w:ascii="Arial Narrow" w:hAnsi="Arial Narrow"/>
                <w:b/>
                <w:bCs/>
                <w:sz w:val="20"/>
                <w:szCs w:val="20"/>
              </w:rPr>
              <w:t>2.44 (1.80, 3.30)</w:t>
            </w:r>
          </w:p>
        </w:tc>
        <w:tc>
          <w:tcPr>
            <w:tcW w:w="544" w:type="pct"/>
            <w:vAlign w:val="center"/>
          </w:tcPr>
          <w:p w14:paraId="67916AC5" w14:textId="77777777" w:rsidR="00D30F1D" w:rsidRPr="0058247A" w:rsidRDefault="00D30F1D" w:rsidP="00A25B4A">
            <w:pPr>
              <w:keepNext/>
              <w:jc w:val="left"/>
              <w:rPr>
                <w:rFonts w:ascii="Arial Narrow" w:hAnsi="Arial Narrow"/>
                <w:b/>
                <w:bCs/>
                <w:sz w:val="20"/>
                <w:szCs w:val="20"/>
              </w:rPr>
            </w:pPr>
            <w:r w:rsidRPr="0058247A">
              <w:rPr>
                <w:rFonts w:ascii="Arial Narrow" w:hAnsi="Arial Narrow"/>
                <w:b/>
                <w:bCs/>
                <w:sz w:val="20"/>
                <w:szCs w:val="20"/>
              </w:rPr>
              <w:t>&lt;0.0001</w:t>
            </w:r>
          </w:p>
        </w:tc>
      </w:tr>
    </w:tbl>
    <w:p w14:paraId="089B66D7" w14:textId="77777777" w:rsidR="00D30F1D" w:rsidRPr="0058247A" w:rsidRDefault="00D30F1D" w:rsidP="00D30F1D">
      <w:pPr>
        <w:pStyle w:val="FooterTableFigure"/>
        <w:rPr>
          <w:rFonts w:eastAsia="Calibri"/>
          <w:lang w:eastAsia="en-US"/>
        </w:rPr>
      </w:pPr>
      <w:r w:rsidRPr="0058247A">
        <w:rPr>
          <w:rFonts w:eastAsia="Calibri"/>
          <w:lang w:eastAsia="en-US"/>
        </w:rPr>
        <w:t>Source: Table 2.29, p 149 of the submission.</w:t>
      </w:r>
    </w:p>
    <w:p w14:paraId="4CC5087E" w14:textId="77777777" w:rsidR="00D30F1D" w:rsidRPr="0058247A" w:rsidRDefault="00D30F1D" w:rsidP="00D30F1D">
      <w:pPr>
        <w:pStyle w:val="FooterTableFigure"/>
        <w:rPr>
          <w:rFonts w:eastAsia="Calibri"/>
          <w:lang w:eastAsia="en-US"/>
        </w:rPr>
      </w:pPr>
      <w:r w:rsidRPr="0058247A">
        <w:rPr>
          <w:rFonts w:eastAsia="Calibri"/>
          <w:lang w:eastAsia="en-US"/>
        </w:rPr>
        <w:t xml:space="preserve">CI= confidence interval; DLd= daratumumab, lenalidomide, dexamethasone; Ld= lenalidomide, dexamethasone; NE= not estimable; NR= not reported. </w:t>
      </w:r>
    </w:p>
    <w:p w14:paraId="60A6D41A" w14:textId="095F4474" w:rsidR="00D30F1D" w:rsidRPr="0058247A" w:rsidRDefault="00D30F1D" w:rsidP="00D30F1D">
      <w:pPr>
        <w:pStyle w:val="FooterTableFigure"/>
        <w:rPr>
          <w:rFonts w:eastAsia="Calibri"/>
          <w:lang w:eastAsia="en-US"/>
        </w:rPr>
      </w:pPr>
      <w:r w:rsidRPr="0058247A">
        <w:rPr>
          <w:rFonts w:eastAsia="Calibri"/>
          <w:vertAlign w:val="superscript"/>
          <w:lang w:eastAsia="en-US"/>
        </w:rPr>
        <w:t>a</w:t>
      </w:r>
      <w:r w:rsidRPr="0058247A">
        <w:rPr>
          <w:rFonts w:eastAsia="Calibri"/>
          <w:lang w:eastAsia="en-US"/>
        </w:rPr>
        <w:t xml:space="preserve"> Mantel-Haenszel estimate of the common odds ratio for stratified tables is used. The stratification factors are: ISS staging (I, II, III), region (North America vs. Other), and</w:t>
      </w:r>
      <w:r w:rsidR="00024097" w:rsidRPr="0058247A">
        <w:rPr>
          <w:rFonts w:eastAsia="Calibri"/>
          <w:lang w:eastAsia="en-US"/>
        </w:rPr>
        <w:t xml:space="preserve"> </w:t>
      </w:r>
      <w:r w:rsidRPr="0058247A">
        <w:rPr>
          <w:rFonts w:eastAsia="Calibri"/>
          <w:lang w:eastAsia="en-US"/>
        </w:rPr>
        <w:t>age (&lt;75 years vs. ≥75 years) as randomized. An odds ratio &gt; 1 indicates an advantage for DLd.</w:t>
      </w:r>
    </w:p>
    <w:p w14:paraId="7B23DBDC" w14:textId="77777777" w:rsidR="00D30F1D" w:rsidRPr="0058247A" w:rsidRDefault="00D30F1D" w:rsidP="00D30F1D">
      <w:pPr>
        <w:pStyle w:val="FooterTableFigure"/>
        <w:rPr>
          <w:rFonts w:eastAsia="Calibri"/>
          <w:lang w:eastAsia="en-US"/>
        </w:rPr>
      </w:pPr>
      <w:r w:rsidRPr="0058247A">
        <w:rPr>
          <w:rFonts w:eastAsia="Calibri"/>
          <w:vertAlign w:val="superscript"/>
          <w:lang w:eastAsia="en-US"/>
        </w:rPr>
        <w:t xml:space="preserve">b </w:t>
      </w:r>
      <w:r w:rsidRPr="0058247A">
        <w:rPr>
          <w:rFonts w:eastAsia="Calibri"/>
          <w:lang w:eastAsia="en-US"/>
        </w:rPr>
        <w:t>P-value from the Cochran Mantel-Haenszel Chi-Squared test.</w:t>
      </w:r>
    </w:p>
    <w:p w14:paraId="29B66EC6" w14:textId="77777777" w:rsidR="00D30F1D" w:rsidRPr="0058247A" w:rsidRDefault="00D30F1D" w:rsidP="00D30F1D">
      <w:pPr>
        <w:pStyle w:val="FooterTableFigure"/>
        <w:rPr>
          <w:rFonts w:eastAsia="Calibri"/>
          <w:lang w:eastAsia="en-US"/>
        </w:rPr>
      </w:pPr>
      <w:r w:rsidRPr="0058247A">
        <w:rPr>
          <w:rFonts w:eastAsia="Calibri"/>
          <w:lang w:eastAsia="en-US"/>
        </w:rPr>
        <w:t>Response was assessed by computerised algorithm, based on International Uniform Response Criteria Consensus Recommendations. Percentages are calculated with the number of patients in each group as the denominator.</w:t>
      </w:r>
    </w:p>
    <w:p w14:paraId="56C4727A" w14:textId="77777777" w:rsidR="00D30F1D" w:rsidRPr="0058247A" w:rsidRDefault="00D30F1D" w:rsidP="00D30F1D">
      <w:pPr>
        <w:pStyle w:val="FooterTableFigure"/>
      </w:pPr>
      <w:r w:rsidRPr="0058247A">
        <w:t>Bold text indicates statistically significant results.</w:t>
      </w:r>
    </w:p>
    <w:p w14:paraId="49689646" w14:textId="77BD3BD0" w:rsidR="00D30F1D" w:rsidRPr="006154DA" w:rsidRDefault="00D30F1D" w:rsidP="00D30F1D">
      <w:pPr>
        <w:pStyle w:val="3-BodyText"/>
      </w:pPr>
      <w:r w:rsidRPr="006154DA">
        <w:t>The submission reported that functional status and well-being in MAIA were assessed by the EORTC-QLQ-C30 and the EQ-5D-5L. In both treatment groups, the compliance rates at baseline exceeded 90% and were greater than 70% during the treatment phase through cycle 60. The EORTC-QLQ-C30 global health status score demonstrated a statistically significant difference at one timepoint, Cycle 12, with a least squared mean difference of 0.05 (95% CI</w:t>
      </w:r>
      <w:r w:rsidR="007F790A">
        <w:t>:</w:t>
      </w:r>
      <w:r w:rsidRPr="006154DA">
        <w:t xml:space="preserve"> 0.01, 0.09</w:t>
      </w:r>
      <w:r w:rsidR="007F790A">
        <w:t>;</w:t>
      </w:r>
      <w:r w:rsidRPr="006154DA">
        <w:t xml:space="preserve"> p = 0.0178)</w:t>
      </w:r>
      <w:r w:rsidR="00F42E98" w:rsidRPr="006154DA">
        <w:t xml:space="preserve"> favouring DLd over Ld however the difference in global health status at cycle 12 was not sustained over time</w:t>
      </w:r>
      <w:r w:rsidRPr="006154DA">
        <w:t>. All other measurements from Cycle 3 to Cycle 66 were non-significant but numerically favoured the DLd group, with most differences ranging from 0.01 to 0.03. Similarly, a statistically significant difference in utility values between groups measured through the EQ-5D-5L was only observed at Cycle 42 (LS mean change: DLd</w:t>
      </w:r>
      <w:r w:rsidR="007F790A">
        <w:t xml:space="preserve"> </w:t>
      </w:r>
      <w:r w:rsidRPr="006154DA">
        <w:t>= 0.11</w:t>
      </w:r>
      <w:r w:rsidR="007F790A">
        <w:t xml:space="preserve">; </w:t>
      </w:r>
      <w:r w:rsidRPr="006154DA">
        <w:t>95% CI</w:t>
      </w:r>
      <w:r w:rsidR="007F790A">
        <w:t>:</w:t>
      </w:r>
      <w:r w:rsidRPr="006154DA">
        <w:t xml:space="preserve"> </w:t>
      </w:r>
      <w:r w:rsidRPr="006154DA">
        <w:lastRenderedPageBreak/>
        <w:t>0.09, 0.14, Ld</w:t>
      </w:r>
      <w:r w:rsidR="007F790A">
        <w:t xml:space="preserve"> </w:t>
      </w:r>
      <w:r w:rsidRPr="006154DA">
        <w:t>= 0.06</w:t>
      </w:r>
      <w:r w:rsidR="007F790A">
        <w:t xml:space="preserve">; </w:t>
      </w:r>
      <w:r w:rsidRPr="006154DA">
        <w:t>95% CI</w:t>
      </w:r>
      <w:r w:rsidR="007F790A">
        <w:t xml:space="preserve">: </w:t>
      </w:r>
      <w:r w:rsidRPr="006154DA">
        <w:t>0.03, 0.10; p</w:t>
      </w:r>
      <w:r w:rsidR="007F790A">
        <w:t xml:space="preserve"> </w:t>
      </w:r>
      <w:r w:rsidRPr="006154DA">
        <w:t xml:space="preserve">= 0.0178). No minimum clinically important difference (MCID) for </w:t>
      </w:r>
      <w:r w:rsidR="00EE52D3" w:rsidRPr="006154DA">
        <w:t xml:space="preserve">the </w:t>
      </w:r>
      <w:r w:rsidRPr="006154DA">
        <w:t>EQ-5D-5L was stated in the submission, however the mean change in scores between baseline and treatment endpoint</w:t>
      </w:r>
      <w:r w:rsidR="00D713A7" w:rsidRPr="006154DA">
        <w:t xml:space="preserve"> (</w:t>
      </w:r>
      <w:r w:rsidR="009220D5" w:rsidRPr="006154DA">
        <w:t xml:space="preserve">0.07 </w:t>
      </w:r>
      <w:r w:rsidR="00D872FC" w:rsidRPr="006154DA">
        <w:t>[</w:t>
      </w:r>
      <w:r w:rsidR="009220D5" w:rsidRPr="006154DA">
        <w:t>-0.00, 0.14</w:t>
      </w:r>
      <w:r w:rsidR="00D872FC" w:rsidRPr="006154DA">
        <w:t>])</w:t>
      </w:r>
      <w:r w:rsidRPr="006154DA">
        <w:t xml:space="preserve"> w</w:t>
      </w:r>
      <w:r w:rsidR="001814EE" w:rsidRPr="006154DA">
        <w:t>as</w:t>
      </w:r>
      <w:r w:rsidRPr="006154DA">
        <w:t xml:space="preserve"> smaller than </w:t>
      </w:r>
      <w:r w:rsidR="00EE52D3" w:rsidRPr="006154DA">
        <w:t xml:space="preserve">the </w:t>
      </w:r>
      <w:r w:rsidRPr="006154DA">
        <w:t>minimum clinically important differences published for EQ-5D-5L in the literature, which range from 0.072 to 0.101</w:t>
      </w:r>
      <w:r w:rsidRPr="006154DA">
        <w:rPr>
          <w:rStyle w:val="FootnoteReference"/>
        </w:rPr>
        <w:footnoteReference w:id="7"/>
      </w:r>
      <w:r w:rsidRPr="006154DA">
        <w:t>.</w:t>
      </w:r>
    </w:p>
    <w:p w14:paraId="4C59E11B" w14:textId="3CED5993" w:rsidR="00D30F1D" w:rsidRPr="006154DA" w:rsidRDefault="00D30F1D" w:rsidP="00D30F1D">
      <w:pPr>
        <w:pStyle w:val="3-BodyText"/>
      </w:pPr>
      <w:bookmarkStart w:id="49" w:name="_Ref127013993"/>
      <w:r w:rsidRPr="006154DA">
        <w:t xml:space="preserve">Overall, changes in both HRQoL instruments used in MAIA suggested an improvement in patients' quality of life for DLd and Ld compared to baseline scores, and those improvements did not decline over the follow-up period, noting that these results are susceptible to bias in this unblinded trial. The utility scores used in </w:t>
      </w:r>
      <w:r w:rsidR="00651F45" w:rsidRPr="006154DA">
        <w:t xml:space="preserve">the economic evaluation </w:t>
      </w:r>
      <w:r w:rsidRPr="006154DA">
        <w:t>were sourced from the EQ-5D-5L as reported from MAIA. The submission applied utility values based on disease progression states (progression free or progressed) which were independent of the treatment received; this was reasonable.</w:t>
      </w:r>
      <w:bookmarkEnd w:id="49"/>
      <w:r w:rsidRPr="006154DA">
        <w:t xml:space="preserve"> </w:t>
      </w:r>
    </w:p>
    <w:p w14:paraId="2F1DB54E" w14:textId="77777777" w:rsidR="00D30F1D" w:rsidRPr="006154DA" w:rsidRDefault="00D30F1D" w:rsidP="00D30F1D">
      <w:pPr>
        <w:pStyle w:val="3-BodyText"/>
        <w:numPr>
          <w:ilvl w:val="0"/>
          <w:numId w:val="0"/>
        </w:numPr>
        <w:spacing w:after="0"/>
        <w:rPr>
          <w:u w:val="single"/>
        </w:rPr>
      </w:pPr>
      <w:r w:rsidRPr="006154DA">
        <w:rPr>
          <w:u w:val="single"/>
        </w:rPr>
        <w:t xml:space="preserve">SWOG s0777 results </w:t>
      </w:r>
    </w:p>
    <w:p w14:paraId="3CB0876F" w14:textId="23A4717D" w:rsidR="00622AD3" w:rsidRPr="006154DA" w:rsidRDefault="00D30F1D" w:rsidP="00D30F1D">
      <w:pPr>
        <w:pStyle w:val="3-BodyText"/>
      </w:pPr>
      <w:bookmarkStart w:id="50" w:name="_Ref127014259"/>
      <w:r w:rsidRPr="006154DA">
        <w:t xml:space="preserve">The primary outcome data reported in SWOG s0777 are presented in </w:t>
      </w:r>
      <w:r w:rsidRPr="006154DA">
        <w:fldChar w:fldCharType="begin"/>
      </w:r>
      <w:r w:rsidRPr="006154DA">
        <w:instrText xml:space="preserve"> REF _Ref121321581 \h </w:instrText>
      </w:r>
      <w:r w:rsidR="006A6407" w:rsidRPr="006154DA">
        <w:instrText xml:space="preserve"> \* MERGEFORMAT </w:instrText>
      </w:r>
      <w:r w:rsidRPr="006154DA">
        <w:fldChar w:fldCharType="separate"/>
      </w:r>
      <w:r w:rsidR="008D65C7" w:rsidRPr="0058247A">
        <w:t xml:space="preserve">Table </w:t>
      </w:r>
      <w:r w:rsidR="008D65C7">
        <w:t>6</w:t>
      </w:r>
      <w:r w:rsidRPr="006154DA">
        <w:fldChar w:fldCharType="end"/>
      </w:r>
      <w:r w:rsidRPr="006154DA">
        <w:t xml:space="preserve"> and the KM estimates are provided in </w:t>
      </w:r>
      <w:r w:rsidRPr="006154DA">
        <w:fldChar w:fldCharType="begin"/>
      </w:r>
      <w:r w:rsidRPr="006154DA">
        <w:instrText xml:space="preserve"> REF _Ref121321614 \h </w:instrText>
      </w:r>
      <w:r w:rsidR="006A6407" w:rsidRPr="006154DA">
        <w:instrText xml:space="preserve"> \* MERGEFORMAT </w:instrText>
      </w:r>
      <w:r w:rsidRPr="006154DA">
        <w:fldChar w:fldCharType="separate"/>
      </w:r>
      <w:r w:rsidR="008D65C7" w:rsidRPr="0058247A">
        <w:t xml:space="preserve">Figure </w:t>
      </w:r>
      <w:r w:rsidR="008D65C7">
        <w:t>3</w:t>
      </w:r>
      <w:r w:rsidRPr="006154DA">
        <w:fldChar w:fldCharType="end"/>
      </w:r>
      <w:r w:rsidRPr="006154DA">
        <w:t xml:space="preserve"> and </w:t>
      </w:r>
      <w:r w:rsidRPr="006154DA">
        <w:fldChar w:fldCharType="begin"/>
      </w:r>
      <w:r w:rsidRPr="006154DA">
        <w:instrText xml:space="preserve"> REF _Ref121321615 \h </w:instrText>
      </w:r>
      <w:r w:rsidR="006A6407" w:rsidRPr="006154DA">
        <w:instrText xml:space="preserve"> \* MERGEFORMAT </w:instrText>
      </w:r>
      <w:r w:rsidRPr="006154DA">
        <w:fldChar w:fldCharType="separate"/>
      </w:r>
      <w:r w:rsidR="008D65C7" w:rsidRPr="0058247A">
        <w:t xml:space="preserve">Figure </w:t>
      </w:r>
      <w:r w:rsidR="008D65C7">
        <w:t>4</w:t>
      </w:r>
      <w:r w:rsidRPr="006154DA">
        <w:fldChar w:fldCharType="end"/>
      </w:r>
      <w:r w:rsidRPr="006154DA">
        <w:t xml:space="preserve">. </w:t>
      </w:r>
      <w:r w:rsidR="00622AD3" w:rsidRPr="006154DA">
        <w:t xml:space="preserve">The </w:t>
      </w:r>
      <w:bookmarkStart w:id="51" w:name="_Ref122548837"/>
      <w:r w:rsidR="00622AD3" w:rsidRPr="006154DA">
        <w:t>a</w:t>
      </w:r>
      <w:r w:rsidRPr="006154DA">
        <w:t xml:space="preserve">djusted </w:t>
      </w:r>
      <w:r w:rsidR="00AB61B5" w:rsidRPr="006154DA">
        <w:t>HR</w:t>
      </w:r>
      <w:r w:rsidRPr="006154DA">
        <w:t xml:space="preserve"> estimates </w:t>
      </w:r>
      <w:r w:rsidR="00380229" w:rsidRPr="006154DA">
        <w:t xml:space="preserve">are </w:t>
      </w:r>
      <w:r w:rsidRPr="006154DA">
        <w:t>from weighted Cox regression models, adjusted for age, sex, ISS stage, ECOG PS and various baseline laboratory values, as described in</w:t>
      </w:r>
      <w:r w:rsidR="00622AD3" w:rsidRPr="006154DA">
        <w:t xml:space="preserve"> the notes to </w:t>
      </w:r>
      <w:r w:rsidR="00622AD3" w:rsidRPr="006154DA">
        <w:fldChar w:fldCharType="begin"/>
      </w:r>
      <w:r w:rsidR="00622AD3" w:rsidRPr="006154DA">
        <w:instrText xml:space="preserve"> REF _Ref121321581 \h </w:instrText>
      </w:r>
      <w:r w:rsidR="006A6407" w:rsidRPr="006154DA">
        <w:instrText xml:space="preserve"> \* MERGEFORMAT </w:instrText>
      </w:r>
      <w:r w:rsidR="00622AD3" w:rsidRPr="006154DA">
        <w:fldChar w:fldCharType="separate"/>
      </w:r>
      <w:r w:rsidR="008D65C7" w:rsidRPr="0058247A">
        <w:t xml:space="preserve">Table </w:t>
      </w:r>
      <w:r w:rsidR="008D65C7">
        <w:t>6</w:t>
      </w:r>
      <w:r w:rsidR="00622AD3" w:rsidRPr="006154DA">
        <w:fldChar w:fldCharType="end"/>
      </w:r>
      <w:r w:rsidRPr="006154DA">
        <w:t>. Similarly, Durie 2020 used a stratified Cox proportional-hazard model according to the factors used for randomi</w:t>
      </w:r>
      <w:r w:rsidR="00EE52D3" w:rsidRPr="006154DA">
        <w:t>s</w:t>
      </w:r>
      <w:r w:rsidRPr="006154DA">
        <w:t xml:space="preserve">ation (ISS (I, II, or III) and intent to transplant [yes vs no]). </w:t>
      </w:r>
      <w:r w:rsidR="00FD36A5" w:rsidRPr="006154DA">
        <w:t>A</w:t>
      </w:r>
      <w:r w:rsidR="00AB61B5" w:rsidRPr="006154DA">
        <w:t>ll presented HRs are adjusted by these factors unless otherwise stated</w:t>
      </w:r>
      <w:r w:rsidRPr="006154DA">
        <w:t xml:space="preserve">. </w:t>
      </w:r>
      <w:r w:rsidR="002A149A" w:rsidRPr="006154DA">
        <w:t>The ESC considered that the ‘no transplant’ subgroup in the Durie 2020 analysis best reflected the TI NDMM Australian population</w:t>
      </w:r>
      <w:r w:rsidR="00032E74" w:rsidRPr="006154DA">
        <w:t xml:space="preserve"> as these patients did not receive a transplant</w:t>
      </w:r>
      <w:r w:rsidR="002A149A" w:rsidRPr="006154DA">
        <w:t>.</w:t>
      </w:r>
      <w:bookmarkEnd w:id="50"/>
      <w:r w:rsidR="00FD36A5" w:rsidRPr="006154DA">
        <w:t xml:space="preserve"> In these patients, BLd demonstrated a statistically significant improvement over Ld </w:t>
      </w:r>
      <w:r w:rsidR="0029709F" w:rsidRPr="006154DA">
        <w:t xml:space="preserve">for both PFS and OS </w:t>
      </w:r>
      <w:r w:rsidR="00FD36A5" w:rsidRPr="006154DA">
        <w:t>(</w:t>
      </w:r>
      <w:r w:rsidR="00FD36A5" w:rsidRPr="006154DA">
        <w:fldChar w:fldCharType="begin"/>
      </w:r>
      <w:r w:rsidR="00FD36A5" w:rsidRPr="006154DA">
        <w:instrText xml:space="preserve"> REF _Ref121321581 \h  \* MERGEFORMAT </w:instrText>
      </w:r>
      <w:r w:rsidR="00FD36A5" w:rsidRPr="006154DA">
        <w:fldChar w:fldCharType="separate"/>
      </w:r>
      <w:r w:rsidR="008D65C7" w:rsidRPr="0058247A">
        <w:t xml:space="preserve">Table </w:t>
      </w:r>
      <w:r w:rsidR="008D65C7">
        <w:t>6</w:t>
      </w:r>
      <w:r w:rsidR="00FD36A5" w:rsidRPr="006154DA">
        <w:fldChar w:fldCharType="end"/>
      </w:r>
      <w:r w:rsidR="00FD36A5" w:rsidRPr="006154DA">
        <w:t xml:space="preserve">), unlike the subgroup of patients aged </w:t>
      </w:r>
      <w:r w:rsidR="00FD36A5" w:rsidRPr="006154DA">
        <w:rPr>
          <w:rFonts w:cstheme="minorHAnsi"/>
        </w:rPr>
        <w:t>≥</w:t>
      </w:r>
      <w:r w:rsidR="00FD36A5" w:rsidRPr="006154DA">
        <w:t> 65 years that the submission proposed was most relevant.</w:t>
      </w:r>
    </w:p>
    <w:p w14:paraId="0F84CDFD" w14:textId="71AAB3E2" w:rsidR="00D30F1D" w:rsidRPr="006154DA" w:rsidRDefault="00D30F1D" w:rsidP="00D30F1D">
      <w:pPr>
        <w:pStyle w:val="3-BodyText"/>
      </w:pPr>
      <w:bookmarkStart w:id="52" w:name="_Ref127530519"/>
      <w:r w:rsidRPr="006154DA">
        <w:t xml:space="preserve">After a median follow-up of 55 months, BLd achieved a statistically significant improvement in PFS compared with Ld in patients </w:t>
      </w:r>
      <w:r w:rsidRPr="006154DA">
        <w:rPr>
          <w:rFonts w:cstheme="minorHAnsi"/>
        </w:rPr>
        <w:t>&lt;</w:t>
      </w:r>
      <w:r w:rsidR="00651F45" w:rsidRPr="006154DA">
        <w:rPr>
          <w:rFonts w:cstheme="minorHAnsi"/>
        </w:rPr>
        <w:t xml:space="preserve"> </w:t>
      </w:r>
      <w:r w:rsidRPr="006154DA">
        <w:t>65 years (HR</w:t>
      </w:r>
      <w:r w:rsidR="007F790A">
        <w:t xml:space="preserve"> </w:t>
      </w:r>
      <w:r w:rsidRPr="006154DA">
        <w:t>= 0.61; 95% CI: 0.45, 0.84; p</w:t>
      </w:r>
      <w:r w:rsidR="007F790A">
        <w:t xml:space="preserve"> </w:t>
      </w:r>
      <w:r w:rsidRPr="006154DA">
        <w:t>&lt;</w:t>
      </w:r>
      <w:r w:rsidR="007F790A">
        <w:t xml:space="preserve"> </w:t>
      </w:r>
      <w:r w:rsidRPr="006154DA">
        <w:t xml:space="preserve">0.05). However, BLd did not result in a statistically significant improvement in PFS compared with Ld in patients aged </w:t>
      </w:r>
      <w:r w:rsidR="00651F45" w:rsidRPr="006154DA">
        <w:rPr>
          <w:rFonts w:cstheme="minorHAnsi"/>
        </w:rPr>
        <w:t>≥</w:t>
      </w:r>
      <w:r w:rsidR="00651F45" w:rsidRPr="006154DA">
        <w:t xml:space="preserve"> </w:t>
      </w:r>
      <w:r w:rsidRPr="006154DA">
        <w:t>65 years (HR</w:t>
      </w:r>
      <w:r w:rsidR="007F790A">
        <w:t xml:space="preserve"> </w:t>
      </w:r>
      <w:r w:rsidRPr="006154DA">
        <w:t xml:space="preserve">= 0.90; 95% CI: 0.65, 1.26; </w:t>
      </w:r>
      <w:r w:rsidR="005377AE" w:rsidRPr="006154DA">
        <w:t>p</w:t>
      </w:r>
      <w:r w:rsidR="005377AE">
        <w:t> </w:t>
      </w:r>
      <w:r w:rsidR="005377AE" w:rsidRPr="006154DA">
        <w:t>&gt;</w:t>
      </w:r>
      <w:r w:rsidR="005377AE">
        <w:t> </w:t>
      </w:r>
      <w:r w:rsidRPr="006154DA">
        <w:t xml:space="preserve">0.05). </w:t>
      </w:r>
      <w:r w:rsidR="002A149A" w:rsidRPr="006154DA">
        <w:t>The ESC noted that for the ‘no transplant’ subgroup reported in Durie 2020, BLd demonstrated a statistically significant improvement over Ld after 84 months follow-up (HR</w:t>
      </w:r>
      <w:r w:rsidR="007F790A">
        <w:t xml:space="preserve"> </w:t>
      </w:r>
      <w:r w:rsidR="002A149A" w:rsidRPr="006154DA">
        <w:t>=</w:t>
      </w:r>
      <w:r w:rsidR="007F790A">
        <w:t xml:space="preserve"> </w:t>
      </w:r>
      <w:r w:rsidR="002A149A" w:rsidRPr="006154DA">
        <w:t xml:space="preserve">0.74; 95% CI: 0.55, 0.98). </w:t>
      </w:r>
      <w:r w:rsidR="00622AD3" w:rsidRPr="006154DA">
        <w:t>Results for PFS were not reported for the 84</w:t>
      </w:r>
      <w:r w:rsidR="00447820" w:rsidRPr="006154DA">
        <w:t>-</w:t>
      </w:r>
      <w:r w:rsidR="00622AD3" w:rsidRPr="006154DA">
        <w:t>month (Durie 2020) follow-up</w:t>
      </w:r>
      <w:r w:rsidR="00D06077" w:rsidRPr="006154DA">
        <w:t xml:space="preserve"> for </w:t>
      </w:r>
      <w:r w:rsidR="00F230BF" w:rsidRPr="006154DA">
        <w:t xml:space="preserve">patients aged </w:t>
      </w:r>
      <w:r w:rsidR="00651F45" w:rsidRPr="006154DA">
        <w:rPr>
          <w:rFonts w:cstheme="minorHAnsi"/>
        </w:rPr>
        <w:t>≥</w:t>
      </w:r>
      <w:r w:rsidR="00651F45" w:rsidRPr="006154DA">
        <w:t xml:space="preserve"> </w:t>
      </w:r>
      <w:r w:rsidR="00F230BF" w:rsidRPr="006154DA">
        <w:t>65 years</w:t>
      </w:r>
      <w:r w:rsidR="00FD36A5" w:rsidRPr="006154DA">
        <w:t>)</w:t>
      </w:r>
      <w:r w:rsidR="00622AD3" w:rsidRPr="006154DA">
        <w:t>.</w:t>
      </w:r>
      <w:bookmarkEnd w:id="52"/>
    </w:p>
    <w:p w14:paraId="74DF1B54" w14:textId="50F5B38E" w:rsidR="00D30F1D" w:rsidRPr="0058247A" w:rsidRDefault="00622AD3" w:rsidP="00D30F1D">
      <w:pPr>
        <w:pStyle w:val="3-BodyText"/>
      </w:pPr>
      <w:r w:rsidRPr="006154DA">
        <w:t xml:space="preserve">At the median follow-up of 55-months, </w:t>
      </w:r>
      <w:r w:rsidR="00D30F1D" w:rsidRPr="006154DA">
        <w:t xml:space="preserve">BLd resulted in a statistically significant improvement of OS in patients </w:t>
      </w:r>
      <w:r w:rsidR="00C665C1" w:rsidRPr="006154DA">
        <w:t>&lt;</w:t>
      </w:r>
      <w:r w:rsidR="00651F45" w:rsidRPr="006154DA">
        <w:t xml:space="preserve"> </w:t>
      </w:r>
      <w:r w:rsidR="00D30F1D" w:rsidRPr="006154DA">
        <w:t>65 years of age (HR</w:t>
      </w:r>
      <w:r w:rsidR="007F790A">
        <w:t xml:space="preserve"> =</w:t>
      </w:r>
      <w:r w:rsidR="00D30F1D" w:rsidRPr="006154DA">
        <w:t xml:space="preserve"> 0.62</w:t>
      </w:r>
      <w:r w:rsidR="002A149A" w:rsidRPr="006154DA">
        <w:t>;</w:t>
      </w:r>
      <w:r w:rsidR="00D30F1D" w:rsidRPr="006154DA">
        <w:t xml:space="preserve"> 95% CI: 0.39, 0.99</w:t>
      </w:r>
      <w:r w:rsidR="002A149A" w:rsidRPr="006154DA">
        <w:t xml:space="preserve">; </w:t>
      </w:r>
      <w:r w:rsidR="00D30F1D" w:rsidRPr="006154DA">
        <w:t xml:space="preserve">p&lt;0.05) compared to Ld but did not result in a statistically significant difference in patients </w:t>
      </w:r>
      <w:r w:rsidR="005377AE" w:rsidRPr="006154DA">
        <w:rPr>
          <w:rFonts w:cstheme="minorHAnsi"/>
        </w:rPr>
        <w:t>≥</w:t>
      </w:r>
      <w:r w:rsidR="005377AE">
        <w:rPr>
          <w:rFonts w:cstheme="minorHAnsi"/>
        </w:rPr>
        <w:t> </w:t>
      </w:r>
      <w:r w:rsidR="00D30F1D" w:rsidRPr="006154DA">
        <w:t>65 years (HR</w:t>
      </w:r>
      <w:r w:rsidR="007F790A">
        <w:t xml:space="preserve"> </w:t>
      </w:r>
      <w:r w:rsidRPr="006154DA">
        <w:t>=</w:t>
      </w:r>
      <w:r w:rsidR="007F790A">
        <w:t xml:space="preserve"> </w:t>
      </w:r>
      <w:r w:rsidR="00D30F1D" w:rsidRPr="006154DA">
        <w:t>0.88</w:t>
      </w:r>
      <w:r w:rsidRPr="006154DA">
        <w:t xml:space="preserve">; </w:t>
      </w:r>
      <w:r w:rsidR="00D30F1D" w:rsidRPr="006154DA">
        <w:t>95% CI: 0.59, 1.31</w:t>
      </w:r>
      <w:r w:rsidRPr="006154DA">
        <w:t>;</w:t>
      </w:r>
      <w:r w:rsidR="00D30F1D" w:rsidRPr="006154DA">
        <w:t xml:space="preserve"> p&gt;0.05). T</w:t>
      </w:r>
      <w:r w:rsidR="002A149A" w:rsidRPr="006154DA">
        <w:t>he ESC noted that t</w:t>
      </w:r>
      <w:r w:rsidR="00D30F1D" w:rsidRPr="006154DA">
        <w:t>h</w:t>
      </w:r>
      <w:r w:rsidRPr="006154DA">
        <w:t xml:space="preserve">ere was a </w:t>
      </w:r>
      <w:r w:rsidR="00C54E01" w:rsidRPr="006154DA">
        <w:lastRenderedPageBreak/>
        <w:t>statistically significant improvement in BLd over Ld in the ‘no transplant subgroup after 84-month</w:t>
      </w:r>
      <w:r w:rsidR="003B3112">
        <w:t>s</w:t>
      </w:r>
      <w:r w:rsidR="00C54E01" w:rsidRPr="006154DA">
        <w:t xml:space="preserve"> follow-up (HR = 0.63; 95% CI: 0.45, 0.89) and a </w:t>
      </w:r>
      <w:r w:rsidRPr="006154DA">
        <w:t xml:space="preserve">numerical improvement in the HR based on the </w:t>
      </w:r>
      <w:r w:rsidR="00D30F1D" w:rsidRPr="006154DA">
        <w:t>84</w:t>
      </w:r>
      <w:r w:rsidRPr="006154DA">
        <w:t>-</w:t>
      </w:r>
      <w:r w:rsidR="00D30F1D" w:rsidRPr="006154DA">
        <w:t>month</w:t>
      </w:r>
      <w:r w:rsidRPr="006154DA">
        <w:t xml:space="preserve"> follow-up </w:t>
      </w:r>
      <w:r w:rsidR="00C54E01" w:rsidRPr="006154DA">
        <w:t xml:space="preserve">in the </w:t>
      </w:r>
      <w:r w:rsidR="005B4FB1" w:rsidRPr="006154DA">
        <w:t>≥</w:t>
      </w:r>
      <w:r w:rsidR="00C54E01" w:rsidRPr="006154DA">
        <w:t xml:space="preserve"> 65 subgroup </w:t>
      </w:r>
      <w:r w:rsidR="00EC77BF" w:rsidRPr="006154DA">
        <w:t>(</w:t>
      </w:r>
      <w:r w:rsidR="005377AE" w:rsidRPr="006154DA">
        <w:t>HR</w:t>
      </w:r>
      <w:r w:rsidR="005377AE">
        <w:t> </w:t>
      </w:r>
      <w:r w:rsidR="00EC77BF" w:rsidRPr="006154DA">
        <w:t>=</w:t>
      </w:r>
      <w:r w:rsidR="005377AE">
        <w:t> </w:t>
      </w:r>
      <w:r w:rsidR="00EC77BF" w:rsidRPr="006154DA">
        <w:t>0.77; 95% CI: 0.52, 1.14)</w:t>
      </w:r>
      <w:r w:rsidR="00D30F1D" w:rsidRPr="006154DA">
        <w:t xml:space="preserve">. </w:t>
      </w:r>
      <w:r w:rsidR="00C54E01" w:rsidRPr="006154DA">
        <w:t>T</w:t>
      </w:r>
      <w:r w:rsidR="00D30F1D" w:rsidRPr="006154DA">
        <w:t xml:space="preserve">he ITT analysis showed that BLd patients had significantly longer </w:t>
      </w:r>
      <w:r w:rsidR="00857DD8" w:rsidRPr="006154DA">
        <w:t>O</w:t>
      </w:r>
      <w:r w:rsidR="00D30F1D" w:rsidRPr="006154DA">
        <w:t>S than those treated with Ld (HR</w:t>
      </w:r>
      <w:r w:rsidR="007F790A">
        <w:t xml:space="preserve"> </w:t>
      </w:r>
      <w:r w:rsidR="00D30F1D" w:rsidRPr="006154DA">
        <w:t>= 0.71; 95% CI: 0.5</w:t>
      </w:r>
      <w:r w:rsidR="00857DD8" w:rsidRPr="006154DA">
        <w:t>2</w:t>
      </w:r>
      <w:r w:rsidR="00D30F1D" w:rsidRPr="006154DA">
        <w:t>, 0.9</w:t>
      </w:r>
      <w:r w:rsidR="00857DD8" w:rsidRPr="006154DA">
        <w:t>6</w:t>
      </w:r>
      <w:r w:rsidR="003B3112">
        <w:t xml:space="preserve">; </w:t>
      </w:r>
      <w:r w:rsidR="00D30F1D" w:rsidRPr="006154DA">
        <w:t xml:space="preserve">see </w:t>
      </w:r>
      <w:r w:rsidR="00D30F1D" w:rsidRPr="006154DA">
        <w:fldChar w:fldCharType="begin"/>
      </w:r>
      <w:r w:rsidR="00D30F1D" w:rsidRPr="006154DA">
        <w:instrText xml:space="preserve"> REF _Ref121321581 \h </w:instrText>
      </w:r>
      <w:r w:rsidR="00727513" w:rsidRPr="006154DA">
        <w:instrText xml:space="preserve"> \* MERGEFORMAT </w:instrText>
      </w:r>
      <w:r w:rsidR="00D30F1D" w:rsidRPr="006154DA">
        <w:fldChar w:fldCharType="separate"/>
      </w:r>
      <w:r w:rsidR="008D65C7" w:rsidRPr="0058247A">
        <w:t xml:space="preserve">Table </w:t>
      </w:r>
      <w:r w:rsidR="008D65C7">
        <w:t>6</w:t>
      </w:r>
      <w:r w:rsidR="00D30F1D" w:rsidRPr="006154DA">
        <w:fldChar w:fldCharType="end"/>
      </w:r>
      <w:r w:rsidR="00D30F1D" w:rsidRPr="006154DA">
        <w:t xml:space="preserve">, </w:t>
      </w:r>
      <w:r w:rsidR="00D30F1D" w:rsidRPr="006154DA">
        <w:fldChar w:fldCharType="begin"/>
      </w:r>
      <w:r w:rsidR="00D30F1D" w:rsidRPr="006154DA">
        <w:instrText xml:space="preserve"> REF _Ref121321614 \h </w:instrText>
      </w:r>
      <w:r w:rsidR="00727513" w:rsidRPr="006154DA">
        <w:instrText xml:space="preserve"> \* MERGEFORMAT </w:instrText>
      </w:r>
      <w:r w:rsidR="00D30F1D" w:rsidRPr="006154DA">
        <w:fldChar w:fldCharType="separate"/>
      </w:r>
      <w:r w:rsidR="008D65C7" w:rsidRPr="0058247A">
        <w:t xml:space="preserve">Figure </w:t>
      </w:r>
      <w:r w:rsidR="008D65C7">
        <w:t>3</w:t>
      </w:r>
      <w:r w:rsidR="00D30F1D" w:rsidRPr="006154DA">
        <w:fldChar w:fldCharType="end"/>
      </w:r>
      <w:r w:rsidR="00D30F1D" w:rsidRPr="006154DA">
        <w:t xml:space="preserve"> and </w:t>
      </w:r>
      <w:r w:rsidR="00D30F1D" w:rsidRPr="006154DA">
        <w:fldChar w:fldCharType="begin"/>
      </w:r>
      <w:r w:rsidR="00D30F1D" w:rsidRPr="006154DA">
        <w:instrText xml:space="preserve"> REF _Ref121321615 \h </w:instrText>
      </w:r>
      <w:r w:rsidR="00727513" w:rsidRPr="006154DA">
        <w:instrText xml:space="preserve"> \* MERGEFORMAT </w:instrText>
      </w:r>
      <w:r w:rsidR="00D30F1D" w:rsidRPr="006154DA">
        <w:fldChar w:fldCharType="separate"/>
      </w:r>
      <w:r w:rsidR="008D65C7" w:rsidRPr="0058247A">
        <w:t xml:space="preserve">Figure </w:t>
      </w:r>
      <w:r w:rsidR="008D65C7">
        <w:t>4</w:t>
      </w:r>
      <w:r w:rsidR="00D30F1D" w:rsidRPr="006154DA">
        <w:fldChar w:fldCharType="end"/>
      </w:r>
      <w:r w:rsidR="00D30F1D" w:rsidRPr="006154DA">
        <w:t>).</w:t>
      </w:r>
      <w:bookmarkStart w:id="53" w:name="_Hlk123596580"/>
      <w:bookmarkEnd w:id="51"/>
    </w:p>
    <w:p w14:paraId="5D888463" w14:textId="6BED8D3F" w:rsidR="00D30F1D" w:rsidRPr="0058247A" w:rsidRDefault="00D30F1D" w:rsidP="0015148F">
      <w:pPr>
        <w:pStyle w:val="Caption"/>
      </w:pPr>
      <w:bookmarkStart w:id="54" w:name="_Ref121321581"/>
      <w:bookmarkEnd w:id="53"/>
      <w:r w:rsidRPr="0058247A">
        <w:t xml:space="preserve">Table </w:t>
      </w:r>
      <w:fldSimple w:instr=" SEQ Table \* ARABIC ">
        <w:r w:rsidR="008D65C7">
          <w:rPr>
            <w:noProof/>
          </w:rPr>
          <w:t>6</w:t>
        </w:r>
      </w:fldSimple>
      <w:bookmarkEnd w:id="54"/>
      <w:r w:rsidRPr="0058247A">
        <w:t>: Progression free survival and overall survival in (SWOG s0777, ITT and subgroups).</w:t>
      </w:r>
    </w:p>
    <w:tbl>
      <w:tblPr>
        <w:tblStyle w:val="ASDTable4"/>
        <w:tblW w:w="5054" w:type="pct"/>
        <w:tblLook w:val="04A0" w:firstRow="1" w:lastRow="0" w:firstColumn="1" w:lastColumn="0" w:noHBand="0" w:noVBand="1"/>
      </w:tblPr>
      <w:tblGrid>
        <w:gridCol w:w="1800"/>
        <w:gridCol w:w="718"/>
        <w:gridCol w:w="716"/>
        <w:gridCol w:w="718"/>
        <w:gridCol w:w="720"/>
        <w:gridCol w:w="722"/>
        <w:gridCol w:w="718"/>
        <w:gridCol w:w="720"/>
        <w:gridCol w:w="720"/>
        <w:gridCol w:w="840"/>
        <w:gridCol w:w="722"/>
      </w:tblGrid>
      <w:tr w:rsidR="003B3112" w:rsidRPr="0058247A" w14:paraId="6C205008" w14:textId="77777777" w:rsidTr="00C54E01">
        <w:trPr>
          <w:trHeight w:val="407"/>
        </w:trPr>
        <w:tc>
          <w:tcPr>
            <w:tcW w:w="987" w:type="pct"/>
            <w:vMerge w:val="restart"/>
            <w:shd w:val="clear" w:color="auto" w:fill="auto"/>
            <w:tcMar>
              <w:left w:w="40" w:type="dxa"/>
              <w:right w:w="40" w:type="dxa"/>
            </w:tcMar>
            <w:vAlign w:val="center"/>
          </w:tcPr>
          <w:p w14:paraId="0123261D" w14:textId="77777777" w:rsidR="003B3112" w:rsidRPr="0058247A" w:rsidRDefault="003B3112" w:rsidP="0015148F">
            <w:pPr>
              <w:keepNext/>
              <w:keepLines/>
              <w:jc w:val="center"/>
              <w:rPr>
                <w:rFonts w:ascii="Arial Narrow" w:hAnsi="Arial Narrow" w:cs="Times New Roman"/>
                <w:b/>
                <w:bCs/>
                <w:sz w:val="20"/>
                <w:szCs w:val="20"/>
              </w:rPr>
            </w:pPr>
          </w:p>
        </w:tc>
        <w:tc>
          <w:tcPr>
            <w:tcW w:w="2366" w:type="pct"/>
            <w:gridSpan w:val="6"/>
            <w:shd w:val="clear" w:color="auto" w:fill="auto"/>
            <w:tcMar>
              <w:left w:w="40" w:type="dxa"/>
              <w:right w:w="40" w:type="dxa"/>
            </w:tcMar>
          </w:tcPr>
          <w:p w14:paraId="3010F5E5" w14:textId="364F6C92"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Primary Analysis Follow-up: 55 months</w:t>
            </w:r>
          </w:p>
        </w:tc>
        <w:tc>
          <w:tcPr>
            <w:tcW w:w="1647" w:type="pct"/>
            <w:gridSpan w:val="4"/>
            <w:tcMar>
              <w:left w:w="40" w:type="dxa"/>
              <w:right w:w="40" w:type="dxa"/>
            </w:tcMar>
          </w:tcPr>
          <w:p w14:paraId="21203B43" w14:textId="77777777"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Extended follow-up:</w:t>
            </w:r>
          </w:p>
          <w:p w14:paraId="6E85BE58" w14:textId="242E03A0"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84 months (Durie 2020)</w:t>
            </w:r>
          </w:p>
        </w:tc>
      </w:tr>
      <w:tr w:rsidR="003B3112" w:rsidRPr="0058247A" w14:paraId="3E82C265" w14:textId="08991FD4" w:rsidTr="003B3112">
        <w:trPr>
          <w:trHeight w:val="407"/>
        </w:trPr>
        <w:tc>
          <w:tcPr>
            <w:tcW w:w="987" w:type="pct"/>
            <w:vMerge/>
            <w:shd w:val="clear" w:color="auto" w:fill="auto"/>
            <w:tcMar>
              <w:left w:w="40" w:type="dxa"/>
              <w:right w:w="40" w:type="dxa"/>
            </w:tcMar>
            <w:vAlign w:val="center"/>
          </w:tcPr>
          <w:p w14:paraId="594BB0EA" w14:textId="641D3CA6" w:rsidR="003B3112" w:rsidRPr="0058247A" w:rsidRDefault="003B3112" w:rsidP="0015148F">
            <w:pPr>
              <w:keepNext/>
              <w:keepLines/>
              <w:jc w:val="center"/>
              <w:rPr>
                <w:rFonts w:ascii="Arial Narrow" w:hAnsi="Arial Narrow" w:cs="Times New Roman"/>
                <w:b/>
                <w:bCs/>
                <w:sz w:val="20"/>
                <w:szCs w:val="20"/>
              </w:rPr>
            </w:pPr>
          </w:p>
        </w:tc>
        <w:tc>
          <w:tcPr>
            <w:tcW w:w="787" w:type="pct"/>
            <w:gridSpan w:val="2"/>
            <w:shd w:val="clear" w:color="auto" w:fill="auto"/>
            <w:tcMar>
              <w:left w:w="40" w:type="dxa"/>
              <w:right w:w="40" w:type="dxa"/>
            </w:tcMar>
          </w:tcPr>
          <w:p w14:paraId="47CEF0E0" w14:textId="0A0BF6EC"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sz w:val="20"/>
                <w:szCs w:val="20"/>
              </w:rPr>
              <w:t xml:space="preserve">ITT </w:t>
            </w:r>
            <w:r w:rsidRPr="0058247A">
              <w:rPr>
                <w:rFonts w:ascii="Arial Narrow" w:hAnsi="Arial Narrow" w:cs="Times New Roman"/>
                <w:b/>
                <w:sz w:val="20"/>
                <w:szCs w:val="20"/>
              </w:rPr>
              <w:br/>
              <w:t>(n= 471)</w:t>
            </w:r>
          </w:p>
        </w:tc>
        <w:tc>
          <w:tcPr>
            <w:tcW w:w="789" w:type="pct"/>
            <w:gridSpan w:val="2"/>
            <w:shd w:val="clear" w:color="auto" w:fill="auto"/>
            <w:tcMar>
              <w:left w:w="40" w:type="dxa"/>
              <w:right w:w="40" w:type="dxa"/>
            </w:tcMar>
          </w:tcPr>
          <w:p w14:paraId="68FBA27B" w14:textId="6FBFCB79"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Age &lt; 65 years (n= 269)</w:t>
            </w:r>
          </w:p>
        </w:tc>
        <w:tc>
          <w:tcPr>
            <w:tcW w:w="790" w:type="pct"/>
            <w:gridSpan w:val="2"/>
            <w:shd w:val="clear" w:color="auto" w:fill="auto"/>
            <w:tcMar>
              <w:left w:w="40" w:type="dxa"/>
              <w:right w:w="40" w:type="dxa"/>
            </w:tcMar>
          </w:tcPr>
          <w:p w14:paraId="1895321C" w14:textId="2BEDC177"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 xml:space="preserve">Age </w:t>
            </w:r>
            <w:r w:rsidRPr="0058247A">
              <w:rPr>
                <w:rFonts w:ascii="Arial Narrow" w:hAnsi="Arial Narrow" w:cs="Calibri"/>
                <w:b/>
                <w:bCs/>
                <w:sz w:val="20"/>
                <w:szCs w:val="20"/>
              </w:rPr>
              <w:t xml:space="preserve">≥ </w:t>
            </w:r>
            <w:r w:rsidRPr="0058247A">
              <w:rPr>
                <w:rFonts w:ascii="Arial Narrow" w:hAnsi="Arial Narrow" w:cs="Times New Roman"/>
                <w:b/>
                <w:bCs/>
                <w:sz w:val="20"/>
                <w:szCs w:val="20"/>
              </w:rPr>
              <w:t>65 years (n= 202)</w:t>
            </w:r>
          </w:p>
        </w:tc>
        <w:tc>
          <w:tcPr>
            <w:tcW w:w="790" w:type="pct"/>
            <w:gridSpan w:val="2"/>
            <w:tcMar>
              <w:left w:w="40" w:type="dxa"/>
              <w:right w:w="40" w:type="dxa"/>
            </w:tcMar>
          </w:tcPr>
          <w:p w14:paraId="2EB02574" w14:textId="5B23CA45"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 xml:space="preserve">Age </w:t>
            </w:r>
            <w:r w:rsidRPr="0058247A">
              <w:rPr>
                <w:rFonts w:ascii="Arial Narrow" w:hAnsi="Arial Narrow" w:cs="Calibri"/>
                <w:b/>
                <w:bCs/>
                <w:sz w:val="20"/>
                <w:szCs w:val="20"/>
              </w:rPr>
              <w:t xml:space="preserve">≥ </w:t>
            </w:r>
            <w:r w:rsidRPr="0058247A">
              <w:rPr>
                <w:rFonts w:ascii="Arial Narrow" w:hAnsi="Arial Narrow" w:cs="Times New Roman"/>
                <w:b/>
                <w:bCs/>
                <w:sz w:val="20"/>
                <w:szCs w:val="20"/>
              </w:rPr>
              <w:t xml:space="preserve">65 years </w:t>
            </w:r>
          </w:p>
          <w:p w14:paraId="36999F58" w14:textId="669E2047"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 xml:space="preserve">(n= 197) </w:t>
            </w:r>
          </w:p>
        </w:tc>
        <w:tc>
          <w:tcPr>
            <w:tcW w:w="857" w:type="pct"/>
            <w:gridSpan w:val="2"/>
            <w:tcMar>
              <w:left w:w="40" w:type="dxa"/>
              <w:right w:w="40" w:type="dxa"/>
            </w:tcMar>
          </w:tcPr>
          <w:p w14:paraId="4C766C54" w14:textId="49390CA5"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 xml:space="preserve">“No Transplant” </w:t>
            </w:r>
          </w:p>
          <w:p w14:paraId="7566BE7C" w14:textId="0B0DFBE8"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(n= 299)</w:t>
            </w:r>
          </w:p>
        </w:tc>
      </w:tr>
      <w:tr w:rsidR="003B3112" w:rsidRPr="0058247A" w14:paraId="5C21C67F" w14:textId="58759CEA" w:rsidTr="003B3112">
        <w:trPr>
          <w:trHeight w:val="60"/>
        </w:trPr>
        <w:tc>
          <w:tcPr>
            <w:tcW w:w="987" w:type="pct"/>
            <w:vMerge/>
            <w:shd w:val="clear" w:color="auto" w:fill="auto"/>
            <w:tcMar>
              <w:left w:w="40" w:type="dxa"/>
              <w:right w:w="40" w:type="dxa"/>
            </w:tcMar>
          </w:tcPr>
          <w:p w14:paraId="396864D9" w14:textId="77777777" w:rsidR="003B3112" w:rsidRPr="0058247A" w:rsidRDefault="003B3112" w:rsidP="0015148F">
            <w:pPr>
              <w:keepNext/>
              <w:keepLines/>
              <w:jc w:val="left"/>
              <w:rPr>
                <w:rFonts w:ascii="Arial Narrow" w:hAnsi="Arial Narrow" w:cs="Times New Roman"/>
                <w:sz w:val="20"/>
                <w:szCs w:val="20"/>
              </w:rPr>
            </w:pPr>
          </w:p>
        </w:tc>
        <w:tc>
          <w:tcPr>
            <w:tcW w:w="394" w:type="pct"/>
            <w:shd w:val="clear" w:color="auto" w:fill="auto"/>
            <w:tcMar>
              <w:left w:w="40" w:type="dxa"/>
              <w:right w:w="40" w:type="dxa"/>
            </w:tcMar>
            <w:vAlign w:val="center"/>
          </w:tcPr>
          <w:p w14:paraId="76EA6775" w14:textId="50AC8E3C"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BLd</w:t>
            </w:r>
          </w:p>
        </w:tc>
        <w:tc>
          <w:tcPr>
            <w:tcW w:w="393" w:type="pct"/>
            <w:shd w:val="clear" w:color="auto" w:fill="auto"/>
            <w:tcMar>
              <w:left w:w="40" w:type="dxa"/>
              <w:right w:w="40" w:type="dxa"/>
            </w:tcMar>
            <w:vAlign w:val="center"/>
          </w:tcPr>
          <w:p w14:paraId="3F0A2098" w14:textId="06D97D26"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Ld</w:t>
            </w:r>
          </w:p>
        </w:tc>
        <w:tc>
          <w:tcPr>
            <w:tcW w:w="394" w:type="pct"/>
            <w:shd w:val="clear" w:color="auto" w:fill="auto"/>
            <w:tcMar>
              <w:left w:w="40" w:type="dxa"/>
              <w:right w:w="40" w:type="dxa"/>
            </w:tcMar>
            <w:vAlign w:val="center"/>
          </w:tcPr>
          <w:p w14:paraId="166EB12C" w14:textId="60A2DD1D"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BLd</w:t>
            </w:r>
          </w:p>
        </w:tc>
        <w:tc>
          <w:tcPr>
            <w:tcW w:w="395" w:type="pct"/>
            <w:shd w:val="clear" w:color="auto" w:fill="auto"/>
            <w:tcMar>
              <w:left w:w="40" w:type="dxa"/>
              <w:right w:w="40" w:type="dxa"/>
            </w:tcMar>
            <w:vAlign w:val="center"/>
          </w:tcPr>
          <w:p w14:paraId="336B68F3" w14:textId="63099838"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Ld</w:t>
            </w:r>
          </w:p>
        </w:tc>
        <w:tc>
          <w:tcPr>
            <w:tcW w:w="396" w:type="pct"/>
            <w:shd w:val="clear" w:color="auto" w:fill="auto"/>
            <w:tcMar>
              <w:left w:w="40" w:type="dxa"/>
              <w:right w:w="40" w:type="dxa"/>
            </w:tcMar>
            <w:vAlign w:val="center"/>
          </w:tcPr>
          <w:p w14:paraId="0AFE5CAF" w14:textId="022191C3"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BLd</w:t>
            </w:r>
          </w:p>
        </w:tc>
        <w:tc>
          <w:tcPr>
            <w:tcW w:w="394" w:type="pct"/>
            <w:shd w:val="clear" w:color="auto" w:fill="auto"/>
            <w:tcMar>
              <w:left w:w="40" w:type="dxa"/>
              <w:right w:w="40" w:type="dxa"/>
            </w:tcMar>
            <w:vAlign w:val="center"/>
          </w:tcPr>
          <w:p w14:paraId="4EB85CC2" w14:textId="5CE18B27" w:rsidR="003B3112" w:rsidRPr="0058247A" w:rsidRDefault="003B3112" w:rsidP="0015148F">
            <w:pPr>
              <w:keepNext/>
              <w:keepLines/>
              <w:jc w:val="center"/>
              <w:rPr>
                <w:rFonts w:ascii="Arial Narrow" w:hAnsi="Arial Narrow" w:cs="Times New Roman"/>
                <w:b/>
                <w:sz w:val="20"/>
                <w:szCs w:val="20"/>
              </w:rPr>
            </w:pPr>
            <w:r w:rsidRPr="0058247A">
              <w:rPr>
                <w:rFonts w:ascii="Arial Narrow" w:hAnsi="Arial Narrow" w:cs="Times New Roman"/>
                <w:b/>
                <w:bCs/>
                <w:sz w:val="20"/>
                <w:szCs w:val="20"/>
              </w:rPr>
              <w:t>Ld</w:t>
            </w:r>
          </w:p>
        </w:tc>
        <w:tc>
          <w:tcPr>
            <w:tcW w:w="395" w:type="pct"/>
            <w:tcMar>
              <w:left w:w="40" w:type="dxa"/>
              <w:right w:w="40" w:type="dxa"/>
            </w:tcMar>
            <w:vAlign w:val="center"/>
          </w:tcPr>
          <w:p w14:paraId="3FC5FB95" w14:textId="53A4428B"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BLd</w:t>
            </w:r>
          </w:p>
        </w:tc>
        <w:tc>
          <w:tcPr>
            <w:tcW w:w="395" w:type="pct"/>
            <w:tcMar>
              <w:left w:w="40" w:type="dxa"/>
              <w:right w:w="40" w:type="dxa"/>
            </w:tcMar>
            <w:vAlign w:val="center"/>
          </w:tcPr>
          <w:p w14:paraId="31852679" w14:textId="5F99A423"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Ld</w:t>
            </w:r>
          </w:p>
        </w:tc>
        <w:tc>
          <w:tcPr>
            <w:tcW w:w="461" w:type="pct"/>
            <w:tcMar>
              <w:left w:w="40" w:type="dxa"/>
              <w:right w:w="40" w:type="dxa"/>
            </w:tcMar>
            <w:vAlign w:val="center"/>
          </w:tcPr>
          <w:p w14:paraId="4692A2A9" w14:textId="243AC429"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BLd</w:t>
            </w:r>
          </w:p>
        </w:tc>
        <w:tc>
          <w:tcPr>
            <w:tcW w:w="396" w:type="pct"/>
            <w:tcMar>
              <w:left w:w="40" w:type="dxa"/>
              <w:right w:w="40" w:type="dxa"/>
            </w:tcMar>
            <w:vAlign w:val="center"/>
          </w:tcPr>
          <w:p w14:paraId="331198A5" w14:textId="7D840C84" w:rsidR="003B3112" w:rsidRPr="0058247A" w:rsidRDefault="003B3112"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Ld</w:t>
            </w:r>
          </w:p>
        </w:tc>
      </w:tr>
      <w:tr w:rsidR="00C54E01" w:rsidRPr="0058247A" w14:paraId="7855A8CD" w14:textId="77777777" w:rsidTr="003B3112">
        <w:trPr>
          <w:trHeight w:val="197"/>
        </w:trPr>
        <w:tc>
          <w:tcPr>
            <w:tcW w:w="987" w:type="pct"/>
            <w:tcMar>
              <w:left w:w="40" w:type="dxa"/>
              <w:right w:w="40" w:type="dxa"/>
            </w:tcMar>
          </w:tcPr>
          <w:p w14:paraId="46E3175D" w14:textId="0939C852" w:rsidR="00651F45" w:rsidRPr="0058247A" w:rsidRDefault="00651F45" w:rsidP="0015148F">
            <w:pPr>
              <w:keepNext/>
              <w:keepLines/>
              <w:tabs>
                <w:tab w:val="left" w:pos="2980"/>
              </w:tabs>
              <w:jc w:val="left"/>
              <w:rPr>
                <w:rFonts w:ascii="Arial Narrow" w:hAnsi="Arial Narrow" w:cs="Times New Roman"/>
                <w:sz w:val="20"/>
                <w:szCs w:val="20"/>
              </w:rPr>
            </w:pPr>
            <w:r w:rsidRPr="0058247A">
              <w:rPr>
                <w:rFonts w:ascii="Arial Narrow" w:hAnsi="Arial Narrow" w:cs="Times New Roman"/>
                <w:sz w:val="20"/>
                <w:szCs w:val="20"/>
              </w:rPr>
              <w:t>N</w:t>
            </w:r>
          </w:p>
        </w:tc>
        <w:tc>
          <w:tcPr>
            <w:tcW w:w="394" w:type="pct"/>
            <w:tcMar>
              <w:left w:w="40" w:type="dxa"/>
              <w:right w:w="40" w:type="dxa"/>
            </w:tcMar>
          </w:tcPr>
          <w:p w14:paraId="110428D3" w14:textId="4C1A858D"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242</w:t>
            </w:r>
          </w:p>
        </w:tc>
        <w:tc>
          <w:tcPr>
            <w:tcW w:w="393" w:type="pct"/>
            <w:tcMar>
              <w:left w:w="40" w:type="dxa"/>
              <w:right w:w="40" w:type="dxa"/>
            </w:tcMar>
          </w:tcPr>
          <w:p w14:paraId="679ED88D" w14:textId="478F3BCD"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229</w:t>
            </w:r>
          </w:p>
        </w:tc>
        <w:tc>
          <w:tcPr>
            <w:tcW w:w="394" w:type="pct"/>
            <w:tcMar>
              <w:left w:w="40" w:type="dxa"/>
              <w:right w:w="40" w:type="dxa"/>
            </w:tcMar>
          </w:tcPr>
          <w:p w14:paraId="53E69860" w14:textId="29D77F71"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149</w:t>
            </w:r>
          </w:p>
        </w:tc>
        <w:tc>
          <w:tcPr>
            <w:tcW w:w="395" w:type="pct"/>
            <w:tcMar>
              <w:left w:w="40" w:type="dxa"/>
              <w:right w:w="40" w:type="dxa"/>
            </w:tcMar>
          </w:tcPr>
          <w:p w14:paraId="50707E14" w14:textId="5D9E7793"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120</w:t>
            </w:r>
          </w:p>
        </w:tc>
        <w:tc>
          <w:tcPr>
            <w:tcW w:w="396" w:type="pct"/>
            <w:tcMar>
              <w:left w:w="40" w:type="dxa"/>
              <w:right w:w="40" w:type="dxa"/>
            </w:tcMar>
          </w:tcPr>
          <w:p w14:paraId="06A1B1FE" w14:textId="6F766546"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93</w:t>
            </w:r>
          </w:p>
        </w:tc>
        <w:tc>
          <w:tcPr>
            <w:tcW w:w="394" w:type="pct"/>
            <w:tcMar>
              <w:left w:w="40" w:type="dxa"/>
              <w:right w:w="40" w:type="dxa"/>
            </w:tcMar>
          </w:tcPr>
          <w:p w14:paraId="0435FFE5" w14:textId="51EC54D0"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109</w:t>
            </w:r>
          </w:p>
        </w:tc>
        <w:tc>
          <w:tcPr>
            <w:tcW w:w="395" w:type="pct"/>
            <w:tcMar>
              <w:left w:w="40" w:type="dxa"/>
              <w:right w:w="40" w:type="dxa"/>
            </w:tcMar>
          </w:tcPr>
          <w:p w14:paraId="26A6A486" w14:textId="7E5B2434" w:rsidR="00651F45" w:rsidRPr="0058247A" w:rsidRDefault="00651F45"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91</w:t>
            </w:r>
          </w:p>
        </w:tc>
        <w:tc>
          <w:tcPr>
            <w:tcW w:w="395" w:type="pct"/>
            <w:tcMar>
              <w:left w:w="40" w:type="dxa"/>
              <w:right w:w="40" w:type="dxa"/>
            </w:tcMar>
          </w:tcPr>
          <w:p w14:paraId="62026239" w14:textId="53EA3756" w:rsidR="00651F45" w:rsidRPr="0058247A" w:rsidRDefault="00651F45"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106</w:t>
            </w:r>
          </w:p>
        </w:tc>
        <w:tc>
          <w:tcPr>
            <w:tcW w:w="461" w:type="pct"/>
            <w:tcMar>
              <w:left w:w="40" w:type="dxa"/>
              <w:right w:w="40" w:type="dxa"/>
            </w:tcMar>
          </w:tcPr>
          <w:p w14:paraId="107F11BB" w14:textId="55E40D13" w:rsidR="00651F45" w:rsidRPr="0058247A" w:rsidRDefault="00651F45"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157</w:t>
            </w:r>
          </w:p>
        </w:tc>
        <w:tc>
          <w:tcPr>
            <w:tcW w:w="396" w:type="pct"/>
            <w:tcMar>
              <w:left w:w="40" w:type="dxa"/>
              <w:right w:w="40" w:type="dxa"/>
            </w:tcMar>
          </w:tcPr>
          <w:p w14:paraId="75D7F16C" w14:textId="0EBB2F9E" w:rsidR="00651F45" w:rsidRPr="0058247A" w:rsidRDefault="00651F45"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142</w:t>
            </w:r>
          </w:p>
        </w:tc>
      </w:tr>
      <w:tr w:rsidR="00BD307E" w:rsidRPr="0058247A" w14:paraId="4DE39438" w14:textId="77777777" w:rsidTr="00C54E01">
        <w:trPr>
          <w:trHeight w:val="197"/>
        </w:trPr>
        <w:tc>
          <w:tcPr>
            <w:tcW w:w="5000" w:type="pct"/>
            <w:gridSpan w:val="11"/>
            <w:tcMar>
              <w:left w:w="40" w:type="dxa"/>
              <w:right w:w="40" w:type="dxa"/>
            </w:tcMar>
          </w:tcPr>
          <w:p w14:paraId="4C720982" w14:textId="4B26C9B0" w:rsidR="00BD307E" w:rsidRPr="0058247A" w:rsidRDefault="00BD307E" w:rsidP="0015148F">
            <w:pPr>
              <w:keepNext/>
              <w:keepLines/>
              <w:jc w:val="left"/>
              <w:rPr>
                <w:rFonts w:ascii="Arial Narrow" w:hAnsi="Arial Narrow" w:cs="Times New Roman"/>
                <w:b/>
                <w:bCs/>
                <w:sz w:val="20"/>
                <w:szCs w:val="20"/>
              </w:rPr>
            </w:pPr>
            <w:r w:rsidRPr="0058247A">
              <w:rPr>
                <w:rFonts w:ascii="Arial Narrow" w:hAnsi="Arial Narrow" w:cs="Times New Roman"/>
                <w:b/>
                <w:bCs/>
                <w:sz w:val="20"/>
                <w:szCs w:val="20"/>
              </w:rPr>
              <w:t>PFS</w:t>
            </w:r>
          </w:p>
        </w:tc>
      </w:tr>
      <w:tr w:rsidR="00C54E01" w:rsidRPr="0058247A" w14:paraId="7601B060" w14:textId="2EE6BA70" w:rsidTr="003B3112">
        <w:trPr>
          <w:trHeight w:val="197"/>
        </w:trPr>
        <w:tc>
          <w:tcPr>
            <w:tcW w:w="987" w:type="pct"/>
            <w:tcMar>
              <w:left w:w="40" w:type="dxa"/>
              <w:right w:w="40" w:type="dxa"/>
            </w:tcMar>
          </w:tcPr>
          <w:p w14:paraId="7BEA16FA" w14:textId="77777777" w:rsidR="009D003F" w:rsidRPr="0058247A" w:rsidRDefault="009D003F" w:rsidP="0015148F">
            <w:pPr>
              <w:keepNext/>
              <w:keepLines/>
              <w:tabs>
                <w:tab w:val="left" w:pos="2980"/>
              </w:tabs>
              <w:jc w:val="left"/>
              <w:rPr>
                <w:rFonts w:ascii="Arial Narrow" w:hAnsi="Arial Narrow" w:cs="Times New Roman"/>
                <w:sz w:val="20"/>
                <w:szCs w:val="20"/>
              </w:rPr>
            </w:pPr>
            <w:r w:rsidRPr="0058247A">
              <w:rPr>
                <w:rFonts w:ascii="Arial Narrow" w:hAnsi="Arial Narrow" w:cs="Times New Roman"/>
                <w:sz w:val="20"/>
                <w:szCs w:val="20"/>
              </w:rPr>
              <w:t>Number of events</w:t>
            </w:r>
          </w:p>
        </w:tc>
        <w:tc>
          <w:tcPr>
            <w:tcW w:w="394" w:type="pct"/>
            <w:tcMar>
              <w:left w:w="40" w:type="dxa"/>
              <w:right w:w="40" w:type="dxa"/>
            </w:tcMar>
          </w:tcPr>
          <w:p w14:paraId="5E80765F"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137</w:t>
            </w:r>
          </w:p>
        </w:tc>
        <w:tc>
          <w:tcPr>
            <w:tcW w:w="393" w:type="pct"/>
            <w:tcMar>
              <w:left w:w="40" w:type="dxa"/>
              <w:right w:w="40" w:type="dxa"/>
            </w:tcMar>
          </w:tcPr>
          <w:p w14:paraId="0149F69A"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166</w:t>
            </w:r>
          </w:p>
        </w:tc>
        <w:tc>
          <w:tcPr>
            <w:tcW w:w="394" w:type="pct"/>
            <w:tcMar>
              <w:left w:w="40" w:type="dxa"/>
              <w:right w:w="40" w:type="dxa"/>
            </w:tcMar>
          </w:tcPr>
          <w:p w14:paraId="0D862E7E"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Mar>
              <w:left w:w="40" w:type="dxa"/>
              <w:right w:w="40" w:type="dxa"/>
            </w:tcMar>
          </w:tcPr>
          <w:p w14:paraId="6FB24242"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6" w:type="pct"/>
            <w:tcMar>
              <w:left w:w="40" w:type="dxa"/>
              <w:right w:w="40" w:type="dxa"/>
            </w:tcMar>
          </w:tcPr>
          <w:p w14:paraId="24A4C2F2"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4" w:type="pct"/>
            <w:tcMar>
              <w:left w:w="40" w:type="dxa"/>
              <w:right w:w="40" w:type="dxa"/>
            </w:tcMar>
          </w:tcPr>
          <w:p w14:paraId="5FD77B6E"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Mar>
              <w:left w:w="40" w:type="dxa"/>
              <w:right w:w="40" w:type="dxa"/>
            </w:tcMar>
          </w:tcPr>
          <w:p w14:paraId="68A709AB"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Mar>
              <w:left w:w="40" w:type="dxa"/>
              <w:right w:w="40" w:type="dxa"/>
            </w:tcMar>
          </w:tcPr>
          <w:p w14:paraId="6B2AD5BC" w14:textId="77777777" w:rsidR="009D003F" w:rsidRPr="0058247A" w:rsidRDefault="009D003F"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461" w:type="pct"/>
            <w:tcMar>
              <w:left w:w="40" w:type="dxa"/>
              <w:right w:w="40" w:type="dxa"/>
            </w:tcMar>
          </w:tcPr>
          <w:p w14:paraId="0CFFE186" w14:textId="1080D415" w:rsidR="009D003F" w:rsidRPr="0058247A" w:rsidRDefault="0022442F"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105</w:t>
            </w:r>
          </w:p>
        </w:tc>
        <w:tc>
          <w:tcPr>
            <w:tcW w:w="396" w:type="pct"/>
            <w:tcMar>
              <w:left w:w="40" w:type="dxa"/>
              <w:right w:w="40" w:type="dxa"/>
            </w:tcMar>
          </w:tcPr>
          <w:p w14:paraId="648B25EA" w14:textId="2679E050" w:rsidR="009D003F" w:rsidRPr="0058247A" w:rsidRDefault="0022442F"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111</w:t>
            </w:r>
          </w:p>
        </w:tc>
      </w:tr>
      <w:tr w:rsidR="00C54E01" w:rsidRPr="0058247A" w14:paraId="56C5784E" w14:textId="2A12A2B3" w:rsidTr="003B3112">
        <w:trPr>
          <w:trHeight w:val="197"/>
        </w:trPr>
        <w:tc>
          <w:tcPr>
            <w:tcW w:w="987" w:type="pct"/>
            <w:tcMar>
              <w:left w:w="40" w:type="dxa"/>
              <w:right w:w="40" w:type="dxa"/>
            </w:tcMar>
          </w:tcPr>
          <w:p w14:paraId="4487D8EF" w14:textId="77777777" w:rsidR="009D003F" w:rsidRPr="0058247A" w:rsidRDefault="009D003F" w:rsidP="0015148F">
            <w:pPr>
              <w:keepNext/>
              <w:keepLines/>
              <w:tabs>
                <w:tab w:val="left" w:pos="2980"/>
              </w:tabs>
              <w:jc w:val="left"/>
              <w:rPr>
                <w:rFonts w:ascii="Arial Narrow" w:hAnsi="Arial Narrow" w:cs="Times New Roman"/>
                <w:sz w:val="20"/>
                <w:szCs w:val="20"/>
              </w:rPr>
            </w:pPr>
            <w:r w:rsidRPr="0058247A">
              <w:rPr>
                <w:rFonts w:ascii="Arial Narrow" w:hAnsi="Arial Narrow" w:cs="Times New Roman"/>
                <w:sz w:val="20"/>
                <w:szCs w:val="20"/>
              </w:rPr>
              <w:t>Median (months)</w:t>
            </w:r>
          </w:p>
        </w:tc>
        <w:tc>
          <w:tcPr>
            <w:tcW w:w="394" w:type="pct"/>
            <w:tcMar>
              <w:left w:w="40" w:type="dxa"/>
              <w:right w:w="40" w:type="dxa"/>
            </w:tcMar>
          </w:tcPr>
          <w:p w14:paraId="2A9A23CA"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43.0</w:t>
            </w:r>
          </w:p>
        </w:tc>
        <w:tc>
          <w:tcPr>
            <w:tcW w:w="393" w:type="pct"/>
            <w:tcMar>
              <w:left w:w="40" w:type="dxa"/>
              <w:right w:w="40" w:type="dxa"/>
            </w:tcMar>
          </w:tcPr>
          <w:p w14:paraId="765BC37D"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30.0</w:t>
            </w:r>
          </w:p>
        </w:tc>
        <w:tc>
          <w:tcPr>
            <w:tcW w:w="394" w:type="pct"/>
            <w:tcMar>
              <w:left w:w="40" w:type="dxa"/>
              <w:right w:w="40" w:type="dxa"/>
            </w:tcMar>
          </w:tcPr>
          <w:p w14:paraId="39677AB6"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55.4</w:t>
            </w:r>
          </w:p>
        </w:tc>
        <w:tc>
          <w:tcPr>
            <w:tcW w:w="395" w:type="pct"/>
            <w:tcMar>
              <w:left w:w="40" w:type="dxa"/>
              <w:right w:w="40" w:type="dxa"/>
            </w:tcMar>
          </w:tcPr>
          <w:p w14:paraId="51DB6BF6"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36.6</w:t>
            </w:r>
          </w:p>
        </w:tc>
        <w:tc>
          <w:tcPr>
            <w:tcW w:w="396" w:type="pct"/>
            <w:tcMar>
              <w:left w:w="40" w:type="dxa"/>
              <w:right w:w="40" w:type="dxa"/>
            </w:tcMar>
          </w:tcPr>
          <w:p w14:paraId="69C9A005" w14:textId="77777777" w:rsidR="009D003F" w:rsidRPr="0058247A" w:rsidRDefault="009D003F" w:rsidP="0015148F">
            <w:pPr>
              <w:keepNext/>
              <w:keepLines/>
              <w:tabs>
                <w:tab w:val="left" w:pos="2980"/>
              </w:tabs>
              <w:jc w:val="center"/>
              <w:rPr>
                <w:rFonts w:ascii="Arial Narrow" w:hAnsi="Arial Narrow" w:cs="Times New Roman"/>
                <w:sz w:val="20"/>
                <w:szCs w:val="20"/>
              </w:rPr>
            </w:pPr>
            <w:r w:rsidRPr="0058247A">
              <w:rPr>
                <w:rFonts w:ascii="Arial Narrow" w:hAnsi="Arial Narrow" w:cs="Times New Roman"/>
                <w:sz w:val="20"/>
                <w:szCs w:val="20"/>
              </w:rPr>
              <w:t>33.1</w:t>
            </w:r>
          </w:p>
        </w:tc>
        <w:tc>
          <w:tcPr>
            <w:tcW w:w="394" w:type="pct"/>
            <w:tcMar>
              <w:left w:w="40" w:type="dxa"/>
              <w:right w:w="40" w:type="dxa"/>
            </w:tcMar>
          </w:tcPr>
          <w:p w14:paraId="770CCFFB" w14:textId="77777777" w:rsidR="009D003F" w:rsidRPr="0058247A" w:rsidRDefault="009D003F"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25.8</w:t>
            </w:r>
          </w:p>
        </w:tc>
        <w:tc>
          <w:tcPr>
            <w:tcW w:w="395" w:type="pct"/>
            <w:tcMar>
              <w:left w:w="40" w:type="dxa"/>
              <w:right w:w="40" w:type="dxa"/>
            </w:tcMar>
          </w:tcPr>
          <w:p w14:paraId="4193CD2A" w14:textId="77777777" w:rsidR="009D003F" w:rsidRPr="0058247A" w:rsidRDefault="009D003F"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Mar>
              <w:left w:w="40" w:type="dxa"/>
              <w:right w:w="40" w:type="dxa"/>
            </w:tcMar>
          </w:tcPr>
          <w:p w14:paraId="5E329D32" w14:textId="77777777" w:rsidR="009D003F" w:rsidRPr="0058247A" w:rsidRDefault="009D003F"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461" w:type="pct"/>
            <w:tcMar>
              <w:left w:w="40" w:type="dxa"/>
              <w:right w:w="40" w:type="dxa"/>
            </w:tcMar>
          </w:tcPr>
          <w:p w14:paraId="1C964EB0" w14:textId="4385E49D" w:rsidR="009D003F" w:rsidRPr="0058247A" w:rsidRDefault="00BF25D7"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396" w:type="pct"/>
            <w:tcMar>
              <w:left w:w="40" w:type="dxa"/>
              <w:right w:w="40" w:type="dxa"/>
            </w:tcMar>
          </w:tcPr>
          <w:p w14:paraId="27F874F6" w14:textId="583E79DB" w:rsidR="009D003F" w:rsidRPr="0058247A" w:rsidRDefault="00BF25D7"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r>
      <w:tr w:rsidR="00C54E01" w:rsidRPr="0058247A" w14:paraId="3DA5283B" w14:textId="44206D7A" w:rsidTr="003B3112">
        <w:trPr>
          <w:trHeight w:val="146"/>
        </w:trPr>
        <w:tc>
          <w:tcPr>
            <w:tcW w:w="987" w:type="pct"/>
            <w:tcMar>
              <w:left w:w="40" w:type="dxa"/>
              <w:right w:w="40" w:type="dxa"/>
            </w:tcMar>
            <w:vAlign w:val="center"/>
          </w:tcPr>
          <w:p w14:paraId="70A52CD0" w14:textId="77777777" w:rsidR="00BF25D7" w:rsidRPr="0058247A" w:rsidRDefault="00BF25D7" w:rsidP="0015148F">
            <w:pPr>
              <w:keepNext/>
              <w:keepLines/>
              <w:jc w:val="left"/>
              <w:rPr>
                <w:rFonts w:ascii="Arial Narrow" w:hAnsi="Arial Narrow" w:cs="Times New Roman"/>
                <w:sz w:val="20"/>
                <w:szCs w:val="20"/>
              </w:rPr>
            </w:pPr>
            <w:r w:rsidRPr="0058247A">
              <w:rPr>
                <w:rFonts w:ascii="Arial Narrow" w:hAnsi="Arial Narrow" w:cs="Times New Roman"/>
                <w:sz w:val="20"/>
                <w:szCs w:val="20"/>
              </w:rPr>
              <w:t>p-value</w:t>
            </w:r>
          </w:p>
        </w:tc>
        <w:tc>
          <w:tcPr>
            <w:tcW w:w="787" w:type="pct"/>
            <w:gridSpan w:val="2"/>
            <w:tcMar>
              <w:left w:w="40" w:type="dxa"/>
              <w:right w:w="40" w:type="dxa"/>
            </w:tcMar>
            <w:vAlign w:val="center"/>
          </w:tcPr>
          <w:p w14:paraId="0BB517A9" w14:textId="77777777" w:rsidR="00BF25D7" w:rsidRPr="0058247A" w:rsidRDefault="00BF25D7"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p= 0.0037</w:t>
            </w:r>
          </w:p>
        </w:tc>
        <w:tc>
          <w:tcPr>
            <w:tcW w:w="789" w:type="pct"/>
            <w:gridSpan w:val="2"/>
            <w:tcMar>
              <w:left w:w="40" w:type="dxa"/>
              <w:right w:w="40" w:type="dxa"/>
            </w:tcMar>
            <w:vAlign w:val="center"/>
          </w:tcPr>
          <w:p w14:paraId="3D5957AE" w14:textId="705D10D1" w:rsidR="00BF25D7" w:rsidRPr="0058247A" w:rsidRDefault="00BF25D7"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790" w:type="pct"/>
            <w:gridSpan w:val="2"/>
            <w:tcMar>
              <w:left w:w="40" w:type="dxa"/>
              <w:right w:w="40" w:type="dxa"/>
            </w:tcMar>
            <w:vAlign w:val="center"/>
          </w:tcPr>
          <w:p w14:paraId="27858B46" w14:textId="3D5B0728" w:rsidR="00BF25D7" w:rsidRPr="0058247A" w:rsidRDefault="00BF25D7"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790" w:type="pct"/>
            <w:gridSpan w:val="2"/>
            <w:tcMar>
              <w:left w:w="40" w:type="dxa"/>
              <w:right w:w="40" w:type="dxa"/>
            </w:tcMar>
            <w:vAlign w:val="center"/>
          </w:tcPr>
          <w:p w14:paraId="72E7B204" w14:textId="1EF6213A" w:rsidR="00BF25D7" w:rsidRPr="0058247A" w:rsidRDefault="00BF25D7"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857" w:type="pct"/>
            <w:gridSpan w:val="2"/>
            <w:tcMar>
              <w:left w:w="40" w:type="dxa"/>
              <w:right w:w="40" w:type="dxa"/>
            </w:tcMar>
            <w:vAlign w:val="center"/>
          </w:tcPr>
          <w:p w14:paraId="2B14C1C1" w14:textId="23F81B8B" w:rsidR="00BF25D7" w:rsidRPr="0058247A" w:rsidRDefault="005A768A"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r>
      <w:tr w:rsidR="00C54E01" w:rsidRPr="0058247A" w14:paraId="4EF2C505" w14:textId="30D37D3F" w:rsidTr="003B3112">
        <w:trPr>
          <w:trHeight w:val="197"/>
        </w:trPr>
        <w:tc>
          <w:tcPr>
            <w:tcW w:w="987" w:type="pct"/>
            <w:tcMar>
              <w:left w:w="40" w:type="dxa"/>
              <w:right w:w="40" w:type="dxa"/>
            </w:tcMar>
          </w:tcPr>
          <w:p w14:paraId="0405451E" w14:textId="77777777" w:rsidR="002D2E4E" w:rsidRPr="0058247A" w:rsidRDefault="002D2E4E" w:rsidP="0015148F">
            <w:pPr>
              <w:keepNext/>
              <w:keepLines/>
              <w:jc w:val="left"/>
              <w:rPr>
                <w:rFonts w:ascii="Arial Narrow" w:hAnsi="Arial Narrow" w:cs="Times New Roman"/>
                <w:sz w:val="20"/>
                <w:szCs w:val="20"/>
              </w:rPr>
            </w:pPr>
            <w:r w:rsidRPr="0058247A">
              <w:rPr>
                <w:rFonts w:ascii="Arial Narrow" w:hAnsi="Arial Narrow" w:cs="Times New Roman"/>
                <w:sz w:val="20"/>
                <w:szCs w:val="20"/>
              </w:rPr>
              <w:t>Hazard ratio (95% CI)</w:t>
            </w:r>
          </w:p>
        </w:tc>
        <w:tc>
          <w:tcPr>
            <w:tcW w:w="787" w:type="pct"/>
            <w:gridSpan w:val="2"/>
            <w:tcMar>
              <w:left w:w="40" w:type="dxa"/>
              <w:right w:w="40" w:type="dxa"/>
            </w:tcMar>
            <w:vAlign w:val="center"/>
          </w:tcPr>
          <w:p w14:paraId="59392FAB" w14:textId="77777777" w:rsidR="002D2E4E" w:rsidRPr="0058247A" w:rsidRDefault="002D2E4E"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0.71 (0.56, 0.91)</w:t>
            </w:r>
          </w:p>
        </w:tc>
        <w:tc>
          <w:tcPr>
            <w:tcW w:w="789" w:type="pct"/>
            <w:gridSpan w:val="2"/>
            <w:tcMar>
              <w:left w:w="40" w:type="dxa"/>
              <w:right w:w="40" w:type="dxa"/>
            </w:tcMar>
            <w:vAlign w:val="center"/>
          </w:tcPr>
          <w:p w14:paraId="01E68D90" w14:textId="77777777" w:rsidR="002D2E4E" w:rsidRPr="0058247A" w:rsidRDefault="002D2E4E" w:rsidP="0015148F">
            <w:pPr>
              <w:keepNext/>
              <w:keepLines/>
              <w:jc w:val="center"/>
              <w:rPr>
                <w:rFonts w:ascii="Arial Narrow" w:hAnsi="Arial Narrow" w:cs="Times New Roman"/>
                <w:b/>
                <w:bCs/>
                <w:sz w:val="20"/>
                <w:szCs w:val="20"/>
              </w:rPr>
            </w:pPr>
            <w:r w:rsidRPr="0058247A">
              <w:rPr>
                <w:rFonts w:ascii="Arial Narrow" w:hAnsi="Arial Narrow" w:cs="Times New Roman"/>
                <w:b/>
                <w:bCs/>
                <w:sz w:val="20"/>
                <w:szCs w:val="20"/>
              </w:rPr>
              <w:t>0.63 (0.46, 0.87)</w:t>
            </w:r>
          </w:p>
        </w:tc>
        <w:tc>
          <w:tcPr>
            <w:tcW w:w="790" w:type="pct"/>
            <w:gridSpan w:val="2"/>
            <w:tcMar>
              <w:left w:w="40" w:type="dxa"/>
              <w:right w:w="40" w:type="dxa"/>
            </w:tcMar>
            <w:vAlign w:val="center"/>
          </w:tcPr>
          <w:p w14:paraId="04D18A02" w14:textId="77777777" w:rsidR="002D2E4E" w:rsidRPr="0058247A" w:rsidRDefault="002D2E4E"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0.83 (0.60, 1.16)</w:t>
            </w:r>
          </w:p>
        </w:tc>
        <w:tc>
          <w:tcPr>
            <w:tcW w:w="790" w:type="pct"/>
            <w:gridSpan w:val="2"/>
            <w:tcMar>
              <w:left w:w="40" w:type="dxa"/>
              <w:right w:w="40" w:type="dxa"/>
            </w:tcMar>
            <w:vAlign w:val="center"/>
          </w:tcPr>
          <w:p w14:paraId="75A82726" w14:textId="42D52D01" w:rsidR="002D2E4E" w:rsidRPr="0058247A" w:rsidRDefault="002D2E4E"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857" w:type="pct"/>
            <w:gridSpan w:val="2"/>
            <w:tcMar>
              <w:left w:w="40" w:type="dxa"/>
              <w:right w:w="40" w:type="dxa"/>
            </w:tcMar>
            <w:vAlign w:val="center"/>
          </w:tcPr>
          <w:p w14:paraId="3C78A2A5" w14:textId="072C5DED" w:rsidR="002D2E4E" w:rsidRPr="0058247A" w:rsidRDefault="002D2E4E" w:rsidP="0015148F">
            <w:pPr>
              <w:keepNext/>
              <w:keepLines/>
              <w:jc w:val="center"/>
              <w:rPr>
                <w:rFonts w:ascii="Arial Narrow" w:hAnsi="Arial Narrow" w:cs="Times New Roman"/>
                <w:b/>
                <w:bCs/>
                <w:sz w:val="20"/>
                <w:szCs w:val="20"/>
              </w:rPr>
            </w:pPr>
            <w:r w:rsidRPr="0058247A">
              <w:rPr>
                <w:rFonts w:ascii="Arial Narrow" w:hAnsi="Arial Narrow" w:cs="Times New Roman"/>
                <w:sz w:val="20"/>
                <w:szCs w:val="20"/>
              </w:rPr>
              <w:t>NR</w:t>
            </w:r>
          </w:p>
        </w:tc>
      </w:tr>
      <w:tr w:rsidR="005A768A" w:rsidRPr="0058247A" w14:paraId="335953E9" w14:textId="3B48A014" w:rsidTr="00C54E01">
        <w:trPr>
          <w:trHeight w:val="197"/>
        </w:trPr>
        <w:tc>
          <w:tcPr>
            <w:tcW w:w="3353" w:type="pct"/>
            <w:gridSpan w:val="7"/>
            <w:tcMar>
              <w:left w:w="40" w:type="dxa"/>
              <w:right w:w="40" w:type="dxa"/>
            </w:tcMar>
          </w:tcPr>
          <w:p w14:paraId="527D34D8" w14:textId="77777777" w:rsidR="002D2E4E" w:rsidRPr="0058247A" w:rsidRDefault="002D2E4E" w:rsidP="0015148F">
            <w:pPr>
              <w:keepNext/>
              <w:keepLines/>
              <w:jc w:val="left"/>
              <w:rPr>
                <w:rFonts w:ascii="Arial Narrow" w:hAnsi="Arial Narrow" w:cs="Times New Roman"/>
                <w:sz w:val="20"/>
                <w:szCs w:val="20"/>
              </w:rPr>
            </w:pPr>
            <w:r w:rsidRPr="0058247A">
              <w:rPr>
                <w:rFonts w:ascii="Arial Narrow" w:hAnsi="Arial Narrow" w:cs="Times New Roman"/>
                <w:sz w:val="20"/>
                <w:szCs w:val="20"/>
              </w:rPr>
              <w:t>Test for interaction of Treatment and age, p= 0.237</w:t>
            </w:r>
          </w:p>
        </w:tc>
        <w:tc>
          <w:tcPr>
            <w:tcW w:w="790" w:type="pct"/>
            <w:gridSpan w:val="2"/>
            <w:tcMar>
              <w:left w:w="40" w:type="dxa"/>
              <w:right w:w="40" w:type="dxa"/>
            </w:tcMar>
            <w:vAlign w:val="center"/>
          </w:tcPr>
          <w:p w14:paraId="28612F1E" w14:textId="6BD91F7C" w:rsidR="002D2E4E" w:rsidRPr="0058247A" w:rsidRDefault="002D2E4E"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c>
          <w:tcPr>
            <w:tcW w:w="857" w:type="pct"/>
            <w:gridSpan w:val="2"/>
            <w:tcMar>
              <w:left w:w="40" w:type="dxa"/>
              <w:right w:w="40" w:type="dxa"/>
            </w:tcMar>
            <w:vAlign w:val="center"/>
          </w:tcPr>
          <w:p w14:paraId="6C31EF5D" w14:textId="0399D87A" w:rsidR="002D2E4E" w:rsidRPr="0058247A" w:rsidRDefault="002D2E4E" w:rsidP="0015148F">
            <w:pPr>
              <w:keepNext/>
              <w:keepLines/>
              <w:jc w:val="center"/>
              <w:rPr>
                <w:rFonts w:ascii="Arial Narrow" w:hAnsi="Arial Narrow" w:cs="Times New Roman"/>
                <w:sz w:val="20"/>
                <w:szCs w:val="20"/>
              </w:rPr>
            </w:pPr>
            <w:r w:rsidRPr="0058247A">
              <w:rPr>
                <w:rFonts w:ascii="Arial Narrow" w:hAnsi="Arial Narrow" w:cs="Times New Roman"/>
                <w:sz w:val="20"/>
                <w:szCs w:val="20"/>
              </w:rPr>
              <w:t>NR</w:t>
            </w:r>
          </w:p>
        </w:tc>
      </w:tr>
      <w:tr w:rsidR="00C54E01" w:rsidRPr="0058247A" w14:paraId="08826C97" w14:textId="664476C4" w:rsidTr="003B3112">
        <w:trPr>
          <w:trHeight w:val="197"/>
        </w:trPr>
        <w:tc>
          <w:tcPr>
            <w:tcW w:w="987" w:type="pct"/>
            <w:tcMar>
              <w:left w:w="40" w:type="dxa"/>
              <w:right w:w="40" w:type="dxa"/>
            </w:tcMar>
          </w:tcPr>
          <w:p w14:paraId="04F4EC76" w14:textId="77777777" w:rsidR="002D2E4E" w:rsidRPr="0058247A" w:rsidRDefault="002D2E4E" w:rsidP="00A25B4A">
            <w:pPr>
              <w:jc w:val="left"/>
              <w:rPr>
                <w:rFonts w:ascii="Arial Narrow" w:hAnsi="Arial Narrow" w:cs="Times New Roman"/>
                <w:sz w:val="20"/>
                <w:szCs w:val="20"/>
              </w:rPr>
            </w:pPr>
            <w:r w:rsidRPr="0058247A">
              <w:rPr>
                <w:rFonts w:ascii="Arial Narrow" w:hAnsi="Arial Narrow" w:cs="Times New Roman"/>
                <w:sz w:val="20"/>
                <w:szCs w:val="20"/>
              </w:rPr>
              <w:t>Adjusted hazard ratio (95% CI)</w:t>
            </w:r>
          </w:p>
        </w:tc>
        <w:tc>
          <w:tcPr>
            <w:tcW w:w="787" w:type="pct"/>
            <w:gridSpan w:val="2"/>
            <w:tcMar>
              <w:left w:w="40" w:type="dxa"/>
              <w:right w:w="40" w:type="dxa"/>
            </w:tcMar>
            <w:vAlign w:val="center"/>
          </w:tcPr>
          <w:p w14:paraId="4320240A" w14:textId="77777777" w:rsidR="002D2E4E" w:rsidRPr="0058247A" w:rsidRDefault="002D2E4E" w:rsidP="00A25B4A">
            <w:pPr>
              <w:jc w:val="center"/>
              <w:rPr>
                <w:rFonts w:ascii="Arial Narrow" w:hAnsi="Arial Narrow" w:cs="Times New Roman"/>
                <w:sz w:val="20"/>
                <w:szCs w:val="20"/>
              </w:rPr>
            </w:pPr>
            <w:r w:rsidRPr="0058247A">
              <w:rPr>
                <w:rFonts w:ascii="Arial Narrow" w:hAnsi="Arial Narrow" w:cs="Times New Roman"/>
                <w:sz w:val="20"/>
                <w:szCs w:val="20"/>
              </w:rPr>
              <w:t>NE</w:t>
            </w:r>
          </w:p>
        </w:tc>
        <w:tc>
          <w:tcPr>
            <w:tcW w:w="789" w:type="pct"/>
            <w:gridSpan w:val="2"/>
            <w:tcMar>
              <w:left w:w="40" w:type="dxa"/>
              <w:right w:w="40" w:type="dxa"/>
            </w:tcMar>
            <w:vAlign w:val="center"/>
          </w:tcPr>
          <w:p w14:paraId="43135DD0" w14:textId="77777777" w:rsidR="002D2E4E" w:rsidRPr="0058247A" w:rsidRDefault="002D2E4E" w:rsidP="00A25B4A">
            <w:pPr>
              <w:jc w:val="center"/>
              <w:rPr>
                <w:rFonts w:ascii="Arial Narrow" w:hAnsi="Arial Narrow" w:cs="Times New Roman"/>
                <w:b/>
                <w:bCs/>
                <w:sz w:val="20"/>
                <w:szCs w:val="20"/>
              </w:rPr>
            </w:pPr>
            <w:r w:rsidRPr="0058247A">
              <w:rPr>
                <w:rFonts w:ascii="Arial Narrow" w:hAnsi="Arial Narrow" w:cs="Times New Roman"/>
                <w:b/>
                <w:bCs/>
                <w:sz w:val="20"/>
                <w:szCs w:val="20"/>
              </w:rPr>
              <w:t>0.61 (0.45, 0.84)</w:t>
            </w:r>
          </w:p>
        </w:tc>
        <w:tc>
          <w:tcPr>
            <w:tcW w:w="790" w:type="pct"/>
            <w:gridSpan w:val="2"/>
            <w:tcMar>
              <w:left w:w="40" w:type="dxa"/>
              <w:right w:w="40" w:type="dxa"/>
            </w:tcMar>
            <w:vAlign w:val="center"/>
          </w:tcPr>
          <w:p w14:paraId="5902C7A8" w14:textId="77777777" w:rsidR="002D2E4E" w:rsidRPr="0058247A" w:rsidRDefault="002D2E4E" w:rsidP="00A25B4A">
            <w:pPr>
              <w:jc w:val="center"/>
              <w:rPr>
                <w:rFonts w:ascii="Arial Narrow" w:hAnsi="Arial Narrow" w:cs="Times New Roman"/>
                <w:sz w:val="20"/>
                <w:szCs w:val="20"/>
              </w:rPr>
            </w:pPr>
            <w:r w:rsidRPr="0058247A">
              <w:rPr>
                <w:rFonts w:ascii="Arial Narrow" w:hAnsi="Arial Narrow" w:cs="Times New Roman"/>
                <w:sz w:val="20"/>
                <w:szCs w:val="20"/>
              </w:rPr>
              <w:t>0.90 (0.65, 1.26)</w:t>
            </w:r>
          </w:p>
        </w:tc>
        <w:tc>
          <w:tcPr>
            <w:tcW w:w="790" w:type="pct"/>
            <w:gridSpan w:val="2"/>
            <w:tcMar>
              <w:left w:w="40" w:type="dxa"/>
              <w:right w:w="40" w:type="dxa"/>
            </w:tcMar>
            <w:vAlign w:val="center"/>
          </w:tcPr>
          <w:p w14:paraId="5AB262BA" w14:textId="59F6D1CC" w:rsidR="002D2E4E" w:rsidRPr="0058247A" w:rsidRDefault="002D2E4E" w:rsidP="002D2E4E">
            <w:pPr>
              <w:jc w:val="center"/>
              <w:rPr>
                <w:rFonts w:ascii="Arial Narrow" w:hAnsi="Arial Narrow" w:cs="Times New Roman"/>
                <w:sz w:val="20"/>
                <w:szCs w:val="20"/>
              </w:rPr>
            </w:pPr>
            <w:r w:rsidRPr="0058247A">
              <w:rPr>
                <w:rFonts w:ascii="Arial Narrow" w:hAnsi="Arial Narrow" w:cs="Times New Roman"/>
                <w:sz w:val="20"/>
                <w:szCs w:val="20"/>
              </w:rPr>
              <w:t>NR</w:t>
            </w:r>
          </w:p>
        </w:tc>
        <w:tc>
          <w:tcPr>
            <w:tcW w:w="857" w:type="pct"/>
            <w:gridSpan w:val="2"/>
            <w:tcMar>
              <w:left w:w="40" w:type="dxa"/>
              <w:right w:w="40" w:type="dxa"/>
            </w:tcMar>
            <w:vAlign w:val="center"/>
          </w:tcPr>
          <w:p w14:paraId="6B8D2CC5" w14:textId="68B522C1" w:rsidR="002D2E4E" w:rsidRPr="0058247A" w:rsidRDefault="002D2E4E" w:rsidP="002D2E4E">
            <w:pPr>
              <w:jc w:val="center"/>
              <w:rPr>
                <w:rFonts w:ascii="Arial Narrow" w:hAnsi="Arial Narrow" w:cs="Times New Roman"/>
                <w:sz w:val="20"/>
                <w:szCs w:val="20"/>
              </w:rPr>
            </w:pPr>
            <w:r w:rsidRPr="0058247A">
              <w:rPr>
                <w:rFonts w:ascii="Arial Narrow" w:hAnsi="Arial Narrow" w:cs="Times New Roman"/>
                <w:b/>
                <w:bCs/>
                <w:sz w:val="20"/>
                <w:szCs w:val="20"/>
              </w:rPr>
              <w:t>0.74 (0.55, 0.98)</w:t>
            </w:r>
          </w:p>
        </w:tc>
      </w:tr>
      <w:tr w:rsidR="002D2E4E" w:rsidRPr="0058247A" w14:paraId="519728C8" w14:textId="6873219D" w:rsidTr="00C54E01">
        <w:trPr>
          <w:trHeight w:val="197"/>
        </w:trPr>
        <w:tc>
          <w:tcPr>
            <w:tcW w:w="3353" w:type="pct"/>
            <w:gridSpan w:val="7"/>
            <w:tcBorders>
              <w:bottom w:val="single" w:sz="4" w:space="0" w:color="auto"/>
            </w:tcBorders>
            <w:tcMar>
              <w:left w:w="40" w:type="dxa"/>
              <w:right w:w="40" w:type="dxa"/>
            </w:tcMar>
          </w:tcPr>
          <w:p w14:paraId="0E8C895E" w14:textId="77777777" w:rsidR="002D2E4E" w:rsidRPr="0058247A" w:rsidRDefault="002D2E4E" w:rsidP="00651F45">
            <w:pPr>
              <w:jc w:val="left"/>
              <w:rPr>
                <w:rFonts w:ascii="Arial Narrow" w:hAnsi="Arial Narrow" w:cs="Times New Roman"/>
                <w:b/>
                <w:bCs/>
                <w:sz w:val="20"/>
                <w:szCs w:val="20"/>
              </w:rPr>
            </w:pPr>
            <w:r w:rsidRPr="0058247A">
              <w:rPr>
                <w:rFonts w:ascii="Arial Narrow" w:hAnsi="Arial Narrow" w:cs="Times New Roman"/>
                <w:sz w:val="20"/>
                <w:szCs w:val="20"/>
              </w:rPr>
              <w:t>Test for interaction of Treatment and age, p= 0.093</w:t>
            </w:r>
          </w:p>
        </w:tc>
        <w:tc>
          <w:tcPr>
            <w:tcW w:w="790" w:type="pct"/>
            <w:gridSpan w:val="2"/>
            <w:tcBorders>
              <w:bottom w:val="single" w:sz="4" w:space="0" w:color="auto"/>
            </w:tcBorders>
            <w:tcMar>
              <w:left w:w="40" w:type="dxa"/>
              <w:right w:w="40" w:type="dxa"/>
            </w:tcMar>
            <w:vAlign w:val="center"/>
          </w:tcPr>
          <w:p w14:paraId="407E8A94" w14:textId="09ABB25E" w:rsidR="002D2E4E" w:rsidRPr="0058247A" w:rsidRDefault="002D2E4E" w:rsidP="002D2E4E">
            <w:pPr>
              <w:jc w:val="center"/>
              <w:rPr>
                <w:rFonts w:ascii="Arial Narrow" w:hAnsi="Arial Narrow" w:cs="Times New Roman"/>
                <w:sz w:val="20"/>
                <w:szCs w:val="20"/>
              </w:rPr>
            </w:pPr>
            <w:r w:rsidRPr="0058247A">
              <w:rPr>
                <w:rFonts w:ascii="Arial Narrow" w:hAnsi="Arial Narrow" w:cs="Times New Roman"/>
                <w:sz w:val="20"/>
                <w:szCs w:val="20"/>
              </w:rPr>
              <w:t>NR</w:t>
            </w:r>
          </w:p>
        </w:tc>
        <w:tc>
          <w:tcPr>
            <w:tcW w:w="857" w:type="pct"/>
            <w:gridSpan w:val="2"/>
            <w:tcBorders>
              <w:bottom w:val="single" w:sz="4" w:space="0" w:color="auto"/>
            </w:tcBorders>
            <w:tcMar>
              <w:left w:w="40" w:type="dxa"/>
              <w:right w:w="40" w:type="dxa"/>
            </w:tcMar>
            <w:vAlign w:val="center"/>
          </w:tcPr>
          <w:p w14:paraId="23DD84B0" w14:textId="1AE687B5" w:rsidR="002D2E4E" w:rsidRPr="0058247A" w:rsidRDefault="002D2E4E" w:rsidP="002D2E4E">
            <w:pPr>
              <w:jc w:val="center"/>
              <w:rPr>
                <w:rFonts w:ascii="Arial Narrow" w:hAnsi="Arial Narrow" w:cs="Times New Roman"/>
                <w:sz w:val="20"/>
                <w:szCs w:val="20"/>
              </w:rPr>
            </w:pPr>
            <w:r w:rsidRPr="0058247A">
              <w:rPr>
                <w:rFonts w:ascii="Arial Narrow" w:hAnsi="Arial Narrow" w:cs="Times New Roman"/>
                <w:sz w:val="20"/>
                <w:szCs w:val="20"/>
              </w:rPr>
              <w:t>NR</w:t>
            </w:r>
          </w:p>
        </w:tc>
      </w:tr>
      <w:tr w:rsidR="002D2E4E" w:rsidRPr="0058247A" w14:paraId="711BB165" w14:textId="06E15A03" w:rsidTr="00C54E01">
        <w:trPr>
          <w:trHeight w:val="197"/>
        </w:trPr>
        <w:tc>
          <w:tcPr>
            <w:tcW w:w="5000" w:type="pct"/>
            <w:gridSpan w:val="11"/>
            <w:tcBorders>
              <w:bottom w:val="nil"/>
            </w:tcBorders>
            <w:tcMar>
              <w:left w:w="40" w:type="dxa"/>
              <w:right w:w="40" w:type="dxa"/>
            </w:tcMar>
            <w:vAlign w:val="center"/>
          </w:tcPr>
          <w:p w14:paraId="0E46DBDE" w14:textId="1526B25D" w:rsidR="002D2E4E" w:rsidRPr="0058247A" w:rsidRDefault="002D2E4E" w:rsidP="00A25B4A">
            <w:pPr>
              <w:jc w:val="left"/>
              <w:rPr>
                <w:rFonts w:ascii="Arial Narrow" w:hAnsi="Arial Narrow" w:cs="Times New Roman"/>
                <w:b/>
                <w:bCs/>
                <w:sz w:val="20"/>
                <w:szCs w:val="20"/>
              </w:rPr>
            </w:pPr>
            <w:r w:rsidRPr="0058247A">
              <w:rPr>
                <w:rFonts w:ascii="Arial Narrow" w:hAnsi="Arial Narrow" w:cs="Times New Roman"/>
                <w:b/>
                <w:bCs/>
                <w:sz w:val="20"/>
                <w:szCs w:val="20"/>
              </w:rPr>
              <w:t>OS</w:t>
            </w:r>
          </w:p>
        </w:tc>
      </w:tr>
    </w:tbl>
    <w:tbl>
      <w:tblPr>
        <w:tblStyle w:val="ASDTable5"/>
        <w:tblW w:w="5054" w:type="pct"/>
        <w:tblLook w:val="04A0" w:firstRow="1" w:lastRow="0" w:firstColumn="1" w:lastColumn="0" w:noHBand="0" w:noVBand="1"/>
      </w:tblPr>
      <w:tblGrid>
        <w:gridCol w:w="1801"/>
        <w:gridCol w:w="718"/>
        <w:gridCol w:w="596"/>
        <w:gridCol w:w="840"/>
        <w:gridCol w:w="720"/>
        <w:gridCol w:w="720"/>
        <w:gridCol w:w="718"/>
        <w:gridCol w:w="838"/>
        <w:gridCol w:w="602"/>
        <w:gridCol w:w="959"/>
        <w:gridCol w:w="602"/>
      </w:tblGrid>
      <w:tr w:rsidR="00C54E01" w:rsidRPr="0058247A" w14:paraId="18E8C7A0" w14:textId="4D960B2C" w:rsidTr="007F790A">
        <w:trPr>
          <w:trHeight w:val="197"/>
        </w:trPr>
        <w:tc>
          <w:tcPr>
            <w:tcW w:w="988" w:type="pct"/>
            <w:tcBorders>
              <w:top w:val="single" w:sz="2" w:space="0" w:color="auto"/>
            </w:tcBorders>
            <w:tcMar>
              <w:left w:w="40" w:type="dxa"/>
              <w:right w:w="40" w:type="dxa"/>
            </w:tcMar>
          </w:tcPr>
          <w:p w14:paraId="792196DE" w14:textId="77777777" w:rsidR="007D334F" w:rsidRPr="0058247A" w:rsidRDefault="007D334F" w:rsidP="00A25B4A">
            <w:pPr>
              <w:tabs>
                <w:tab w:val="left" w:pos="2980"/>
              </w:tabs>
              <w:jc w:val="left"/>
              <w:rPr>
                <w:rFonts w:ascii="Arial Narrow" w:hAnsi="Arial Narrow" w:cs="Times New Roman"/>
                <w:sz w:val="20"/>
                <w:szCs w:val="20"/>
              </w:rPr>
            </w:pPr>
            <w:r w:rsidRPr="0058247A">
              <w:rPr>
                <w:rFonts w:ascii="Arial Narrow" w:hAnsi="Arial Narrow" w:cs="Times New Roman"/>
                <w:sz w:val="20"/>
                <w:szCs w:val="20"/>
              </w:rPr>
              <w:t>Number of events</w:t>
            </w:r>
          </w:p>
        </w:tc>
        <w:tc>
          <w:tcPr>
            <w:tcW w:w="394" w:type="pct"/>
            <w:tcBorders>
              <w:top w:val="single" w:sz="2" w:space="0" w:color="auto"/>
            </w:tcBorders>
            <w:tcMar>
              <w:left w:w="40" w:type="dxa"/>
              <w:right w:w="40" w:type="dxa"/>
            </w:tcMar>
          </w:tcPr>
          <w:p w14:paraId="18A5B7EA"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76</w:t>
            </w:r>
          </w:p>
        </w:tc>
        <w:tc>
          <w:tcPr>
            <w:tcW w:w="327" w:type="pct"/>
            <w:tcBorders>
              <w:top w:val="single" w:sz="2" w:space="0" w:color="auto"/>
            </w:tcBorders>
            <w:tcMar>
              <w:left w:w="40" w:type="dxa"/>
              <w:right w:w="40" w:type="dxa"/>
            </w:tcMar>
          </w:tcPr>
          <w:p w14:paraId="288D49D3"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100</w:t>
            </w:r>
          </w:p>
        </w:tc>
        <w:tc>
          <w:tcPr>
            <w:tcW w:w="461" w:type="pct"/>
            <w:tcBorders>
              <w:top w:val="single" w:sz="2" w:space="0" w:color="auto"/>
            </w:tcBorders>
            <w:tcMar>
              <w:left w:w="40" w:type="dxa"/>
              <w:right w:w="40" w:type="dxa"/>
            </w:tcMar>
          </w:tcPr>
          <w:p w14:paraId="4F55F7DF"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Borders>
              <w:top w:val="single" w:sz="2" w:space="0" w:color="auto"/>
            </w:tcBorders>
            <w:tcMar>
              <w:left w:w="40" w:type="dxa"/>
              <w:right w:w="40" w:type="dxa"/>
            </w:tcMar>
          </w:tcPr>
          <w:p w14:paraId="30130625"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Borders>
              <w:top w:val="single" w:sz="2" w:space="0" w:color="auto"/>
            </w:tcBorders>
            <w:tcMar>
              <w:left w:w="40" w:type="dxa"/>
              <w:right w:w="40" w:type="dxa"/>
            </w:tcMar>
          </w:tcPr>
          <w:p w14:paraId="64DF9500"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4" w:type="pct"/>
            <w:tcBorders>
              <w:top w:val="single" w:sz="2" w:space="0" w:color="auto"/>
            </w:tcBorders>
            <w:tcMar>
              <w:left w:w="40" w:type="dxa"/>
              <w:right w:w="40" w:type="dxa"/>
            </w:tcMar>
          </w:tcPr>
          <w:p w14:paraId="70641FDA" w14:textId="77777777" w:rsidR="007D334F" w:rsidRPr="0058247A" w:rsidRDefault="007D334F" w:rsidP="00A25B4A">
            <w:pPr>
              <w:jc w:val="center"/>
              <w:rPr>
                <w:rFonts w:ascii="Arial Narrow" w:hAnsi="Arial Narrow" w:cs="Times New Roman"/>
                <w:sz w:val="20"/>
                <w:szCs w:val="20"/>
              </w:rPr>
            </w:pPr>
            <w:r w:rsidRPr="0058247A">
              <w:rPr>
                <w:rFonts w:ascii="Arial Narrow" w:hAnsi="Arial Narrow" w:cs="Times New Roman"/>
                <w:sz w:val="20"/>
                <w:szCs w:val="20"/>
              </w:rPr>
              <w:t>NR</w:t>
            </w:r>
          </w:p>
        </w:tc>
        <w:tc>
          <w:tcPr>
            <w:tcW w:w="460" w:type="pct"/>
            <w:tcBorders>
              <w:top w:val="single" w:sz="2" w:space="0" w:color="auto"/>
            </w:tcBorders>
            <w:tcMar>
              <w:left w:w="40" w:type="dxa"/>
              <w:right w:w="40" w:type="dxa"/>
            </w:tcMar>
          </w:tcPr>
          <w:p w14:paraId="4C26DBE4" w14:textId="77777777" w:rsidR="007D334F" w:rsidRPr="0058247A" w:rsidRDefault="007D334F" w:rsidP="00A25B4A">
            <w:pPr>
              <w:jc w:val="center"/>
              <w:rPr>
                <w:rFonts w:ascii="Arial Narrow" w:hAnsi="Arial Narrow" w:cs="Times New Roman"/>
                <w:sz w:val="20"/>
                <w:szCs w:val="20"/>
              </w:rPr>
            </w:pPr>
            <w:r w:rsidRPr="0058247A">
              <w:rPr>
                <w:rFonts w:ascii="Arial Narrow" w:hAnsi="Arial Narrow" w:cs="Times New Roman"/>
                <w:sz w:val="20"/>
                <w:szCs w:val="20"/>
              </w:rPr>
              <w:t>54</w:t>
            </w:r>
          </w:p>
        </w:tc>
        <w:tc>
          <w:tcPr>
            <w:tcW w:w="330" w:type="pct"/>
            <w:tcBorders>
              <w:top w:val="single" w:sz="2" w:space="0" w:color="auto"/>
            </w:tcBorders>
            <w:tcMar>
              <w:left w:w="40" w:type="dxa"/>
              <w:right w:w="40" w:type="dxa"/>
            </w:tcMar>
          </w:tcPr>
          <w:p w14:paraId="09CE90AC" w14:textId="77777777" w:rsidR="007D334F" w:rsidRPr="0058247A" w:rsidRDefault="007D334F" w:rsidP="00A25B4A">
            <w:pPr>
              <w:jc w:val="center"/>
              <w:rPr>
                <w:rFonts w:ascii="Arial Narrow" w:hAnsi="Arial Narrow" w:cs="Times New Roman"/>
                <w:sz w:val="20"/>
                <w:szCs w:val="20"/>
              </w:rPr>
            </w:pPr>
            <w:r w:rsidRPr="0058247A">
              <w:rPr>
                <w:rFonts w:ascii="Arial Narrow" w:hAnsi="Arial Narrow" w:cs="Times New Roman"/>
                <w:sz w:val="20"/>
                <w:szCs w:val="20"/>
              </w:rPr>
              <w:t>68</w:t>
            </w:r>
          </w:p>
        </w:tc>
        <w:tc>
          <w:tcPr>
            <w:tcW w:w="526" w:type="pct"/>
            <w:tcBorders>
              <w:top w:val="single" w:sz="2" w:space="0" w:color="auto"/>
            </w:tcBorders>
            <w:tcMar>
              <w:left w:w="40" w:type="dxa"/>
              <w:right w:w="40" w:type="dxa"/>
            </w:tcMar>
          </w:tcPr>
          <w:p w14:paraId="1EE134FA" w14:textId="606A0A4C" w:rsidR="007D334F" w:rsidRPr="0058247A" w:rsidRDefault="0022442F" w:rsidP="00A25B4A">
            <w:pPr>
              <w:jc w:val="center"/>
              <w:rPr>
                <w:rFonts w:ascii="Arial Narrow" w:hAnsi="Arial Narrow" w:cs="Times New Roman"/>
                <w:sz w:val="20"/>
                <w:szCs w:val="20"/>
              </w:rPr>
            </w:pPr>
            <w:r w:rsidRPr="0058247A">
              <w:rPr>
                <w:rFonts w:ascii="Arial Narrow" w:hAnsi="Arial Narrow" w:cs="Times New Roman"/>
                <w:sz w:val="20"/>
                <w:szCs w:val="20"/>
              </w:rPr>
              <w:t>72</w:t>
            </w:r>
          </w:p>
        </w:tc>
        <w:tc>
          <w:tcPr>
            <w:tcW w:w="330" w:type="pct"/>
            <w:tcBorders>
              <w:top w:val="single" w:sz="2" w:space="0" w:color="auto"/>
            </w:tcBorders>
            <w:tcMar>
              <w:left w:w="40" w:type="dxa"/>
              <w:right w:w="40" w:type="dxa"/>
            </w:tcMar>
          </w:tcPr>
          <w:p w14:paraId="103777DF" w14:textId="1C344B91" w:rsidR="007D334F" w:rsidRPr="0058247A" w:rsidRDefault="0022442F" w:rsidP="00A25B4A">
            <w:pPr>
              <w:jc w:val="center"/>
              <w:rPr>
                <w:rFonts w:ascii="Arial Narrow" w:hAnsi="Arial Narrow" w:cs="Times New Roman"/>
                <w:sz w:val="20"/>
                <w:szCs w:val="20"/>
              </w:rPr>
            </w:pPr>
            <w:r w:rsidRPr="0058247A">
              <w:rPr>
                <w:rFonts w:ascii="Arial Narrow" w:hAnsi="Arial Narrow" w:cs="Times New Roman"/>
                <w:sz w:val="20"/>
                <w:szCs w:val="20"/>
              </w:rPr>
              <w:t>86</w:t>
            </w:r>
          </w:p>
        </w:tc>
      </w:tr>
      <w:tr w:rsidR="00C54E01" w:rsidRPr="0058247A" w14:paraId="22587760" w14:textId="0F55BAC9" w:rsidTr="007F790A">
        <w:trPr>
          <w:trHeight w:val="197"/>
        </w:trPr>
        <w:tc>
          <w:tcPr>
            <w:tcW w:w="988" w:type="pct"/>
            <w:tcBorders>
              <w:top w:val="single" w:sz="2" w:space="0" w:color="auto"/>
            </w:tcBorders>
            <w:tcMar>
              <w:left w:w="40" w:type="dxa"/>
              <w:right w:w="40" w:type="dxa"/>
            </w:tcMar>
          </w:tcPr>
          <w:p w14:paraId="54A03182" w14:textId="77777777" w:rsidR="007D334F" w:rsidRPr="0058247A" w:rsidRDefault="007D334F" w:rsidP="00A25B4A">
            <w:pPr>
              <w:tabs>
                <w:tab w:val="left" w:pos="2980"/>
              </w:tabs>
              <w:jc w:val="left"/>
              <w:rPr>
                <w:rFonts w:ascii="Arial Narrow" w:hAnsi="Arial Narrow" w:cs="Times New Roman"/>
                <w:sz w:val="20"/>
                <w:szCs w:val="20"/>
              </w:rPr>
            </w:pPr>
            <w:r w:rsidRPr="0058247A">
              <w:rPr>
                <w:rFonts w:ascii="Arial Narrow" w:hAnsi="Arial Narrow" w:cs="Times New Roman"/>
                <w:sz w:val="20"/>
                <w:szCs w:val="20"/>
              </w:rPr>
              <w:t>Median (months)</w:t>
            </w:r>
          </w:p>
        </w:tc>
        <w:tc>
          <w:tcPr>
            <w:tcW w:w="394" w:type="pct"/>
            <w:tcBorders>
              <w:top w:val="single" w:sz="2" w:space="0" w:color="auto"/>
            </w:tcBorders>
            <w:tcMar>
              <w:left w:w="40" w:type="dxa"/>
              <w:right w:w="40" w:type="dxa"/>
            </w:tcMar>
          </w:tcPr>
          <w:p w14:paraId="20982DD5"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75.0</w:t>
            </w:r>
          </w:p>
        </w:tc>
        <w:tc>
          <w:tcPr>
            <w:tcW w:w="327" w:type="pct"/>
            <w:tcBorders>
              <w:top w:val="single" w:sz="2" w:space="0" w:color="auto"/>
            </w:tcBorders>
            <w:tcMar>
              <w:left w:w="40" w:type="dxa"/>
              <w:right w:w="40" w:type="dxa"/>
            </w:tcMar>
          </w:tcPr>
          <w:p w14:paraId="0923038C"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64.0</w:t>
            </w:r>
          </w:p>
        </w:tc>
        <w:tc>
          <w:tcPr>
            <w:tcW w:w="461" w:type="pct"/>
            <w:tcBorders>
              <w:top w:val="single" w:sz="2" w:space="0" w:color="auto"/>
            </w:tcBorders>
            <w:tcMar>
              <w:left w:w="40" w:type="dxa"/>
              <w:right w:w="40" w:type="dxa"/>
            </w:tcMar>
          </w:tcPr>
          <w:p w14:paraId="1F4BCA0F"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395" w:type="pct"/>
            <w:tcBorders>
              <w:top w:val="single" w:sz="2" w:space="0" w:color="auto"/>
            </w:tcBorders>
            <w:tcMar>
              <w:left w:w="40" w:type="dxa"/>
              <w:right w:w="40" w:type="dxa"/>
            </w:tcMar>
          </w:tcPr>
          <w:p w14:paraId="39935DC4"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68.9</w:t>
            </w:r>
          </w:p>
        </w:tc>
        <w:tc>
          <w:tcPr>
            <w:tcW w:w="395" w:type="pct"/>
            <w:tcBorders>
              <w:top w:val="single" w:sz="2" w:space="0" w:color="auto"/>
            </w:tcBorders>
            <w:tcMar>
              <w:left w:w="40" w:type="dxa"/>
              <w:right w:w="40" w:type="dxa"/>
            </w:tcMar>
          </w:tcPr>
          <w:p w14:paraId="65810A82" w14:textId="77777777" w:rsidR="007D334F" w:rsidRPr="0058247A" w:rsidRDefault="007D334F"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62.9</w:t>
            </w:r>
          </w:p>
        </w:tc>
        <w:tc>
          <w:tcPr>
            <w:tcW w:w="394" w:type="pct"/>
            <w:tcBorders>
              <w:top w:val="single" w:sz="2" w:space="0" w:color="auto"/>
            </w:tcBorders>
            <w:tcMar>
              <w:left w:w="40" w:type="dxa"/>
              <w:right w:w="40" w:type="dxa"/>
            </w:tcMar>
          </w:tcPr>
          <w:p w14:paraId="227D030E" w14:textId="77777777" w:rsidR="007D334F" w:rsidRPr="0058247A" w:rsidRDefault="007D334F" w:rsidP="00A25B4A">
            <w:pPr>
              <w:jc w:val="center"/>
              <w:rPr>
                <w:rFonts w:ascii="Arial Narrow" w:hAnsi="Arial Narrow" w:cs="Times New Roman"/>
                <w:sz w:val="20"/>
                <w:szCs w:val="20"/>
              </w:rPr>
            </w:pPr>
            <w:r w:rsidRPr="0058247A">
              <w:rPr>
                <w:rFonts w:ascii="Arial Narrow" w:hAnsi="Arial Narrow" w:cs="Times New Roman"/>
                <w:sz w:val="20"/>
                <w:szCs w:val="20"/>
              </w:rPr>
              <w:t>53.0</w:t>
            </w:r>
          </w:p>
        </w:tc>
        <w:tc>
          <w:tcPr>
            <w:tcW w:w="460" w:type="pct"/>
            <w:tcBorders>
              <w:top w:val="single" w:sz="2" w:space="0" w:color="auto"/>
            </w:tcBorders>
            <w:tcMar>
              <w:left w:w="40" w:type="dxa"/>
              <w:right w:w="40" w:type="dxa"/>
            </w:tcMar>
          </w:tcPr>
          <w:p w14:paraId="30EB0428" w14:textId="77777777" w:rsidR="007D334F" w:rsidRPr="0058247A" w:rsidRDefault="007D334F" w:rsidP="00A25B4A">
            <w:pPr>
              <w:jc w:val="center"/>
              <w:rPr>
                <w:rFonts w:ascii="Arial Narrow" w:hAnsi="Arial Narrow" w:cs="Times New Roman"/>
                <w:sz w:val="20"/>
                <w:szCs w:val="20"/>
              </w:rPr>
            </w:pPr>
            <w:r w:rsidRPr="0058247A">
              <w:rPr>
                <w:rFonts w:ascii="Arial Narrow" w:hAnsi="Arial Narrow" w:cs="Times New Roman"/>
                <w:sz w:val="20"/>
                <w:szCs w:val="20"/>
              </w:rPr>
              <w:t>65</w:t>
            </w:r>
          </w:p>
        </w:tc>
        <w:tc>
          <w:tcPr>
            <w:tcW w:w="330" w:type="pct"/>
            <w:tcBorders>
              <w:top w:val="single" w:sz="2" w:space="0" w:color="auto"/>
            </w:tcBorders>
            <w:tcMar>
              <w:left w:w="40" w:type="dxa"/>
              <w:right w:w="40" w:type="dxa"/>
            </w:tcMar>
          </w:tcPr>
          <w:p w14:paraId="430B44BA" w14:textId="77777777" w:rsidR="007D334F" w:rsidRPr="0058247A" w:rsidRDefault="007D334F" w:rsidP="00A25B4A">
            <w:pPr>
              <w:jc w:val="center"/>
              <w:rPr>
                <w:rFonts w:ascii="Arial Narrow" w:hAnsi="Arial Narrow" w:cs="Times New Roman"/>
                <w:sz w:val="20"/>
                <w:szCs w:val="20"/>
              </w:rPr>
            </w:pPr>
            <w:r w:rsidRPr="0058247A">
              <w:rPr>
                <w:rFonts w:ascii="Arial Narrow" w:hAnsi="Arial Narrow" w:cs="Times New Roman"/>
                <w:sz w:val="20"/>
                <w:szCs w:val="20"/>
              </w:rPr>
              <w:t>56</w:t>
            </w:r>
          </w:p>
        </w:tc>
        <w:tc>
          <w:tcPr>
            <w:tcW w:w="526" w:type="pct"/>
            <w:tcMar>
              <w:left w:w="40" w:type="dxa"/>
              <w:right w:w="40" w:type="dxa"/>
            </w:tcMar>
          </w:tcPr>
          <w:p w14:paraId="77BC41E2" w14:textId="1E02B0CA" w:rsidR="007D334F" w:rsidRPr="0058247A" w:rsidRDefault="00852425" w:rsidP="00A25B4A">
            <w:pPr>
              <w:jc w:val="center"/>
              <w:rPr>
                <w:rFonts w:ascii="Arial Narrow" w:hAnsi="Arial Narrow" w:cs="Times New Roman"/>
                <w:sz w:val="20"/>
                <w:szCs w:val="20"/>
              </w:rPr>
            </w:pPr>
            <w:r w:rsidRPr="0058247A">
              <w:rPr>
                <w:rFonts w:ascii="Arial Narrow" w:hAnsi="Arial Narrow" w:cs="Times New Roman"/>
                <w:sz w:val="20"/>
                <w:szCs w:val="20"/>
              </w:rPr>
              <w:t>NR</w:t>
            </w:r>
          </w:p>
        </w:tc>
        <w:tc>
          <w:tcPr>
            <w:tcW w:w="330" w:type="pct"/>
            <w:tcMar>
              <w:left w:w="40" w:type="dxa"/>
              <w:right w:w="40" w:type="dxa"/>
            </w:tcMar>
          </w:tcPr>
          <w:p w14:paraId="66EB64A5" w14:textId="6E469E05" w:rsidR="007D334F" w:rsidRPr="0058247A" w:rsidRDefault="00852425" w:rsidP="00A25B4A">
            <w:pPr>
              <w:jc w:val="center"/>
              <w:rPr>
                <w:rFonts w:ascii="Arial Narrow" w:hAnsi="Arial Narrow" w:cs="Times New Roman"/>
                <w:sz w:val="20"/>
                <w:szCs w:val="20"/>
              </w:rPr>
            </w:pPr>
            <w:r w:rsidRPr="0058247A">
              <w:rPr>
                <w:rFonts w:ascii="Arial Narrow" w:hAnsi="Arial Narrow" w:cs="Times New Roman"/>
                <w:sz w:val="20"/>
                <w:szCs w:val="20"/>
              </w:rPr>
              <w:t>NR</w:t>
            </w:r>
          </w:p>
        </w:tc>
      </w:tr>
      <w:tr w:rsidR="008B184B" w:rsidRPr="0058247A" w14:paraId="54AFDC0B" w14:textId="0E8F0A90" w:rsidTr="007F790A">
        <w:trPr>
          <w:trHeight w:val="197"/>
        </w:trPr>
        <w:tc>
          <w:tcPr>
            <w:tcW w:w="988" w:type="pct"/>
            <w:tcMar>
              <w:left w:w="40" w:type="dxa"/>
              <w:right w:w="40" w:type="dxa"/>
            </w:tcMar>
          </w:tcPr>
          <w:p w14:paraId="36E8759E" w14:textId="77777777" w:rsidR="00852425" w:rsidRPr="0058247A" w:rsidRDefault="00852425" w:rsidP="00A25B4A">
            <w:pPr>
              <w:tabs>
                <w:tab w:val="left" w:pos="2980"/>
              </w:tabs>
              <w:jc w:val="left"/>
              <w:rPr>
                <w:rFonts w:ascii="Arial Narrow" w:hAnsi="Arial Narrow" w:cs="Times New Roman"/>
                <w:sz w:val="20"/>
                <w:szCs w:val="20"/>
              </w:rPr>
            </w:pPr>
            <w:r w:rsidRPr="0058247A">
              <w:rPr>
                <w:rFonts w:ascii="Arial Narrow" w:hAnsi="Arial Narrow" w:cs="Times New Roman"/>
                <w:sz w:val="20"/>
                <w:szCs w:val="20"/>
              </w:rPr>
              <w:t>p-value</w:t>
            </w:r>
          </w:p>
        </w:tc>
        <w:tc>
          <w:tcPr>
            <w:tcW w:w="721" w:type="pct"/>
            <w:gridSpan w:val="2"/>
            <w:tcMar>
              <w:left w:w="40" w:type="dxa"/>
              <w:right w:w="40" w:type="dxa"/>
            </w:tcMar>
          </w:tcPr>
          <w:p w14:paraId="0EF4FCC7" w14:textId="77777777" w:rsidR="00852425" w:rsidRPr="0058247A" w:rsidRDefault="00852425"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P</w:t>
            </w:r>
            <w:r w:rsidRPr="0058247A" w:rsidDel="0067078D">
              <w:rPr>
                <w:rFonts w:ascii="Arial Narrow" w:hAnsi="Arial Narrow" w:cs="Times New Roman"/>
                <w:sz w:val="20"/>
                <w:szCs w:val="20"/>
              </w:rPr>
              <w:t>=</w:t>
            </w:r>
            <w:r w:rsidRPr="0058247A">
              <w:rPr>
                <w:rFonts w:ascii="Arial Narrow" w:hAnsi="Arial Narrow" w:cs="Times New Roman"/>
                <w:sz w:val="20"/>
                <w:szCs w:val="20"/>
              </w:rPr>
              <w:t xml:space="preserve"> 0.025</w:t>
            </w:r>
          </w:p>
        </w:tc>
        <w:tc>
          <w:tcPr>
            <w:tcW w:w="856" w:type="pct"/>
            <w:gridSpan w:val="2"/>
            <w:tcMar>
              <w:left w:w="40" w:type="dxa"/>
              <w:right w:w="40" w:type="dxa"/>
            </w:tcMar>
          </w:tcPr>
          <w:p w14:paraId="6792119E" w14:textId="77777777" w:rsidR="00852425" w:rsidRPr="0058247A" w:rsidRDefault="00852425"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w:t>
            </w:r>
          </w:p>
        </w:tc>
        <w:tc>
          <w:tcPr>
            <w:tcW w:w="789" w:type="pct"/>
            <w:gridSpan w:val="2"/>
            <w:tcMar>
              <w:left w:w="40" w:type="dxa"/>
              <w:right w:w="40" w:type="dxa"/>
            </w:tcMar>
          </w:tcPr>
          <w:p w14:paraId="69BAC47F" w14:textId="77777777" w:rsidR="00852425" w:rsidRPr="0058247A" w:rsidRDefault="00852425"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w:t>
            </w:r>
          </w:p>
        </w:tc>
        <w:tc>
          <w:tcPr>
            <w:tcW w:w="790" w:type="pct"/>
            <w:gridSpan w:val="2"/>
            <w:tcMar>
              <w:left w:w="40" w:type="dxa"/>
              <w:right w:w="40" w:type="dxa"/>
            </w:tcMar>
          </w:tcPr>
          <w:p w14:paraId="3D111DC5" w14:textId="77777777" w:rsidR="00852425" w:rsidRPr="0058247A" w:rsidRDefault="00852425"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p=0.168</w:t>
            </w:r>
          </w:p>
        </w:tc>
        <w:tc>
          <w:tcPr>
            <w:tcW w:w="856" w:type="pct"/>
            <w:gridSpan w:val="2"/>
            <w:tcMar>
              <w:left w:w="40" w:type="dxa"/>
              <w:right w:w="40" w:type="dxa"/>
            </w:tcMar>
          </w:tcPr>
          <w:p w14:paraId="209501FE" w14:textId="49C6B367" w:rsidR="00852425" w:rsidRPr="0058247A" w:rsidRDefault="005A768A" w:rsidP="00A25B4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r>
      <w:tr w:rsidR="008B184B" w:rsidRPr="0058247A" w14:paraId="277D60EB" w14:textId="2282CE0B" w:rsidTr="007F790A">
        <w:trPr>
          <w:trHeight w:val="197"/>
        </w:trPr>
        <w:tc>
          <w:tcPr>
            <w:tcW w:w="988" w:type="pct"/>
            <w:tcMar>
              <w:left w:w="40" w:type="dxa"/>
              <w:right w:w="40" w:type="dxa"/>
            </w:tcMar>
          </w:tcPr>
          <w:p w14:paraId="799964CA" w14:textId="77777777" w:rsidR="00852425" w:rsidRPr="0058247A" w:rsidRDefault="00852425" w:rsidP="00A25B4A">
            <w:pPr>
              <w:tabs>
                <w:tab w:val="left" w:pos="2980"/>
              </w:tabs>
              <w:jc w:val="left"/>
              <w:rPr>
                <w:rFonts w:ascii="Arial Narrow" w:hAnsi="Arial Narrow" w:cs="Times New Roman"/>
                <w:sz w:val="20"/>
                <w:szCs w:val="20"/>
              </w:rPr>
            </w:pPr>
            <w:r w:rsidRPr="0058247A">
              <w:rPr>
                <w:rFonts w:ascii="Arial Narrow" w:hAnsi="Arial Narrow" w:cs="Times New Roman"/>
                <w:sz w:val="20"/>
                <w:szCs w:val="20"/>
              </w:rPr>
              <w:t>Hazard ratio (95% CI)</w:t>
            </w:r>
          </w:p>
        </w:tc>
        <w:tc>
          <w:tcPr>
            <w:tcW w:w="721" w:type="pct"/>
            <w:gridSpan w:val="2"/>
            <w:tcMar>
              <w:left w:w="40" w:type="dxa"/>
              <w:right w:w="40" w:type="dxa"/>
            </w:tcMar>
            <w:vAlign w:val="center"/>
          </w:tcPr>
          <w:p w14:paraId="0CBC8E93" w14:textId="77777777" w:rsidR="00852425" w:rsidRPr="0058247A" w:rsidRDefault="00852425" w:rsidP="00566936">
            <w:pPr>
              <w:tabs>
                <w:tab w:val="left" w:pos="2980"/>
              </w:tabs>
              <w:jc w:val="center"/>
              <w:rPr>
                <w:rFonts w:ascii="Arial Narrow" w:hAnsi="Arial Narrow" w:cs="Times New Roman"/>
                <w:b/>
                <w:bCs/>
                <w:sz w:val="20"/>
                <w:szCs w:val="20"/>
              </w:rPr>
            </w:pPr>
            <w:r w:rsidRPr="0058247A">
              <w:rPr>
                <w:rFonts w:ascii="Arial Narrow" w:hAnsi="Arial Narrow" w:cs="Times New Roman"/>
                <w:b/>
                <w:bCs/>
                <w:sz w:val="20"/>
                <w:szCs w:val="20"/>
              </w:rPr>
              <w:t>0.71 (0.52, 0.96)</w:t>
            </w:r>
          </w:p>
        </w:tc>
        <w:tc>
          <w:tcPr>
            <w:tcW w:w="856" w:type="pct"/>
            <w:gridSpan w:val="2"/>
            <w:tcMar>
              <w:left w:w="40" w:type="dxa"/>
              <w:right w:w="40" w:type="dxa"/>
            </w:tcMar>
            <w:vAlign w:val="center"/>
          </w:tcPr>
          <w:p w14:paraId="38B6542D" w14:textId="77777777" w:rsidR="00852425" w:rsidRPr="0058247A" w:rsidRDefault="00852425" w:rsidP="00566936">
            <w:pPr>
              <w:tabs>
                <w:tab w:val="left" w:pos="2980"/>
              </w:tabs>
              <w:jc w:val="center"/>
              <w:rPr>
                <w:rFonts w:ascii="Arial Narrow" w:hAnsi="Arial Narrow" w:cs="Times New Roman"/>
                <w:b/>
                <w:bCs/>
                <w:sz w:val="20"/>
                <w:szCs w:val="20"/>
              </w:rPr>
            </w:pPr>
            <w:r w:rsidRPr="0058247A">
              <w:rPr>
                <w:rFonts w:ascii="Arial Narrow" w:hAnsi="Arial Narrow" w:cs="Times New Roman"/>
                <w:b/>
                <w:bCs/>
                <w:sz w:val="20"/>
                <w:szCs w:val="20"/>
              </w:rPr>
              <w:t>0.61 (0.39, 0.97)</w:t>
            </w:r>
          </w:p>
        </w:tc>
        <w:tc>
          <w:tcPr>
            <w:tcW w:w="789" w:type="pct"/>
            <w:gridSpan w:val="2"/>
            <w:tcMar>
              <w:left w:w="40" w:type="dxa"/>
              <w:right w:w="40" w:type="dxa"/>
            </w:tcMar>
            <w:vAlign w:val="center"/>
          </w:tcPr>
          <w:p w14:paraId="45C813B8" w14:textId="77777777" w:rsidR="00852425" w:rsidRPr="0058247A" w:rsidRDefault="00852425" w:rsidP="00566936">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0.83 (0.55, 1.23)</w:t>
            </w:r>
            <w:r w:rsidRPr="0058247A">
              <w:rPr>
                <w:rFonts w:ascii="Arial Narrow" w:hAnsi="Arial Narrow" w:cs="Times New Roman"/>
                <w:sz w:val="20"/>
                <w:szCs w:val="20"/>
                <w:vertAlign w:val="superscript"/>
              </w:rPr>
              <w:t xml:space="preserve"> a</w:t>
            </w:r>
          </w:p>
        </w:tc>
        <w:tc>
          <w:tcPr>
            <w:tcW w:w="790" w:type="pct"/>
            <w:gridSpan w:val="2"/>
            <w:tcMar>
              <w:left w:w="40" w:type="dxa"/>
              <w:right w:w="40" w:type="dxa"/>
            </w:tcMar>
            <w:vAlign w:val="center"/>
          </w:tcPr>
          <w:p w14:paraId="27A95DBA" w14:textId="237BDB2D" w:rsidR="00852425" w:rsidRPr="0058247A" w:rsidRDefault="005164E7" w:rsidP="00C54E01">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856" w:type="pct"/>
            <w:gridSpan w:val="2"/>
            <w:tcMar>
              <w:left w:w="40" w:type="dxa"/>
              <w:right w:w="40" w:type="dxa"/>
            </w:tcMar>
            <w:vAlign w:val="center"/>
          </w:tcPr>
          <w:p w14:paraId="0F272ECD" w14:textId="7EA8AA69" w:rsidR="00852425" w:rsidRPr="0058247A" w:rsidRDefault="00852425" w:rsidP="00C54E01">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r>
      <w:tr w:rsidR="00651F45" w:rsidRPr="0058247A" w14:paraId="4FCDC504" w14:textId="6E13DF23" w:rsidTr="00C54E01">
        <w:trPr>
          <w:trHeight w:val="197"/>
        </w:trPr>
        <w:tc>
          <w:tcPr>
            <w:tcW w:w="3354" w:type="pct"/>
            <w:gridSpan w:val="7"/>
            <w:tcMar>
              <w:left w:w="40" w:type="dxa"/>
              <w:right w:w="40" w:type="dxa"/>
            </w:tcMar>
          </w:tcPr>
          <w:p w14:paraId="0FFBE1A1" w14:textId="2E6E6518" w:rsidR="00651F45" w:rsidRPr="0058247A" w:rsidRDefault="00651F45" w:rsidP="00593773">
            <w:pPr>
              <w:tabs>
                <w:tab w:val="left" w:pos="2980"/>
              </w:tabs>
              <w:jc w:val="left"/>
              <w:rPr>
                <w:rFonts w:ascii="Arial Narrow" w:hAnsi="Arial Narrow" w:cs="Times New Roman"/>
                <w:sz w:val="20"/>
                <w:szCs w:val="20"/>
              </w:rPr>
            </w:pPr>
            <w:r w:rsidRPr="0058247A">
              <w:rPr>
                <w:rFonts w:ascii="Arial Narrow" w:hAnsi="Arial Narrow" w:cs="Times New Roman"/>
                <w:sz w:val="20"/>
                <w:szCs w:val="20"/>
              </w:rPr>
              <w:t>Test for interaction of Treatment and age, p</w:t>
            </w:r>
            <w:r w:rsidRPr="0058247A" w:rsidDel="0067078D">
              <w:rPr>
                <w:rFonts w:ascii="Arial Narrow" w:hAnsi="Arial Narrow" w:cs="Times New Roman"/>
                <w:sz w:val="20"/>
                <w:szCs w:val="20"/>
              </w:rPr>
              <w:t>=</w:t>
            </w:r>
            <w:r w:rsidRPr="0058247A">
              <w:rPr>
                <w:rFonts w:ascii="Arial Narrow" w:hAnsi="Arial Narrow" w:cs="Times New Roman"/>
                <w:sz w:val="20"/>
                <w:szCs w:val="20"/>
              </w:rPr>
              <w:t xml:space="preserve"> 0.334</w:t>
            </w:r>
          </w:p>
        </w:tc>
        <w:tc>
          <w:tcPr>
            <w:tcW w:w="790" w:type="pct"/>
            <w:gridSpan w:val="2"/>
            <w:tcMar>
              <w:left w:w="40" w:type="dxa"/>
              <w:right w:w="40" w:type="dxa"/>
            </w:tcMar>
            <w:vAlign w:val="center"/>
          </w:tcPr>
          <w:p w14:paraId="4D0B9130" w14:textId="77777777" w:rsidR="00651F45" w:rsidRPr="0058247A" w:rsidRDefault="00651F45" w:rsidP="00593773">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856" w:type="pct"/>
            <w:gridSpan w:val="2"/>
            <w:tcMar>
              <w:left w:w="40" w:type="dxa"/>
              <w:right w:w="40" w:type="dxa"/>
            </w:tcMar>
          </w:tcPr>
          <w:p w14:paraId="0B642D2A" w14:textId="7EC3173D" w:rsidR="00651F45" w:rsidRPr="0058247A" w:rsidRDefault="00651F45" w:rsidP="00593773">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r>
      <w:tr w:rsidR="008B184B" w:rsidRPr="0058247A" w14:paraId="05DB2539" w14:textId="064D28CF" w:rsidTr="007F790A">
        <w:trPr>
          <w:trHeight w:val="197"/>
        </w:trPr>
        <w:tc>
          <w:tcPr>
            <w:tcW w:w="988" w:type="pct"/>
            <w:tcMar>
              <w:left w:w="40" w:type="dxa"/>
              <w:right w:w="40" w:type="dxa"/>
            </w:tcMar>
          </w:tcPr>
          <w:p w14:paraId="240BF77B" w14:textId="77777777" w:rsidR="005164E7" w:rsidRPr="0058247A" w:rsidRDefault="005164E7" w:rsidP="00593773">
            <w:pPr>
              <w:tabs>
                <w:tab w:val="left" w:pos="2980"/>
              </w:tabs>
              <w:jc w:val="left"/>
              <w:rPr>
                <w:rFonts w:ascii="Arial Narrow" w:hAnsi="Arial Narrow" w:cs="Times New Roman"/>
                <w:sz w:val="20"/>
                <w:szCs w:val="20"/>
              </w:rPr>
            </w:pPr>
            <w:r w:rsidRPr="0058247A">
              <w:rPr>
                <w:rFonts w:ascii="Arial Narrow" w:hAnsi="Arial Narrow" w:cs="Times New Roman"/>
                <w:sz w:val="20"/>
                <w:szCs w:val="20"/>
              </w:rPr>
              <w:t>Adjusted hazard ratio (95% CI)</w:t>
            </w:r>
          </w:p>
        </w:tc>
        <w:tc>
          <w:tcPr>
            <w:tcW w:w="721" w:type="pct"/>
            <w:gridSpan w:val="2"/>
            <w:tcMar>
              <w:left w:w="40" w:type="dxa"/>
              <w:right w:w="40" w:type="dxa"/>
            </w:tcMar>
            <w:vAlign w:val="center"/>
          </w:tcPr>
          <w:p w14:paraId="7A21F908" w14:textId="77777777" w:rsidR="005164E7" w:rsidRPr="0058247A" w:rsidRDefault="005164E7" w:rsidP="00593773">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NE</w:t>
            </w:r>
          </w:p>
        </w:tc>
        <w:tc>
          <w:tcPr>
            <w:tcW w:w="856" w:type="pct"/>
            <w:gridSpan w:val="2"/>
            <w:tcMar>
              <w:left w:w="40" w:type="dxa"/>
              <w:right w:w="40" w:type="dxa"/>
            </w:tcMar>
            <w:vAlign w:val="center"/>
          </w:tcPr>
          <w:p w14:paraId="045B8F76" w14:textId="77777777" w:rsidR="005164E7" w:rsidRPr="0058247A" w:rsidRDefault="005164E7" w:rsidP="00593773">
            <w:pPr>
              <w:tabs>
                <w:tab w:val="left" w:pos="2980"/>
              </w:tabs>
              <w:jc w:val="center"/>
              <w:rPr>
                <w:rFonts w:ascii="Arial Narrow" w:hAnsi="Arial Narrow" w:cs="Times New Roman"/>
                <w:b/>
                <w:bCs/>
                <w:sz w:val="20"/>
                <w:szCs w:val="20"/>
              </w:rPr>
            </w:pPr>
            <w:r w:rsidRPr="0058247A">
              <w:rPr>
                <w:rFonts w:ascii="Arial Narrow" w:hAnsi="Arial Narrow" w:cs="Times New Roman"/>
                <w:b/>
                <w:bCs/>
                <w:sz w:val="20"/>
                <w:szCs w:val="20"/>
              </w:rPr>
              <w:t>0.62 (0.39, 0.99)</w:t>
            </w:r>
          </w:p>
        </w:tc>
        <w:tc>
          <w:tcPr>
            <w:tcW w:w="789" w:type="pct"/>
            <w:gridSpan w:val="2"/>
            <w:tcMar>
              <w:left w:w="40" w:type="dxa"/>
              <w:right w:w="40" w:type="dxa"/>
            </w:tcMar>
            <w:vAlign w:val="center"/>
          </w:tcPr>
          <w:p w14:paraId="479B568B" w14:textId="77777777" w:rsidR="005164E7" w:rsidRPr="0058247A" w:rsidRDefault="005164E7" w:rsidP="00593773">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0.88 (0.59, 1.31)</w:t>
            </w:r>
          </w:p>
        </w:tc>
        <w:tc>
          <w:tcPr>
            <w:tcW w:w="790" w:type="pct"/>
            <w:gridSpan w:val="2"/>
            <w:tcMar>
              <w:left w:w="40" w:type="dxa"/>
              <w:right w:w="40" w:type="dxa"/>
            </w:tcMar>
            <w:vAlign w:val="center"/>
          </w:tcPr>
          <w:p w14:paraId="2D53E093" w14:textId="21D48310" w:rsidR="005164E7" w:rsidRPr="0058247A" w:rsidRDefault="005164E7" w:rsidP="00593773">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0.77 (0.52, 1.14)</w:t>
            </w:r>
          </w:p>
        </w:tc>
        <w:tc>
          <w:tcPr>
            <w:tcW w:w="856" w:type="pct"/>
            <w:gridSpan w:val="2"/>
            <w:tcMar>
              <w:left w:w="40" w:type="dxa"/>
              <w:right w:w="40" w:type="dxa"/>
            </w:tcMar>
            <w:vAlign w:val="center"/>
          </w:tcPr>
          <w:p w14:paraId="592343BF" w14:textId="3D71A779" w:rsidR="005164E7" w:rsidRPr="0058247A" w:rsidRDefault="00E06569" w:rsidP="00E06569">
            <w:pPr>
              <w:tabs>
                <w:tab w:val="left" w:pos="2980"/>
              </w:tabs>
              <w:jc w:val="center"/>
              <w:rPr>
                <w:rFonts w:ascii="Arial Narrow" w:hAnsi="Arial Narrow" w:cs="Times New Roman"/>
                <w:b/>
                <w:bCs/>
                <w:sz w:val="20"/>
                <w:szCs w:val="20"/>
              </w:rPr>
            </w:pPr>
            <w:r w:rsidRPr="0058247A">
              <w:rPr>
                <w:rFonts w:ascii="Arial Narrow" w:hAnsi="Arial Narrow" w:cs="Times New Roman"/>
                <w:b/>
                <w:bCs/>
                <w:sz w:val="20"/>
                <w:szCs w:val="20"/>
              </w:rPr>
              <w:t>0.63 (0.45, 0.89)</w:t>
            </w:r>
          </w:p>
        </w:tc>
      </w:tr>
      <w:tr w:rsidR="00ED59D2" w:rsidRPr="0058247A" w14:paraId="4EF28BB3" w14:textId="77777777" w:rsidTr="00C54E01">
        <w:trPr>
          <w:trHeight w:val="197"/>
        </w:trPr>
        <w:tc>
          <w:tcPr>
            <w:tcW w:w="3354" w:type="pct"/>
            <w:gridSpan w:val="7"/>
            <w:tcMar>
              <w:left w:w="40" w:type="dxa"/>
              <w:right w:w="40" w:type="dxa"/>
            </w:tcMar>
            <w:vAlign w:val="center"/>
          </w:tcPr>
          <w:p w14:paraId="72A844E6" w14:textId="7570C2A1" w:rsidR="00387C59" w:rsidRPr="0058247A" w:rsidRDefault="00387C59" w:rsidP="00651F45">
            <w:pPr>
              <w:tabs>
                <w:tab w:val="left" w:pos="2980"/>
              </w:tabs>
              <w:jc w:val="left"/>
              <w:rPr>
                <w:rFonts w:ascii="Arial Narrow" w:hAnsi="Arial Narrow" w:cs="Times New Roman"/>
                <w:sz w:val="20"/>
                <w:szCs w:val="20"/>
              </w:rPr>
            </w:pPr>
            <w:r w:rsidRPr="0058247A">
              <w:rPr>
                <w:rFonts w:ascii="Arial Narrow" w:hAnsi="Arial Narrow" w:cs="Times New Roman"/>
                <w:sz w:val="20"/>
                <w:szCs w:val="20"/>
              </w:rPr>
              <w:t>Test for interaction of Treatment and age, p</w:t>
            </w:r>
            <w:r w:rsidRPr="0058247A" w:rsidDel="0067078D">
              <w:rPr>
                <w:rFonts w:ascii="Arial Narrow" w:hAnsi="Arial Narrow" w:cs="Times New Roman"/>
                <w:sz w:val="20"/>
                <w:szCs w:val="20"/>
              </w:rPr>
              <w:t>=</w:t>
            </w:r>
            <w:r w:rsidRPr="0058247A">
              <w:rPr>
                <w:rFonts w:ascii="Arial Narrow" w:hAnsi="Arial Narrow" w:cs="Times New Roman"/>
                <w:sz w:val="20"/>
                <w:szCs w:val="20"/>
              </w:rPr>
              <w:t xml:space="preserve"> 0.270</w:t>
            </w:r>
          </w:p>
        </w:tc>
        <w:tc>
          <w:tcPr>
            <w:tcW w:w="790" w:type="pct"/>
            <w:gridSpan w:val="2"/>
            <w:tcMar>
              <w:left w:w="40" w:type="dxa"/>
              <w:right w:w="40" w:type="dxa"/>
            </w:tcMar>
            <w:vAlign w:val="center"/>
          </w:tcPr>
          <w:p w14:paraId="3C68149B" w14:textId="45FA7FE5" w:rsidR="00387C59" w:rsidRPr="0058247A" w:rsidRDefault="00387C59" w:rsidP="005A768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c>
          <w:tcPr>
            <w:tcW w:w="856" w:type="pct"/>
            <w:gridSpan w:val="2"/>
            <w:tcMar>
              <w:left w:w="40" w:type="dxa"/>
              <w:right w:w="40" w:type="dxa"/>
            </w:tcMar>
            <w:vAlign w:val="center"/>
          </w:tcPr>
          <w:p w14:paraId="49043511" w14:textId="36094364" w:rsidR="00387C59" w:rsidRPr="0058247A" w:rsidRDefault="00387C59" w:rsidP="005A768A">
            <w:pPr>
              <w:tabs>
                <w:tab w:val="left" w:pos="2980"/>
              </w:tabs>
              <w:jc w:val="center"/>
              <w:rPr>
                <w:rFonts w:ascii="Arial Narrow" w:hAnsi="Arial Narrow" w:cs="Times New Roman"/>
                <w:sz w:val="20"/>
                <w:szCs w:val="20"/>
              </w:rPr>
            </w:pPr>
            <w:r w:rsidRPr="0058247A">
              <w:rPr>
                <w:rFonts w:ascii="Arial Narrow" w:hAnsi="Arial Narrow" w:cs="Times New Roman"/>
                <w:sz w:val="20"/>
                <w:szCs w:val="20"/>
              </w:rPr>
              <w:t>NR</w:t>
            </w:r>
          </w:p>
        </w:tc>
      </w:tr>
    </w:tbl>
    <w:p w14:paraId="0759E050" w14:textId="77777777" w:rsidR="00D30F1D" w:rsidRPr="0058247A" w:rsidRDefault="00D30F1D" w:rsidP="00D30F1D">
      <w:pPr>
        <w:pStyle w:val="FooterTableFigure"/>
        <w:rPr>
          <w:rFonts w:eastAsia="Calibri"/>
          <w:lang w:eastAsia="en-US"/>
        </w:rPr>
      </w:pPr>
      <w:r w:rsidRPr="0058247A">
        <w:rPr>
          <w:rFonts w:eastAsia="Calibri"/>
        </w:rPr>
        <w:t xml:space="preserve">Source: Table </w:t>
      </w:r>
      <w:r w:rsidRPr="0058247A">
        <w:rPr>
          <w:rFonts w:eastAsia="Calibri"/>
          <w:lang w:eastAsia="en-US"/>
        </w:rPr>
        <w:t>2.49, p183 and Table 2.50, p186 of the submission. Durie 2020.</w:t>
      </w:r>
    </w:p>
    <w:p w14:paraId="1DFF2466" w14:textId="77777777" w:rsidR="00D30F1D" w:rsidRPr="0058247A" w:rsidRDefault="00D30F1D" w:rsidP="00D30F1D">
      <w:pPr>
        <w:pStyle w:val="FooterTableFigure"/>
        <w:rPr>
          <w:rFonts w:eastAsia="Calibri"/>
          <w:lang w:eastAsia="en-US"/>
        </w:rPr>
      </w:pPr>
      <w:r w:rsidRPr="0058247A">
        <w:rPr>
          <w:rFonts w:eastAsia="Calibri"/>
          <w:lang w:eastAsia="en-US"/>
        </w:rPr>
        <w:t>BLd= bortezomib, lenalidomide, dexamethasone; Ld= lenalidomide, dexamethasone; ITT= intention to treat; CI= confidence interval; NE= not estimated; NR= not reported; PFS= progression free survival; OS= overall survival.</w:t>
      </w:r>
    </w:p>
    <w:p w14:paraId="60240D88" w14:textId="77777777" w:rsidR="00D30F1D" w:rsidRPr="0058247A" w:rsidRDefault="00D30F1D" w:rsidP="00D30F1D">
      <w:pPr>
        <w:pStyle w:val="FooterTableFigure"/>
        <w:rPr>
          <w:rFonts w:eastAsia="Calibri"/>
          <w:lang w:eastAsia="en-US"/>
        </w:rPr>
      </w:pPr>
      <w:r w:rsidRPr="0058247A">
        <w:rPr>
          <w:rFonts w:eastAsia="Calibri"/>
          <w:vertAlign w:val="superscript"/>
          <w:lang w:eastAsia="en-US"/>
        </w:rPr>
        <w:t>a</w:t>
      </w:r>
      <w:r w:rsidRPr="0058247A">
        <w:rPr>
          <w:rFonts w:eastAsia="Calibri"/>
          <w:vertAlign w:val="subscript"/>
          <w:lang w:eastAsia="en-US"/>
        </w:rPr>
        <w:t xml:space="preserve"> </w:t>
      </w:r>
      <w:r w:rsidRPr="0058247A">
        <w:rPr>
          <w:rFonts w:eastAsia="Calibri"/>
          <w:lang w:eastAsia="en-US"/>
        </w:rPr>
        <w:t>At a median follow-up of 84 months, Durie 2020 reported a HR=0.77 (95% CI= 0.52, 1.14) for the subgroup ≥65 years.</w:t>
      </w:r>
    </w:p>
    <w:p w14:paraId="62280840" w14:textId="77777777" w:rsidR="00D30F1D" w:rsidRPr="0058247A" w:rsidRDefault="00D30F1D" w:rsidP="00D30F1D">
      <w:pPr>
        <w:pStyle w:val="FooterTableFigure"/>
        <w:rPr>
          <w:rFonts w:eastAsia="Calibri"/>
          <w:lang w:eastAsia="en-US"/>
        </w:rPr>
      </w:pPr>
      <w:r w:rsidRPr="0058247A">
        <w:rPr>
          <w:rFonts w:eastAsia="Calibri"/>
          <w:lang w:eastAsia="en-US"/>
        </w:rPr>
        <w:t>Median follow-up is 55 months, 54 months for BLd and 56 months (50–70) for the Ld group</w:t>
      </w:r>
    </w:p>
    <w:p w14:paraId="34D16408" w14:textId="5CC689CF" w:rsidR="00D30F1D" w:rsidRPr="0058247A" w:rsidRDefault="00D30F1D" w:rsidP="00D30F1D">
      <w:pPr>
        <w:pStyle w:val="FooterTableFigure"/>
        <w:rPr>
          <w:rFonts w:eastAsia="Calibri"/>
          <w:lang w:eastAsia="en-US"/>
        </w:rPr>
      </w:pPr>
      <w:r w:rsidRPr="0058247A">
        <w:rPr>
          <w:rFonts w:eastAsia="Calibri"/>
          <w:lang w:eastAsia="en-US"/>
        </w:rPr>
        <w:t xml:space="preserve">Adjusted hazard ratio estimates reflect results from weighted Cox regression models where inverse-probability-of-treatment weighting was </w:t>
      </w:r>
      <w:r w:rsidR="00DC164F" w:rsidRPr="0058247A">
        <w:rPr>
          <w:rFonts w:eastAsia="Calibri"/>
          <w:lang w:eastAsia="en-US"/>
        </w:rPr>
        <w:t xml:space="preserve">used </w:t>
      </w:r>
      <w:r w:rsidRPr="0058247A">
        <w:rPr>
          <w:rFonts w:eastAsia="Calibri"/>
          <w:lang w:eastAsia="en-US"/>
        </w:rPr>
        <w:t xml:space="preserve">to balance the BLd and Ld trial groups on the following measured baseline characteristics within each age subgroup (≥65, &lt;65 years): age, sex, ISS stage, ECOG performance status score, haemoglobin (&lt;10 g/dL, &gt;= 10 g/dL), serum creatinine (&lt;2 mg/dL, &gt;= 2 mg/dL), cytogenetic risk by FISH test (high, intermediate, low, normal/missing/insufficient), and lactate dehydrogenase (&lt;190 IU/L, &gt;= 190 IU/L). Absolute standardised differences for all covariates were &lt;0.1 with </w:t>
      </w:r>
      <w:r w:rsidR="00D449C8" w:rsidRPr="00814607">
        <w:t xml:space="preserve">inverse-probability-of-treatment weighting </w:t>
      </w:r>
      <w:r w:rsidR="00D449C8">
        <w:t>(</w:t>
      </w:r>
      <w:r w:rsidRPr="0058247A">
        <w:rPr>
          <w:rFonts w:eastAsia="Calibri"/>
          <w:lang w:eastAsia="en-US"/>
        </w:rPr>
        <w:t>IPTW</w:t>
      </w:r>
      <w:r w:rsidR="00D449C8">
        <w:rPr>
          <w:rFonts w:eastAsia="Calibri"/>
          <w:lang w:eastAsia="en-US"/>
        </w:rPr>
        <w:t>)</w:t>
      </w:r>
      <w:r w:rsidRPr="0058247A">
        <w:rPr>
          <w:rFonts w:eastAsia="Calibri"/>
          <w:lang w:eastAsia="en-US"/>
        </w:rPr>
        <w:t>.</w:t>
      </w:r>
    </w:p>
    <w:p w14:paraId="2C4ADEF9" w14:textId="16A67760" w:rsidR="00D30F1D" w:rsidRPr="00A8529D" w:rsidRDefault="00D30F1D" w:rsidP="00D30F1D">
      <w:pPr>
        <w:pStyle w:val="FooterTableFigure"/>
        <w:rPr>
          <w:rFonts w:eastAsia="Calibri"/>
          <w:szCs w:val="24"/>
          <w:lang w:eastAsia="en-US"/>
        </w:rPr>
      </w:pPr>
      <w:r w:rsidRPr="0058247A">
        <w:rPr>
          <w:rFonts w:eastAsia="Calibri"/>
          <w:szCs w:val="24"/>
          <w:lang w:eastAsia="en-US"/>
        </w:rPr>
        <w:t>Bold text indicates statistically significant results.</w:t>
      </w:r>
    </w:p>
    <w:p w14:paraId="2F8C7BA4" w14:textId="207A682A" w:rsidR="00D30F1D" w:rsidRPr="0058247A" w:rsidRDefault="00D30F1D" w:rsidP="00D30F1D">
      <w:pPr>
        <w:pStyle w:val="Caption"/>
      </w:pPr>
      <w:bookmarkStart w:id="55" w:name="_Ref121321614"/>
      <w:r w:rsidRPr="0058247A">
        <w:lastRenderedPageBreak/>
        <w:t xml:space="preserve">Figure </w:t>
      </w:r>
      <w:fldSimple w:instr=" SEQ Figure \* ARABIC ">
        <w:r w:rsidR="008D65C7">
          <w:rPr>
            <w:noProof/>
          </w:rPr>
          <w:t>3</w:t>
        </w:r>
      </w:fldSimple>
      <w:bookmarkEnd w:id="55"/>
      <w:r w:rsidRPr="0058247A">
        <w:t>: Kaplan-Meier curves of progression free survival (SWOG s0777, ITT and subgroups</w:t>
      </w:r>
      <w:r w:rsidR="002F4EAF" w:rsidRPr="0058247A">
        <w:t>, primary analysis follow</w:t>
      </w:r>
      <w:r w:rsidR="00326EE3" w:rsidRPr="0058247A">
        <w:noBreakHyphen/>
      </w:r>
      <w:r w:rsidR="002F4EAF" w:rsidRPr="0058247A">
        <w:t>up 55 months</w:t>
      </w:r>
      <w:r w:rsidRPr="0058247A">
        <w:t>)</w:t>
      </w:r>
    </w:p>
    <w:p w14:paraId="3B70020B" w14:textId="77777777" w:rsidR="00D30F1D" w:rsidRPr="0058247A" w:rsidRDefault="00D30F1D" w:rsidP="00D30F1D">
      <w:pPr>
        <w:spacing w:line="360" w:lineRule="auto"/>
        <w:jc w:val="center"/>
        <w:rPr>
          <w:rFonts w:ascii="Arial" w:eastAsia="Calibri" w:hAnsi="Arial" w:cs="Times New Roman"/>
          <w:sz w:val="20"/>
          <w:szCs w:val="22"/>
          <w:lang w:eastAsia="en-US"/>
        </w:rPr>
      </w:pPr>
      <w:r w:rsidRPr="0058247A">
        <w:rPr>
          <w:rFonts w:ascii="Arial" w:eastAsia="Calibri" w:hAnsi="Arial" w:cs="Times New Roman"/>
          <w:noProof/>
          <w:sz w:val="20"/>
          <w:szCs w:val="22"/>
        </w:rPr>
        <w:drawing>
          <wp:inline distT="0" distB="0" distL="0" distR="0" wp14:anchorId="3D9E4CBE" wp14:editId="29692D06">
            <wp:extent cx="4579454" cy="2985328"/>
            <wp:effectExtent l="0" t="0" r="0" b="5715"/>
            <wp:docPr id="20" name="Picture 4" descr="Figure 3: Kaplan-Meier curves of progression free survival (SWOG s0777, ITT and subgroups, primary analysis follow up 55 months)">
              <a:extLst xmlns:a="http://schemas.openxmlformats.org/drawingml/2006/main">
                <a:ext uri="{FF2B5EF4-FFF2-40B4-BE49-F238E27FC236}">
                  <a16:creationId xmlns:a16="http://schemas.microsoft.com/office/drawing/2014/main" id="{D912EEDF-0ABB-612E-315E-D42540CC72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Figure 3: Kaplan-Meier curves of progression free survival (SWOG s0777, ITT and subgroups, primary analysis follow up 55 months)">
                      <a:extLst>
                        <a:ext uri="{FF2B5EF4-FFF2-40B4-BE49-F238E27FC236}">
                          <a16:creationId xmlns:a16="http://schemas.microsoft.com/office/drawing/2014/main" id="{D912EEDF-0ABB-612E-315E-D42540CC7281}"/>
                        </a:ext>
                      </a:extLst>
                    </pic:cNvPr>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4615526" cy="3008843"/>
                    </a:xfrm>
                    <a:prstGeom prst="rect">
                      <a:avLst/>
                    </a:prstGeom>
                  </pic:spPr>
                </pic:pic>
              </a:graphicData>
            </a:graphic>
          </wp:inline>
        </w:drawing>
      </w:r>
    </w:p>
    <w:p w14:paraId="530B3411" w14:textId="77777777" w:rsidR="00D30F1D" w:rsidRPr="0058247A" w:rsidRDefault="00D30F1D" w:rsidP="00D30F1D">
      <w:pPr>
        <w:jc w:val="left"/>
        <w:rPr>
          <w:rFonts w:ascii="Arial Narrow" w:eastAsia="Calibri" w:hAnsi="Arial Narrow" w:cs="Times New Roman"/>
          <w:sz w:val="18"/>
          <w:szCs w:val="18"/>
          <w:lang w:eastAsia="en-US"/>
        </w:rPr>
      </w:pPr>
      <w:r w:rsidRPr="0058247A">
        <w:rPr>
          <w:rFonts w:ascii="Arial Narrow" w:eastAsia="Calibri" w:hAnsi="Arial Narrow" w:cs="Times New Roman"/>
          <w:sz w:val="18"/>
          <w:szCs w:val="18"/>
          <w:lang w:eastAsia="en-US"/>
        </w:rPr>
        <w:t>Source: Figure 2.14, p184 of the submission.</w:t>
      </w:r>
    </w:p>
    <w:p w14:paraId="6FD9425F" w14:textId="77777777" w:rsidR="00D30F1D" w:rsidRPr="0058247A" w:rsidRDefault="00D30F1D" w:rsidP="00D30F1D">
      <w:pPr>
        <w:jc w:val="left"/>
        <w:rPr>
          <w:rFonts w:ascii="Arial Narrow" w:eastAsia="Calibri" w:hAnsi="Arial Narrow" w:cs="Times New Roman"/>
          <w:sz w:val="18"/>
          <w:szCs w:val="18"/>
          <w:lang w:eastAsia="en-US"/>
        </w:rPr>
      </w:pPr>
      <w:r w:rsidRPr="0058247A">
        <w:rPr>
          <w:rFonts w:ascii="Arial Narrow" w:eastAsia="Calibri" w:hAnsi="Arial Narrow" w:cs="Times New Roman"/>
          <w:sz w:val="18"/>
          <w:szCs w:val="18"/>
          <w:lang w:eastAsia="en-US"/>
        </w:rPr>
        <w:t>BLd</w:t>
      </w:r>
      <w:r w:rsidRPr="0058247A" w:rsidDel="0067078D">
        <w:rPr>
          <w:rFonts w:ascii="Arial Narrow" w:eastAsia="Calibri" w:hAnsi="Arial Narrow" w:cs="Times New Roman"/>
          <w:sz w:val="18"/>
          <w:szCs w:val="18"/>
          <w:lang w:eastAsia="en-US"/>
        </w:rPr>
        <w:t>=</w:t>
      </w:r>
      <w:r w:rsidRPr="0058247A">
        <w:rPr>
          <w:rFonts w:ascii="Arial Narrow" w:eastAsia="Calibri" w:hAnsi="Arial Narrow" w:cs="Times New Roman"/>
          <w:sz w:val="18"/>
          <w:szCs w:val="18"/>
          <w:lang w:eastAsia="en-US"/>
        </w:rPr>
        <w:t xml:space="preserve"> bortezomib, lenalidomide, dexamethasone; Ld= lenalidomide, dexamethasone; ITT</w:t>
      </w:r>
      <w:r w:rsidRPr="0058247A" w:rsidDel="0067078D">
        <w:rPr>
          <w:rFonts w:ascii="Arial Narrow" w:eastAsia="Calibri" w:hAnsi="Arial Narrow" w:cs="Times New Roman"/>
          <w:sz w:val="18"/>
          <w:szCs w:val="18"/>
          <w:lang w:eastAsia="en-US"/>
        </w:rPr>
        <w:t>=</w:t>
      </w:r>
      <w:r w:rsidRPr="0058247A">
        <w:rPr>
          <w:rFonts w:ascii="Arial Narrow" w:eastAsia="Calibri" w:hAnsi="Arial Narrow" w:cs="Times New Roman"/>
          <w:sz w:val="18"/>
          <w:szCs w:val="18"/>
          <w:lang w:eastAsia="en-US"/>
        </w:rPr>
        <w:t xml:space="preserve"> intention to treat; CI</w:t>
      </w:r>
      <w:r w:rsidRPr="0058247A" w:rsidDel="0067078D">
        <w:rPr>
          <w:rFonts w:ascii="Arial Narrow" w:eastAsia="Calibri" w:hAnsi="Arial Narrow" w:cs="Times New Roman"/>
          <w:sz w:val="18"/>
          <w:szCs w:val="18"/>
          <w:lang w:eastAsia="en-US"/>
        </w:rPr>
        <w:t>=</w:t>
      </w:r>
      <w:r w:rsidRPr="0058247A">
        <w:rPr>
          <w:rFonts w:ascii="Arial Narrow" w:eastAsia="Calibri" w:hAnsi="Arial Narrow" w:cs="Times New Roman"/>
          <w:sz w:val="18"/>
          <w:szCs w:val="18"/>
          <w:lang w:eastAsia="en-US"/>
        </w:rPr>
        <w:t xml:space="preserve"> confidence interval. </w:t>
      </w:r>
    </w:p>
    <w:p w14:paraId="7CD41A50" w14:textId="77777777" w:rsidR="00D30F1D" w:rsidRPr="0058247A" w:rsidRDefault="00D30F1D" w:rsidP="00D30F1D">
      <w:pPr>
        <w:jc w:val="left"/>
        <w:rPr>
          <w:rFonts w:ascii="Arial Narrow" w:eastAsia="Calibri" w:hAnsi="Arial Narrow" w:cs="Times New Roman"/>
          <w:sz w:val="18"/>
          <w:szCs w:val="18"/>
          <w:lang w:eastAsia="en-US"/>
        </w:rPr>
      </w:pPr>
    </w:p>
    <w:p w14:paraId="70026D2A" w14:textId="68C6C0E0" w:rsidR="00D30F1D" w:rsidRPr="0058247A" w:rsidRDefault="00D30F1D" w:rsidP="00D30F1D">
      <w:pPr>
        <w:pStyle w:val="Caption"/>
      </w:pPr>
      <w:bookmarkStart w:id="56" w:name="_Ref121321615"/>
      <w:r w:rsidRPr="0058247A">
        <w:t xml:space="preserve">Figure </w:t>
      </w:r>
      <w:fldSimple w:instr=" SEQ Figure \* ARABIC ">
        <w:r w:rsidR="008D65C7">
          <w:rPr>
            <w:noProof/>
          </w:rPr>
          <w:t>4</w:t>
        </w:r>
      </w:fldSimple>
      <w:bookmarkEnd w:id="56"/>
      <w:r w:rsidRPr="0058247A">
        <w:t>: Kaplan-Meier curves of overall survival (SWOG s0777, ITT and subgroups</w:t>
      </w:r>
      <w:r w:rsidR="002F4EAF" w:rsidRPr="0058247A">
        <w:t>, primary analysis follow-up 55 months</w:t>
      </w:r>
      <w:r w:rsidRPr="0058247A">
        <w:t>).</w:t>
      </w:r>
    </w:p>
    <w:p w14:paraId="2822D913" w14:textId="77777777" w:rsidR="00D30F1D" w:rsidRPr="0058247A" w:rsidRDefault="00D30F1D" w:rsidP="00D30F1D">
      <w:pPr>
        <w:spacing w:line="360" w:lineRule="auto"/>
        <w:jc w:val="center"/>
        <w:rPr>
          <w:rFonts w:ascii="Arial" w:eastAsia="Calibri" w:hAnsi="Arial" w:cs="Times New Roman"/>
          <w:sz w:val="20"/>
          <w:szCs w:val="22"/>
          <w:lang w:eastAsia="en-US"/>
        </w:rPr>
      </w:pPr>
      <w:r w:rsidRPr="0058247A">
        <w:rPr>
          <w:rFonts w:ascii="Arial" w:eastAsia="Calibri" w:hAnsi="Arial" w:cs="Times New Roman"/>
          <w:noProof/>
          <w:sz w:val="20"/>
          <w:szCs w:val="22"/>
        </w:rPr>
        <w:drawing>
          <wp:inline distT="0" distB="0" distL="0" distR="0" wp14:anchorId="0B38EEB3" wp14:editId="42F108AF">
            <wp:extent cx="4732515" cy="3085106"/>
            <wp:effectExtent l="0" t="0" r="0" b="1270"/>
            <wp:docPr id="12" name="Picture 6" descr="Figure 4: Kaplan-Meier curves of overall survival (SWOG s0777, ITT and subgroups, primary analysis follow-up 55 months).">
              <a:extLst xmlns:a="http://schemas.openxmlformats.org/drawingml/2006/main">
                <a:ext uri="{FF2B5EF4-FFF2-40B4-BE49-F238E27FC236}">
                  <a16:creationId xmlns:a16="http://schemas.microsoft.com/office/drawing/2014/main" id="{B539A450-A0E4-EA3B-9038-7B812D95F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Figure 4: Kaplan-Meier curves of overall survival (SWOG s0777, ITT and subgroups, primary analysis follow-up 55 months).">
                      <a:extLst>
                        <a:ext uri="{FF2B5EF4-FFF2-40B4-BE49-F238E27FC236}">
                          <a16:creationId xmlns:a16="http://schemas.microsoft.com/office/drawing/2014/main" id="{B539A450-A0E4-EA3B-9038-7B812D95FDE9}"/>
                        </a:ext>
                      </a:extLst>
                    </pic:cNvPr>
                    <pic:cNvPicPr>
                      <a:picLocks noChangeAspect="1"/>
                    </pic:cNvPicPr>
                  </pic:nvPicPr>
                  <pic:blipFill>
                    <a:blip r:embed="rId11" cstate="print">
                      <a:extLst>
                        <a:ext uri="{28A0092B-C50C-407E-A947-70E740481C1C}">
                          <a14:useLocalDpi xmlns:a14="http://schemas.microsoft.com/office/drawing/2010/main"/>
                        </a:ext>
                      </a:extLst>
                    </a:blip>
                    <a:stretch>
                      <a:fillRect/>
                    </a:stretch>
                  </pic:blipFill>
                  <pic:spPr>
                    <a:xfrm>
                      <a:off x="0" y="0"/>
                      <a:ext cx="4760379" cy="3103270"/>
                    </a:xfrm>
                    <a:prstGeom prst="rect">
                      <a:avLst/>
                    </a:prstGeom>
                  </pic:spPr>
                </pic:pic>
              </a:graphicData>
            </a:graphic>
          </wp:inline>
        </w:drawing>
      </w:r>
    </w:p>
    <w:p w14:paraId="5BEE6845" w14:textId="77777777" w:rsidR="00D30F1D" w:rsidRPr="0058247A" w:rsidRDefault="00D30F1D" w:rsidP="00D30F1D">
      <w:pPr>
        <w:pStyle w:val="TableFooter"/>
        <w:rPr>
          <w:rFonts w:eastAsia="Calibri"/>
          <w:lang w:eastAsia="en-US"/>
        </w:rPr>
      </w:pPr>
      <w:r w:rsidRPr="0058247A">
        <w:rPr>
          <w:rFonts w:eastAsia="Calibri"/>
          <w:lang w:eastAsia="en-US"/>
        </w:rPr>
        <w:t>Source: Figure 2.15, p187 of the submission.</w:t>
      </w:r>
    </w:p>
    <w:p w14:paraId="2F90ACFA" w14:textId="204132E3" w:rsidR="00D30F1D" w:rsidRPr="0088759C" w:rsidRDefault="00D30F1D" w:rsidP="0088759C">
      <w:pPr>
        <w:pStyle w:val="TableFooter"/>
        <w:spacing w:after="120"/>
        <w:rPr>
          <w:rFonts w:eastAsia="Calibri"/>
          <w:lang w:eastAsia="en-US"/>
        </w:rPr>
      </w:pPr>
      <w:r w:rsidRPr="0058247A">
        <w:rPr>
          <w:rFonts w:eastAsia="Calibri"/>
          <w:lang w:eastAsia="en-US"/>
        </w:rPr>
        <w:t>BLd</w:t>
      </w:r>
      <w:r w:rsidRPr="0058247A" w:rsidDel="0067078D">
        <w:rPr>
          <w:rFonts w:eastAsia="Calibri"/>
          <w:lang w:eastAsia="en-US"/>
        </w:rPr>
        <w:t>=</w:t>
      </w:r>
      <w:r w:rsidRPr="0058247A">
        <w:rPr>
          <w:rFonts w:eastAsia="Calibri"/>
          <w:lang w:eastAsia="en-US"/>
        </w:rPr>
        <w:t xml:space="preserve"> bortezomib, lenalidomide, dexamethasone; Ld= lenalidomide, dexamethasone; ITT</w:t>
      </w:r>
      <w:r w:rsidRPr="0058247A" w:rsidDel="0067078D">
        <w:rPr>
          <w:rFonts w:eastAsia="Calibri"/>
          <w:lang w:eastAsia="en-US"/>
        </w:rPr>
        <w:t>=</w:t>
      </w:r>
      <w:r w:rsidRPr="0058247A">
        <w:rPr>
          <w:rFonts w:eastAsia="Calibri"/>
          <w:lang w:eastAsia="en-US"/>
        </w:rPr>
        <w:t xml:space="preserve"> intention to treat.</w:t>
      </w:r>
    </w:p>
    <w:p w14:paraId="5C48BD26" w14:textId="4834857E" w:rsidR="00D30F1D" w:rsidRPr="0058247A" w:rsidRDefault="00D30F1D" w:rsidP="00D30F1D">
      <w:pPr>
        <w:pStyle w:val="3-BodyText"/>
        <w:rPr>
          <w:b/>
          <w:bCs/>
        </w:rPr>
      </w:pPr>
      <w:r w:rsidRPr="0058247A">
        <w:t xml:space="preserve">In the ITT population, the overall response rate (CR + VGPR + PR) was higher in patients treated with BLd compared to Ld (81.5% vs 71.5%). More patients treated with BLd achieved a </w:t>
      </w:r>
      <w:r w:rsidR="00337CD4" w:rsidRPr="0058247A">
        <w:t xml:space="preserve">complete response (CR) </w:t>
      </w:r>
      <w:r w:rsidRPr="0058247A">
        <w:t xml:space="preserve">compared with those treated with Ld (15.7% vs </w:t>
      </w:r>
      <w:r w:rsidRPr="0058247A">
        <w:lastRenderedPageBreak/>
        <w:t>8.4%). Consistent with the difference reported in the ITT</w:t>
      </w:r>
      <w:r w:rsidR="003D60C2" w:rsidRPr="0058247A">
        <w:t xml:space="preserve"> population</w:t>
      </w:r>
      <w:r w:rsidRPr="0058247A">
        <w:t xml:space="preserve">, patients </w:t>
      </w:r>
      <w:r w:rsidR="00622AD3" w:rsidRPr="0058247A">
        <w:t>in the subgroup aged ≥</w:t>
      </w:r>
      <w:r w:rsidR="00C54E01" w:rsidRPr="0058247A">
        <w:t xml:space="preserve"> </w:t>
      </w:r>
      <w:r w:rsidR="00622AD3" w:rsidRPr="0058247A">
        <w:t xml:space="preserve">65 years </w:t>
      </w:r>
      <w:r w:rsidRPr="0058247A">
        <w:t xml:space="preserve">receiving BLd had a higher </w:t>
      </w:r>
      <w:r w:rsidR="00F6043C" w:rsidRPr="0058247A">
        <w:t>ORR</w:t>
      </w:r>
      <w:r w:rsidRPr="0058247A">
        <w:t xml:space="preserve"> than those treated with Ld. </w:t>
      </w:r>
    </w:p>
    <w:p w14:paraId="6D8D3BD6" w14:textId="085A7596" w:rsidR="00D30F1D" w:rsidRPr="0058247A" w:rsidRDefault="00D30F1D" w:rsidP="00D30F1D">
      <w:pPr>
        <w:pStyle w:val="Caption"/>
      </w:pPr>
      <w:bookmarkStart w:id="57" w:name="_Ref121735424"/>
      <w:r w:rsidRPr="0058247A">
        <w:t xml:space="preserve">Table </w:t>
      </w:r>
      <w:fldSimple w:instr=" SEQ Table \* ARABIC ">
        <w:r w:rsidR="008D65C7">
          <w:rPr>
            <w:noProof/>
          </w:rPr>
          <w:t>7</w:t>
        </w:r>
      </w:fldSimple>
      <w:bookmarkEnd w:id="57"/>
      <w:r w:rsidRPr="0058247A">
        <w:t>: Overall response rate (SWOG s0777, ITT and subgroups</w:t>
      </w:r>
      <w:r w:rsidR="0080457C" w:rsidRPr="0058247A">
        <w:t>, primary analysis follow-up 55 months</w:t>
      </w:r>
      <w:r w:rsidRPr="0058247A">
        <w:t>)</w:t>
      </w:r>
    </w:p>
    <w:tbl>
      <w:tblPr>
        <w:tblStyle w:val="TableGrid"/>
        <w:tblW w:w="5000" w:type="pct"/>
        <w:tblLook w:val="04A0" w:firstRow="1" w:lastRow="0" w:firstColumn="1" w:lastColumn="0" w:noHBand="0" w:noVBand="1"/>
      </w:tblPr>
      <w:tblGrid>
        <w:gridCol w:w="2035"/>
        <w:gridCol w:w="841"/>
        <w:gridCol w:w="840"/>
        <w:gridCol w:w="1080"/>
        <w:gridCol w:w="842"/>
        <w:gridCol w:w="840"/>
        <w:gridCol w:w="842"/>
        <w:gridCol w:w="840"/>
        <w:gridCol w:w="857"/>
      </w:tblGrid>
      <w:tr w:rsidR="00AA51F3" w:rsidRPr="0058247A" w14:paraId="55DC54EC" w14:textId="77777777" w:rsidTr="00C54E01">
        <w:tc>
          <w:tcPr>
            <w:tcW w:w="1128" w:type="pct"/>
            <w:vMerge w:val="restart"/>
            <w:shd w:val="clear" w:color="auto" w:fill="auto"/>
            <w:vAlign w:val="center"/>
          </w:tcPr>
          <w:p w14:paraId="5E3D6332" w14:textId="77777777" w:rsidR="00AA51F3" w:rsidRPr="0058247A" w:rsidRDefault="00AA51F3" w:rsidP="00A25B4A">
            <w:pPr>
              <w:pStyle w:val="BodyText"/>
              <w:keepNext/>
              <w:rPr>
                <w:rFonts w:ascii="Arial Narrow" w:hAnsi="Arial Narrow"/>
                <w:b/>
                <w:bCs/>
                <w:sz w:val="20"/>
                <w:szCs w:val="20"/>
              </w:rPr>
            </w:pPr>
          </w:p>
        </w:tc>
        <w:tc>
          <w:tcPr>
            <w:tcW w:w="1998" w:type="pct"/>
            <w:gridSpan w:val="4"/>
            <w:shd w:val="clear" w:color="auto" w:fill="auto"/>
            <w:vAlign w:val="center"/>
          </w:tcPr>
          <w:p w14:paraId="6B16761E" w14:textId="25E713B8" w:rsidR="00AA51F3" w:rsidRPr="0058247A" w:rsidRDefault="00AA51F3" w:rsidP="00A25B4A">
            <w:pPr>
              <w:pStyle w:val="BodyText"/>
              <w:keepNext/>
              <w:jc w:val="center"/>
              <w:rPr>
                <w:rFonts w:ascii="Arial Narrow" w:hAnsi="Arial Narrow"/>
                <w:b/>
                <w:bCs/>
                <w:sz w:val="20"/>
                <w:szCs w:val="20"/>
              </w:rPr>
            </w:pPr>
            <w:r w:rsidRPr="0058247A">
              <w:rPr>
                <w:rFonts w:ascii="Arial Narrow" w:hAnsi="Arial Narrow"/>
                <w:b/>
                <w:sz w:val="20"/>
                <w:szCs w:val="20"/>
              </w:rPr>
              <w:t>ITT</w:t>
            </w:r>
          </w:p>
        </w:tc>
        <w:tc>
          <w:tcPr>
            <w:tcW w:w="933" w:type="pct"/>
            <w:gridSpan w:val="2"/>
            <w:shd w:val="clear" w:color="auto" w:fill="auto"/>
            <w:vAlign w:val="center"/>
          </w:tcPr>
          <w:p w14:paraId="27B2FE08" w14:textId="21F21AB3"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Age &lt;</w:t>
            </w:r>
            <w:r w:rsidR="00C54E01" w:rsidRPr="0058247A">
              <w:rPr>
                <w:rFonts w:ascii="Arial Narrow" w:hAnsi="Arial Narrow"/>
                <w:b/>
                <w:bCs/>
                <w:sz w:val="20"/>
                <w:szCs w:val="20"/>
              </w:rPr>
              <w:t xml:space="preserve"> </w:t>
            </w:r>
            <w:r w:rsidRPr="0058247A">
              <w:rPr>
                <w:rFonts w:ascii="Arial Narrow" w:hAnsi="Arial Narrow"/>
                <w:b/>
                <w:bCs/>
                <w:sz w:val="20"/>
                <w:szCs w:val="20"/>
              </w:rPr>
              <w:t xml:space="preserve">65 years </w:t>
            </w:r>
          </w:p>
        </w:tc>
        <w:tc>
          <w:tcPr>
            <w:tcW w:w="941" w:type="pct"/>
            <w:gridSpan w:val="2"/>
            <w:shd w:val="clear" w:color="auto" w:fill="auto"/>
            <w:vAlign w:val="center"/>
          </w:tcPr>
          <w:p w14:paraId="18C843C3" w14:textId="5FF71C64"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 xml:space="preserve">Age </w:t>
            </w:r>
            <w:r w:rsidRPr="0058247A">
              <w:rPr>
                <w:rFonts w:ascii="Arial Narrow" w:hAnsi="Arial Narrow" w:cstheme="minorHAnsi"/>
                <w:b/>
                <w:bCs/>
                <w:sz w:val="20"/>
                <w:szCs w:val="20"/>
              </w:rPr>
              <w:t>≥</w:t>
            </w:r>
            <w:r w:rsidR="00C54E01" w:rsidRPr="0058247A">
              <w:rPr>
                <w:rFonts w:ascii="Arial Narrow" w:hAnsi="Arial Narrow" w:cstheme="minorHAnsi"/>
                <w:b/>
                <w:bCs/>
                <w:sz w:val="20"/>
                <w:szCs w:val="20"/>
              </w:rPr>
              <w:t xml:space="preserve"> </w:t>
            </w:r>
            <w:r w:rsidRPr="0058247A">
              <w:rPr>
                <w:rFonts w:ascii="Arial Narrow" w:hAnsi="Arial Narrow"/>
                <w:b/>
                <w:bCs/>
                <w:sz w:val="20"/>
                <w:szCs w:val="20"/>
              </w:rPr>
              <w:t>65 years</w:t>
            </w:r>
          </w:p>
        </w:tc>
      </w:tr>
      <w:tr w:rsidR="002F02B9" w:rsidRPr="0058247A" w14:paraId="7CC0FBA1" w14:textId="77777777" w:rsidTr="00C54E01">
        <w:tc>
          <w:tcPr>
            <w:tcW w:w="1128" w:type="pct"/>
            <w:vMerge/>
            <w:shd w:val="clear" w:color="auto" w:fill="auto"/>
            <w:vAlign w:val="center"/>
          </w:tcPr>
          <w:p w14:paraId="00B2CDB6" w14:textId="77777777" w:rsidR="00AA51F3" w:rsidRPr="0058247A" w:rsidRDefault="00AA51F3" w:rsidP="00A25B4A">
            <w:pPr>
              <w:pStyle w:val="BodyText"/>
              <w:keepNext/>
              <w:rPr>
                <w:rFonts w:ascii="Arial Narrow" w:hAnsi="Arial Narrow"/>
                <w:sz w:val="20"/>
                <w:szCs w:val="20"/>
              </w:rPr>
            </w:pPr>
          </w:p>
        </w:tc>
        <w:tc>
          <w:tcPr>
            <w:tcW w:w="466" w:type="pct"/>
            <w:shd w:val="clear" w:color="auto" w:fill="auto"/>
            <w:vAlign w:val="center"/>
          </w:tcPr>
          <w:p w14:paraId="668A68C6" w14:textId="77777777"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BLd (N=242)</w:t>
            </w:r>
          </w:p>
        </w:tc>
        <w:tc>
          <w:tcPr>
            <w:tcW w:w="466" w:type="pct"/>
            <w:shd w:val="clear" w:color="auto" w:fill="auto"/>
            <w:vAlign w:val="center"/>
          </w:tcPr>
          <w:p w14:paraId="66E273D5" w14:textId="77777777"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Ld (N=229)</w:t>
            </w:r>
          </w:p>
        </w:tc>
        <w:tc>
          <w:tcPr>
            <w:tcW w:w="599" w:type="pct"/>
          </w:tcPr>
          <w:p w14:paraId="18829A02" w14:textId="43B4DEB7" w:rsidR="00AA51F3" w:rsidRPr="0058247A" w:rsidRDefault="00AA51F3" w:rsidP="00A25B4A">
            <w:pPr>
              <w:pStyle w:val="BodyText"/>
              <w:keepNext/>
              <w:jc w:val="center"/>
              <w:rPr>
                <w:rFonts w:ascii="Arial Narrow" w:hAnsi="Arial Narrow"/>
                <w:b/>
                <w:bCs/>
                <w:sz w:val="20"/>
                <w:szCs w:val="20"/>
              </w:rPr>
            </w:pPr>
            <w:r w:rsidRPr="0058247A">
              <w:rPr>
                <w:rFonts w:ascii="Arial Narrow" w:hAnsi="Arial Narrow"/>
                <w:b/>
                <w:bCs/>
                <w:sz w:val="20"/>
                <w:szCs w:val="20"/>
              </w:rPr>
              <w:t xml:space="preserve">OR </w:t>
            </w:r>
            <w:r w:rsidR="00C54E01" w:rsidRPr="0058247A">
              <w:rPr>
                <w:rFonts w:ascii="Arial Narrow" w:hAnsi="Arial Narrow"/>
                <w:b/>
                <w:bCs/>
                <w:sz w:val="20"/>
                <w:szCs w:val="20"/>
              </w:rPr>
              <w:br/>
            </w:r>
            <w:r w:rsidRPr="0058247A">
              <w:rPr>
                <w:rFonts w:ascii="Arial Narrow" w:hAnsi="Arial Narrow"/>
                <w:b/>
                <w:bCs/>
                <w:sz w:val="20"/>
                <w:szCs w:val="20"/>
              </w:rPr>
              <w:t>(95% CI)</w:t>
            </w:r>
            <w:r w:rsidR="002F02B9" w:rsidRPr="0058247A">
              <w:rPr>
                <w:rFonts w:ascii="Arial Narrow" w:hAnsi="Arial Narrow"/>
                <w:b/>
                <w:bCs/>
                <w:sz w:val="20"/>
                <w:szCs w:val="20"/>
                <w:vertAlign w:val="superscript"/>
              </w:rPr>
              <w:t>a</w:t>
            </w:r>
          </w:p>
        </w:tc>
        <w:tc>
          <w:tcPr>
            <w:tcW w:w="467" w:type="pct"/>
          </w:tcPr>
          <w:p w14:paraId="387D3471" w14:textId="259C4C55" w:rsidR="00AA51F3" w:rsidRPr="0058247A" w:rsidRDefault="002F02B9" w:rsidP="00A25B4A">
            <w:pPr>
              <w:pStyle w:val="BodyText"/>
              <w:keepNext/>
              <w:jc w:val="center"/>
              <w:rPr>
                <w:rFonts w:ascii="Arial Narrow" w:hAnsi="Arial Narrow"/>
                <w:b/>
                <w:bCs/>
                <w:sz w:val="20"/>
                <w:szCs w:val="20"/>
              </w:rPr>
            </w:pPr>
            <w:r w:rsidRPr="0058247A">
              <w:rPr>
                <w:rFonts w:ascii="Arial Narrow" w:hAnsi="Arial Narrow"/>
                <w:b/>
                <w:bCs/>
                <w:sz w:val="20"/>
                <w:szCs w:val="20"/>
              </w:rPr>
              <w:t>P-value</w:t>
            </w:r>
            <w:r w:rsidRPr="0058247A">
              <w:rPr>
                <w:rFonts w:ascii="Arial Narrow" w:hAnsi="Arial Narrow"/>
                <w:b/>
                <w:bCs/>
                <w:sz w:val="20"/>
                <w:szCs w:val="20"/>
                <w:vertAlign w:val="superscript"/>
              </w:rPr>
              <w:t>b</w:t>
            </w:r>
          </w:p>
        </w:tc>
        <w:tc>
          <w:tcPr>
            <w:tcW w:w="466" w:type="pct"/>
            <w:shd w:val="clear" w:color="auto" w:fill="auto"/>
            <w:vAlign w:val="center"/>
          </w:tcPr>
          <w:p w14:paraId="655AFA38" w14:textId="57BE3ED4"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BLd (N=149)</w:t>
            </w:r>
          </w:p>
        </w:tc>
        <w:tc>
          <w:tcPr>
            <w:tcW w:w="467" w:type="pct"/>
            <w:shd w:val="clear" w:color="auto" w:fill="auto"/>
            <w:vAlign w:val="center"/>
          </w:tcPr>
          <w:p w14:paraId="6E3E18B9" w14:textId="77777777"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Ld (N=120)</w:t>
            </w:r>
          </w:p>
        </w:tc>
        <w:tc>
          <w:tcPr>
            <w:tcW w:w="466" w:type="pct"/>
            <w:shd w:val="clear" w:color="auto" w:fill="auto"/>
            <w:vAlign w:val="center"/>
          </w:tcPr>
          <w:p w14:paraId="5F475E00" w14:textId="77777777"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BLd (N=93)</w:t>
            </w:r>
          </w:p>
        </w:tc>
        <w:tc>
          <w:tcPr>
            <w:tcW w:w="475" w:type="pct"/>
            <w:shd w:val="clear" w:color="auto" w:fill="auto"/>
            <w:vAlign w:val="center"/>
          </w:tcPr>
          <w:p w14:paraId="4FEE1C50" w14:textId="77777777" w:rsidR="00AA51F3" w:rsidRPr="0058247A" w:rsidRDefault="00AA51F3" w:rsidP="00A25B4A">
            <w:pPr>
              <w:pStyle w:val="BodyText"/>
              <w:keepNext/>
              <w:jc w:val="center"/>
              <w:rPr>
                <w:rFonts w:ascii="Arial Narrow" w:hAnsi="Arial Narrow"/>
                <w:b/>
                <w:sz w:val="20"/>
                <w:szCs w:val="20"/>
              </w:rPr>
            </w:pPr>
            <w:r w:rsidRPr="0058247A">
              <w:rPr>
                <w:rFonts w:ascii="Arial Narrow" w:hAnsi="Arial Narrow"/>
                <w:b/>
                <w:bCs/>
                <w:sz w:val="20"/>
                <w:szCs w:val="20"/>
              </w:rPr>
              <w:t xml:space="preserve">Ld (N=109) </w:t>
            </w:r>
          </w:p>
        </w:tc>
      </w:tr>
      <w:tr w:rsidR="002F02B9" w:rsidRPr="0058247A" w14:paraId="230A1A5B" w14:textId="77777777" w:rsidTr="00C54E01">
        <w:tc>
          <w:tcPr>
            <w:tcW w:w="1128" w:type="pct"/>
            <w:shd w:val="clear" w:color="auto" w:fill="auto"/>
            <w:vAlign w:val="center"/>
          </w:tcPr>
          <w:p w14:paraId="12825623" w14:textId="77777777" w:rsidR="00AA51F3" w:rsidRPr="0058247A" w:rsidRDefault="00AA51F3" w:rsidP="00A25B4A">
            <w:pPr>
              <w:pStyle w:val="BodyText"/>
              <w:keepNext/>
              <w:rPr>
                <w:rFonts w:ascii="Arial Narrow" w:hAnsi="Arial Narrow"/>
                <w:sz w:val="20"/>
                <w:szCs w:val="20"/>
              </w:rPr>
            </w:pPr>
            <w:r w:rsidRPr="0058247A">
              <w:rPr>
                <w:rFonts w:ascii="Arial Narrow" w:hAnsi="Arial Narrow"/>
                <w:sz w:val="20"/>
                <w:szCs w:val="20"/>
              </w:rPr>
              <w:t>Data missing</w:t>
            </w:r>
          </w:p>
        </w:tc>
        <w:tc>
          <w:tcPr>
            <w:tcW w:w="466" w:type="pct"/>
            <w:shd w:val="clear" w:color="auto" w:fill="auto"/>
            <w:vAlign w:val="center"/>
          </w:tcPr>
          <w:p w14:paraId="2D2F3FED" w14:textId="77777777" w:rsidR="00AA51F3" w:rsidRPr="0058247A" w:rsidRDefault="00AA51F3" w:rsidP="00A25B4A">
            <w:pPr>
              <w:pStyle w:val="BodyText"/>
              <w:keepNext/>
              <w:jc w:val="center"/>
              <w:rPr>
                <w:rFonts w:ascii="Arial Narrow" w:hAnsi="Arial Narrow"/>
                <w:sz w:val="20"/>
                <w:szCs w:val="20"/>
              </w:rPr>
            </w:pPr>
            <w:r w:rsidRPr="0058247A">
              <w:rPr>
                <w:rFonts w:ascii="Arial Narrow" w:hAnsi="Arial Narrow"/>
                <w:sz w:val="20"/>
                <w:szCs w:val="20"/>
              </w:rPr>
              <w:t>26 (10.7%)</w:t>
            </w:r>
          </w:p>
        </w:tc>
        <w:tc>
          <w:tcPr>
            <w:tcW w:w="466" w:type="pct"/>
            <w:shd w:val="clear" w:color="auto" w:fill="auto"/>
            <w:vAlign w:val="center"/>
          </w:tcPr>
          <w:p w14:paraId="08B43E51" w14:textId="77777777" w:rsidR="00AA51F3" w:rsidRPr="0058247A" w:rsidRDefault="00AA51F3" w:rsidP="00A25B4A">
            <w:pPr>
              <w:pStyle w:val="BodyText"/>
              <w:keepNext/>
              <w:jc w:val="center"/>
              <w:rPr>
                <w:rFonts w:ascii="Arial Narrow" w:hAnsi="Arial Narrow"/>
                <w:sz w:val="20"/>
                <w:szCs w:val="20"/>
              </w:rPr>
            </w:pPr>
            <w:r w:rsidRPr="0058247A">
              <w:rPr>
                <w:rFonts w:ascii="Arial Narrow" w:hAnsi="Arial Narrow"/>
                <w:sz w:val="20"/>
                <w:szCs w:val="20"/>
              </w:rPr>
              <w:t>15 (6.6%)</w:t>
            </w:r>
          </w:p>
        </w:tc>
        <w:tc>
          <w:tcPr>
            <w:tcW w:w="599" w:type="pct"/>
          </w:tcPr>
          <w:p w14:paraId="05C76D64" w14:textId="055D85FE" w:rsidR="00AA51F3" w:rsidRPr="0058247A" w:rsidRDefault="00B977D2" w:rsidP="00A25B4A">
            <w:pPr>
              <w:pStyle w:val="BodyText"/>
              <w:keepNext/>
              <w:jc w:val="center"/>
              <w:rPr>
                <w:rFonts w:ascii="Arial Narrow" w:hAnsi="Arial Narrow"/>
                <w:sz w:val="20"/>
                <w:szCs w:val="20"/>
              </w:rPr>
            </w:pPr>
            <w:r w:rsidRPr="0058247A">
              <w:rPr>
                <w:rFonts w:ascii="Arial Narrow" w:hAnsi="Arial Narrow"/>
                <w:sz w:val="20"/>
                <w:szCs w:val="20"/>
              </w:rPr>
              <w:t>-</w:t>
            </w:r>
          </w:p>
        </w:tc>
        <w:tc>
          <w:tcPr>
            <w:tcW w:w="467" w:type="pct"/>
          </w:tcPr>
          <w:p w14:paraId="73E73514" w14:textId="6FEA16FF" w:rsidR="00AA51F3" w:rsidRPr="0058247A" w:rsidRDefault="00B977D2" w:rsidP="00A25B4A">
            <w:pPr>
              <w:pStyle w:val="BodyText"/>
              <w:keepNext/>
              <w:jc w:val="center"/>
              <w:rPr>
                <w:rFonts w:ascii="Arial Narrow" w:hAnsi="Arial Narrow"/>
                <w:sz w:val="20"/>
                <w:szCs w:val="20"/>
              </w:rPr>
            </w:pPr>
            <w:r w:rsidRPr="0058247A">
              <w:rPr>
                <w:rFonts w:ascii="Arial Narrow" w:hAnsi="Arial Narrow"/>
                <w:sz w:val="20"/>
                <w:szCs w:val="20"/>
              </w:rPr>
              <w:t>-</w:t>
            </w:r>
          </w:p>
        </w:tc>
        <w:tc>
          <w:tcPr>
            <w:tcW w:w="466" w:type="pct"/>
            <w:shd w:val="clear" w:color="auto" w:fill="auto"/>
            <w:vAlign w:val="center"/>
          </w:tcPr>
          <w:p w14:paraId="4EBC3F23" w14:textId="0CD0DB64" w:rsidR="00AA51F3" w:rsidRPr="0058247A" w:rsidRDefault="00AA51F3" w:rsidP="00A25B4A">
            <w:pPr>
              <w:pStyle w:val="BodyText"/>
              <w:keepNext/>
              <w:jc w:val="center"/>
              <w:rPr>
                <w:rFonts w:ascii="Arial Narrow" w:hAnsi="Arial Narrow"/>
                <w:sz w:val="20"/>
                <w:szCs w:val="20"/>
              </w:rPr>
            </w:pPr>
            <w:r w:rsidRPr="0058247A">
              <w:rPr>
                <w:rFonts w:ascii="Arial Narrow" w:hAnsi="Arial Narrow"/>
                <w:sz w:val="20"/>
                <w:szCs w:val="20"/>
              </w:rPr>
              <w:t xml:space="preserve">14 </w:t>
            </w:r>
            <w:r w:rsidR="00C54E01" w:rsidRPr="0058247A">
              <w:rPr>
                <w:rFonts w:ascii="Arial Narrow" w:hAnsi="Arial Narrow"/>
                <w:sz w:val="20"/>
                <w:szCs w:val="20"/>
              </w:rPr>
              <w:br/>
            </w:r>
            <w:r w:rsidRPr="0058247A">
              <w:rPr>
                <w:rFonts w:ascii="Arial Narrow" w:hAnsi="Arial Narrow"/>
                <w:sz w:val="20"/>
                <w:szCs w:val="20"/>
              </w:rPr>
              <w:t>(9.4%)</w:t>
            </w:r>
          </w:p>
        </w:tc>
        <w:tc>
          <w:tcPr>
            <w:tcW w:w="467" w:type="pct"/>
            <w:shd w:val="clear" w:color="auto" w:fill="auto"/>
            <w:vAlign w:val="center"/>
          </w:tcPr>
          <w:p w14:paraId="26CF0931" w14:textId="437D34B0" w:rsidR="00AA51F3" w:rsidRPr="0058247A" w:rsidRDefault="00AA51F3" w:rsidP="00A25B4A">
            <w:pPr>
              <w:pStyle w:val="BodyText"/>
              <w:keepNext/>
              <w:jc w:val="center"/>
              <w:rPr>
                <w:rFonts w:ascii="Arial Narrow" w:hAnsi="Arial Narrow"/>
                <w:sz w:val="20"/>
                <w:szCs w:val="20"/>
              </w:rPr>
            </w:pPr>
            <w:r w:rsidRPr="0058247A">
              <w:rPr>
                <w:rFonts w:ascii="Arial Narrow" w:hAnsi="Arial Narrow"/>
                <w:sz w:val="20"/>
                <w:szCs w:val="20"/>
              </w:rPr>
              <w:t xml:space="preserve">9 </w:t>
            </w:r>
            <w:r w:rsidR="00C54E01" w:rsidRPr="0058247A">
              <w:rPr>
                <w:rFonts w:ascii="Arial Narrow" w:hAnsi="Arial Narrow"/>
                <w:sz w:val="20"/>
                <w:szCs w:val="20"/>
              </w:rPr>
              <w:br/>
            </w:r>
            <w:r w:rsidRPr="0058247A">
              <w:rPr>
                <w:rFonts w:ascii="Arial Narrow" w:hAnsi="Arial Narrow"/>
                <w:sz w:val="20"/>
                <w:szCs w:val="20"/>
              </w:rPr>
              <w:t>(7.5%)</w:t>
            </w:r>
          </w:p>
        </w:tc>
        <w:tc>
          <w:tcPr>
            <w:tcW w:w="466" w:type="pct"/>
            <w:shd w:val="clear" w:color="auto" w:fill="auto"/>
            <w:vAlign w:val="center"/>
          </w:tcPr>
          <w:p w14:paraId="6FA070B8" w14:textId="77777777" w:rsidR="00AA51F3" w:rsidRPr="0058247A" w:rsidRDefault="00AA51F3" w:rsidP="00A25B4A">
            <w:pPr>
              <w:pStyle w:val="BodyText"/>
              <w:keepNext/>
              <w:jc w:val="center"/>
              <w:rPr>
                <w:rFonts w:ascii="Arial Narrow" w:hAnsi="Arial Narrow"/>
                <w:sz w:val="20"/>
                <w:szCs w:val="20"/>
              </w:rPr>
            </w:pPr>
            <w:r w:rsidRPr="0058247A">
              <w:rPr>
                <w:rFonts w:ascii="Arial Narrow" w:hAnsi="Arial Narrow"/>
                <w:sz w:val="20"/>
                <w:szCs w:val="20"/>
              </w:rPr>
              <w:t>12 (12.9%)</w:t>
            </w:r>
          </w:p>
        </w:tc>
        <w:tc>
          <w:tcPr>
            <w:tcW w:w="475" w:type="pct"/>
            <w:shd w:val="clear" w:color="auto" w:fill="auto"/>
            <w:vAlign w:val="center"/>
          </w:tcPr>
          <w:p w14:paraId="79112D77" w14:textId="355B27F8" w:rsidR="00AA51F3" w:rsidRPr="0058247A" w:rsidRDefault="00AA51F3" w:rsidP="00A25B4A">
            <w:pPr>
              <w:pStyle w:val="BodyText"/>
              <w:keepNext/>
              <w:jc w:val="center"/>
              <w:rPr>
                <w:rFonts w:ascii="Arial Narrow" w:hAnsi="Arial Narrow"/>
                <w:sz w:val="20"/>
                <w:szCs w:val="20"/>
              </w:rPr>
            </w:pPr>
            <w:r w:rsidRPr="0058247A">
              <w:rPr>
                <w:rFonts w:ascii="Arial Narrow" w:hAnsi="Arial Narrow"/>
                <w:sz w:val="20"/>
                <w:szCs w:val="20"/>
              </w:rPr>
              <w:t xml:space="preserve">6 </w:t>
            </w:r>
            <w:r w:rsidR="00C54E01" w:rsidRPr="0058247A">
              <w:rPr>
                <w:rFonts w:ascii="Arial Narrow" w:hAnsi="Arial Narrow"/>
                <w:sz w:val="20"/>
                <w:szCs w:val="20"/>
              </w:rPr>
              <w:br/>
            </w:r>
            <w:r w:rsidRPr="0058247A">
              <w:rPr>
                <w:rFonts w:ascii="Arial Narrow" w:hAnsi="Arial Narrow"/>
                <w:sz w:val="20"/>
                <w:szCs w:val="20"/>
              </w:rPr>
              <w:t>(5.5%)</w:t>
            </w:r>
          </w:p>
        </w:tc>
      </w:tr>
      <w:tr w:rsidR="002F02B9" w:rsidRPr="0058247A" w14:paraId="3B37FA33" w14:textId="77777777" w:rsidTr="002F02B9">
        <w:tc>
          <w:tcPr>
            <w:tcW w:w="5000" w:type="pct"/>
            <w:gridSpan w:val="9"/>
          </w:tcPr>
          <w:p w14:paraId="55A1CCBB" w14:textId="18E94666" w:rsidR="002F02B9" w:rsidRPr="0058247A" w:rsidRDefault="002F02B9" w:rsidP="00A25B4A">
            <w:pPr>
              <w:pStyle w:val="BodyText"/>
              <w:keepNext/>
              <w:rPr>
                <w:rFonts w:ascii="Arial Narrow" w:hAnsi="Arial Narrow"/>
                <w:sz w:val="20"/>
                <w:szCs w:val="20"/>
              </w:rPr>
            </w:pPr>
            <w:r w:rsidRPr="0058247A">
              <w:rPr>
                <w:rFonts w:ascii="Arial Narrow" w:hAnsi="Arial Narrow"/>
                <w:sz w:val="20"/>
                <w:szCs w:val="20"/>
              </w:rPr>
              <w:t>Response category, n (%)</w:t>
            </w:r>
          </w:p>
        </w:tc>
      </w:tr>
      <w:tr w:rsidR="002F02B9" w:rsidRPr="0058247A" w14:paraId="09397DC2" w14:textId="77777777" w:rsidTr="00C54E01">
        <w:tc>
          <w:tcPr>
            <w:tcW w:w="1128" w:type="pct"/>
            <w:shd w:val="clear" w:color="auto" w:fill="auto"/>
            <w:vAlign w:val="center"/>
          </w:tcPr>
          <w:p w14:paraId="6D864F51" w14:textId="1EC5E6DB" w:rsidR="00AA51F3" w:rsidRPr="0058247A" w:rsidRDefault="00AA51F3" w:rsidP="00C54E01">
            <w:pPr>
              <w:pStyle w:val="BodyText"/>
              <w:keepNext/>
              <w:ind w:left="170"/>
              <w:rPr>
                <w:rFonts w:ascii="Arial Narrow" w:hAnsi="Arial Narrow"/>
                <w:sz w:val="20"/>
                <w:szCs w:val="20"/>
              </w:rPr>
            </w:pPr>
            <w:r w:rsidRPr="0058247A">
              <w:rPr>
                <w:rFonts w:ascii="Arial Narrow" w:hAnsi="Arial Narrow"/>
                <w:sz w:val="20"/>
                <w:szCs w:val="20"/>
              </w:rPr>
              <w:t>CR</w:t>
            </w:r>
          </w:p>
        </w:tc>
        <w:tc>
          <w:tcPr>
            <w:tcW w:w="466" w:type="pct"/>
            <w:shd w:val="clear" w:color="auto" w:fill="auto"/>
            <w:vAlign w:val="center"/>
          </w:tcPr>
          <w:p w14:paraId="549DB9A1" w14:textId="2609209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34 (15.7%)</w:t>
            </w:r>
          </w:p>
        </w:tc>
        <w:tc>
          <w:tcPr>
            <w:tcW w:w="466" w:type="pct"/>
            <w:shd w:val="clear" w:color="auto" w:fill="auto"/>
            <w:vAlign w:val="center"/>
          </w:tcPr>
          <w:p w14:paraId="41E74236"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18 (8.4%)</w:t>
            </w:r>
          </w:p>
        </w:tc>
        <w:tc>
          <w:tcPr>
            <w:tcW w:w="599" w:type="pct"/>
            <w:vAlign w:val="center"/>
          </w:tcPr>
          <w:p w14:paraId="5FE3DA99" w14:textId="77777777" w:rsidR="00AA51F3" w:rsidRPr="0058247A" w:rsidRDefault="00AA51F3" w:rsidP="00C54E01">
            <w:pPr>
              <w:jc w:val="center"/>
              <w:rPr>
                <w:rFonts w:ascii="Arial Narrow" w:hAnsi="Arial Narrow"/>
                <w:b/>
                <w:bCs/>
                <w:sz w:val="20"/>
                <w:szCs w:val="20"/>
              </w:rPr>
            </w:pPr>
            <w:r w:rsidRPr="0058247A">
              <w:rPr>
                <w:rFonts w:ascii="Arial Narrow" w:hAnsi="Arial Narrow"/>
                <w:b/>
                <w:bCs/>
                <w:sz w:val="20"/>
                <w:szCs w:val="20"/>
              </w:rPr>
              <w:t>2.03</w:t>
            </w:r>
          </w:p>
          <w:p w14:paraId="4345F646" w14:textId="77777777" w:rsidR="00AA51F3" w:rsidRPr="0058247A" w:rsidRDefault="00AA51F3" w:rsidP="00C54E01">
            <w:pPr>
              <w:jc w:val="center"/>
              <w:rPr>
                <w:rFonts w:ascii="Arial Narrow" w:hAnsi="Arial Narrow"/>
                <w:sz w:val="20"/>
                <w:szCs w:val="20"/>
              </w:rPr>
            </w:pPr>
            <w:r w:rsidRPr="0058247A">
              <w:rPr>
                <w:rFonts w:ascii="Arial Narrow" w:hAnsi="Arial Narrow"/>
                <w:b/>
                <w:bCs/>
                <w:sz w:val="20"/>
                <w:szCs w:val="20"/>
              </w:rPr>
              <w:t>(1.11, 3.72)</w:t>
            </w:r>
          </w:p>
        </w:tc>
        <w:tc>
          <w:tcPr>
            <w:tcW w:w="467" w:type="pct"/>
            <w:vAlign w:val="center"/>
          </w:tcPr>
          <w:p w14:paraId="08A0B1C3" w14:textId="24243BFA" w:rsidR="00AA51F3" w:rsidRPr="0058247A" w:rsidRDefault="002F02B9" w:rsidP="00C54E01">
            <w:pPr>
              <w:pStyle w:val="BodyText"/>
              <w:keepNext/>
              <w:jc w:val="center"/>
              <w:rPr>
                <w:rFonts w:ascii="Arial Narrow" w:hAnsi="Arial Narrow"/>
                <w:b/>
                <w:bCs/>
                <w:sz w:val="20"/>
                <w:szCs w:val="20"/>
              </w:rPr>
            </w:pPr>
            <w:r w:rsidRPr="0058247A">
              <w:rPr>
                <w:rFonts w:ascii="Arial Narrow" w:hAnsi="Arial Narrow"/>
                <w:b/>
                <w:bCs/>
                <w:sz w:val="20"/>
                <w:szCs w:val="20"/>
              </w:rPr>
              <w:t>0.02</w:t>
            </w:r>
          </w:p>
        </w:tc>
        <w:tc>
          <w:tcPr>
            <w:tcW w:w="466" w:type="pct"/>
            <w:shd w:val="clear" w:color="auto" w:fill="auto"/>
            <w:vAlign w:val="center"/>
          </w:tcPr>
          <w:p w14:paraId="6E05BB56" w14:textId="0B38444B"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14.0%</w:t>
            </w:r>
          </w:p>
        </w:tc>
        <w:tc>
          <w:tcPr>
            <w:tcW w:w="467" w:type="pct"/>
            <w:shd w:val="clear" w:color="auto" w:fill="auto"/>
            <w:vAlign w:val="center"/>
          </w:tcPr>
          <w:p w14:paraId="6CF0BF43"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11.0%</w:t>
            </w:r>
          </w:p>
        </w:tc>
        <w:tc>
          <w:tcPr>
            <w:tcW w:w="466" w:type="pct"/>
            <w:shd w:val="clear" w:color="auto" w:fill="auto"/>
            <w:vAlign w:val="center"/>
          </w:tcPr>
          <w:p w14:paraId="6AE65244"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19.0%</w:t>
            </w:r>
          </w:p>
        </w:tc>
        <w:tc>
          <w:tcPr>
            <w:tcW w:w="475" w:type="pct"/>
            <w:shd w:val="clear" w:color="auto" w:fill="auto"/>
            <w:vAlign w:val="center"/>
          </w:tcPr>
          <w:p w14:paraId="20EEEE52"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6.0%</w:t>
            </w:r>
          </w:p>
        </w:tc>
      </w:tr>
      <w:tr w:rsidR="002F02B9" w:rsidRPr="0058247A" w14:paraId="75217782" w14:textId="77777777" w:rsidTr="00C54E01">
        <w:tc>
          <w:tcPr>
            <w:tcW w:w="1128" w:type="pct"/>
            <w:shd w:val="clear" w:color="auto" w:fill="auto"/>
            <w:vAlign w:val="center"/>
          </w:tcPr>
          <w:p w14:paraId="7D9A3744" w14:textId="1B820690" w:rsidR="00AA51F3" w:rsidRPr="0058247A" w:rsidRDefault="00AA51F3" w:rsidP="00C54E01">
            <w:pPr>
              <w:pStyle w:val="BodyText"/>
              <w:keepNext/>
              <w:ind w:left="170"/>
              <w:rPr>
                <w:rFonts w:ascii="Arial Narrow" w:hAnsi="Arial Narrow"/>
                <w:sz w:val="20"/>
                <w:szCs w:val="20"/>
              </w:rPr>
            </w:pPr>
            <w:r w:rsidRPr="0058247A">
              <w:rPr>
                <w:rFonts w:ascii="Arial Narrow" w:hAnsi="Arial Narrow"/>
                <w:sz w:val="20"/>
                <w:szCs w:val="20"/>
              </w:rPr>
              <w:t>VGPR</w:t>
            </w:r>
          </w:p>
        </w:tc>
        <w:tc>
          <w:tcPr>
            <w:tcW w:w="466" w:type="pct"/>
            <w:shd w:val="clear" w:color="auto" w:fill="auto"/>
            <w:vAlign w:val="center"/>
          </w:tcPr>
          <w:p w14:paraId="204729F6" w14:textId="473408C9"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60 (27.8%)</w:t>
            </w:r>
          </w:p>
        </w:tc>
        <w:tc>
          <w:tcPr>
            <w:tcW w:w="466" w:type="pct"/>
            <w:shd w:val="clear" w:color="auto" w:fill="auto"/>
            <w:vAlign w:val="center"/>
          </w:tcPr>
          <w:p w14:paraId="65217863"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50 (23.4%)</w:t>
            </w:r>
          </w:p>
        </w:tc>
        <w:tc>
          <w:tcPr>
            <w:tcW w:w="599" w:type="pct"/>
            <w:vAlign w:val="center"/>
          </w:tcPr>
          <w:p w14:paraId="50146CBE" w14:textId="77777777" w:rsidR="00AA51F3" w:rsidRPr="0058247A" w:rsidRDefault="00AA51F3" w:rsidP="00C54E01">
            <w:pPr>
              <w:jc w:val="center"/>
              <w:rPr>
                <w:rFonts w:ascii="Arial Narrow" w:hAnsi="Arial Narrow"/>
                <w:sz w:val="20"/>
                <w:szCs w:val="20"/>
              </w:rPr>
            </w:pPr>
            <w:r w:rsidRPr="0058247A">
              <w:rPr>
                <w:rFonts w:ascii="Arial Narrow" w:hAnsi="Arial Narrow"/>
                <w:sz w:val="20"/>
                <w:szCs w:val="20"/>
              </w:rPr>
              <w:t>1.26</w:t>
            </w:r>
          </w:p>
          <w:p w14:paraId="3A9C9BC0" w14:textId="77777777" w:rsidR="00AA51F3" w:rsidRPr="0058247A" w:rsidRDefault="00AA51F3" w:rsidP="00C54E01">
            <w:pPr>
              <w:jc w:val="center"/>
              <w:rPr>
                <w:rFonts w:ascii="Arial Narrow" w:hAnsi="Arial Narrow"/>
                <w:sz w:val="20"/>
                <w:szCs w:val="20"/>
              </w:rPr>
            </w:pPr>
            <w:r w:rsidRPr="0058247A">
              <w:rPr>
                <w:rFonts w:ascii="Arial Narrow" w:hAnsi="Arial Narrow"/>
                <w:sz w:val="20"/>
                <w:szCs w:val="20"/>
              </w:rPr>
              <w:t>(0.82, 1.95)</w:t>
            </w:r>
          </w:p>
        </w:tc>
        <w:tc>
          <w:tcPr>
            <w:tcW w:w="467" w:type="pct"/>
            <w:vAlign w:val="center"/>
          </w:tcPr>
          <w:p w14:paraId="2C75701B" w14:textId="7DBE7F09"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250FEFB7" w14:textId="17D04861"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25.0%</w:t>
            </w:r>
          </w:p>
        </w:tc>
        <w:tc>
          <w:tcPr>
            <w:tcW w:w="467" w:type="pct"/>
            <w:shd w:val="clear" w:color="auto" w:fill="auto"/>
            <w:vAlign w:val="center"/>
          </w:tcPr>
          <w:p w14:paraId="6F6C0696"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23.0%</w:t>
            </w:r>
          </w:p>
        </w:tc>
        <w:tc>
          <w:tcPr>
            <w:tcW w:w="466" w:type="pct"/>
            <w:shd w:val="clear" w:color="auto" w:fill="auto"/>
            <w:vAlign w:val="center"/>
          </w:tcPr>
          <w:p w14:paraId="1E4590CB"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32.0%</w:t>
            </w:r>
          </w:p>
        </w:tc>
        <w:tc>
          <w:tcPr>
            <w:tcW w:w="475" w:type="pct"/>
            <w:shd w:val="clear" w:color="auto" w:fill="auto"/>
            <w:vAlign w:val="center"/>
          </w:tcPr>
          <w:p w14:paraId="6DD08F97"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23.0%</w:t>
            </w:r>
          </w:p>
        </w:tc>
      </w:tr>
      <w:tr w:rsidR="002F02B9" w:rsidRPr="0058247A" w14:paraId="71844965" w14:textId="77777777" w:rsidTr="00C54E01">
        <w:tc>
          <w:tcPr>
            <w:tcW w:w="1128" w:type="pct"/>
            <w:shd w:val="clear" w:color="auto" w:fill="auto"/>
            <w:vAlign w:val="center"/>
          </w:tcPr>
          <w:p w14:paraId="1FF2A68C" w14:textId="21C1349F" w:rsidR="00AA51F3" w:rsidRPr="0058247A" w:rsidRDefault="00AA51F3" w:rsidP="00C54E01">
            <w:pPr>
              <w:pStyle w:val="BodyText"/>
              <w:keepNext/>
              <w:ind w:left="170"/>
              <w:rPr>
                <w:rFonts w:ascii="Arial Narrow" w:hAnsi="Arial Narrow"/>
                <w:sz w:val="20"/>
                <w:szCs w:val="20"/>
              </w:rPr>
            </w:pPr>
            <w:r w:rsidRPr="0058247A">
              <w:rPr>
                <w:rFonts w:ascii="Arial Narrow" w:hAnsi="Arial Narrow"/>
                <w:sz w:val="20"/>
                <w:szCs w:val="20"/>
              </w:rPr>
              <w:t>PR</w:t>
            </w:r>
          </w:p>
        </w:tc>
        <w:tc>
          <w:tcPr>
            <w:tcW w:w="466" w:type="pct"/>
            <w:shd w:val="clear" w:color="auto" w:fill="auto"/>
            <w:vAlign w:val="center"/>
          </w:tcPr>
          <w:p w14:paraId="3AEC0720" w14:textId="3241EF3F"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82 (38.0%)</w:t>
            </w:r>
          </w:p>
        </w:tc>
        <w:tc>
          <w:tcPr>
            <w:tcW w:w="466" w:type="pct"/>
            <w:shd w:val="clear" w:color="auto" w:fill="auto"/>
            <w:vAlign w:val="center"/>
          </w:tcPr>
          <w:p w14:paraId="0BDA2E4B"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85 (39.7%)</w:t>
            </w:r>
          </w:p>
        </w:tc>
        <w:tc>
          <w:tcPr>
            <w:tcW w:w="599" w:type="pct"/>
            <w:vAlign w:val="center"/>
          </w:tcPr>
          <w:p w14:paraId="4C2EBAA7" w14:textId="77777777" w:rsidR="00AA51F3" w:rsidRPr="0058247A" w:rsidRDefault="00AA51F3" w:rsidP="00C54E01">
            <w:pPr>
              <w:jc w:val="center"/>
              <w:rPr>
                <w:rFonts w:ascii="Arial Narrow" w:hAnsi="Arial Narrow"/>
                <w:sz w:val="20"/>
                <w:szCs w:val="20"/>
              </w:rPr>
            </w:pPr>
            <w:r w:rsidRPr="0058247A">
              <w:rPr>
                <w:rFonts w:ascii="Arial Narrow" w:hAnsi="Arial Narrow"/>
                <w:sz w:val="20"/>
                <w:szCs w:val="20"/>
              </w:rPr>
              <w:t>0.93</w:t>
            </w:r>
          </w:p>
          <w:p w14:paraId="37BB767B" w14:textId="77777777" w:rsidR="00AA51F3" w:rsidRPr="0058247A" w:rsidRDefault="00AA51F3" w:rsidP="00C54E01">
            <w:pPr>
              <w:jc w:val="center"/>
              <w:rPr>
                <w:rFonts w:ascii="Arial Narrow" w:hAnsi="Arial Narrow"/>
                <w:sz w:val="20"/>
                <w:szCs w:val="20"/>
              </w:rPr>
            </w:pPr>
            <w:r w:rsidRPr="0058247A">
              <w:rPr>
                <w:rFonts w:ascii="Arial Narrow" w:hAnsi="Arial Narrow"/>
                <w:sz w:val="20"/>
                <w:szCs w:val="20"/>
              </w:rPr>
              <w:t>(0.63, 1.37)</w:t>
            </w:r>
          </w:p>
        </w:tc>
        <w:tc>
          <w:tcPr>
            <w:tcW w:w="467" w:type="pct"/>
            <w:vAlign w:val="center"/>
          </w:tcPr>
          <w:p w14:paraId="1AB39AF1" w14:textId="61024EC2"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2DBD100C" w14:textId="305A7E7F"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43.0%</w:t>
            </w:r>
          </w:p>
        </w:tc>
        <w:tc>
          <w:tcPr>
            <w:tcW w:w="467" w:type="pct"/>
            <w:shd w:val="clear" w:color="auto" w:fill="auto"/>
            <w:vAlign w:val="center"/>
          </w:tcPr>
          <w:p w14:paraId="491D5B26"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34.0%</w:t>
            </w:r>
          </w:p>
        </w:tc>
        <w:tc>
          <w:tcPr>
            <w:tcW w:w="466" w:type="pct"/>
            <w:shd w:val="clear" w:color="auto" w:fill="auto"/>
            <w:vAlign w:val="center"/>
          </w:tcPr>
          <w:p w14:paraId="063EA2E4"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29.0%</w:t>
            </w:r>
          </w:p>
        </w:tc>
        <w:tc>
          <w:tcPr>
            <w:tcW w:w="475" w:type="pct"/>
            <w:shd w:val="clear" w:color="auto" w:fill="auto"/>
            <w:vAlign w:val="center"/>
          </w:tcPr>
          <w:p w14:paraId="2BFBAF64"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47.0%</w:t>
            </w:r>
          </w:p>
        </w:tc>
      </w:tr>
      <w:tr w:rsidR="002F02B9" w:rsidRPr="0058247A" w14:paraId="4752B647" w14:textId="77777777" w:rsidTr="00C54E01">
        <w:tc>
          <w:tcPr>
            <w:tcW w:w="1128" w:type="pct"/>
            <w:shd w:val="clear" w:color="auto" w:fill="auto"/>
            <w:vAlign w:val="center"/>
          </w:tcPr>
          <w:p w14:paraId="7B009F20" w14:textId="56AB301A" w:rsidR="00AA51F3" w:rsidRPr="0058247A" w:rsidRDefault="00AA51F3" w:rsidP="00C54E01">
            <w:pPr>
              <w:pStyle w:val="BodyText"/>
              <w:keepNext/>
              <w:ind w:left="170"/>
              <w:rPr>
                <w:rFonts w:ascii="Arial Narrow" w:hAnsi="Arial Narrow"/>
                <w:sz w:val="20"/>
                <w:szCs w:val="20"/>
              </w:rPr>
            </w:pPr>
            <w:r w:rsidRPr="0058247A">
              <w:rPr>
                <w:rFonts w:ascii="Arial Narrow" w:hAnsi="Arial Narrow"/>
                <w:sz w:val="20"/>
                <w:szCs w:val="20"/>
              </w:rPr>
              <w:t>SD</w:t>
            </w:r>
          </w:p>
        </w:tc>
        <w:tc>
          <w:tcPr>
            <w:tcW w:w="466" w:type="pct"/>
            <w:shd w:val="clear" w:color="auto" w:fill="auto"/>
            <w:vAlign w:val="center"/>
          </w:tcPr>
          <w:p w14:paraId="61E57D24" w14:textId="268410C4"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34 (15.7%)</w:t>
            </w:r>
          </w:p>
        </w:tc>
        <w:tc>
          <w:tcPr>
            <w:tcW w:w="466" w:type="pct"/>
            <w:shd w:val="clear" w:color="auto" w:fill="auto"/>
            <w:vAlign w:val="center"/>
          </w:tcPr>
          <w:p w14:paraId="3BFECB49"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52 (24.3%)</w:t>
            </w:r>
          </w:p>
        </w:tc>
        <w:tc>
          <w:tcPr>
            <w:tcW w:w="599" w:type="pct"/>
            <w:vAlign w:val="center"/>
          </w:tcPr>
          <w:p w14:paraId="38C97700" w14:textId="77777777" w:rsidR="00AA51F3" w:rsidRPr="0058247A" w:rsidRDefault="00AA51F3" w:rsidP="00C54E01">
            <w:pPr>
              <w:jc w:val="center"/>
              <w:rPr>
                <w:rFonts w:ascii="Arial Narrow" w:hAnsi="Arial Narrow"/>
                <w:sz w:val="20"/>
                <w:szCs w:val="20"/>
              </w:rPr>
            </w:pPr>
            <w:r w:rsidRPr="0058247A">
              <w:rPr>
                <w:rFonts w:ascii="Arial Narrow" w:hAnsi="Arial Narrow"/>
                <w:sz w:val="20"/>
                <w:szCs w:val="20"/>
              </w:rPr>
              <w:t>0.58</w:t>
            </w:r>
          </w:p>
          <w:p w14:paraId="23E71FC8" w14:textId="77777777" w:rsidR="00AA51F3" w:rsidRPr="0058247A" w:rsidRDefault="00AA51F3" w:rsidP="00C54E01">
            <w:pPr>
              <w:jc w:val="center"/>
              <w:rPr>
                <w:rFonts w:ascii="Arial Narrow" w:hAnsi="Arial Narrow"/>
                <w:sz w:val="20"/>
                <w:szCs w:val="20"/>
              </w:rPr>
            </w:pPr>
            <w:r w:rsidRPr="0058247A">
              <w:rPr>
                <w:rFonts w:ascii="Arial Narrow" w:hAnsi="Arial Narrow"/>
                <w:sz w:val="20"/>
                <w:szCs w:val="20"/>
              </w:rPr>
              <w:t>(0.36, 0.94)</w:t>
            </w:r>
          </w:p>
        </w:tc>
        <w:tc>
          <w:tcPr>
            <w:tcW w:w="467" w:type="pct"/>
            <w:vAlign w:val="center"/>
          </w:tcPr>
          <w:p w14:paraId="31910930" w14:textId="30944850"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74BAFAE5" w14:textId="774BC9FE"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c>
          <w:tcPr>
            <w:tcW w:w="467" w:type="pct"/>
            <w:shd w:val="clear" w:color="auto" w:fill="auto"/>
            <w:vAlign w:val="center"/>
          </w:tcPr>
          <w:p w14:paraId="443808B8"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c>
          <w:tcPr>
            <w:tcW w:w="466" w:type="pct"/>
            <w:shd w:val="clear" w:color="auto" w:fill="auto"/>
            <w:vAlign w:val="center"/>
          </w:tcPr>
          <w:p w14:paraId="34B3597B"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c>
          <w:tcPr>
            <w:tcW w:w="475" w:type="pct"/>
            <w:shd w:val="clear" w:color="auto" w:fill="auto"/>
            <w:vAlign w:val="center"/>
          </w:tcPr>
          <w:p w14:paraId="5F7C86F8"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r>
      <w:tr w:rsidR="002F02B9" w:rsidRPr="0058247A" w14:paraId="45649020" w14:textId="77777777" w:rsidTr="00C54E01">
        <w:tc>
          <w:tcPr>
            <w:tcW w:w="1128" w:type="pct"/>
            <w:shd w:val="clear" w:color="auto" w:fill="auto"/>
            <w:vAlign w:val="center"/>
          </w:tcPr>
          <w:p w14:paraId="4B27A7FF" w14:textId="2E22F561" w:rsidR="00AA51F3" w:rsidRPr="0058247A" w:rsidRDefault="00AA51F3" w:rsidP="00C54E01">
            <w:pPr>
              <w:pStyle w:val="BodyText"/>
              <w:keepNext/>
              <w:ind w:left="170"/>
              <w:rPr>
                <w:rFonts w:ascii="Arial Narrow" w:hAnsi="Arial Narrow"/>
                <w:sz w:val="20"/>
                <w:szCs w:val="20"/>
              </w:rPr>
            </w:pPr>
            <w:r w:rsidRPr="0058247A">
              <w:rPr>
                <w:rFonts w:ascii="Arial Narrow" w:hAnsi="Arial Narrow"/>
                <w:sz w:val="20"/>
                <w:szCs w:val="20"/>
              </w:rPr>
              <w:t>PD or death</w:t>
            </w:r>
          </w:p>
        </w:tc>
        <w:tc>
          <w:tcPr>
            <w:tcW w:w="466" w:type="pct"/>
            <w:shd w:val="clear" w:color="auto" w:fill="auto"/>
            <w:vAlign w:val="center"/>
          </w:tcPr>
          <w:p w14:paraId="4B64B22F" w14:textId="3383F09E"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6 (2.8%)</w:t>
            </w:r>
          </w:p>
        </w:tc>
        <w:tc>
          <w:tcPr>
            <w:tcW w:w="466" w:type="pct"/>
            <w:shd w:val="clear" w:color="auto" w:fill="auto"/>
            <w:vAlign w:val="center"/>
          </w:tcPr>
          <w:p w14:paraId="71149907"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9 (4.2%)</w:t>
            </w:r>
          </w:p>
        </w:tc>
        <w:tc>
          <w:tcPr>
            <w:tcW w:w="599" w:type="pct"/>
            <w:vAlign w:val="center"/>
          </w:tcPr>
          <w:p w14:paraId="3E3F8739"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0.65</w:t>
            </w:r>
          </w:p>
          <w:p w14:paraId="26335BEB"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(0.23, 1.86)</w:t>
            </w:r>
          </w:p>
        </w:tc>
        <w:tc>
          <w:tcPr>
            <w:tcW w:w="467" w:type="pct"/>
            <w:vAlign w:val="center"/>
          </w:tcPr>
          <w:p w14:paraId="20868578" w14:textId="43A6E4C0"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1B5A016B" w14:textId="241A504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c>
          <w:tcPr>
            <w:tcW w:w="467" w:type="pct"/>
            <w:shd w:val="clear" w:color="auto" w:fill="auto"/>
            <w:vAlign w:val="center"/>
          </w:tcPr>
          <w:p w14:paraId="66F51E71"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c>
          <w:tcPr>
            <w:tcW w:w="466" w:type="pct"/>
            <w:shd w:val="clear" w:color="auto" w:fill="auto"/>
            <w:vAlign w:val="center"/>
          </w:tcPr>
          <w:p w14:paraId="649DB435"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c>
          <w:tcPr>
            <w:tcW w:w="475" w:type="pct"/>
            <w:shd w:val="clear" w:color="auto" w:fill="auto"/>
            <w:vAlign w:val="center"/>
          </w:tcPr>
          <w:p w14:paraId="11174952"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NE</w:t>
            </w:r>
          </w:p>
        </w:tc>
      </w:tr>
      <w:tr w:rsidR="002F02B9" w:rsidRPr="0058247A" w14:paraId="714500C1" w14:textId="77777777" w:rsidTr="00C54E01">
        <w:tc>
          <w:tcPr>
            <w:tcW w:w="1128" w:type="pct"/>
            <w:shd w:val="clear" w:color="auto" w:fill="auto"/>
            <w:vAlign w:val="center"/>
          </w:tcPr>
          <w:p w14:paraId="3DFA0473" w14:textId="5584504B" w:rsidR="00AA51F3" w:rsidRPr="0058247A" w:rsidRDefault="00AA51F3" w:rsidP="00C54E01">
            <w:pPr>
              <w:pStyle w:val="BodyText"/>
              <w:keepNext/>
              <w:rPr>
                <w:rFonts w:ascii="Arial Narrow" w:hAnsi="Arial Narrow"/>
                <w:sz w:val="20"/>
                <w:szCs w:val="20"/>
              </w:rPr>
            </w:pPr>
            <w:r w:rsidRPr="0058247A">
              <w:rPr>
                <w:rFonts w:ascii="Arial Narrow" w:hAnsi="Arial Narrow"/>
                <w:sz w:val="20"/>
                <w:szCs w:val="20"/>
              </w:rPr>
              <w:t>ORR (CR+VGPR+PR)</w:t>
            </w:r>
          </w:p>
        </w:tc>
        <w:tc>
          <w:tcPr>
            <w:tcW w:w="466" w:type="pct"/>
            <w:shd w:val="clear" w:color="auto" w:fill="auto"/>
            <w:vAlign w:val="center"/>
          </w:tcPr>
          <w:p w14:paraId="3B898E0A" w14:textId="67B2A6D3"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176 (81.5%)</w:t>
            </w:r>
          </w:p>
        </w:tc>
        <w:tc>
          <w:tcPr>
            <w:tcW w:w="466" w:type="pct"/>
            <w:shd w:val="clear" w:color="auto" w:fill="auto"/>
            <w:vAlign w:val="center"/>
          </w:tcPr>
          <w:p w14:paraId="271ADC71"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153 (71.5%)</w:t>
            </w:r>
          </w:p>
        </w:tc>
        <w:tc>
          <w:tcPr>
            <w:tcW w:w="599" w:type="pct"/>
            <w:vAlign w:val="center"/>
          </w:tcPr>
          <w:p w14:paraId="4C87A77A" w14:textId="77777777" w:rsidR="00AA51F3" w:rsidRPr="0058247A" w:rsidRDefault="00AA51F3" w:rsidP="00C54E01">
            <w:pPr>
              <w:pStyle w:val="BodyText"/>
              <w:keepNext/>
              <w:jc w:val="center"/>
              <w:rPr>
                <w:rFonts w:ascii="Arial Narrow" w:hAnsi="Arial Narrow"/>
                <w:b/>
                <w:bCs/>
                <w:sz w:val="20"/>
                <w:szCs w:val="20"/>
              </w:rPr>
            </w:pPr>
            <w:r w:rsidRPr="0058247A">
              <w:rPr>
                <w:rFonts w:ascii="Arial Narrow" w:hAnsi="Arial Narrow"/>
                <w:b/>
                <w:bCs/>
                <w:sz w:val="20"/>
                <w:szCs w:val="20"/>
              </w:rPr>
              <w:t>1.75</w:t>
            </w:r>
          </w:p>
          <w:p w14:paraId="0B30D7A7"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b/>
                <w:bCs/>
                <w:sz w:val="20"/>
                <w:szCs w:val="20"/>
              </w:rPr>
              <w:t>(1.11, 2.76)</w:t>
            </w:r>
          </w:p>
        </w:tc>
        <w:tc>
          <w:tcPr>
            <w:tcW w:w="467" w:type="pct"/>
            <w:vAlign w:val="center"/>
          </w:tcPr>
          <w:p w14:paraId="17ED44FD" w14:textId="74A282B9"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6BCDDD75" w14:textId="63BAFF9E"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82.0%</w:t>
            </w:r>
          </w:p>
        </w:tc>
        <w:tc>
          <w:tcPr>
            <w:tcW w:w="467" w:type="pct"/>
            <w:shd w:val="clear" w:color="auto" w:fill="auto"/>
            <w:vAlign w:val="center"/>
          </w:tcPr>
          <w:p w14:paraId="53B5CFC2"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68.0%</w:t>
            </w:r>
          </w:p>
        </w:tc>
        <w:tc>
          <w:tcPr>
            <w:tcW w:w="466" w:type="pct"/>
            <w:shd w:val="clear" w:color="auto" w:fill="auto"/>
            <w:vAlign w:val="center"/>
          </w:tcPr>
          <w:p w14:paraId="00F021DE"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80.0%</w:t>
            </w:r>
          </w:p>
        </w:tc>
        <w:tc>
          <w:tcPr>
            <w:tcW w:w="475" w:type="pct"/>
            <w:shd w:val="clear" w:color="auto" w:fill="auto"/>
            <w:vAlign w:val="center"/>
          </w:tcPr>
          <w:p w14:paraId="174FF3B4"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76.0%</w:t>
            </w:r>
          </w:p>
        </w:tc>
      </w:tr>
      <w:tr w:rsidR="002F02B9" w:rsidRPr="0058247A" w14:paraId="146DBDE6" w14:textId="77777777" w:rsidTr="00C54E01">
        <w:tc>
          <w:tcPr>
            <w:tcW w:w="1128" w:type="pct"/>
            <w:shd w:val="clear" w:color="auto" w:fill="auto"/>
            <w:vAlign w:val="center"/>
          </w:tcPr>
          <w:p w14:paraId="7F3AD293" w14:textId="77777777" w:rsidR="00AA51F3" w:rsidRPr="0058247A" w:rsidRDefault="00AA51F3" w:rsidP="00C54E01">
            <w:pPr>
              <w:pStyle w:val="BodyText"/>
              <w:keepNext/>
              <w:rPr>
                <w:rFonts w:ascii="Arial Narrow" w:hAnsi="Arial Narrow"/>
                <w:sz w:val="20"/>
                <w:szCs w:val="20"/>
              </w:rPr>
            </w:pPr>
            <w:r w:rsidRPr="0058247A">
              <w:rPr>
                <w:rFonts w:ascii="Arial Narrow" w:hAnsi="Arial Narrow"/>
                <w:sz w:val="20"/>
                <w:szCs w:val="20"/>
              </w:rPr>
              <w:t>VGPR or better (CR + VGPR)</w:t>
            </w:r>
          </w:p>
        </w:tc>
        <w:tc>
          <w:tcPr>
            <w:tcW w:w="466" w:type="pct"/>
            <w:shd w:val="clear" w:color="auto" w:fill="auto"/>
            <w:vAlign w:val="center"/>
          </w:tcPr>
          <w:p w14:paraId="0EAD4D90"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94 (43.5%)</w:t>
            </w:r>
          </w:p>
        </w:tc>
        <w:tc>
          <w:tcPr>
            <w:tcW w:w="466" w:type="pct"/>
            <w:shd w:val="clear" w:color="auto" w:fill="auto"/>
            <w:vAlign w:val="center"/>
          </w:tcPr>
          <w:p w14:paraId="2985400A"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68 (31.8%)</w:t>
            </w:r>
          </w:p>
        </w:tc>
        <w:tc>
          <w:tcPr>
            <w:tcW w:w="599" w:type="pct"/>
            <w:vAlign w:val="center"/>
          </w:tcPr>
          <w:p w14:paraId="77F69858" w14:textId="77777777" w:rsidR="00AA51F3" w:rsidRPr="0058247A" w:rsidRDefault="00AA51F3" w:rsidP="00C54E01">
            <w:pPr>
              <w:pStyle w:val="BodyText"/>
              <w:keepNext/>
              <w:jc w:val="center"/>
              <w:rPr>
                <w:rFonts w:ascii="Arial Narrow" w:hAnsi="Arial Narrow"/>
                <w:b/>
                <w:bCs/>
                <w:sz w:val="20"/>
                <w:szCs w:val="20"/>
              </w:rPr>
            </w:pPr>
            <w:r w:rsidRPr="0058247A">
              <w:rPr>
                <w:rFonts w:ascii="Arial Narrow" w:hAnsi="Arial Narrow"/>
                <w:b/>
                <w:bCs/>
                <w:sz w:val="20"/>
                <w:szCs w:val="20"/>
              </w:rPr>
              <w:t>1.65</w:t>
            </w:r>
          </w:p>
          <w:p w14:paraId="4A3F6A92"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b/>
                <w:bCs/>
                <w:sz w:val="20"/>
                <w:szCs w:val="20"/>
              </w:rPr>
              <w:t>(1.11, 2.45)</w:t>
            </w:r>
          </w:p>
        </w:tc>
        <w:tc>
          <w:tcPr>
            <w:tcW w:w="467" w:type="pct"/>
            <w:vAlign w:val="center"/>
          </w:tcPr>
          <w:p w14:paraId="33EE6ABC" w14:textId="197DDF68"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7DE82D97" w14:textId="047C69AB"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39.0%</w:t>
            </w:r>
          </w:p>
        </w:tc>
        <w:tc>
          <w:tcPr>
            <w:tcW w:w="467" w:type="pct"/>
            <w:shd w:val="clear" w:color="auto" w:fill="auto"/>
            <w:vAlign w:val="center"/>
          </w:tcPr>
          <w:p w14:paraId="4F29EFCB"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34.0%</w:t>
            </w:r>
          </w:p>
        </w:tc>
        <w:tc>
          <w:tcPr>
            <w:tcW w:w="466" w:type="pct"/>
            <w:shd w:val="clear" w:color="auto" w:fill="auto"/>
            <w:vAlign w:val="center"/>
          </w:tcPr>
          <w:p w14:paraId="16E114FE"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51.0%</w:t>
            </w:r>
          </w:p>
        </w:tc>
        <w:tc>
          <w:tcPr>
            <w:tcW w:w="475" w:type="pct"/>
            <w:shd w:val="clear" w:color="auto" w:fill="auto"/>
            <w:vAlign w:val="center"/>
          </w:tcPr>
          <w:p w14:paraId="53EF0A5F"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29.0%</w:t>
            </w:r>
          </w:p>
        </w:tc>
      </w:tr>
      <w:tr w:rsidR="002F02B9" w:rsidRPr="0058247A" w14:paraId="07356069" w14:textId="77777777" w:rsidTr="00C54E01">
        <w:trPr>
          <w:trHeight w:val="60"/>
        </w:trPr>
        <w:tc>
          <w:tcPr>
            <w:tcW w:w="1128" w:type="pct"/>
            <w:shd w:val="clear" w:color="auto" w:fill="auto"/>
            <w:vAlign w:val="center"/>
          </w:tcPr>
          <w:p w14:paraId="511ADCCC" w14:textId="77777777" w:rsidR="00AA51F3" w:rsidRPr="0058247A" w:rsidRDefault="00AA51F3" w:rsidP="00C54E01">
            <w:pPr>
              <w:pStyle w:val="BodyText"/>
              <w:keepNext/>
              <w:rPr>
                <w:rFonts w:ascii="Arial Narrow" w:hAnsi="Arial Narrow"/>
                <w:sz w:val="20"/>
                <w:szCs w:val="20"/>
              </w:rPr>
            </w:pPr>
            <w:r w:rsidRPr="0058247A">
              <w:rPr>
                <w:rFonts w:ascii="Arial Narrow" w:hAnsi="Arial Narrow"/>
                <w:sz w:val="20"/>
                <w:szCs w:val="20"/>
              </w:rPr>
              <w:t>CR or better</w:t>
            </w:r>
          </w:p>
        </w:tc>
        <w:tc>
          <w:tcPr>
            <w:tcW w:w="466" w:type="pct"/>
            <w:shd w:val="clear" w:color="auto" w:fill="auto"/>
            <w:vAlign w:val="center"/>
          </w:tcPr>
          <w:p w14:paraId="0E955973" w14:textId="4BB6ED2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34 (15.7%)</w:t>
            </w:r>
          </w:p>
        </w:tc>
        <w:tc>
          <w:tcPr>
            <w:tcW w:w="466" w:type="pct"/>
            <w:shd w:val="clear" w:color="auto" w:fill="auto"/>
            <w:vAlign w:val="center"/>
          </w:tcPr>
          <w:p w14:paraId="1295545E"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18 (8.4%)</w:t>
            </w:r>
          </w:p>
        </w:tc>
        <w:tc>
          <w:tcPr>
            <w:tcW w:w="599" w:type="pct"/>
            <w:vAlign w:val="center"/>
          </w:tcPr>
          <w:p w14:paraId="05D2477C" w14:textId="77777777" w:rsidR="00AA51F3" w:rsidRPr="0058247A" w:rsidRDefault="00AA51F3" w:rsidP="00C54E01">
            <w:pPr>
              <w:pStyle w:val="BodyText"/>
              <w:keepNext/>
              <w:jc w:val="center"/>
              <w:rPr>
                <w:rFonts w:ascii="Arial Narrow" w:hAnsi="Arial Narrow"/>
                <w:b/>
                <w:bCs/>
                <w:sz w:val="20"/>
                <w:szCs w:val="20"/>
              </w:rPr>
            </w:pPr>
            <w:r w:rsidRPr="0058247A">
              <w:rPr>
                <w:rFonts w:ascii="Arial Narrow" w:hAnsi="Arial Narrow"/>
                <w:b/>
                <w:bCs/>
                <w:sz w:val="20"/>
                <w:szCs w:val="20"/>
              </w:rPr>
              <w:t>2.03</w:t>
            </w:r>
          </w:p>
          <w:p w14:paraId="6F0D0F66"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b/>
                <w:bCs/>
                <w:sz w:val="20"/>
                <w:szCs w:val="20"/>
              </w:rPr>
              <w:t>(1.11, 3.72)</w:t>
            </w:r>
          </w:p>
        </w:tc>
        <w:tc>
          <w:tcPr>
            <w:tcW w:w="467" w:type="pct"/>
            <w:vAlign w:val="center"/>
          </w:tcPr>
          <w:p w14:paraId="715EAC3A" w14:textId="0CF0575A" w:rsidR="00AA51F3" w:rsidRPr="0058247A" w:rsidRDefault="002F02B9" w:rsidP="00C54E01">
            <w:pPr>
              <w:pStyle w:val="BodyText"/>
              <w:keepNext/>
              <w:jc w:val="center"/>
              <w:rPr>
                <w:rFonts w:ascii="Arial Narrow" w:hAnsi="Arial Narrow"/>
                <w:sz w:val="20"/>
                <w:szCs w:val="20"/>
              </w:rPr>
            </w:pPr>
            <w:r w:rsidRPr="0058247A">
              <w:rPr>
                <w:rFonts w:ascii="Arial Narrow" w:hAnsi="Arial Narrow"/>
                <w:sz w:val="20"/>
                <w:szCs w:val="20"/>
              </w:rPr>
              <w:t>NR</w:t>
            </w:r>
          </w:p>
        </w:tc>
        <w:tc>
          <w:tcPr>
            <w:tcW w:w="466" w:type="pct"/>
            <w:shd w:val="clear" w:color="auto" w:fill="auto"/>
            <w:vAlign w:val="center"/>
          </w:tcPr>
          <w:p w14:paraId="6314B476" w14:textId="5C818F2E"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14.0%</w:t>
            </w:r>
          </w:p>
        </w:tc>
        <w:tc>
          <w:tcPr>
            <w:tcW w:w="467" w:type="pct"/>
            <w:shd w:val="clear" w:color="auto" w:fill="auto"/>
            <w:vAlign w:val="center"/>
          </w:tcPr>
          <w:p w14:paraId="2C5C0F2D"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11.0%</w:t>
            </w:r>
          </w:p>
        </w:tc>
        <w:tc>
          <w:tcPr>
            <w:tcW w:w="466" w:type="pct"/>
            <w:shd w:val="clear" w:color="auto" w:fill="auto"/>
            <w:vAlign w:val="center"/>
          </w:tcPr>
          <w:p w14:paraId="62BEF1EF"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19.0%</w:t>
            </w:r>
          </w:p>
        </w:tc>
        <w:tc>
          <w:tcPr>
            <w:tcW w:w="475" w:type="pct"/>
            <w:shd w:val="clear" w:color="auto" w:fill="auto"/>
            <w:vAlign w:val="center"/>
          </w:tcPr>
          <w:p w14:paraId="52544DB1" w14:textId="77777777" w:rsidR="00AA51F3" w:rsidRPr="0058247A" w:rsidRDefault="00AA51F3" w:rsidP="00C54E01">
            <w:pPr>
              <w:pStyle w:val="BodyText"/>
              <w:keepNext/>
              <w:jc w:val="center"/>
              <w:rPr>
                <w:rFonts w:ascii="Arial Narrow" w:hAnsi="Arial Narrow"/>
                <w:sz w:val="20"/>
                <w:szCs w:val="20"/>
              </w:rPr>
            </w:pPr>
            <w:r w:rsidRPr="0058247A">
              <w:rPr>
                <w:rFonts w:ascii="Arial Narrow" w:hAnsi="Arial Narrow"/>
                <w:sz w:val="20"/>
                <w:szCs w:val="20"/>
              </w:rPr>
              <w:t>6.0%</w:t>
            </w:r>
          </w:p>
        </w:tc>
      </w:tr>
    </w:tbl>
    <w:p w14:paraId="25C05F35" w14:textId="77777777" w:rsidR="00D30F1D" w:rsidRPr="0058247A" w:rsidRDefault="00D30F1D" w:rsidP="00D30F1D">
      <w:pPr>
        <w:rPr>
          <w:b/>
          <w:bCs/>
          <w:sz w:val="18"/>
          <w:szCs w:val="18"/>
        </w:rPr>
      </w:pPr>
      <w:r w:rsidRPr="0058247A">
        <w:rPr>
          <w:rFonts w:ascii="Arial Narrow" w:hAnsi="Arial Narrow"/>
          <w:sz w:val="18"/>
          <w:szCs w:val="18"/>
        </w:rPr>
        <w:t>Source: Table 2.51, p189 of the submission.</w:t>
      </w:r>
    </w:p>
    <w:p w14:paraId="60113D88" w14:textId="27D5C34E" w:rsidR="00D30F1D" w:rsidRPr="0058247A" w:rsidRDefault="00D30F1D" w:rsidP="00D30F1D">
      <w:pPr>
        <w:rPr>
          <w:rFonts w:ascii="Arial Narrow" w:hAnsi="Arial Narrow"/>
          <w:sz w:val="18"/>
          <w:szCs w:val="18"/>
        </w:rPr>
      </w:pPr>
      <w:r w:rsidRPr="0058247A">
        <w:rPr>
          <w:rFonts w:ascii="Arial Narrow" w:hAnsi="Arial Narrow"/>
          <w:sz w:val="18"/>
          <w:szCs w:val="18"/>
        </w:rPr>
        <w:t>CI=confidence interval; CR=complete response; DLd=daratumumab, lenalidomide, dexamethasone; Ld=lenalidomide, dexamethasone: NE=not estimable; OR= odds ratio; ORR = overall response rate; PD= progressive diseases; PR= partial response; SD= stable diseases; VGPR= very good partial response.</w:t>
      </w:r>
    </w:p>
    <w:p w14:paraId="10727CFA" w14:textId="4EB24753" w:rsidR="00D30F1D" w:rsidRPr="0058247A" w:rsidRDefault="002F02B9" w:rsidP="00D30F1D">
      <w:pPr>
        <w:rPr>
          <w:rFonts w:ascii="Arial Narrow" w:hAnsi="Arial Narrow"/>
          <w:sz w:val="18"/>
          <w:szCs w:val="18"/>
        </w:rPr>
      </w:pPr>
      <w:r w:rsidRPr="0058247A">
        <w:rPr>
          <w:rFonts w:ascii="Arial Narrow" w:hAnsi="Arial Narrow"/>
          <w:sz w:val="18"/>
          <w:szCs w:val="18"/>
        </w:rPr>
        <w:t xml:space="preserve">a </w:t>
      </w:r>
      <w:r w:rsidR="00D30F1D" w:rsidRPr="0058247A">
        <w:rPr>
          <w:rFonts w:ascii="Arial Narrow" w:hAnsi="Arial Narrow"/>
          <w:sz w:val="18"/>
          <w:szCs w:val="18"/>
        </w:rPr>
        <w:t>ORs were estimated for the ITT population based on assessable patients (Durie 2017). The submission did not provide th</w:t>
      </w:r>
      <w:r w:rsidRPr="0058247A">
        <w:rPr>
          <w:rFonts w:ascii="Arial Narrow" w:hAnsi="Arial Narrow"/>
          <w:sz w:val="18"/>
          <w:szCs w:val="18"/>
        </w:rPr>
        <w:t xml:space="preserve">e OR </w:t>
      </w:r>
      <w:r w:rsidR="00D30F1D" w:rsidRPr="0058247A">
        <w:rPr>
          <w:rFonts w:ascii="Arial Narrow" w:hAnsi="Arial Narrow"/>
          <w:sz w:val="18"/>
          <w:szCs w:val="18"/>
        </w:rPr>
        <w:t xml:space="preserve">for subgroups. </w:t>
      </w:r>
    </w:p>
    <w:p w14:paraId="47334E3A" w14:textId="246A093E" w:rsidR="002F02B9" w:rsidRPr="0058247A" w:rsidRDefault="002F02B9" w:rsidP="00D30F1D">
      <w:pPr>
        <w:rPr>
          <w:rFonts w:ascii="Arial Narrow" w:hAnsi="Arial Narrow"/>
          <w:sz w:val="18"/>
          <w:szCs w:val="18"/>
        </w:rPr>
      </w:pPr>
      <w:r w:rsidRPr="0058247A">
        <w:rPr>
          <w:rFonts w:ascii="Arial Narrow" w:hAnsi="Arial Narrow"/>
          <w:sz w:val="18"/>
          <w:szCs w:val="18"/>
        </w:rPr>
        <w:t xml:space="preserve">b </w:t>
      </w:r>
      <w:r w:rsidR="00765297" w:rsidRPr="0058247A">
        <w:rPr>
          <w:rFonts w:ascii="Arial Narrow" w:hAnsi="Arial Narrow"/>
          <w:sz w:val="18"/>
          <w:szCs w:val="18"/>
        </w:rPr>
        <w:t xml:space="preserve">The statistical analysis used to derive the p-value was not reported by Durie 2017. </w:t>
      </w:r>
    </w:p>
    <w:p w14:paraId="13312BE2" w14:textId="36E4AF0F" w:rsidR="00D30F1D" w:rsidRPr="0058247A" w:rsidRDefault="00765297" w:rsidP="00A8529D">
      <w:pPr>
        <w:spacing w:after="120"/>
        <w:rPr>
          <w:rFonts w:ascii="Arial Narrow" w:hAnsi="Arial Narrow"/>
          <w:sz w:val="18"/>
          <w:szCs w:val="18"/>
        </w:rPr>
      </w:pPr>
      <w:r w:rsidRPr="0058247A">
        <w:rPr>
          <w:rFonts w:ascii="Arial Narrow" w:hAnsi="Arial Narrow"/>
          <w:sz w:val="18"/>
          <w:szCs w:val="18"/>
        </w:rPr>
        <w:t>Bold indicates statistically significant difference.</w:t>
      </w:r>
    </w:p>
    <w:p w14:paraId="606D4541" w14:textId="77777777" w:rsidR="00D30F1D" w:rsidRPr="0058247A" w:rsidRDefault="00D30F1D" w:rsidP="00D30F1D">
      <w:pPr>
        <w:rPr>
          <w:u w:val="single"/>
        </w:rPr>
      </w:pPr>
      <w:r w:rsidRPr="0058247A">
        <w:rPr>
          <w:u w:val="single"/>
        </w:rPr>
        <w:t xml:space="preserve">Efficacy claim based on transitivity of results </w:t>
      </w:r>
    </w:p>
    <w:p w14:paraId="5B06CBBE" w14:textId="4EB1DBA0" w:rsidR="00D30F1D" w:rsidRPr="006154DA" w:rsidRDefault="00D30F1D" w:rsidP="009677C1">
      <w:pPr>
        <w:pStyle w:val="3-BodyText"/>
      </w:pPr>
      <w:bookmarkStart w:id="58" w:name="_Ref122710553"/>
      <w:bookmarkStart w:id="59" w:name="_Ref130894235"/>
      <w:r w:rsidRPr="006154DA">
        <w:t xml:space="preserve">The submission argued that </w:t>
      </w:r>
      <w:r w:rsidR="00E2406B" w:rsidRPr="006154DA">
        <w:t xml:space="preserve">an ITC between the ITT populations of MAIA and SWOG s0777 would be biased against daratumumab, as SWOG s0777 enrolled patients who may have been physiologically eligible for SCT whilst MAIA did not. To overcome this transitivity issue, the submission </w:t>
      </w:r>
      <w:r w:rsidR="00ED6996" w:rsidRPr="006154DA">
        <w:t xml:space="preserve">claimed </w:t>
      </w:r>
      <w:r w:rsidR="00E2406B" w:rsidRPr="006154DA">
        <w:t>that the age ≥</w:t>
      </w:r>
      <w:r w:rsidR="00B977D2" w:rsidRPr="006154DA">
        <w:t xml:space="preserve"> </w:t>
      </w:r>
      <w:r w:rsidR="00E2406B" w:rsidRPr="006154DA">
        <w:t xml:space="preserve">65 subgroup of SWOG s0777 </w:t>
      </w:r>
      <w:r w:rsidR="00F6043C" w:rsidRPr="006154DA">
        <w:t xml:space="preserve">more accurately </w:t>
      </w:r>
      <w:r w:rsidR="00E2406B" w:rsidRPr="006154DA">
        <w:t xml:space="preserve">captured those patients who are transplant ineligible. </w:t>
      </w:r>
      <w:r w:rsidR="00622AD3" w:rsidRPr="006154DA">
        <w:t xml:space="preserve">The submission </w:t>
      </w:r>
      <w:r w:rsidR="00326EE3" w:rsidRPr="006154DA">
        <w:t>claimed</w:t>
      </w:r>
      <w:r w:rsidR="00622AD3" w:rsidRPr="006154DA">
        <w:t xml:space="preserve"> that since </w:t>
      </w:r>
      <w:r w:rsidRPr="006154DA">
        <w:t>a statistically significant difference was not demonstrated between BLd and Ld in the age ≥</w:t>
      </w:r>
      <w:r w:rsidR="00B977D2" w:rsidRPr="006154DA">
        <w:t xml:space="preserve"> </w:t>
      </w:r>
      <w:r w:rsidRPr="006154DA">
        <w:t xml:space="preserve">65 subgroup of SWOG s0777 for either PFS or OS, the efficacy of BLd in the TI NDMM population was reasonably represented by the efficacy of Ld in the </w:t>
      </w:r>
      <w:r w:rsidRPr="006154DA">
        <w:rPr>
          <w:rFonts w:cstheme="minorHAnsi"/>
        </w:rPr>
        <w:t>≥</w:t>
      </w:r>
      <w:r w:rsidR="00B977D2" w:rsidRPr="006154DA">
        <w:rPr>
          <w:rFonts w:cstheme="minorHAnsi"/>
        </w:rPr>
        <w:t xml:space="preserve"> </w:t>
      </w:r>
      <w:r w:rsidRPr="006154DA">
        <w:t>65 subgroup</w:t>
      </w:r>
      <w:r w:rsidR="00326EE3" w:rsidRPr="006154DA">
        <w:t xml:space="preserve"> in MAIA</w:t>
      </w:r>
      <w:r w:rsidRPr="006154DA">
        <w:t xml:space="preserve">. Therefore, </w:t>
      </w:r>
      <w:r w:rsidR="00890F18" w:rsidRPr="006154DA">
        <w:t xml:space="preserve">the submission argued that </w:t>
      </w:r>
      <w:r w:rsidRPr="006154DA">
        <w:t xml:space="preserve">an anchored </w:t>
      </w:r>
      <w:r w:rsidR="00622AD3" w:rsidRPr="006154DA">
        <w:t xml:space="preserve">ITC </w:t>
      </w:r>
      <w:r w:rsidRPr="006154DA">
        <w:t>of results from MAIA and SWOG s0777 (DLd v</w:t>
      </w:r>
      <w:r w:rsidR="007B6129" w:rsidRPr="006154DA">
        <w:t>ersu</w:t>
      </w:r>
      <w:r w:rsidRPr="006154DA">
        <w:t>s BLd using Ld as an anchor) was not required, and instead the results of MAIA alone (DLd v</w:t>
      </w:r>
      <w:r w:rsidR="007B6129" w:rsidRPr="006154DA">
        <w:t>ersu</w:t>
      </w:r>
      <w:r w:rsidRPr="006154DA">
        <w:t xml:space="preserve">s Ld) were a </w:t>
      </w:r>
      <w:r w:rsidR="007B6129" w:rsidRPr="006154DA">
        <w:t xml:space="preserve">reasonable </w:t>
      </w:r>
      <w:r w:rsidRPr="006154DA">
        <w:t>proxy for a comparison of DLd v</w:t>
      </w:r>
      <w:r w:rsidR="007B6129" w:rsidRPr="006154DA">
        <w:t>ersu</w:t>
      </w:r>
      <w:r w:rsidRPr="006154DA">
        <w:t>s BLd.</w:t>
      </w:r>
      <w:bookmarkEnd w:id="58"/>
      <w:r w:rsidRPr="006154DA">
        <w:t xml:space="preserve"> </w:t>
      </w:r>
      <w:r w:rsidR="00B420D7" w:rsidRPr="006154DA">
        <w:t>T</w:t>
      </w:r>
      <w:r w:rsidR="00B977D2" w:rsidRPr="006154DA">
        <w:t>o further support this argument, t</w:t>
      </w:r>
      <w:r w:rsidR="00B420D7" w:rsidRPr="006154DA">
        <w:t xml:space="preserve">he PSCR presented a poster of </w:t>
      </w:r>
      <w:r w:rsidR="00B977D2" w:rsidRPr="006154DA">
        <w:t xml:space="preserve">Australian and New Zealand </w:t>
      </w:r>
      <w:r w:rsidR="00B420D7" w:rsidRPr="006154DA">
        <w:t xml:space="preserve">real-world </w:t>
      </w:r>
      <w:r w:rsidR="00032E74" w:rsidRPr="006154DA">
        <w:t>data</w:t>
      </w:r>
      <w:r w:rsidR="00B420D7" w:rsidRPr="006154DA">
        <w:t xml:space="preserve"> from the MRDR </w:t>
      </w:r>
      <w:r w:rsidR="00B420D7" w:rsidRPr="006154DA">
        <w:lastRenderedPageBreak/>
        <w:t>(Zhao et al, 202</w:t>
      </w:r>
      <w:r w:rsidR="00B977D2" w:rsidRPr="006154DA">
        <w:t>2)</w:t>
      </w:r>
      <w:r w:rsidR="00B977D2" w:rsidRPr="006154DA">
        <w:rPr>
          <w:rStyle w:val="FootnoteReference"/>
        </w:rPr>
        <w:t xml:space="preserve"> </w:t>
      </w:r>
      <w:r w:rsidR="00B977D2" w:rsidRPr="006154DA">
        <w:rPr>
          <w:rStyle w:val="FootnoteReference"/>
        </w:rPr>
        <w:footnoteReference w:id="8"/>
      </w:r>
      <w:r w:rsidR="00B420D7" w:rsidRPr="006154DA">
        <w:t xml:space="preserve"> which concluded that there were no differences in PFS and OS between BLd, Ld or BCd. The ESC noted that this information was in the form of a non-peer reviewed, retrospective study and that the BLd and Ld arms were unbalanced in terms of size (BLd = 102 patients, Ld = 232 patients), follow-up (BLd = 11.3 months, Ld</w:t>
      </w:r>
      <w:r w:rsidR="00645EB1" w:rsidRPr="006154DA">
        <w:t> </w:t>
      </w:r>
      <w:r w:rsidR="00B420D7" w:rsidRPr="006154DA">
        <w:t xml:space="preserve">= approximately 28 months) and </w:t>
      </w:r>
      <w:r w:rsidR="00032E74" w:rsidRPr="006154DA">
        <w:t>ECOG status (ECOG 0-1: BLd = 78.8%, Ld = 69.7%)</w:t>
      </w:r>
      <w:r w:rsidR="00B420D7" w:rsidRPr="006154DA">
        <w:rPr>
          <w:sz w:val="22"/>
          <w:szCs w:val="22"/>
        </w:rPr>
        <w:t xml:space="preserve">. </w:t>
      </w:r>
      <w:r w:rsidR="00B420D7" w:rsidRPr="006154DA">
        <w:t>In addition, the ESC noted that the reported hazard ratio for OS comparing Ld to BLd favoured BLd (HR = 1.22</w:t>
      </w:r>
      <w:r w:rsidR="00032E74" w:rsidRPr="006154DA">
        <w:t>;</w:t>
      </w:r>
      <w:r w:rsidR="00B420D7" w:rsidRPr="006154DA">
        <w:t xml:space="preserve"> 95% CI: 0.61, 2.44) and that the confidence interval was wide</w:t>
      </w:r>
      <w:r w:rsidR="009677C1" w:rsidRPr="006154DA">
        <w:t xml:space="preserve"> </w:t>
      </w:r>
      <w:r w:rsidR="00B420D7" w:rsidRPr="006154DA">
        <w:t xml:space="preserve">(i.e. patients treated with Ld may have </w:t>
      </w:r>
      <w:r w:rsidR="009677C1" w:rsidRPr="006154DA">
        <w:t>more than twice the rate of death compared with patients treated with BLd</w:t>
      </w:r>
      <w:r w:rsidR="00B420D7" w:rsidRPr="006154DA">
        <w:t>).</w:t>
      </w:r>
      <w:bookmarkEnd w:id="59"/>
      <w:r w:rsidR="00032E74" w:rsidRPr="006154DA">
        <w:t xml:space="preserve"> </w:t>
      </w:r>
    </w:p>
    <w:p w14:paraId="2EC31EE7" w14:textId="4646846C" w:rsidR="00D30F1D" w:rsidRPr="006154DA" w:rsidRDefault="00D30F1D" w:rsidP="00D30F1D">
      <w:pPr>
        <w:pStyle w:val="3-BodyText"/>
      </w:pPr>
      <w:bookmarkStart w:id="60" w:name="_Ref122532110"/>
      <w:r w:rsidRPr="006154DA">
        <w:t xml:space="preserve">The </w:t>
      </w:r>
      <w:r w:rsidR="005434AD" w:rsidRPr="006154DA">
        <w:t xml:space="preserve">ESC considered that the </w:t>
      </w:r>
      <w:r w:rsidRPr="006154DA">
        <w:t>submission's claim that the results for Ld serve as a reasonable proxy for BLd, and</w:t>
      </w:r>
      <w:r w:rsidR="00D6099E" w:rsidRPr="006154DA">
        <w:t>,</w:t>
      </w:r>
      <w:r w:rsidRPr="006154DA">
        <w:t xml:space="preserve"> by transitivity</w:t>
      </w:r>
      <w:r w:rsidR="00D6099E" w:rsidRPr="006154DA">
        <w:t>,</w:t>
      </w:r>
      <w:r w:rsidRPr="006154DA">
        <w:t xml:space="preserve"> that the results from MAIA show that DLd is superior to Ld and therefore BLd, was not supported by the evidence because:</w:t>
      </w:r>
      <w:bookmarkEnd w:id="60"/>
      <w:r w:rsidRPr="006154DA">
        <w:t xml:space="preserve"> </w:t>
      </w:r>
    </w:p>
    <w:p w14:paraId="0E854675" w14:textId="50988294" w:rsidR="00D30F1D" w:rsidRPr="006154DA" w:rsidRDefault="00D30F1D" w:rsidP="0015148F">
      <w:pPr>
        <w:pStyle w:val="3-BodyText"/>
        <w:numPr>
          <w:ilvl w:val="0"/>
          <w:numId w:val="10"/>
        </w:numPr>
        <w:ind w:left="1080"/>
      </w:pPr>
      <w:r w:rsidRPr="006154DA">
        <w:t>Using age (over 65 years) as the only basis to determine transplant eligibility in order to form a comparison with the results from MAIA may not be reasonable as age alone is not the only criterion applied in deciding on suitability for transplant (discussed in paragraph</w:t>
      </w:r>
      <w:r w:rsidR="00271099" w:rsidRPr="006154DA">
        <w:t xml:space="preserve"> </w:t>
      </w:r>
      <w:r w:rsidR="00645EB1" w:rsidRPr="006154DA">
        <w:fldChar w:fldCharType="begin"/>
      </w:r>
      <w:r w:rsidR="00645EB1" w:rsidRPr="006154DA">
        <w:instrText xml:space="preserve"> REF _Ref127015975 \r \h  \* MERGEFORMAT </w:instrText>
      </w:r>
      <w:r w:rsidR="00645EB1" w:rsidRPr="006154DA">
        <w:fldChar w:fldCharType="separate"/>
      </w:r>
      <w:r w:rsidR="008D65C7">
        <w:t>6.5</w:t>
      </w:r>
      <w:r w:rsidR="00645EB1" w:rsidRPr="006154DA">
        <w:fldChar w:fldCharType="end"/>
      </w:r>
      <w:r w:rsidRPr="006154DA">
        <w:t xml:space="preserve">). </w:t>
      </w:r>
    </w:p>
    <w:p w14:paraId="47D992F0" w14:textId="740E420E" w:rsidR="00101007" w:rsidRPr="006154DA" w:rsidRDefault="006C60DE" w:rsidP="0015148F">
      <w:pPr>
        <w:pStyle w:val="3-BodyText"/>
        <w:numPr>
          <w:ilvl w:val="0"/>
          <w:numId w:val="10"/>
        </w:numPr>
        <w:ind w:left="1080"/>
      </w:pPr>
      <w:r w:rsidRPr="006154DA">
        <w:t>That</w:t>
      </w:r>
      <w:r w:rsidR="00101007" w:rsidRPr="006154DA">
        <w:t xml:space="preserve"> SWOG </w:t>
      </w:r>
      <w:r w:rsidR="00221191" w:rsidRPr="006154DA">
        <w:t>s</w:t>
      </w:r>
      <w:r w:rsidR="00101007" w:rsidRPr="006154DA">
        <w:t>0777 was unable to demonstrate a statistically significant difference in the ≥</w:t>
      </w:r>
      <w:r w:rsidR="005434AD" w:rsidRPr="006154DA">
        <w:t xml:space="preserve"> </w:t>
      </w:r>
      <w:r w:rsidR="00101007" w:rsidRPr="006154DA">
        <w:t>65 year</w:t>
      </w:r>
      <w:r w:rsidR="007B6129" w:rsidRPr="006154DA">
        <w:t>s of age</w:t>
      </w:r>
      <w:r w:rsidR="00101007" w:rsidRPr="006154DA">
        <w:t xml:space="preserve"> subgroup of patients does not necessarily establish non-inferiority of BLd v</w:t>
      </w:r>
      <w:r w:rsidR="007B6129" w:rsidRPr="006154DA">
        <w:t>ersu</w:t>
      </w:r>
      <w:r w:rsidR="00101007" w:rsidRPr="006154DA">
        <w:t xml:space="preserve">s Ld, unless the study was appropriately powered to detect a difference in this population; </w:t>
      </w:r>
      <w:r w:rsidR="00622AD3" w:rsidRPr="006154DA">
        <w:t>while</w:t>
      </w:r>
      <w:r w:rsidR="00101007" w:rsidRPr="006154DA">
        <w:t xml:space="preserve"> the OS HR favoured BLd over Ld, the confidence intervals were wide (HR</w:t>
      </w:r>
      <w:r w:rsidR="00925A1E" w:rsidRPr="006154DA">
        <w:t>=</w:t>
      </w:r>
      <w:r w:rsidR="00101007" w:rsidRPr="006154DA">
        <w:t>0.7</w:t>
      </w:r>
      <w:r w:rsidR="007B6129" w:rsidRPr="006154DA">
        <w:t>7</w:t>
      </w:r>
      <w:r w:rsidR="00925A1E" w:rsidRPr="006154DA">
        <w:t>;</w:t>
      </w:r>
      <w:r w:rsidR="00101007" w:rsidRPr="006154DA">
        <w:t xml:space="preserve"> 95%CI 0.52, 1.1</w:t>
      </w:r>
      <w:r w:rsidR="007B6129" w:rsidRPr="006154DA">
        <w:t>4</w:t>
      </w:r>
      <w:r w:rsidR="00925A1E" w:rsidRPr="006154DA">
        <w:t>;</w:t>
      </w:r>
      <w:r w:rsidR="00101007" w:rsidRPr="006154DA">
        <w:t xml:space="preserve"> two-sided p=0.1</w:t>
      </w:r>
      <w:r w:rsidR="007B6129" w:rsidRPr="006154DA">
        <w:t>7</w:t>
      </w:r>
      <w:r w:rsidR="00101007" w:rsidRPr="006154DA">
        <w:t>).</w:t>
      </w:r>
      <w:r w:rsidR="005303CF" w:rsidRPr="006154DA">
        <w:t xml:space="preserve"> </w:t>
      </w:r>
    </w:p>
    <w:p w14:paraId="29ECB55F" w14:textId="078DF02B" w:rsidR="00D30F1D" w:rsidRPr="006154DA" w:rsidRDefault="00D30F1D" w:rsidP="0015148F">
      <w:pPr>
        <w:pStyle w:val="3-BodyText"/>
        <w:numPr>
          <w:ilvl w:val="0"/>
          <w:numId w:val="10"/>
        </w:numPr>
        <w:ind w:left="1080"/>
      </w:pPr>
      <w:r w:rsidRPr="006154DA">
        <w:t>The longer-term follow-up of SWOG s0777 (Durie et. al. 2020) provided efficacy data on the subpopulation which did not go on to have a transplant (distinct from the population for which there was no intent to transplant, and likely to resemble more closely the TI NDMM population) and found BLd was statistically significantly superior to Ld in terms of PFS (HR= 0.</w:t>
      </w:r>
      <w:r w:rsidR="007B6129" w:rsidRPr="006154DA">
        <w:t>74</w:t>
      </w:r>
      <w:r w:rsidRPr="006154DA">
        <w:t>; 95% CI: 0.55, 0.98; p= 0.0</w:t>
      </w:r>
      <w:r w:rsidR="007B6129" w:rsidRPr="006154DA">
        <w:t>3</w:t>
      </w:r>
      <w:r w:rsidRPr="006154DA">
        <w:t>) and OS (HR</w:t>
      </w:r>
      <w:r w:rsidR="001C58FE" w:rsidRPr="006154DA">
        <w:t>=</w:t>
      </w:r>
      <w:r w:rsidR="001C58FE">
        <w:t> </w:t>
      </w:r>
      <w:r w:rsidRPr="006154DA">
        <w:t>0.63; 95% CI: 0.45,</w:t>
      </w:r>
      <w:r w:rsidR="007B6129" w:rsidRPr="006154DA">
        <w:t xml:space="preserve"> </w:t>
      </w:r>
      <w:r w:rsidRPr="006154DA">
        <w:t>0</w:t>
      </w:r>
      <w:r w:rsidR="007B6129" w:rsidRPr="006154DA">
        <w:t>.</w:t>
      </w:r>
      <w:r w:rsidRPr="006154DA">
        <w:t>8</w:t>
      </w:r>
      <w:r w:rsidR="007B6129" w:rsidRPr="006154DA">
        <w:t>9</w:t>
      </w:r>
      <w:r w:rsidRPr="006154DA">
        <w:t>).</w:t>
      </w:r>
    </w:p>
    <w:p w14:paraId="78F6C032" w14:textId="566E4CF3" w:rsidR="00D30F1D" w:rsidRPr="006154DA" w:rsidRDefault="00D30F1D" w:rsidP="0015148F">
      <w:pPr>
        <w:pStyle w:val="3-BodyText"/>
        <w:numPr>
          <w:ilvl w:val="0"/>
          <w:numId w:val="10"/>
        </w:numPr>
        <w:ind w:left="1080"/>
      </w:pPr>
      <w:r w:rsidRPr="006154DA">
        <w:t>BLd was listed on the PBS on the basis of a CUA compared to Ld, where the PBAC noted that BLd is clinically superior to Ld (para</w:t>
      </w:r>
      <w:r w:rsidR="005434AD" w:rsidRPr="006154DA">
        <w:t>graph</w:t>
      </w:r>
      <w:r w:rsidRPr="006154DA">
        <w:t xml:space="preserve"> 7.5, lenalidomide</w:t>
      </w:r>
      <w:r w:rsidR="00F1110F" w:rsidRPr="006154DA">
        <w:t xml:space="preserve"> </w:t>
      </w:r>
      <w:r w:rsidR="005434AD" w:rsidRPr="006154DA">
        <w:t>PSD</w:t>
      </w:r>
      <w:r w:rsidRPr="006154DA">
        <w:t xml:space="preserve">, August 2019 PBAC meeting). </w:t>
      </w:r>
      <w:r w:rsidR="00EF739C">
        <w:t>The pre-PBAC response stated that the conclusion that BLd was superior to Ld was in the broad NDMM setting, which include</w:t>
      </w:r>
      <w:r w:rsidR="0078569D">
        <w:t>d</w:t>
      </w:r>
      <w:r w:rsidR="00EF739C">
        <w:t xml:space="preserve"> both transplant eligible and ineligible patients. The pre-PBAC response stated that there </w:t>
      </w:r>
      <w:r w:rsidR="0078569D">
        <w:t>was</w:t>
      </w:r>
      <w:r w:rsidR="00EF739C">
        <w:t xml:space="preserve"> an increasing body of evidence demonstrating that the efficacy of BLd and Ld was similar in the TI NDMM setting</w:t>
      </w:r>
      <w:r w:rsidR="0078569D">
        <w:t>.</w:t>
      </w:r>
    </w:p>
    <w:p w14:paraId="2D383155" w14:textId="296F3663" w:rsidR="00D30F1D" w:rsidRPr="006154DA" w:rsidRDefault="00D30F1D" w:rsidP="00D30F1D">
      <w:pPr>
        <w:pStyle w:val="3-BodyText"/>
      </w:pPr>
      <w:r w:rsidRPr="006154DA">
        <w:t>When the populations of MAIA and SWOG s0777 were compared, it was noted that patients in MAIA were older, the proportion of males and Caucasians was higher, a higher proportion of patients were in ISS III and had worse cytogenetics (</w:t>
      </w:r>
      <w:r w:rsidR="00D81367" w:rsidRPr="006154DA">
        <w:t>see</w:t>
      </w:r>
      <w:r w:rsidR="00452F29" w:rsidRPr="006154DA">
        <w:t xml:space="preserve"> </w:t>
      </w:r>
      <w:r w:rsidR="00452F29" w:rsidRPr="006154DA">
        <w:fldChar w:fldCharType="begin"/>
      </w:r>
      <w:r w:rsidR="00452F29" w:rsidRPr="006154DA">
        <w:instrText xml:space="preserve"> REF _Ref122881178 \h  \* MERGEFORMAT </w:instrText>
      </w:r>
      <w:r w:rsidR="00452F29" w:rsidRPr="006154DA">
        <w:fldChar w:fldCharType="separate"/>
      </w:r>
      <w:r w:rsidR="008D65C7" w:rsidRPr="0058247A">
        <w:t xml:space="preserve">Table </w:t>
      </w:r>
      <w:r w:rsidR="008D65C7">
        <w:t>8</w:t>
      </w:r>
      <w:r w:rsidR="00452F29" w:rsidRPr="006154DA">
        <w:fldChar w:fldCharType="end"/>
      </w:r>
      <w:r w:rsidRPr="006154DA">
        <w:t xml:space="preserve">). </w:t>
      </w:r>
      <w:r w:rsidR="002F7A96" w:rsidRPr="006154DA">
        <w:lastRenderedPageBreak/>
        <w:t xml:space="preserve">Despite </w:t>
      </w:r>
      <w:r w:rsidR="00F258C8" w:rsidRPr="006154DA">
        <w:t>these differences</w:t>
      </w:r>
      <w:r w:rsidRPr="006154DA">
        <w:t xml:space="preserve">, an ITC using Ld as </w:t>
      </w:r>
      <w:r w:rsidR="002F7A96" w:rsidRPr="006154DA">
        <w:t xml:space="preserve">an anchor </w:t>
      </w:r>
      <w:r w:rsidRPr="006154DA">
        <w:t xml:space="preserve">might be informative </w:t>
      </w:r>
      <w:r w:rsidR="00925A1E" w:rsidRPr="006154DA">
        <w:t xml:space="preserve">with respect to </w:t>
      </w:r>
      <w:r w:rsidR="00330247" w:rsidRPr="006154DA">
        <w:t xml:space="preserve">the </w:t>
      </w:r>
      <w:r w:rsidR="00925A1E" w:rsidRPr="006154DA">
        <w:t xml:space="preserve">comparative </w:t>
      </w:r>
      <w:r w:rsidRPr="006154DA">
        <w:t xml:space="preserve">treatment effect between DLd and BLd. </w:t>
      </w:r>
    </w:p>
    <w:p w14:paraId="4751D193" w14:textId="5E3716C2" w:rsidR="00D30F1D" w:rsidRPr="0058247A" w:rsidRDefault="00D30F1D" w:rsidP="00D30F1D">
      <w:pPr>
        <w:pStyle w:val="Caption"/>
      </w:pPr>
      <w:bookmarkStart w:id="61" w:name="_Ref122881178"/>
      <w:r w:rsidRPr="0058247A">
        <w:t xml:space="preserve">Table </w:t>
      </w:r>
      <w:fldSimple w:instr=" SEQ Table \* ARABIC ">
        <w:r w:rsidR="008D65C7">
          <w:rPr>
            <w:noProof/>
          </w:rPr>
          <w:t>8</w:t>
        </w:r>
      </w:fldSimple>
      <w:bookmarkEnd w:id="61"/>
      <w:r w:rsidRPr="0058247A">
        <w:t>: Baseline demographic and disease characteristics that may affect transitivity</w:t>
      </w:r>
    </w:p>
    <w:tbl>
      <w:tblPr>
        <w:tblW w:w="5000" w:type="pct"/>
        <w:tblLayout w:type="fixed"/>
        <w:tblLook w:val="04A0" w:firstRow="1" w:lastRow="0" w:firstColumn="1" w:lastColumn="0" w:noHBand="0" w:noVBand="1"/>
      </w:tblPr>
      <w:tblGrid>
        <w:gridCol w:w="1252"/>
        <w:gridCol w:w="985"/>
        <w:gridCol w:w="970"/>
        <w:gridCol w:w="1037"/>
        <w:gridCol w:w="1037"/>
        <w:gridCol w:w="934"/>
        <w:gridCol w:w="934"/>
        <w:gridCol w:w="934"/>
        <w:gridCol w:w="934"/>
      </w:tblGrid>
      <w:tr w:rsidR="00D30F1D" w:rsidRPr="0058247A" w14:paraId="0DE93389" w14:textId="77777777" w:rsidTr="005434AD">
        <w:trPr>
          <w:trHeight w:val="20"/>
          <w:tblHeader/>
        </w:trPr>
        <w:tc>
          <w:tcPr>
            <w:tcW w:w="694" w:type="pct"/>
            <w:vMerge w:val="restar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28E1CA0C" w14:textId="77777777" w:rsidR="00D30F1D" w:rsidRPr="0058247A" w:rsidRDefault="00D30F1D" w:rsidP="00A25B4A">
            <w:pPr>
              <w:pStyle w:val="In-tableHeading"/>
              <w:rPr>
                <w:lang w:val="en-AU"/>
              </w:rPr>
            </w:pPr>
          </w:p>
        </w:tc>
        <w:tc>
          <w:tcPr>
            <w:tcW w:w="1084" w:type="pct"/>
            <w:gridSpan w:val="2"/>
            <w:tcBorders>
              <w:top w:val="single" w:sz="4" w:space="0" w:color="auto"/>
              <w:left w:val="nil"/>
              <w:bottom w:val="single" w:sz="4" w:space="0" w:color="auto"/>
              <w:right w:val="single" w:sz="4" w:space="0" w:color="auto"/>
            </w:tcBorders>
            <w:shd w:val="clear" w:color="auto" w:fill="auto"/>
            <w:tcMar>
              <w:left w:w="20" w:type="dxa"/>
              <w:right w:w="20" w:type="dxa"/>
            </w:tcMar>
          </w:tcPr>
          <w:p w14:paraId="7910F96F" w14:textId="77777777" w:rsidR="00D30F1D" w:rsidRPr="0058247A" w:rsidRDefault="00D30F1D" w:rsidP="00A25B4A">
            <w:pPr>
              <w:pStyle w:val="In-tableHeading"/>
              <w:jc w:val="center"/>
              <w:rPr>
                <w:lang w:val="en-AU"/>
              </w:rPr>
            </w:pPr>
            <w:r w:rsidRPr="0058247A">
              <w:rPr>
                <w:lang w:val="en-AU"/>
              </w:rPr>
              <w:t>MAIA – ITT</w:t>
            </w:r>
          </w:p>
        </w:tc>
        <w:tc>
          <w:tcPr>
            <w:tcW w:w="1150" w:type="pct"/>
            <w:gridSpan w:val="2"/>
            <w:tcBorders>
              <w:top w:val="single" w:sz="4" w:space="0" w:color="auto"/>
              <w:left w:val="nil"/>
              <w:bottom w:val="single" w:sz="4" w:space="0" w:color="auto"/>
              <w:right w:val="single" w:sz="4" w:space="0" w:color="auto"/>
            </w:tcBorders>
            <w:shd w:val="clear" w:color="auto" w:fill="auto"/>
            <w:tcMar>
              <w:left w:w="20" w:type="dxa"/>
              <w:right w:w="20" w:type="dxa"/>
            </w:tcMar>
          </w:tcPr>
          <w:p w14:paraId="1B3E17AE" w14:textId="77777777" w:rsidR="00D30F1D" w:rsidRPr="0058247A" w:rsidRDefault="00D30F1D" w:rsidP="00A25B4A">
            <w:pPr>
              <w:pStyle w:val="In-tableHeading"/>
              <w:jc w:val="center"/>
              <w:rPr>
                <w:lang w:val="en-AU"/>
              </w:rPr>
            </w:pPr>
            <w:r w:rsidRPr="0058247A">
              <w:rPr>
                <w:lang w:val="en-AU"/>
              </w:rPr>
              <w:t>SWOG s0777 – ITT</w:t>
            </w:r>
          </w:p>
        </w:tc>
        <w:tc>
          <w:tcPr>
            <w:tcW w:w="1036" w:type="pct"/>
            <w:gridSpan w:val="2"/>
            <w:tcBorders>
              <w:top w:val="single" w:sz="4" w:space="0" w:color="auto"/>
              <w:left w:val="nil"/>
              <w:bottom w:val="single" w:sz="4" w:space="0" w:color="auto"/>
              <w:right w:val="single" w:sz="4" w:space="0" w:color="auto"/>
            </w:tcBorders>
            <w:shd w:val="clear" w:color="auto" w:fill="auto"/>
            <w:tcMar>
              <w:left w:w="20" w:type="dxa"/>
              <w:right w:w="20" w:type="dxa"/>
            </w:tcMar>
          </w:tcPr>
          <w:p w14:paraId="381F2788" w14:textId="7799A055" w:rsidR="00D30F1D" w:rsidRPr="0058247A" w:rsidRDefault="00D30F1D" w:rsidP="00A25B4A">
            <w:pPr>
              <w:pStyle w:val="In-tableHeading"/>
              <w:jc w:val="center"/>
              <w:rPr>
                <w:lang w:val="en-AU"/>
              </w:rPr>
            </w:pPr>
            <w:r w:rsidRPr="0058247A">
              <w:rPr>
                <w:lang w:val="en-AU"/>
              </w:rPr>
              <w:t>SWOG s0777</w:t>
            </w:r>
            <w:r w:rsidR="005434AD" w:rsidRPr="0058247A">
              <w:rPr>
                <w:lang w:val="en-AU"/>
              </w:rPr>
              <w:t>:</w:t>
            </w:r>
            <w:r w:rsidRPr="0058247A">
              <w:rPr>
                <w:lang w:val="en-AU"/>
              </w:rPr>
              <w:t xml:space="preserve"> </w:t>
            </w:r>
            <w:r w:rsidR="005434AD" w:rsidRPr="0058247A">
              <w:rPr>
                <w:lang w:val="en-AU"/>
              </w:rPr>
              <w:br/>
            </w:r>
            <w:r w:rsidRPr="0058247A">
              <w:rPr>
                <w:lang w:val="en-AU"/>
              </w:rPr>
              <w:t>age</w:t>
            </w:r>
            <w:r w:rsidR="005434AD" w:rsidRPr="0058247A">
              <w:rPr>
                <w:lang w:val="en-AU"/>
              </w:rPr>
              <w:t xml:space="preserve"> </w:t>
            </w:r>
            <w:r w:rsidRPr="0058247A">
              <w:rPr>
                <w:lang w:val="en-AU"/>
              </w:rPr>
              <w:t>&lt;</w:t>
            </w:r>
            <w:r w:rsidR="005434AD" w:rsidRPr="0058247A">
              <w:rPr>
                <w:lang w:val="en-AU"/>
              </w:rPr>
              <w:t xml:space="preserve"> </w:t>
            </w:r>
            <w:r w:rsidRPr="0058247A">
              <w:rPr>
                <w:lang w:val="en-AU"/>
              </w:rPr>
              <w:t>65 subgroup</w:t>
            </w:r>
          </w:p>
        </w:tc>
        <w:tc>
          <w:tcPr>
            <w:tcW w:w="1036" w:type="pct"/>
            <w:gridSpan w:val="2"/>
            <w:tcBorders>
              <w:top w:val="single" w:sz="4" w:space="0" w:color="auto"/>
              <w:left w:val="nil"/>
              <w:bottom w:val="single" w:sz="4" w:space="0" w:color="auto"/>
              <w:right w:val="single" w:sz="4" w:space="0" w:color="auto"/>
            </w:tcBorders>
            <w:shd w:val="clear" w:color="auto" w:fill="auto"/>
            <w:tcMar>
              <w:left w:w="20" w:type="dxa"/>
              <w:right w:w="20" w:type="dxa"/>
            </w:tcMar>
          </w:tcPr>
          <w:p w14:paraId="1E3C6486" w14:textId="0714C913" w:rsidR="00D30F1D" w:rsidRPr="0058247A" w:rsidRDefault="00D30F1D" w:rsidP="00A25B4A">
            <w:pPr>
              <w:pStyle w:val="In-tableHeading"/>
              <w:jc w:val="center"/>
              <w:rPr>
                <w:lang w:val="en-AU"/>
              </w:rPr>
            </w:pPr>
            <w:r w:rsidRPr="0058247A">
              <w:rPr>
                <w:lang w:val="en-AU"/>
              </w:rPr>
              <w:t>SWOG s0777</w:t>
            </w:r>
            <w:r w:rsidR="005434AD" w:rsidRPr="0058247A">
              <w:rPr>
                <w:lang w:val="en-AU"/>
              </w:rPr>
              <w:t>:</w:t>
            </w:r>
            <w:r w:rsidR="005434AD" w:rsidRPr="0058247A">
              <w:rPr>
                <w:lang w:val="en-AU"/>
              </w:rPr>
              <w:br/>
            </w:r>
            <w:r w:rsidRPr="0058247A">
              <w:rPr>
                <w:lang w:val="en-AU"/>
              </w:rPr>
              <w:t>age</w:t>
            </w:r>
            <w:r w:rsidR="005434AD" w:rsidRPr="0058247A">
              <w:rPr>
                <w:lang w:val="en-AU"/>
              </w:rPr>
              <w:t xml:space="preserve"> </w:t>
            </w:r>
            <w:r w:rsidRPr="0058247A">
              <w:rPr>
                <w:lang w:val="en-AU"/>
              </w:rPr>
              <w:t>≥</w:t>
            </w:r>
            <w:r w:rsidR="005434AD" w:rsidRPr="0058247A">
              <w:rPr>
                <w:lang w:val="en-AU"/>
              </w:rPr>
              <w:t xml:space="preserve"> </w:t>
            </w:r>
            <w:r w:rsidRPr="0058247A">
              <w:rPr>
                <w:lang w:val="en-AU"/>
              </w:rPr>
              <w:t>65 subgroup</w:t>
            </w:r>
          </w:p>
        </w:tc>
      </w:tr>
      <w:tr w:rsidR="00D30F1D" w:rsidRPr="0058247A" w14:paraId="5EE10340" w14:textId="77777777" w:rsidTr="005434AD">
        <w:trPr>
          <w:trHeight w:val="20"/>
          <w:tblHeader/>
        </w:trPr>
        <w:tc>
          <w:tcPr>
            <w:tcW w:w="694" w:type="pct"/>
            <w:vMerge/>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hideMark/>
          </w:tcPr>
          <w:p w14:paraId="466AD3DA" w14:textId="77777777" w:rsidR="00D30F1D" w:rsidRPr="0058247A" w:rsidRDefault="00D30F1D" w:rsidP="00A25B4A">
            <w:pPr>
              <w:pStyle w:val="In-tableHeading"/>
              <w:rPr>
                <w:lang w:val="en-AU"/>
              </w:rPr>
            </w:pPr>
          </w:p>
        </w:tc>
        <w:tc>
          <w:tcPr>
            <w:tcW w:w="546" w:type="pct"/>
            <w:tcBorders>
              <w:top w:val="nil"/>
              <w:left w:val="nil"/>
              <w:bottom w:val="single" w:sz="4" w:space="0" w:color="auto"/>
              <w:right w:val="single" w:sz="4" w:space="0" w:color="auto"/>
            </w:tcBorders>
            <w:shd w:val="clear" w:color="auto" w:fill="auto"/>
            <w:tcMar>
              <w:left w:w="20" w:type="dxa"/>
              <w:right w:w="20" w:type="dxa"/>
            </w:tcMar>
          </w:tcPr>
          <w:p w14:paraId="0B4E3E2C" w14:textId="67FFE8C4" w:rsidR="00D30F1D" w:rsidRPr="0058247A" w:rsidRDefault="00D30F1D" w:rsidP="00A25B4A">
            <w:pPr>
              <w:pStyle w:val="In-tableHeading"/>
              <w:jc w:val="center"/>
              <w:rPr>
                <w:lang w:val="en-AU"/>
              </w:rPr>
            </w:pPr>
            <w:r w:rsidRPr="0058247A">
              <w:rPr>
                <w:lang w:val="en-AU"/>
              </w:rPr>
              <w:t xml:space="preserve">DLd </w:t>
            </w:r>
            <w:r w:rsidR="005434AD" w:rsidRPr="0058247A">
              <w:rPr>
                <w:lang w:val="en-AU"/>
              </w:rPr>
              <w:br/>
            </w:r>
            <w:r w:rsidRPr="0058247A">
              <w:rPr>
                <w:lang w:val="en-AU"/>
              </w:rPr>
              <w:t>(N= 368)</w:t>
            </w:r>
          </w:p>
        </w:tc>
        <w:tc>
          <w:tcPr>
            <w:tcW w:w="537" w:type="pct"/>
            <w:tcBorders>
              <w:top w:val="nil"/>
              <w:left w:val="nil"/>
              <w:bottom w:val="single" w:sz="4" w:space="0" w:color="auto"/>
              <w:right w:val="single" w:sz="4" w:space="0" w:color="auto"/>
            </w:tcBorders>
            <w:shd w:val="clear" w:color="auto" w:fill="auto"/>
            <w:tcMar>
              <w:left w:w="20" w:type="dxa"/>
              <w:right w:w="20" w:type="dxa"/>
            </w:tcMar>
          </w:tcPr>
          <w:p w14:paraId="53B3C7A5" w14:textId="5F91A35C" w:rsidR="00D30F1D" w:rsidRPr="0058247A" w:rsidRDefault="00D30F1D" w:rsidP="00A25B4A">
            <w:pPr>
              <w:pStyle w:val="In-tableHeading"/>
              <w:jc w:val="center"/>
              <w:rPr>
                <w:lang w:val="en-AU"/>
              </w:rPr>
            </w:pPr>
            <w:r w:rsidRPr="0058247A">
              <w:rPr>
                <w:lang w:val="en-AU"/>
              </w:rPr>
              <w:t xml:space="preserve">Ld </w:t>
            </w:r>
            <w:r w:rsidR="005434AD" w:rsidRPr="0058247A">
              <w:rPr>
                <w:lang w:val="en-AU"/>
              </w:rPr>
              <w:br/>
            </w:r>
            <w:r w:rsidRPr="0058247A">
              <w:rPr>
                <w:lang w:val="en-AU"/>
              </w:rPr>
              <w:t>(N= 369)</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32FEDE7B" w14:textId="7134D96F" w:rsidR="00D30F1D" w:rsidRPr="0058247A" w:rsidRDefault="00D30F1D" w:rsidP="00A25B4A">
            <w:pPr>
              <w:pStyle w:val="In-tableHeading"/>
              <w:jc w:val="center"/>
              <w:rPr>
                <w:lang w:val="en-AU"/>
              </w:rPr>
            </w:pPr>
            <w:r w:rsidRPr="0058247A">
              <w:rPr>
                <w:lang w:val="en-AU"/>
              </w:rPr>
              <w:t xml:space="preserve">BLd </w:t>
            </w:r>
            <w:r w:rsidR="005434AD" w:rsidRPr="0058247A">
              <w:rPr>
                <w:lang w:val="en-AU"/>
              </w:rPr>
              <w:br/>
            </w:r>
            <w:r w:rsidRPr="0058247A">
              <w:rPr>
                <w:lang w:val="en-AU"/>
              </w:rPr>
              <w:t>(N= 263)</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76A9F0D8" w14:textId="13866F70" w:rsidR="00D30F1D" w:rsidRPr="0058247A" w:rsidRDefault="00D30F1D" w:rsidP="00A25B4A">
            <w:pPr>
              <w:pStyle w:val="In-tableHeading"/>
              <w:jc w:val="center"/>
              <w:rPr>
                <w:lang w:val="en-AU"/>
              </w:rPr>
            </w:pPr>
            <w:r w:rsidRPr="0058247A">
              <w:rPr>
                <w:lang w:val="en-AU"/>
              </w:rPr>
              <w:t xml:space="preserve">Ld </w:t>
            </w:r>
            <w:r w:rsidR="005434AD" w:rsidRPr="0058247A">
              <w:rPr>
                <w:lang w:val="en-AU"/>
              </w:rPr>
              <w:br/>
            </w:r>
            <w:r w:rsidRPr="0058247A">
              <w:rPr>
                <w:lang w:val="en-AU"/>
              </w:rPr>
              <w:t>(N= 260)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70897857" w14:textId="276DD5C2" w:rsidR="00D30F1D" w:rsidRPr="0058247A" w:rsidRDefault="00D30F1D" w:rsidP="00A25B4A">
            <w:pPr>
              <w:pStyle w:val="In-tableHeading"/>
              <w:jc w:val="center"/>
              <w:rPr>
                <w:lang w:val="en-AU"/>
              </w:rPr>
            </w:pPr>
            <w:r w:rsidRPr="0058247A">
              <w:rPr>
                <w:lang w:val="en-AU"/>
              </w:rPr>
              <w:t xml:space="preserve">BLd </w:t>
            </w:r>
            <w:r w:rsidR="005434AD" w:rsidRPr="0058247A">
              <w:rPr>
                <w:lang w:val="en-AU"/>
              </w:rPr>
              <w:br/>
            </w:r>
            <w:r w:rsidRPr="0058247A">
              <w:rPr>
                <w:lang w:val="en-AU"/>
              </w:rPr>
              <w:t>(N= 149)</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64DA94C5" w14:textId="3BAE448D" w:rsidR="00D30F1D" w:rsidRPr="0058247A" w:rsidRDefault="00D30F1D" w:rsidP="00A25B4A">
            <w:pPr>
              <w:pStyle w:val="In-tableHeading"/>
              <w:jc w:val="center"/>
              <w:rPr>
                <w:lang w:val="en-AU"/>
              </w:rPr>
            </w:pPr>
            <w:r w:rsidRPr="0058247A">
              <w:rPr>
                <w:lang w:val="en-AU"/>
              </w:rPr>
              <w:t xml:space="preserve">Ld </w:t>
            </w:r>
            <w:r w:rsidR="005434AD" w:rsidRPr="0058247A">
              <w:rPr>
                <w:lang w:val="en-AU"/>
              </w:rPr>
              <w:br/>
            </w:r>
            <w:r w:rsidRPr="0058247A">
              <w:rPr>
                <w:lang w:val="en-AU"/>
              </w:rPr>
              <w:t>(N= 120)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308A2A73" w14:textId="27889D3B" w:rsidR="00D30F1D" w:rsidRPr="0058247A" w:rsidRDefault="00D30F1D" w:rsidP="00A25B4A">
            <w:pPr>
              <w:pStyle w:val="In-tableHeading"/>
              <w:jc w:val="center"/>
              <w:rPr>
                <w:lang w:val="en-AU"/>
              </w:rPr>
            </w:pPr>
            <w:r w:rsidRPr="0058247A">
              <w:rPr>
                <w:lang w:val="en-AU"/>
              </w:rPr>
              <w:t xml:space="preserve">BLd </w:t>
            </w:r>
            <w:r w:rsidR="005434AD" w:rsidRPr="0058247A">
              <w:rPr>
                <w:lang w:val="en-AU"/>
              </w:rPr>
              <w:br/>
            </w:r>
            <w:r w:rsidRPr="0058247A">
              <w:rPr>
                <w:lang w:val="en-AU"/>
              </w:rPr>
              <w:t>(N= 93)</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3F8B524C" w14:textId="3F04A944" w:rsidR="00D30F1D" w:rsidRPr="0058247A" w:rsidRDefault="00D30F1D" w:rsidP="00A25B4A">
            <w:pPr>
              <w:pStyle w:val="In-tableHeading"/>
              <w:jc w:val="center"/>
              <w:rPr>
                <w:lang w:val="en-AU"/>
              </w:rPr>
            </w:pPr>
            <w:r w:rsidRPr="0058247A">
              <w:rPr>
                <w:lang w:val="en-AU"/>
              </w:rPr>
              <w:t xml:space="preserve">Ld </w:t>
            </w:r>
            <w:r w:rsidR="005434AD" w:rsidRPr="0058247A">
              <w:rPr>
                <w:lang w:val="en-AU"/>
              </w:rPr>
              <w:br/>
            </w:r>
            <w:r w:rsidRPr="0058247A">
              <w:rPr>
                <w:lang w:val="en-AU"/>
              </w:rPr>
              <w:t>(N= 109)</w:t>
            </w:r>
          </w:p>
        </w:tc>
      </w:tr>
      <w:tr w:rsidR="00D30F1D" w:rsidRPr="0058247A" w14:paraId="2569234B" w14:textId="77777777" w:rsidTr="005434AD">
        <w:trPr>
          <w:trHeight w:val="20"/>
        </w:trPr>
        <w:tc>
          <w:tcPr>
            <w:tcW w:w="5000" w:type="pct"/>
            <w:gridSpan w:val="9"/>
            <w:tcBorders>
              <w:top w:val="nil"/>
              <w:left w:val="single" w:sz="4" w:space="0" w:color="auto"/>
              <w:bottom w:val="single" w:sz="4" w:space="0" w:color="auto"/>
              <w:right w:val="single" w:sz="4" w:space="0" w:color="auto"/>
            </w:tcBorders>
            <w:shd w:val="clear" w:color="auto" w:fill="auto"/>
            <w:tcMar>
              <w:left w:w="20" w:type="dxa"/>
              <w:right w:w="20" w:type="dxa"/>
            </w:tcMar>
          </w:tcPr>
          <w:p w14:paraId="79469FB0" w14:textId="7F6AFE2A" w:rsidR="00D30F1D" w:rsidRPr="0058247A" w:rsidRDefault="00D30F1D" w:rsidP="00A25B4A">
            <w:pPr>
              <w:pStyle w:val="TableText0"/>
              <w:rPr>
                <w:b/>
                <w:bCs w:val="0"/>
              </w:rPr>
            </w:pPr>
            <w:r w:rsidRPr="0058247A">
              <w:rPr>
                <w:b/>
                <w:bCs w:val="0"/>
              </w:rPr>
              <w:t xml:space="preserve">Age </w:t>
            </w:r>
          </w:p>
        </w:tc>
      </w:tr>
      <w:tr w:rsidR="00D30F1D" w:rsidRPr="0058247A" w14:paraId="7B06C8FA"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hideMark/>
          </w:tcPr>
          <w:p w14:paraId="4D7BAD91" w14:textId="730BCA58" w:rsidR="00D30F1D" w:rsidRPr="0058247A" w:rsidRDefault="00D30F1D" w:rsidP="00A25B4A">
            <w:pPr>
              <w:pStyle w:val="TableText0"/>
            </w:pPr>
            <w:r w:rsidRPr="0058247A">
              <w:t>Mean</w:t>
            </w:r>
            <w:r w:rsidR="005434AD" w:rsidRPr="0058247A">
              <w:t xml:space="preserve">, years </w:t>
            </w:r>
            <w:r w:rsidRPr="0058247A">
              <w:t>(SD)</w:t>
            </w:r>
          </w:p>
        </w:tc>
        <w:tc>
          <w:tcPr>
            <w:tcW w:w="546" w:type="pct"/>
            <w:tcBorders>
              <w:top w:val="nil"/>
              <w:left w:val="nil"/>
              <w:bottom w:val="single" w:sz="4" w:space="0" w:color="auto"/>
              <w:right w:val="single" w:sz="4" w:space="0" w:color="auto"/>
            </w:tcBorders>
            <w:shd w:val="clear" w:color="auto" w:fill="auto"/>
            <w:tcMar>
              <w:left w:w="20" w:type="dxa"/>
              <w:right w:w="20" w:type="dxa"/>
            </w:tcMar>
            <w:vAlign w:val="center"/>
          </w:tcPr>
          <w:p w14:paraId="1CBE6BCB" w14:textId="77777777" w:rsidR="00D30F1D" w:rsidRPr="0058247A" w:rsidRDefault="00D30F1D" w:rsidP="005434AD">
            <w:pPr>
              <w:pStyle w:val="TableText0"/>
              <w:jc w:val="center"/>
            </w:pPr>
            <w:r w:rsidRPr="0058247A">
              <w:t>74.0 (5.4)</w:t>
            </w:r>
          </w:p>
        </w:tc>
        <w:tc>
          <w:tcPr>
            <w:tcW w:w="537" w:type="pct"/>
            <w:tcBorders>
              <w:top w:val="nil"/>
              <w:left w:val="nil"/>
              <w:bottom w:val="single" w:sz="4" w:space="0" w:color="auto"/>
              <w:right w:val="single" w:sz="4" w:space="0" w:color="auto"/>
            </w:tcBorders>
            <w:shd w:val="clear" w:color="auto" w:fill="auto"/>
            <w:tcMar>
              <w:left w:w="20" w:type="dxa"/>
              <w:right w:w="20" w:type="dxa"/>
            </w:tcMar>
            <w:vAlign w:val="center"/>
          </w:tcPr>
          <w:p w14:paraId="503A1599" w14:textId="77777777" w:rsidR="00D30F1D" w:rsidRPr="0058247A" w:rsidRDefault="00D30F1D" w:rsidP="005434AD">
            <w:pPr>
              <w:pStyle w:val="TableText0"/>
              <w:jc w:val="center"/>
            </w:pPr>
            <w:r w:rsidRPr="0058247A">
              <w:t>74.2 (5.7)</w:t>
            </w:r>
          </w:p>
        </w:tc>
        <w:tc>
          <w:tcPr>
            <w:tcW w:w="575" w:type="pct"/>
            <w:tcBorders>
              <w:top w:val="nil"/>
              <w:left w:val="nil"/>
              <w:bottom w:val="single" w:sz="4" w:space="0" w:color="auto"/>
              <w:right w:val="single" w:sz="4" w:space="0" w:color="auto"/>
            </w:tcBorders>
            <w:shd w:val="clear" w:color="auto" w:fill="auto"/>
            <w:tcMar>
              <w:left w:w="20" w:type="dxa"/>
              <w:right w:w="20" w:type="dxa"/>
            </w:tcMar>
            <w:vAlign w:val="center"/>
          </w:tcPr>
          <w:p w14:paraId="5F5B7A07" w14:textId="77777777" w:rsidR="00D30F1D" w:rsidRPr="0058247A" w:rsidRDefault="00D30F1D" w:rsidP="005434AD">
            <w:pPr>
              <w:pStyle w:val="TableText0"/>
              <w:jc w:val="center"/>
            </w:pPr>
            <w:r w:rsidRPr="0058247A">
              <w:t>NR</w:t>
            </w:r>
          </w:p>
        </w:tc>
        <w:tc>
          <w:tcPr>
            <w:tcW w:w="575" w:type="pct"/>
            <w:tcBorders>
              <w:top w:val="nil"/>
              <w:left w:val="nil"/>
              <w:bottom w:val="single" w:sz="4" w:space="0" w:color="auto"/>
              <w:right w:val="single" w:sz="4" w:space="0" w:color="auto"/>
            </w:tcBorders>
            <w:shd w:val="clear" w:color="auto" w:fill="auto"/>
            <w:tcMar>
              <w:left w:w="20" w:type="dxa"/>
              <w:right w:w="20" w:type="dxa"/>
            </w:tcMar>
            <w:vAlign w:val="center"/>
          </w:tcPr>
          <w:p w14:paraId="53654A84"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6FE879F9" w14:textId="77777777" w:rsidR="00D30F1D" w:rsidRPr="0058247A" w:rsidRDefault="00D30F1D" w:rsidP="005434AD">
            <w:pPr>
              <w:pStyle w:val="TableText0"/>
              <w:jc w:val="center"/>
            </w:pPr>
            <w:r w:rsidRPr="0058247A">
              <w:t>56.1 (7.3)</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449C455C" w14:textId="77777777" w:rsidR="00D30F1D" w:rsidRPr="0058247A" w:rsidRDefault="00D30F1D" w:rsidP="005434AD">
            <w:pPr>
              <w:pStyle w:val="TableText0"/>
              <w:jc w:val="center"/>
            </w:pPr>
            <w:r w:rsidRPr="0058247A">
              <w:t>55.2 (7.1)</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3A1DB6A9" w14:textId="30DE5E76" w:rsidR="00D30F1D" w:rsidRPr="0058247A" w:rsidRDefault="00D30F1D" w:rsidP="005434AD">
            <w:pPr>
              <w:pStyle w:val="TableText0"/>
              <w:jc w:val="center"/>
            </w:pPr>
            <w:r w:rsidRPr="0058247A">
              <w:t>73.2 (5.6)</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20F53BE0" w14:textId="77777777" w:rsidR="00D30F1D" w:rsidRPr="0058247A" w:rsidRDefault="00D30F1D" w:rsidP="005434AD">
            <w:pPr>
              <w:pStyle w:val="TableText0"/>
              <w:jc w:val="center"/>
            </w:pPr>
            <w:r w:rsidRPr="0058247A">
              <w:t>72.2 (5.2)</w:t>
            </w:r>
          </w:p>
        </w:tc>
      </w:tr>
      <w:tr w:rsidR="00D30F1D" w:rsidRPr="0058247A" w14:paraId="7D1B08FB"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4E591F66" w14:textId="77777777" w:rsidR="00D30F1D" w:rsidRPr="0058247A" w:rsidRDefault="00D30F1D" w:rsidP="00A25B4A">
            <w:pPr>
              <w:pStyle w:val="TableText0"/>
            </w:pPr>
            <w:r w:rsidRPr="0058247A">
              <w:t>Median</w:t>
            </w:r>
          </w:p>
        </w:tc>
        <w:tc>
          <w:tcPr>
            <w:tcW w:w="546" w:type="pct"/>
            <w:tcBorders>
              <w:top w:val="nil"/>
              <w:left w:val="nil"/>
              <w:bottom w:val="single" w:sz="4" w:space="0" w:color="auto"/>
              <w:right w:val="single" w:sz="4" w:space="0" w:color="auto"/>
            </w:tcBorders>
            <w:shd w:val="clear" w:color="auto" w:fill="auto"/>
            <w:tcMar>
              <w:left w:w="20" w:type="dxa"/>
              <w:right w:w="20" w:type="dxa"/>
            </w:tcMar>
          </w:tcPr>
          <w:p w14:paraId="4C165A34" w14:textId="77777777" w:rsidR="00D30F1D" w:rsidRPr="0058247A" w:rsidRDefault="00D30F1D" w:rsidP="00A25B4A">
            <w:pPr>
              <w:pStyle w:val="TableText0"/>
              <w:jc w:val="center"/>
            </w:pPr>
            <w:r w:rsidRPr="0058247A">
              <w:t>73.0</w:t>
            </w:r>
          </w:p>
        </w:tc>
        <w:tc>
          <w:tcPr>
            <w:tcW w:w="537" w:type="pct"/>
            <w:tcBorders>
              <w:top w:val="nil"/>
              <w:left w:val="nil"/>
              <w:bottom w:val="single" w:sz="4" w:space="0" w:color="auto"/>
              <w:right w:val="single" w:sz="4" w:space="0" w:color="auto"/>
            </w:tcBorders>
            <w:shd w:val="clear" w:color="auto" w:fill="auto"/>
            <w:tcMar>
              <w:left w:w="20" w:type="dxa"/>
              <w:right w:w="20" w:type="dxa"/>
            </w:tcMar>
          </w:tcPr>
          <w:p w14:paraId="108F680B" w14:textId="77777777" w:rsidR="00D30F1D" w:rsidRPr="0058247A" w:rsidRDefault="00D30F1D" w:rsidP="00A25B4A">
            <w:pPr>
              <w:pStyle w:val="TableText0"/>
              <w:jc w:val="center"/>
            </w:pPr>
            <w:r w:rsidRPr="0058247A">
              <w:t>74.0</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689717BB" w14:textId="77777777" w:rsidR="00D30F1D" w:rsidRPr="0058247A" w:rsidRDefault="00D30F1D" w:rsidP="00A25B4A">
            <w:pPr>
              <w:pStyle w:val="TableText0"/>
              <w:jc w:val="center"/>
            </w:pPr>
            <w:r w:rsidRPr="0058247A">
              <w:t>63.0</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07764172" w14:textId="77777777" w:rsidR="00D30F1D" w:rsidRPr="0058247A" w:rsidRDefault="00D30F1D" w:rsidP="00A25B4A">
            <w:pPr>
              <w:pStyle w:val="TableText0"/>
              <w:jc w:val="center"/>
            </w:pPr>
            <w:r w:rsidRPr="0058247A">
              <w:t>63.0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5EB96417"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0941B09C"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3820F384"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632AD42F" w14:textId="77777777" w:rsidR="00D30F1D" w:rsidRPr="0058247A" w:rsidRDefault="00D30F1D" w:rsidP="00A25B4A">
            <w:pPr>
              <w:pStyle w:val="TableText0"/>
              <w:jc w:val="center"/>
            </w:pPr>
            <w:r w:rsidRPr="0058247A">
              <w:t>NR</w:t>
            </w:r>
          </w:p>
        </w:tc>
      </w:tr>
      <w:tr w:rsidR="00D30F1D" w:rsidRPr="0058247A" w14:paraId="03458B0B"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11347355" w14:textId="77777777" w:rsidR="00D30F1D" w:rsidRPr="0058247A" w:rsidRDefault="00D30F1D" w:rsidP="00A25B4A">
            <w:pPr>
              <w:pStyle w:val="TableText0"/>
            </w:pPr>
            <w:r w:rsidRPr="0058247A">
              <w:t>Range</w:t>
            </w:r>
          </w:p>
        </w:tc>
        <w:tc>
          <w:tcPr>
            <w:tcW w:w="546" w:type="pct"/>
            <w:tcBorders>
              <w:top w:val="nil"/>
              <w:left w:val="nil"/>
              <w:bottom w:val="single" w:sz="4" w:space="0" w:color="auto"/>
              <w:right w:val="single" w:sz="4" w:space="0" w:color="auto"/>
            </w:tcBorders>
            <w:shd w:val="clear" w:color="auto" w:fill="auto"/>
            <w:tcMar>
              <w:left w:w="20" w:type="dxa"/>
              <w:right w:w="20" w:type="dxa"/>
            </w:tcMar>
          </w:tcPr>
          <w:p w14:paraId="243937F5" w14:textId="77777777" w:rsidR="00D30F1D" w:rsidRPr="0058247A" w:rsidRDefault="00D30F1D" w:rsidP="00A25B4A">
            <w:pPr>
              <w:pStyle w:val="TableText0"/>
              <w:jc w:val="center"/>
            </w:pPr>
            <w:r w:rsidRPr="0058247A">
              <w:t>(45; 89)</w:t>
            </w:r>
          </w:p>
        </w:tc>
        <w:tc>
          <w:tcPr>
            <w:tcW w:w="537" w:type="pct"/>
            <w:tcBorders>
              <w:top w:val="nil"/>
              <w:left w:val="nil"/>
              <w:bottom w:val="single" w:sz="4" w:space="0" w:color="auto"/>
              <w:right w:val="single" w:sz="4" w:space="0" w:color="auto"/>
            </w:tcBorders>
            <w:shd w:val="clear" w:color="auto" w:fill="auto"/>
            <w:tcMar>
              <w:left w:w="20" w:type="dxa"/>
              <w:right w:w="20" w:type="dxa"/>
            </w:tcMar>
          </w:tcPr>
          <w:p w14:paraId="42246EB2" w14:textId="77777777" w:rsidR="00D30F1D" w:rsidRPr="0058247A" w:rsidRDefault="00D30F1D" w:rsidP="00A25B4A">
            <w:pPr>
              <w:pStyle w:val="TableText0"/>
              <w:jc w:val="center"/>
            </w:pPr>
            <w:r w:rsidRPr="0058247A">
              <w:t>(50; 90)</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0AB78174" w14:textId="77777777" w:rsidR="00D30F1D" w:rsidRPr="0058247A" w:rsidRDefault="00D30F1D" w:rsidP="00A25B4A">
            <w:pPr>
              <w:pStyle w:val="TableText0"/>
              <w:jc w:val="center"/>
            </w:pPr>
            <w:r w:rsidRPr="0058247A">
              <w:t>(35; 85)</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3CEDEA00" w14:textId="77777777" w:rsidR="00D30F1D" w:rsidRPr="0058247A" w:rsidRDefault="00D30F1D" w:rsidP="00A25B4A">
            <w:pPr>
              <w:pStyle w:val="TableText0"/>
              <w:jc w:val="center"/>
            </w:pPr>
            <w:r w:rsidRPr="0058247A">
              <w:t>(28; 87)</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0E36D7F2"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69071F80"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5150615E"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13B43442" w14:textId="77777777" w:rsidR="00D30F1D" w:rsidRPr="0058247A" w:rsidRDefault="00D30F1D" w:rsidP="00A25B4A">
            <w:pPr>
              <w:pStyle w:val="TableText0"/>
              <w:jc w:val="center"/>
            </w:pPr>
            <w:r w:rsidRPr="0058247A">
              <w:t>NR</w:t>
            </w:r>
          </w:p>
        </w:tc>
      </w:tr>
      <w:tr w:rsidR="00D30F1D" w:rsidRPr="0058247A" w14:paraId="2CFD23FA"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1DF3C7EA" w14:textId="265E8177" w:rsidR="00D30F1D" w:rsidRPr="0058247A" w:rsidRDefault="00D30F1D" w:rsidP="00A25B4A">
            <w:pPr>
              <w:pStyle w:val="TableText0"/>
            </w:pPr>
            <w:r w:rsidRPr="0058247A">
              <w:t>≥</w:t>
            </w:r>
            <w:r w:rsidR="005434AD" w:rsidRPr="0058247A">
              <w:t xml:space="preserve"> </w:t>
            </w:r>
            <w:r w:rsidRPr="0058247A">
              <w:t>65 years</w:t>
            </w:r>
            <w:r w:rsidR="005434AD" w:rsidRPr="0058247A">
              <w:t>, %</w:t>
            </w:r>
          </w:p>
        </w:tc>
        <w:tc>
          <w:tcPr>
            <w:tcW w:w="546" w:type="pct"/>
            <w:tcBorders>
              <w:top w:val="nil"/>
              <w:left w:val="nil"/>
              <w:bottom w:val="single" w:sz="4" w:space="0" w:color="auto"/>
              <w:right w:val="single" w:sz="4" w:space="0" w:color="auto"/>
            </w:tcBorders>
            <w:shd w:val="clear" w:color="auto" w:fill="auto"/>
            <w:tcMar>
              <w:left w:w="20" w:type="dxa"/>
              <w:right w:w="20" w:type="dxa"/>
            </w:tcMar>
          </w:tcPr>
          <w:p w14:paraId="2C492837" w14:textId="44E8B99B" w:rsidR="00D30F1D" w:rsidRPr="0058247A" w:rsidRDefault="00D30F1D" w:rsidP="00A25B4A">
            <w:pPr>
              <w:pStyle w:val="TableText0"/>
              <w:jc w:val="center"/>
            </w:pPr>
            <w:r w:rsidRPr="0058247A">
              <w:t>98.9%</w:t>
            </w:r>
          </w:p>
        </w:tc>
        <w:tc>
          <w:tcPr>
            <w:tcW w:w="537" w:type="pct"/>
            <w:tcBorders>
              <w:top w:val="nil"/>
              <w:left w:val="nil"/>
              <w:bottom w:val="single" w:sz="4" w:space="0" w:color="auto"/>
              <w:right w:val="single" w:sz="4" w:space="0" w:color="auto"/>
            </w:tcBorders>
            <w:shd w:val="clear" w:color="auto" w:fill="auto"/>
            <w:tcMar>
              <w:left w:w="20" w:type="dxa"/>
              <w:right w:w="20" w:type="dxa"/>
            </w:tcMar>
          </w:tcPr>
          <w:p w14:paraId="0D98860C" w14:textId="4628FBAB" w:rsidR="00D30F1D" w:rsidRPr="0058247A" w:rsidRDefault="00D30F1D" w:rsidP="00A25B4A">
            <w:pPr>
              <w:pStyle w:val="TableText0"/>
              <w:jc w:val="center"/>
            </w:pPr>
            <w:r w:rsidRPr="0058247A">
              <w:t>98.9%</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2F5B3973" w14:textId="409518E2" w:rsidR="00D30F1D" w:rsidRPr="0058247A" w:rsidRDefault="00D30F1D" w:rsidP="00A25B4A">
            <w:pPr>
              <w:pStyle w:val="TableText0"/>
              <w:jc w:val="center"/>
            </w:pPr>
            <w:r w:rsidRPr="0058247A">
              <w:t>38%</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59B7C85E" w14:textId="174CA28F" w:rsidR="00D30F1D" w:rsidRPr="0058247A" w:rsidRDefault="00D30F1D" w:rsidP="00A25B4A">
            <w:pPr>
              <w:pStyle w:val="TableText0"/>
              <w:jc w:val="center"/>
            </w:pPr>
            <w:r w:rsidRPr="0058247A">
              <w:t>48%</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7A8EA4F2" w14:textId="4348609E" w:rsidR="00D30F1D" w:rsidRPr="0058247A" w:rsidRDefault="00D30F1D" w:rsidP="00A25B4A">
            <w:pPr>
              <w:pStyle w:val="TableText0"/>
              <w:jc w:val="center"/>
            </w:pPr>
            <w:r w:rsidRPr="0058247A">
              <w:t>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4D5AE035" w14:textId="43B6FC40" w:rsidR="00D30F1D" w:rsidRPr="0058247A" w:rsidRDefault="00D30F1D" w:rsidP="00A25B4A">
            <w:pPr>
              <w:pStyle w:val="TableText0"/>
              <w:jc w:val="center"/>
            </w:pPr>
            <w:r w:rsidRPr="0058247A">
              <w:t>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32583AAE" w14:textId="6CFEC845" w:rsidR="00D30F1D" w:rsidRPr="0058247A" w:rsidRDefault="005434AD" w:rsidP="00A25B4A">
            <w:pPr>
              <w:pStyle w:val="TableText0"/>
              <w:jc w:val="center"/>
            </w:pPr>
            <w:r w:rsidRPr="0058247A">
              <w:t>1</w:t>
            </w:r>
            <w:r w:rsidR="00D30F1D" w:rsidRPr="0058247A">
              <w:t>00%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7DCFEE7D" w14:textId="7B87834A" w:rsidR="00D30F1D" w:rsidRPr="0058247A" w:rsidRDefault="00D30F1D" w:rsidP="00A25B4A">
            <w:pPr>
              <w:pStyle w:val="TableText0"/>
              <w:jc w:val="center"/>
            </w:pPr>
            <w:r w:rsidRPr="0058247A">
              <w:t>100%</w:t>
            </w:r>
          </w:p>
        </w:tc>
      </w:tr>
      <w:tr w:rsidR="00D30F1D" w:rsidRPr="0058247A" w14:paraId="455801EA" w14:textId="77777777" w:rsidTr="005434AD">
        <w:trPr>
          <w:trHeight w:val="20"/>
        </w:trPr>
        <w:tc>
          <w:tcPr>
            <w:tcW w:w="5000" w:type="pct"/>
            <w:gridSpan w:val="9"/>
            <w:tcBorders>
              <w:top w:val="nil"/>
              <w:left w:val="single" w:sz="4" w:space="0" w:color="auto"/>
              <w:bottom w:val="single" w:sz="4" w:space="0" w:color="auto"/>
              <w:right w:val="single" w:sz="4" w:space="0" w:color="auto"/>
            </w:tcBorders>
            <w:shd w:val="clear" w:color="auto" w:fill="auto"/>
            <w:tcMar>
              <w:left w:w="20" w:type="dxa"/>
              <w:right w:w="20" w:type="dxa"/>
            </w:tcMar>
          </w:tcPr>
          <w:p w14:paraId="0659FD53" w14:textId="77777777" w:rsidR="00D30F1D" w:rsidRPr="0058247A" w:rsidRDefault="00D30F1D" w:rsidP="00A25B4A">
            <w:pPr>
              <w:pStyle w:val="TableText0"/>
              <w:rPr>
                <w:b/>
                <w:bCs w:val="0"/>
              </w:rPr>
            </w:pPr>
            <w:r w:rsidRPr="0058247A">
              <w:rPr>
                <w:b/>
                <w:bCs w:val="0"/>
              </w:rPr>
              <w:t>Sex, n (%)</w:t>
            </w:r>
          </w:p>
        </w:tc>
      </w:tr>
      <w:tr w:rsidR="00D30F1D" w:rsidRPr="0058247A" w14:paraId="19476B5D"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5C4E40A7" w14:textId="2302993F" w:rsidR="00D30F1D" w:rsidRPr="0058247A" w:rsidRDefault="00D30F1D" w:rsidP="00A25B4A">
            <w:pPr>
              <w:pStyle w:val="TableText0"/>
            </w:pPr>
            <w:r w:rsidRPr="0058247A">
              <w:t>Male</w:t>
            </w:r>
            <w:r w:rsidR="005434AD" w:rsidRPr="0058247A">
              <w:t>, %</w:t>
            </w:r>
          </w:p>
        </w:tc>
        <w:tc>
          <w:tcPr>
            <w:tcW w:w="546" w:type="pct"/>
            <w:tcBorders>
              <w:top w:val="nil"/>
              <w:left w:val="nil"/>
              <w:bottom w:val="single" w:sz="4" w:space="0" w:color="auto"/>
              <w:right w:val="single" w:sz="4" w:space="0" w:color="auto"/>
            </w:tcBorders>
            <w:shd w:val="clear" w:color="auto" w:fill="auto"/>
            <w:tcMar>
              <w:left w:w="20" w:type="dxa"/>
              <w:right w:w="20" w:type="dxa"/>
            </w:tcMar>
          </w:tcPr>
          <w:p w14:paraId="41132DEB" w14:textId="6E261D29" w:rsidR="00D30F1D" w:rsidRPr="0058247A" w:rsidRDefault="00D30F1D" w:rsidP="00A25B4A">
            <w:pPr>
              <w:pStyle w:val="TableText0"/>
              <w:jc w:val="center"/>
            </w:pPr>
            <w:r w:rsidRPr="0058247A">
              <w:t>51.4%</w:t>
            </w:r>
          </w:p>
        </w:tc>
        <w:tc>
          <w:tcPr>
            <w:tcW w:w="537" w:type="pct"/>
            <w:tcBorders>
              <w:top w:val="nil"/>
              <w:left w:val="nil"/>
              <w:bottom w:val="single" w:sz="4" w:space="0" w:color="auto"/>
              <w:right w:val="single" w:sz="4" w:space="0" w:color="auto"/>
            </w:tcBorders>
            <w:shd w:val="clear" w:color="auto" w:fill="auto"/>
            <w:tcMar>
              <w:left w:w="20" w:type="dxa"/>
              <w:right w:w="20" w:type="dxa"/>
            </w:tcMar>
          </w:tcPr>
          <w:p w14:paraId="17D575C0" w14:textId="3014443B" w:rsidR="00D30F1D" w:rsidRPr="0058247A" w:rsidRDefault="00D30F1D" w:rsidP="00A25B4A">
            <w:pPr>
              <w:pStyle w:val="TableText0"/>
              <w:jc w:val="center"/>
            </w:pPr>
            <w:r w:rsidRPr="0058247A">
              <w:t>52.8%</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7313175F" w14:textId="1663284A" w:rsidR="00D30F1D" w:rsidRPr="0058247A" w:rsidRDefault="00D30F1D" w:rsidP="00A25B4A">
            <w:pPr>
              <w:pStyle w:val="TableText0"/>
              <w:jc w:val="center"/>
            </w:pPr>
            <w:r w:rsidRPr="0058247A">
              <w:t>62.4%</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3E74826F" w14:textId="3FB3F3E2" w:rsidR="00D30F1D" w:rsidRPr="0058247A" w:rsidRDefault="00D30F1D" w:rsidP="00A25B4A">
            <w:pPr>
              <w:pStyle w:val="TableText0"/>
              <w:jc w:val="center"/>
            </w:pPr>
            <w:r w:rsidRPr="0058247A">
              <w:t>52.7%</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16BCBDF5" w14:textId="77777777" w:rsidR="00D30F1D" w:rsidRPr="0058247A" w:rsidRDefault="00D30F1D" w:rsidP="00A25B4A">
            <w:pPr>
              <w:pStyle w:val="TableText0"/>
              <w:jc w:val="center"/>
            </w:pPr>
            <w:r w:rsidRPr="0058247A">
              <w:t>63%</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61D02D7A" w14:textId="77777777" w:rsidR="00D30F1D" w:rsidRPr="0058247A" w:rsidRDefault="00D30F1D" w:rsidP="00A25B4A">
            <w:pPr>
              <w:pStyle w:val="TableText0"/>
              <w:jc w:val="center"/>
            </w:pPr>
            <w:r w:rsidRPr="0058247A">
              <w:t>50%</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0A6D9A7C" w14:textId="77777777" w:rsidR="00D30F1D" w:rsidRPr="0058247A" w:rsidRDefault="00D30F1D" w:rsidP="00A25B4A">
            <w:pPr>
              <w:pStyle w:val="TableText0"/>
              <w:jc w:val="center"/>
            </w:pPr>
            <w:r w:rsidRPr="0058247A">
              <w:t>63%</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29CC2F83" w14:textId="77777777" w:rsidR="00D30F1D" w:rsidRPr="0058247A" w:rsidRDefault="00D30F1D" w:rsidP="00A25B4A">
            <w:pPr>
              <w:pStyle w:val="TableText0"/>
              <w:jc w:val="center"/>
            </w:pPr>
            <w:r w:rsidRPr="0058247A">
              <w:t>57%</w:t>
            </w:r>
          </w:p>
        </w:tc>
      </w:tr>
      <w:tr w:rsidR="00D30F1D" w:rsidRPr="0058247A" w14:paraId="54830269" w14:textId="77777777" w:rsidTr="005434AD">
        <w:trPr>
          <w:trHeight w:val="20"/>
        </w:trPr>
        <w:tc>
          <w:tcPr>
            <w:tcW w:w="5000" w:type="pct"/>
            <w:gridSpan w:val="9"/>
            <w:tcBorders>
              <w:top w:val="nil"/>
              <w:left w:val="single" w:sz="4" w:space="0" w:color="auto"/>
              <w:bottom w:val="single" w:sz="4" w:space="0" w:color="auto"/>
              <w:right w:val="single" w:sz="4" w:space="0" w:color="auto"/>
            </w:tcBorders>
            <w:shd w:val="clear" w:color="auto" w:fill="auto"/>
            <w:tcMar>
              <w:left w:w="20" w:type="dxa"/>
              <w:right w:w="20" w:type="dxa"/>
            </w:tcMar>
          </w:tcPr>
          <w:p w14:paraId="63EEA028" w14:textId="5394D309" w:rsidR="00D30F1D" w:rsidRPr="0058247A" w:rsidRDefault="00D30F1D" w:rsidP="00A25B4A">
            <w:pPr>
              <w:pStyle w:val="TableText0"/>
              <w:rPr>
                <w:b/>
                <w:bCs w:val="0"/>
              </w:rPr>
            </w:pPr>
            <w:r w:rsidRPr="0058247A">
              <w:rPr>
                <w:b/>
                <w:bCs w:val="0"/>
              </w:rPr>
              <w:t>Race</w:t>
            </w:r>
            <w:r w:rsidR="005434AD" w:rsidRPr="0058247A">
              <w:rPr>
                <w:b/>
                <w:bCs w:val="0"/>
              </w:rPr>
              <w:t>, %</w:t>
            </w:r>
          </w:p>
        </w:tc>
      </w:tr>
      <w:tr w:rsidR="00D30F1D" w:rsidRPr="0058247A" w14:paraId="401DB9D6"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hideMark/>
          </w:tcPr>
          <w:p w14:paraId="410054DB" w14:textId="77777777" w:rsidR="00D30F1D" w:rsidRPr="0058247A" w:rsidRDefault="00D30F1D" w:rsidP="00A25B4A">
            <w:pPr>
              <w:pStyle w:val="TableText0"/>
            </w:pPr>
            <w:r w:rsidRPr="0058247A">
              <w:t>White</w:t>
            </w:r>
          </w:p>
        </w:tc>
        <w:tc>
          <w:tcPr>
            <w:tcW w:w="546" w:type="pct"/>
            <w:tcBorders>
              <w:top w:val="nil"/>
              <w:left w:val="nil"/>
              <w:bottom w:val="single" w:sz="4" w:space="0" w:color="auto"/>
              <w:right w:val="single" w:sz="4" w:space="0" w:color="auto"/>
            </w:tcBorders>
            <w:shd w:val="clear" w:color="auto" w:fill="auto"/>
            <w:tcMar>
              <w:left w:w="20" w:type="dxa"/>
              <w:right w:w="20" w:type="dxa"/>
            </w:tcMar>
          </w:tcPr>
          <w:p w14:paraId="44C41FD0" w14:textId="79747E6F" w:rsidR="00D30F1D" w:rsidRPr="0058247A" w:rsidRDefault="00D30F1D" w:rsidP="00A25B4A">
            <w:pPr>
              <w:pStyle w:val="TableText0"/>
              <w:jc w:val="center"/>
            </w:pPr>
            <w:r w:rsidRPr="0058247A">
              <w:t>91.3%</w:t>
            </w:r>
          </w:p>
        </w:tc>
        <w:tc>
          <w:tcPr>
            <w:tcW w:w="537" w:type="pct"/>
            <w:tcBorders>
              <w:top w:val="nil"/>
              <w:left w:val="nil"/>
              <w:bottom w:val="single" w:sz="4" w:space="0" w:color="auto"/>
              <w:right w:val="single" w:sz="4" w:space="0" w:color="auto"/>
            </w:tcBorders>
            <w:shd w:val="clear" w:color="auto" w:fill="auto"/>
            <w:tcMar>
              <w:left w:w="20" w:type="dxa"/>
              <w:right w:w="20" w:type="dxa"/>
            </w:tcMar>
          </w:tcPr>
          <w:p w14:paraId="330548A1" w14:textId="3A7E86B5" w:rsidR="00D30F1D" w:rsidRPr="0058247A" w:rsidRDefault="00D30F1D" w:rsidP="00A25B4A">
            <w:pPr>
              <w:pStyle w:val="TableText0"/>
              <w:jc w:val="center"/>
            </w:pPr>
            <w:r w:rsidRPr="0058247A">
              <w:t>91.9%</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6CC008B3" w14:textId="06E345DB" w:rsidR="00D30F1D" w:rsidRPr="0058247A" w:rsidRDefault="00D30F1D" w:rsidP="00A25B4A">
            <w:pPr>
              <w:pStyle w:val="TableText0"/>
              <w:jc w:val="center"/>
            </w:pPr>
            <w:r w:rsidRPr="0058247A">
              <w:t>79.8%</w:t>
            </w:r>
          </w:p>
        </w:tc>
        <w:tc>
          <w:tcPr>
            <w:tcW w:w="575" w:type="pct"/>
            <w:tcBorders>
              <w:top w:val="nil"/>
              <w:left w:val="nil"/>
              <w:bottom w:val="single" w:sz="4" w:space="0" w:color="auto"/>
              <w:right w:val="single" w:sz="4" w:space="0" w:color="auto"/>
            </w:tcBorders>
            <w:shd w:val="clear" w:color="auto" w:fill="auto"/>
            <w:tcMar>
              <w:left w:w="20" w:type="dxa"/>
              <w:right w:w="20" w:type="dxa"/>
            </w:tcMar>
          </w:tcPr>
          <w:p w14:paraId="1E1AAE6B" w14:textId="67D5FD5B" w:rsidR="00D30F1D" w:rsidRPr="0058247A" w:rsidRDefault="00D30F1D" w:rsidP="00A25B4A">
            <w:pPr>
              <w:pStyle w:val="TableText0"/>
              <w:jc w:val="center"/>
            </w:pPr>
            <w:r w:rsidRPr="0058247A">
              <w:t>79.6%</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00A20E39"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640861E5"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30A06915" w14:textId="77777777" w:rsidR="00D30F1D" w:rsidRPr="0058247A" w:rsidRDefault="00D30F1D" w:rsidP="00A25B4A">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tcPr>
          <w:p w14:paraId="14EC163C" w14:textId="77777777" w:rsidR="00D30F1D" w:rsidRPr="0058247A" w:rsidRDefault="00D30F1D" w:rsidP="00A25B4A">
            <w:pPr>
              <w:pStyle w:val="TableText0"/>
              <w:jc w:val="center"/>
            </w:pPr>
            <w:r w:rsidRPr="0058247A">
              <w:t>NR</w:t>
            </w:r>
          </w:p>
        </w:tc>
      </w:tr>
      <w:tr w:rsidR="00D30F1D" w:rsidRPr="0058247A" w14:paraId="041F4671"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4F6F2FDE" w14:textId="77777777" w:rsidR="00D30F1D" w:rsidRPr="0058247A" w:rsidRDefault="00D30F1D" w:rsidP="00A25B4A">
            <w:pPr>
              <w:pStyle w:val="TableText0"/>
            </w:pPr>
            <w:r w:rsidRPr="0058247A">
              <w:t>Black or African American</w:t>
            </w:r>
          </w:p>
        </w:tc>
        <w:tc>
          <w:tcPr>
            <w:tcW w:w="546" w:type="pct"/>
            <w:tcBorders>
              <w:top w:val="nil"/>
              <w:left w:val="nil"/>
              <w:bottom w:val="single" w:sz="4" w:space="0" w:color="auto"/>
              <w:right w:val="single" w:sz="4" w:space="0" w:color="auto"/>
            </w:tcBorders>
            <w:shd w:val="clear" w:color="auto" w:fill="auto"/>
            <w:tcMar>
              <w:left w:w="20" w:type="dxa"/>
              <w:right w:w="20" w:type="dxa"/>
            </w:tcMar>
            <w:vAlign w:val="center"/>
          </w:tcPr>
          <w:p w14:paraId="778C2B6A" w14:textId="2B0277B3" w:rsidR="00D30F1D" w:rsidRPr="0058247A" w:rsidRDefault="00D30F1D" w:rsidP="005434AD">
            <w:pPr>
              <w:pStyle w:val="TableText0"/>
              <w:jc w:val="center"/>
            </w:pPr>
            <w:r w:rsidRPr="0058247A">
              <w:t>3.3%</w:t>
            </w:r>
          </w:p>
        </w:tc>
        <w:tc>
          <w:tcPr>
            <w:tcW w:w="537" w:type="pct"/>
            <w:tcBorders>
              <w:top w:val="nil"/>
              <w:left w:val="nil"/>
              <w:bottom w:val="single" w:sz="4" w:space="0" w:color="auto"/>
              <w:right w:val="single" w:sz="4" w:space="0" w:color="auto"/>
            </w:tcBorders>
            <w:shd w:val="clear" w:color="auto" w:fill="auto"/>
            <w:tcMar>
              <w:left w:w="20" w:type="dxa"/>
              <w:right w:w="20" w:type="dxa"/>
            </w:tcMar>
            <w:vAlign w:val="center"/>
          </w:tcPr>
          <w:p w14:paraId="576A848E" w14:textId="6EA744F2" w:rsidR="00D30F1D" w:rsidRPr="0058247A" w:rsidRDefault="00D30F1D" w:rsidP="005434AD">
            <w:pPr>
              <w:pStyle w:val="TableText0"/>
              <w:jc w:val="center"/>
            </w:pPr>
            <w:r w:rsidRPr="0058247A">
              <w:t>4.3%</w:t>
            </w:r>
          </w:p>
        </w:tc>
        <w:tc>
          <w:tcPr>
            <w:tcW w:w="575" w:type="pct"/>
            <w:vMerge w:val="restart"/>
            <w:tcBorders>
              <w:top w:val="nil"/>
              <w:left w:val="nil"/>
              <w:right w:val="single" w:sz="4" w:space="0" w:color="auto"/>
            </w:tcBorders>
            <w:shd w:val="clear" w:color="auto" w:fill="auto"/>
            <w:tcMar>
              <w:left w:w="20" w:type="dxa"/>
              <w:right w:w="20" w:type="dxa"/>
            </w:tcMar>
            <w:vAlign w:val="center"/>
          </w:tcPr>
          <w:p w14:paraId="2C6C2FF3" w14:textId="3160968D" w:rsidR="00D30F1D" w:rsidRPr="0058247A" w:rsidRDefault="00D30F1D" w:rsidP="005434AD">
            <w:pPr>
              <w:pStyle w:val="TableText0"/>
              <w:jc w:val="center"/>
            </w:pPr>
            <w:r w:rsidRPr="0058247A">
              <w:t>Non-Caucasian: 17.5%; Unknown: 2.7%</w:t>
            </w:r>
          </w:p>
        </w:tc>
        <w:tc>
          <w:tcPr>
            <w:tcW w:w="575" w:type="pct"/>
            <w:vMerge w:val="restart"/>
            <w:tcBorders>
              <w:top w:val="nil"/>
              <w:left w:val="nil"/>
              <w:right w:val="single" w:sz="4" w:space="0" w:color="auto"/>
            </w:tcBorders>
            <w:shd w:val="clear" w:color="auto" w:fill="auto"/>
            <w:tcMar>
              <w:left w:w="20" w:type="dxa"/>
              <w:right w:w="20" w:type="dxa"/>
            </w:tcMar>
            <w:vAlign w:val="center"/>
          </w:tcPr>
          <w:p w14:paraId="4D785A7D" w14:textId="049BFE88" w:rsidR="00D30F1D" w:rsidRPr="0058247A" w:rsidRDefault="00D30F1D" w:rsidP="005434AD">
            <w:pPr>
              <w:pStyle w:val="TableText0"/>
              <w:jc w:val="center"/>
            </w:pPr>
            <w:r w:rsidRPr="0058247A">
              <w:t>Non-Caucasian: 18.1</w:t>
            </w:r>
            <w:r w:rsidR="005434AD" w:rsidRPr="0058247A">
              <w:t>%</w:t>
            </w:r>
            <w:r w:rsidRPr="0058247A">
              <w:t>; Unknown: 2.3%</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1D3445C1"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7964B681"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27BA7850"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37A65BDF" w14:textId="77777777" w:rsidR="00D30F1D" w:rsidRPr="0058247A" w:rsidRDefault="00D30F1D" w:rsidP="005434AD">
            <w:pPr>
              <w:pStyle w:val="TableText0"/>
              <w:jc w:val="center"/>
            </w:pPr>
            <w:r w:rsidRPr="0058247A">
              <w:t>NR</w:t>
            </w:r>
          </w:p>
        </w:tc>
      </w:tr>
      <w:tr w:rsidR="00D30F1D" w:rsidRPr="0058247A" w14:paraId="009D613B"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3EDE1B04" w14:textId="77777777" w:rsidR="00D30F1D" w:rsidRPr="0058247A" w:rsidRDefault="00D30F1D" w:rsidP="00A25B4A">
            <w:pPr>
              <w:pStyle w:val="TableText0"/>
            </w:pPr>
            <w:r w:rsidRPr="0058247A">
              <w:t>Asian</w:t>
            </w:r>
          </w:p>
        </w:tc>
        <w:tc>
          <w:tcPr>
            <w:tcW w:w="546" w:type="pct"/>
            <w:tcBorders>
              <w:top w:val="nil"/>
              <w:left w:val="nil"/>
              <w:bottom w:val="single" w:sz="4" w:space="0" w:color="auto"/>
              <w:right w:val="single" w:sz="4" w:space="0" w:color="auto"/>
            </w:tcBorders>
            <w:shd w:val="clear" w:color="auto" w:fill="auto"/>
            <w:tcMar>
              <w:left w:w="20" w:type="dxa"/>
              <w:right w:w="20" w:type="dxa"/>
            </w:tcMar>
            <w:vAlign w:val="center"/>
          </w:tcPr>
          <w:p w14:paraId="69BF4A9B" w14:textId="7057A6B3" w:rsidR="00D30F1D" w:rsidRPr="0058247A" w:rsidRDefault="00D30F1D" w:rsidP="005434AD">
            <w:pPr>
              <w:pStyle w:val="TableText0"/>
              <w:jc w:val="center"/>
            </w:pPr>
            <w:r w:rsidRPr="0058247A">
              <w:t>0.8%</w:t>
            </w:r>
          </w:p>
        </w:tc>
        <w:tc>
          <w:tcPr>
            <w:tcW w:w="537" w:type="pct"/>
            <w:tcBorders>
              <w:top w:val="nil"/>
              <w:left w:val="nil"/>
              <w:bottom w:val="single" w:sz="4" w:space="0" w:color="auto"/>
              <w:right w:val="single" w:sz="4" w:space="0" w:color="auto"/>
            </w:tcBorders>
            <w:shd w:val="clear" w:color="auto" w:fill="auto"/>
            <w:tcMar>
              <w:left w:w="20" w:type="dxa"/>
              <w:right w:w="20" w:type="dxa"/>
            </w:tcMar>
            <w:vAlign w:val="center"/>
          </w:tcPr>
          <w:p w14:paraId="6A9E1A8F" w14:textId="481BA4F6" w:rsidR="00D30F1D" w:rsidRPr="0058247A" w:rsidRDefault="00D30F1D" w:rsidP="005434AD">
            <w:pPr>
              <w:pStyle w:val="TableText0"/>
              <w:jc w:val="center"/>
            </w:pPr>
            <w:r w:rsidRPr="0058247A">
              <w:t>0.5%</w:t>
            </w:r>
          </w:p>
        </w:tc>
        <w:tc>
          <w:tcPr>
            <w:tcW w:w="575" w:type="pct"/>
            <w:vMerge/>
            <w:tcBorders>
              <w:left w:val="nil"/>
              <w:right w:val="single" w:sz="4" w:space="0" w:color="auto"/>
            </w:tcBorders>
            <w:shd w:val="clear" w:color="auto" w:fill="auto"/>
            <w:tcMar>
              <w:left w:w="20" w:type="dxa"/>
              <w:right w:w="20" w:type="dxa"/>
            </w:tcMar>
            <w:vAlign w:val="center"/>
          </w:tcPr>
          <w:p w14:paraId="4E6DE2A0" w14:textId="77777777" w:rsidR="00D30F1D" w:rsidRPr="0058247A" w:rsidRDefault="00D30F1D" w:rsidP="005434AD">
            <w:pPr>
              <w:pStyle w:val="TableText0"/>
              <w:jc w:val="center"/>
            </w:pPr>
          </w:p>
        </w:tc>
        <w:tc>
          <w:tcPr>
            <w:tcW w:w="575" w:type="pct"/>
            <w:vMerge/>
            <w:tcBorders>
              <w:left w:val="nil"/>
              <w:right w:val="single" w:sz="4" w:space="0" w:color="auto"/>
            </w:tcBorders>
            <w:shd w:val="clear" w:color="auto" w:fill="auto"/>
            <w:tcMar>
              <w:left w:w="20" w:type="dxa"/>
              <w:right w:w="20" w:type="dxa"/>
            </w:tcMar>
            <w:vAlign w:val="center"/>
          </w:tcPr>
          <w:p w14:paraId="689BE592" w14:textId="77777777" w:rsidR="00D30F1D" w:rsidRPr="0058247A" w:rsidRDefault="00D30F1D" w:rsidP="005434AD">
            <w:pPr>
              <w:pStyle w:val="TableText0"/>
              <w:jc w:val="center"/>
            </w:pP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3FC2FCE3"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366C6B0E"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7853C2B6"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4061BD06" w14:textId="77777777" w:rsidR="00D30F1D" w:rsidRPr="0058247A" w:rsidRDefault="00D30F1D" w:rsidP="005434AD">
            <w:pPr>
              <w:pStyle w:val="TableText0"/>
              <w:jc w:val="center"/>
            </w:pPr>
            <w:r w:rsidRPr="0058247A">
              <w:t>NR</w:t>
            </w:r>
          </w:p>
        </w:tc>
      </w:tr>
      <w:tr w:rsidR="00D30F1D" w:rsidRPr="0058247A" w14:paraId="6F1B2544" w14:textId="77777777" w:rsidTr="005434AD">
        <w:trPr>
          <w:trHeight w:val="20"/>
        </w:trPr>
        <w:tc>
          <w:tcPr>
            <w:tcW w:w="694" w:type="pct"/>
            <w:tcBorders>
              <w:top w:val="nil"/>
              <w:left w:val="single" w:sz="4" w:space="0" w:color="auto"/>
              <w:bottom w:val="single" w:sz="4" w:space="0" w:color="auto"/>
              <w:right w:val="single" w:sz="4" w:space="0" w:color="auto"/>
            </w:tcBorders>
            <w:shd w:val="clear" w:color="auto" w:fill="auto"/>
            <w:tcMar>
              <w:left w:w="20" w:type="dxa"/>
              <w:right w:w="20" w:type="dxa"/>
            </w:tcMar>
          </w:tcPr>
          <w:p w14:paraId="30A7C3F0" w14:textId="77777777" w:rsidR="00D30F1D" w:rsidRPr="0058247A" w:rsidRDefault="00D30F1D" w:rsidP="00A25B4A">
            <w:pPr>
              <w:pStyle w:val="TableText0"/>
            </w:pPr>
            <w:r w:rsidRPr="0058247A">
              <w:t>Others, unknown or not reported</w:t>
            </w:r>
          </w:p>
        </w:tc>
        <w:tc>
          <w:tcPr>
            <w:tcW w:w="546" w:type="pct"/>
            <w:tcBorders>
              <w:top w:val="nil"/>
              <w:left w:val="nil"/>
              <w:bottom w:val="single" w:sz="4" w:space="0" w:color="auto"/>
              <w:right w:val="single" w:sz="4" w:space="0" w:color="auto"/>
            </w:tcBorders>
            <w:shd w:val="clear" w:color="auto" w:fill="auto"/>
            <w:tcMar>
              <w:left w:w="20" w:type="dxa"/>
              <w:right w:w="20" w:type="dxa"/>
            </w:tcMar>
            <w:vAlign w:val="center"/>
          </w:tcPr>
          <w:p w14:paraId="2F14AE2C" w14:textId="02EB8D57" w:rsidR="00D30F1D" w:rsidRPr="0058247A" w:rsidRDefault="00D30F1D" w:rsidP="005434AD">
            <w:pPr>
              <w:pStyle w:val="TableText0"/>
              <w:jc w:val="center"/>
            </w:pPr>
            <w:r w:rsidRPr="0058247A">
              <w:t>4.6%</w:t>
            </w:r>
          </w:p>
        </w:tc>
        <w:tc>
          <w:tcPr>
            <w:tcW w:w="537" w:type="pct"/>
            <w:tcBorders>
              <w:top w:val="nil"/>
              <w:left w:val="nil"/>
              <w:bottom w:val="single" w:sz="4" w:space="0" w:color="auto"/>
              <w:right w:val="single" w:sz="4" w:space="0" w:color="auto"/>
            </w:tcBorders>
            <w:shd w:val="clear" w:color="auto" w:fill="auto"/>
            <w:tcMar>
              <w:left w:w="20" w:type="dxa"/>
              <w:right w:w="20" w:type="dxa"/>
            </w:tcMar>
            <w:vAlign w:val="center"/>
          </w:tcPr>
          <w:p w14:paraId="476AA71D" w14:textId="6EF3F18F" w:rsidR="00D30F1D" w:rsidRPr="0058247A" w:rsidRDefault="00D30F1D" w:rsidP="005434AD">
            <w:pPr>
              <w:pStyle w:val="TableText0"/>
              <w:jc w:val="center"/>
            </w:pPr>
            <w:r w:rsidRPr="0058247A">
              <w:t>3.3%</w:t>
            </w:r>
          </w:p>
        </w:tc>
        <w:tc>
          <w:tcPr>
            <w:tcW w:w="575" w:type="pct"/>
            <w:vMerge/>
            <w:tcBorders>
              <w:left w:val="nil"/>
              <w:bottom w:val="single" w:sz="4" w:space="0" w:color="auto"/>
              <w:right w:val="single" w:sz="4" w:space="0" w:color="auto"/>
            </w:tcBorders>
            <w:shd w:val="clear" w:color="auto" w:fill="auto"/>
            <w:tcMar>
              <w:left w:w="20" w:type="dxa"/>
              <w:right w:w="20" w:type="dxa"/>
            </w:tcMar>
            <w:vAlign w:val="center"/>
          </w:tcPr>
          <w:p w14:paraId="6199CC8D" w14:textId="77777777" w:rsidR="00D30F1D" w:rsidRPr="0058247A" w:rsidRDefault="00D30F1D" w:rsidP="005434AD">
            <w:pPr>
              <w:pStyle w:val="TableText0"/>
              <w:jc w:val="center"/>
            </w:pPr>
          </w:p>
        </w:tc>
        <w:tc>
          <w:tcPr>
            <w:tcW w:w="575" w:type="pct"/>
            <w:vMerge/>
            <w:tcBorders>
              <w:left w:val="nil"/>
              <w:bottom w:val="single" w:sz="4" w:space="0" w:color="auto"/>
              <w:right w:val="single" w:sz="4" w:space="0" w:color="auto"/>
            </w:tcBorders>
            <w:shd w:val="clear" w:color="auto" w:fill="auto"/>
            <w:tcMar>
              <w:left w:w="20" w:type="dxa"/>
              <w:right w:w="20" w:type="dxa"/>
            </w:tcMar>
            <w:vAlign w:val="center"/>
          </w:tcPr>
          <w:p w14:paraId="64492A9E" w14:textId="77777777" w:rsidR="00D30F1D" w:rsidRPr="0058247A" w:rsidRDefault="00D30F1D" w:rsidP="005434AD">
            <w:pPr>
              <w:pStyle w:val="TableText0"/>
              <w:jc w:val="center"/>
            </w:pP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65F4D0BA"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7BF86DE5"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049CF3D7" w14:textId="77777777" w:rsidR="00D30F1D" w:rsidRPr="0058247A" w:rsidRDefault="00D30F1D" w:rsidP="005434AD">
            <w:pPr>
              <w:pStyle w:val="TableText0"/>
              <w:jc w:val="center"/>
            </w:pPr>
            <w:r w:rsidRPr="0058247A">
              <w:t>NR</w:t>
            </w:r>
          </w:p>
        </w:tc>
        <w:tc>
          <w:tcPr>
            <w:tcW w:w="518" w:type="pct"/>
            <w:tcBorders>
              <w:top w:val="nil"/>
              <w:left w:val="nil"/>
              <w:bottom w:val="single" w:sz="4" w:space="0" w:color="auto"/>
              <w:right w:val="single" w:sz="4" w:space="0" w:color="auto"/>
            </w:tcBorders>
            <w:shd w:val="clear" w:color="auto" w:fill="auto"/>
            <w:tcMar>
              <w:left w:w="20" w:type="dxa"/>
              <w:right w:w="20" w:type="dxa"/>
            </w:tcMar>
            <w:vAlign w:val="center"/>
          </w:tcPr>
          <w:p w14:paraId="14432625" w14:textId="77777777" w:rsidR="00D30F1D" w:rsidRPr="0058247A" w:rsidRDefault="00D30F1D" w:rsidP="005434AD">
            <w:pPr>
              <w:pStyle w:val="TableText0"/>
              <w:jc w:val="center"/>
            </w:pPr>
            <w:r w:rsidRPr="0058247A">
              <w:t>NR</w:t>
            </w:r>
          </w:p>
        </w:tc>
      </w:tr>
      <w:tr w:rsidR="00D30F1D" w:rsidRPr="0058247A" w14:paraId="44549EED" w14:textId="77777777" w:rsidTr="005434AD">
        <w:trPr>
          <w:trHeight w:val="20"/>
        </w:trPr>
        <w:tc>
          <w:tcPr>
            <w:tcW w:w="5000" w:type="pct"/>
            <w:gridSpan w:val="9"/>
            <w:tcBorders>
              <w:top w:val="nil"/>
              <w:left w:val="single" w:sz="4" w:space="0" w:color="auto"/>
              <w:bottom w:val="single" w:sz="4" w:space="0" w:color="auto"/>
              <w:right w:val="single" w:sz="4" w:space="0" w:color="auto"/>
            </w:tcBorders>
            <w:shd w:val="clear" w:color="auto" w:fill="auto"/>
            <w:tcMar>
              <w:left w:w="20" w:type="dxa"/>
              <w:right w:w="20" w:type="dxa"/>
            </w:tcMar>
            <w:hideMark/>
          </w:tcPr>
          <w:p w14:paraId="7F719B02" w14:textId="77777777" w:rsidR="00D30F1D" w:rsidRPr="0058247A" w:rsidRDefault="00D30F1D" w:rsidP="00A25B4A">
            <w:pPr>
              <w:pStyle w:val="TableText0"/>
              <w:rPr>
                <w:b/>
                <w:bCs w:val="0"/>
              </w:rPr>
            </w:pPr>
            <w:r w:rsidRPr="0058247A">
              <w:rPr>
                <w:b/>
                <w:bCs w:val="0"/>
              </w:rPr>
              <w:t>Baseline ECOG score, n (%)</w:t>
            </w:r>
          </w:p>
        </w:tc>
      </w:tr>
      <w:tr w:rsidR="00D30F1D" w:rsidRPr="0058247A" w14:paraId="44AB3819" w14:textId="77777777" w:rsidTr="005434AD">
        <w:trPr>
          <w:trHeight w:val="20"/>
        </w:trPr>
        <w:tc>
          <w:tcPr>
            <w:tcW w:w="694"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hideMark/>
          </w:tcPr>
          <w:p w14:paraId="7D61C608" w14:textId="77777777" w:rsidR="00D30F1D" w:rsidRPr="0058247A" w:rsidRDefault="00D30F1D" w:rsidP="00A25B4A">
            <w:pPr>
              <w:pStyle w:val="TableText0"/>
            </w:pPr>
            <w:r w:rsidRPr="0058247A">
              <w:t>0</w:t>
            </w:r>
          </w:p>
        </w:tc>
        <w:tc>
          <w:tcPr>
            <w:tcW w:w="546"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2AF71C3D" w14:textId="77777777" w:rsidR="00D30F1D" w:rsidRPr="0058247A" w:rsidRDefault="00D30F1D" w:rsidP="00A25B4A">
            <w:pPr>
              <w:pStyle w:val="TableText0"/>
              <w:jc w:val="center"/>
            </w:pPr>
            <w:r w:rsidRPr="0058247A">
              <w:t>127 (34.5%)</w:t>
            </w:r>
          </w:p>
        </w:tc>
        <w:tc>
          <w:tcPr>
            <w:tcW w:w="537"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65032966" w14:textId="77777777" w:rsidR="00D30F1D" w:rsidRPr="0058247A" w:rsidRDefault="00D30F1D" w:rsidP="00A25B4A">
            <w:pPr>
              <w:pStyle w:val="TableText0"/>
              <w:jc w:val="center"/>
            </w:pPr>
            <w:r w:rsidRPr="0058247A">
              <w:t>123 (33.3%)</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455814B5" w14:textId="77777777" w:rsidR="00D30F1D" w:rsidRPr="0058247A" w:rsidRDefault="00D30F1D" w:rsidP="00A25B4A">
            <w:pPr>
              <w:pStyle w:val="TableText0"/>
              <w:jc w:val="center"/>
            </w:pPr>
            <w:r w:rsidRPr="0058247A">
              <w:t>106 (40.3%)</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5F1F37BF" w14:textId="77777777" w:rsidR="00D30F1D" w:rsidRPr="0058247A" w:rsidRDefault="00D30F1D" w:rsidP="00A25B4A">
            <w:pPr>
              <w:pStyle w:val="TableText0"/>
              <w:jc w:val="center"/>
            </w:pPr>
            <w:r w:rsidRPr="0058247A">
              <w:t>101 (38.8%)</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4BAA8BFA" w14:textId="77777777" w:rsidR="00D30F1D" w:rsidRPr="0058247A" w:rsidRDefault="00D30F1D" w:rsidP="00A25B4A">
            <w:pPr>
              <w:pStyle w:val="TableText0"/>
              <w:jc w:val="center"/>
            </w:pPr>
            <w:r w:rsidRPr="0058247A">
              <w:t>42%</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68C8DDBE" w14:textId="77777777" w:rsidR="00D30F1D" w:rsidRPr="0058247A" w:rsidRDefault="00D30F1D" w:rsidP="00A25B4A">
            <w:pPr>
              <w:pStyle w:val="TableText0"/>
              <w:jc w:val="center"/>
            </w:pPr>
            <w:r w:rsidRPr="0058247A">
              <w:t>37%</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7CEFBFC0" w14:textId="77777777" w:rsidR="00D30F1D" w:rsidRPr="0058247A" w:rsidRDefault="00D30F1D" w:rsidP="00A25B4A">
            <w:pPr>
              <w:pStyle w:val="TableText0"/>
              <w:jc w:val="center"/>
            </w:pPr>
            <w:r w:rsidRPr="0058247A">
              <w:t>39%</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149C2103" w14:textId="77777777" w:rsidR="00D30F1D" w:rsidRPr="0058247A" w:rsidRDefault="00D30F1D" w:rsidP="00A25B4A">
            <w:pPr>
              <w:pStyle w:val="TableText0"/>
              <w:jc w:val="center"/>
            </w:pPr>
            <w:r w:rsidRPr="0058247A">
              <w:t>39%</w:t>
            </w:r>
          </w:p>
        </w:tc>
      </w:tr>
      <w:tr w:rsidR="00D30F1D" w:rsidRPr="0058247A" w14:paraId="070AE3D0" w14:textId="77777777" w:rsidTr="005434AD">
        <w:trPr>
          <w:trHeight w:val="20"/>
        </w:trPr>
        <w:tc>
          <w:tcPr>
            <w:tcW w:w="694"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hideMark/>
          </w:tcPr>
          <w:p w14:paraId="7793DFE9" w14:textId="77777777" w:rsidR="00D30F1D" w:rsidRPr="0058247A" w:rsidRDefault="00D30F1D" w:rsidP="00A25B4A">
            <w:pPr>
              <w:pStyle w:val="TableText0"/>
            </w:pPr>
            <w:r w:rsidRPr="0058247A">
              <w:t>1</w:t>
            </w:r>
          </w:p>
        </w:tc>
        <w:tc>
          <w:tcPr>
            <w:tcW w:w="546"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7F01DCC2" w14:textId="77777777" w:rsidR="00D30F1D" w:rsidRPr="0058247A" w:rsidRDefault="00D30F1D" w:rsidP="00A25B4A">
            <w:pPr>
              <w:pStyle w:val="TableText0"/>
              <w:jc w:val="center"/>
            </w:pPr>
            <w:r w:rsidRPr="0058247A">
              <w:t>178 (48.4%)</w:t>
            </w:r>
          </w:p>
        </w:tc>
        <w:tc>
          <w:tcPr>
            <w:tcW w:w="537"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057F0D12" w14:textId="77777777" w:rsidR="00D30F1D" w:rsidRPr="0058247A" w:rsidRDefault="00D30F1D" w:rsidP="00A25B4A">
            <w:pPr>
              <w:pStyle w:val="TableText0"/>
              <w:jc w:val="center"/>
            </w:pPr>
            <w:r w:rsidRPr="0058247A">
              <w:t>187 (50.7%)</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76251220" w14:textId="77777777" w:rsidR="00D30F1D" w:rsidRPr="0058247A" w:rsidRDefault="00D30F1D" w:rsidP="00A25B4A">
            <w:pPr>
              <w:pStyle w:val="TableText0"/>
              <w:jc w:val="center"/>
            </w:pPr>
            <w:r w:rsidRPr="0058247A">
              <w:t>128 (48.7%)</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0735445F" w14:textId="77777777" w:rsidR="00D30F1D" w:rsidRPr="0058247A" w:rsidRDefault="00D30F1D" w:rsidP="00A25B4A">
            <w:pPr>
              <w:pStyle w:val="TableText0"/>
              <w:jc w:val="center"/>
            </w:pPr>
            <w:r w:rsidRPr="0058247A">
              <w:t>120 (46.2%)</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218CB5F9" w14:textId="77777777" w:rsidR="00D30F1D" w:rsidRPr="0058247A" w:rsidRDefault="00D30F1D" w:rsidP="00A25B4A">
            <w:pPr>
              <w:pStyle w:val="TableText0"/>
              <w:jc w:val="center"/>
            </w:pPr>
            <w:r w:rsidRPr="0058247A">
              <w:t>45%</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2E2DD38C" w14:textId="77777777" w:rsidR="00D30F1D" w:rsidRPr="0058247A" w:rsidRDefault="00D30F1D" w:rsidP="00A25B4A">
            <w:pPr>
              <w:pStyle w:val="TableText0"/>
              <w:jc w:val="center"/>
            </w:pPr>
            <w:r w:rsidRPr="0058247A">
              <w:t>45%</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2F195D47" w14:textId="77777777" w:rsidR="00D30F1D" w:rsidRPr="0058247A" w:rsidRDefault="00D30F1D" w:rsidP="00A25B4A">
            <w:pPr>
              <w:pStyle w:val="TableText0"/>
              <w:jc w:val="center"/>
            </w:pPr>
            <w:r w:rsidRPr="0058247A">
              <w:t>53%</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7B1C4834" w14:textId="77777777" w:rsidR="00D30F1D" w:rsidRPr="0058247A" w:rsidRDefault="00D30F1D" w:rsidP="00A25B4A">
            <w:pPr>
              <w:pStyle w:val="TableText0"/>
              <w:jc w:val="center"/>
            </w:pPr>
            <w:r w:rsidRPr="0058247A">
              <w:t>49%</w:t>
            </w:r>
          </w:p>
        </w:tc>
      </w:tr>
      <w:tr w:rsidR="00D30F1D" w:rsidRPr="0058247A" w14:paraId="0A11A6E8" w14:textId="77777777" w:rsidTr="005434AD">
        <w:trPr>
          <w:trHeight w:val="20"/>
        </w:trPr>
        <w:tc>
          <w:tcPr>
            <w:tcW w:w="694"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hideMark/>
          </w:tcPr>
          <w:p w14:paraId="47D24BD9" w14:textId="77777777" w:rsidR="00D30F1D" w:rsidRPr="0058247A" w:rsidRDefault="00D30F1D" w:rsidP="00A25B4A">
            <w:pPr>
              <w:pStyle w:val="TableText0"/>
            </w:pPr>
            <w:r w:rsidRPr="0058247A">
              <w:t>≥2</w:t>
            </w:r>
          </w:p>
        </w:tc>
        <w:tc>
          <w:tcPr>
            <w:tcW w:w="546"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69B4A0E4" w14:textId="77777777" w:rsidR="00D30F1D" w:rsidRPr="0058247A" w:rsidRDefault="00D30F1D" w:rsidP="00A25B4A">
            <w:pPr>
              <w:pStyle w:val="TableText0"/>
              <w:jc w:val="center"/>
            </w:pPr>
            <w:r w:rsidRPr="0058247A">
              <w:t>63 (17.1%)</w:t>
            </w:r>
          </w:p>
        </w:tc>
        <w:tc>
          <w:tcPr>
            <w:tcW w:w="537"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518D3B98" w14:textId="77777777" w:rsidR="00D30F1D" w:rsidRPr="0058247A" w:rsidRDefault="00D30F1D" w:rsidP="00A25B4A">
            <w:pPr>
              <w:pStyle w:val="TableText0"/>
              <w:jc w:val="center"/>
            </w:pPr>
            <w:r w:rsidRPr="0058247A">
              <w:t>59 (16.0%)</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32341E38" w14:textId="77777777" w:rsidR="00D30F1D" w:rsidRPr="0058247A" w:rsidRDefault="00D30F1D" w:rsidP="00A25B4A">
            <w:pPr>
              <w:pStyle w:val="TableText0"/>
              <w:jc w:val="center"/>
            </w:pPr>
            <w:r w:rsidRPr="0058247A">
              <w:t>29 (11.0%)</w:t>
            </w:r>
          </w:p>
        </w:tc>
        <w:tc>
          <w:tcPr>
            <w:tcW w:w="575"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147828AE" w14:textId="77777777" w:rsidR="00D30F1D" w:rsidRPr="0058247A" w:rsidRDefault="00D30F1D" w:rsidP="00A25B4A">
            <w:pPr>
              <w:pStyle w:val="TableText0"/>
              <w:jc w:val="center"/>
            </w:pPr>
            <w:r w:rsidRPr="0058247A">
              <w:t>39 (15.0%)</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60BD68FC" w14:textId="77777777" w:rsidR="00D30F1D" w:rsidRPr="0058247A" w:rsidRDefault="00D30F1D" w:rsidP="00A25B4A">
            <w:pPr>
              <w:pStyle w:val="TableText0"/>
              <w:jc w:val="center"/>
            </w:pPr>
            <w:r w:rsidRPr="0058247A">
              <w:t>13%</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5D717A37" w14:textId="77777777" w:rsidR="00D30F1D" w:rsidRPr="0058247A" w:rsidRDefault="00D30F1D" w:rsidP="00A25B4A">
            <w:pPr>
              <w:pStyle w:val="TableText0"/>
              <w:jc w:val="center"/>
            </w:pPr>
            <w:r w:rsidRPr="0058247A">
              <w:t>18%</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656A74AF" w14:textId="77777777" w:rsidR="00D30F1D" w:rsidRPr="0058247A" w:rsidRDefault="00D30F1D" w:rsidP="00A25B4A">
            <w:pPr>
              <w:pStyle w:val="TableText0"/>
              <w:jc w:val="center"/>
            </w:pPr>
            <w:r w:rsidRPr="0058247A">
              <w:t>9%</w:t>
            </w:r>
          </w:p>
        </w:tc>
        <w:tc>
          <w:tcPr>
            <w:tcW w:w="518" w:type="pct"/>
            <w:tcBorders>
              <w:top w:val="single" w:sz="4" w:space="0" w:color="auto"/>
              <w:left w:val="nil"/>
              <w:bottom w:val="single" w:sz="4" w:space="0" w:color="auto"/>
              <w:right w:val="single" w:sz="4" w:space="0" w:color="auto"/>
            </w:tcBorders>
            <w:shd w:val="clear" w:color="auto" w:fill="auto"/>
            <w:tcMar>
              <w:left w:w="20" w:type="dxa"/>
              <w:right w:w="20" w:type="dxa"/>
            </w:tcMar>
          </w:tcPr>
          <w:p w14:paraId="400B3C35" w14:textId="77777777" w:rsidR="00D30F1D" w:rsidRPr="0058247A" w:rsidRDefault="00D30F1D" w:rsidP="00A25B4A">
            <w:pPr>
              <w:pStyle w:val="TableText0"/>
              <w:jc w:val="center"/>
            </w:pPr>
            <w:r w:rsidRPr="0058247A">
              <w:t>13%</w:t>
            </w:r>
          </w:p>
        </w:tc>
      </w:tr>
      <w:tr w:rsidR="00D30F1D" w:rsidRPr="0058247A" w14:paraId="51222DA6"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9"/>
            <w:shd w:val="clear" w:color="auto" w:fill="auto"/>
            <w:tcMar>
              <w:left w:w="20" w:type="dxa"/>
              <w:right w:w="20" w:type="dxa"/>
            </w:tcMar>
            <w:hideMark/>
          </w:tcPr>
          <w:p w14:paraId="623CCA1A" w14:textId="77777777" w:rsidR="00D30F1D" w:rsidRPr="0058247A" w:rsidRDefault="00D30F1D" w:rsidP="00A25B4A">
            <w:pPr>
              <w:pStyle w:val="TableText1"/>
              <w:keepNext w:val="0"/>
              <w:keepLines/>
              <w:widowControl w:val="0"/>
              <w:spacing w:before="0" w:after="0"/>
              <w:jc w:val="left"/>
              <w:rPr>
                <w:rFonts w:ascii="Arial Narrow" w:hAnsi="Arial Narrow" w:cs="Arial"/>
                <w:b/>
                <w:bCs/>
                <w:sz w:val="20"/>
              </w:rPr>
            </w:pPr>
            <w:r w:rsidRPr="0058247A">
              <w:rPr>
                <w:rFonts w:ascii="Arial Narrow" w:hAnsi="Arial Narrow" w:cs="Arial"/>
                <w:b/>
                <w:bCs/>
                <w:sz w:val="20"/>
              </w:rPr>
              <w:t>Baseline ISS stage, n (%)</w:t>
            </w:r>
          </w:p>
        </w:tc>
      </w:tr>
      <w:tr w:rsidR="00D30F1D" w:rsidRPr="0058247A" w14:paraId="3FAB9ACB"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94" w:type="pct"/>
            <w:shd w:val="clear" w:color="auto" w:fill="auto"/>
            <w:tcMar>
              <w:left w:w="20" w:type="dxa"/>
              <w:right w:w="20" w:type="dxa"/>
            </w:tcMar>
            <w:hideMark/>
          </w:tcPr>
          <w:p w14:paraId="273E09DB" w14:textId="77777777" w:rsidR="00D30F1D" w:rsidRPr="0058247A" w:rsidRDefault="00D30F1D" w:rsidP="00A25B4A">
            <w:pPr>
              <w:pStyle w:val="TableText1"/>
              <w:keepNext w:val="0"/>
              <w:keepLines/>
              <w:widowControl w:val="0"/>
              <w:spacing w:before="0" w:after="0"/>
              <w:jc w:val="left"/>
              <w:rPr>
                <w:rFonts w:ascii="Arial Narrow" w:hAnsi="Arial Narrow" w:cs="Arial"/>
                <w:sz w:val="20"/>
              </w:rPr>
            </w:pPr>
            <w:r w:rsidRPr="0058247A">
              <w:rPr>
                <w:rFonts w:ascii="Arial Narrow" w:hAnsi="Arial Narrow" w:cs="Arial"/>
                <w:sz w:val="20"/>
              </w:rPr>
              <w:t>I</w:t>
            </w:r>
          </w:p>
        </w:tc>
        <w:tc>
          <w:tcPr>
            <w:tcW w:w="546" w:type="pct"/>
            <w:shd w:val="clear" w:color="auto" w:fill="auto"/>
            <w:tcMar>
              <w:left w:w="20" w:type="dxa"/>
              <w:right w:w="20" w:type="dxa"/>
            </w:tcMar>
          </w:tcPr>
          <w:p w14:paraId="120CD427"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98 (26.6%)</w:t>
            </w:r>
          </w:p>
        </w:tc>
        <w:tc>
          <w:tcPr>
            <w:tcW w:w="537" w:type="pct"/>
            <w:shd w:val="clear" w:color="auto" w:fill="auto"/>
            <w:tcMar>
              <w:left w:w="20" w:type="dxa"/>
              <w:right w:w="20" w:type="dxa"/>
            </w:tcMar>
          </w:tcPr>
          <w:p w14:paraId="11339B7C"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103 (27.9%)</w:t>
            </w:r>
          </w:p>
        </w:tc>
        <w:tc>
          <w:tcPr>
            <w:tcW w:w="575" w:type="pct"/>
            <w:shd w:val="clear" w:color="auto" w:fill="auto"/>
            <w:tcMar>
              <w:left w:w="20" w:type="dxa"/>
              <w:right w:w="20" w:type="dxa"/>
            </w:tcMar>
          </w:tcPr>
          <w:p w14:paraId="03E0AA2F"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78 (29.7%)</w:t>
            </w:r>
          </w:p>
        </w:tc>
        <w:tc>
          <w:tcPr>
            <w:tcW w:w="575" w:type="pct"/>
            <w:shd w:val="clear" w:color="auto" w:fill="auto"/>
            <w:tcMar>
              <w:left w:w="20" w:type="dxa"/>
              <w:right w:w="20" w:type="dxa"/>
            </w:tcMar>
          </w:tcPr>
          <w:p w14:paraId="5CED8126"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75 (28.8%)</w:t>
            </w:r>
          </w:p>
        </w:tc>
        <w:tc>
          <w:tcPr>
            <w:tcW w:w="518" w:type="pct"/>
            <w:tcMar>
              <w:left w:w="20" w:type="dxa"/>
              <w:right w:w="20" w:type="dxa"/>
            </w:tcMar>
          </w:tcPr>
          <w:p w14:paraId="1E8071DD"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34%</w:t>
            </w:r>
          </w:p>
        </w:tc>
        <w:tc>
          <w:tcPr>
            <w:tcW w:w="518" w:type="pct"/>
            <w:tcMar>
              <w:left w:w="20" w:type="dxa"/>
              <w:right w:w="20" w:type="dxa"/>
            </w:tcMar>
          </w:tcPr>
          <w:p w14:paraId="409CE3B5"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33%</w:t>
            </w:r>
          </w:p>
        </w:tc>
        <w:tc>
          <w:tcPr>
            <w:tcW w:w="518" w:type="pct"/>
            <w:tcMar>
              <w:left w:w="20" w:type="dxa"/>
              <w:right w:w="20" w:type="dxa"/>
            </w:tcMar>
          </w:tcPr>
          <w:p w14:paraId="5DD867FA"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22%</w:t>
            </w:r>
          </w:p>
        </w:tc>
        <w:tc>
          <w:tcPr>
            <w:tcW w:w="518" w:type="pct"/>
            <w:tcMar>
              <w:left w:w="20" w:type="dxa"/>
              <w:right w:w="20" w:type="dxa"/>
            </w:tcMar>
          </w:tcPr>
          <w:p w14:paraId="5219B7C3"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17%</w:t>
            </w:r>
          </w:p>
        </w:tc>
      </w:tr>
      <w:tr w:rsidR="00D30F1D" w:rsidRPr="0058247A" w14:paraId="19FB2970"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94" w:type="pct"/>
            <w:shd w:val="clear" w:color="auto" w:fill="auto"/>
            <w:tcMar>
              <w:left w:w="20" w:type="dxa"/>
              <w:right w:w="20" w:type="dxa"/>
            </w:tcMar>
            <w:hideMark/>
          </w:tcPr>
          <w:p w14:paraId="355E2740" w14:textId="77777777" w:rsidR="00D30F1D" w:rsidRPr="0058247A" w:rsidRDefault="00D30F1D" w:rsidP="00A25B4A">
            <w:pPr>
              <w:pStyle w:val="TableText1"/>
              <w:keepNext w:val="0"/>
              <w:keepLines/>
              <w:widowControl w:val="0"/>
              <w:spacing w:before="0" w:after="0"/>
              <w:jc w:val="left"/>
              <w:rPr>
                <w:rFonts w:ascii="Arial Narrow" w:hAnsi="Arial Narrow" w:cs="Arial"/>
                <w:sz w:val="20"/>
              </w:rPr>
            </w:pPr>
            <w:r w:rsidRPr="0058247A">
              <w:rPr>
                <w:rFonts w:ascii="Arial Narrow" w:hAnsi="Arial Narrow" w:cs="Arial"/>
                <w:sz w:val="20"/>
              </w:rPr>
              <w:t>II</w:t>
            </w:r>
          </w:p>
        </w:tc>
        <w:tc>
          <w:tcPr>
            <w:tcW w:w="546" w:type="pct"/>
            <w:shd w:val="clear" w:color="auto" w:fill="auto"/>
            <w:tcMar>
              <w:left w:w="20" w:type="dxa"/>
              <w:right w:w="20" w:type="dxa"/>
            </w:tcMar>
          </w:tcPr>
          <w:p w14:paraId="7814A35B"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163 (44.3%)</w:t>
            </w:r>
          </w:p>
        </w:tc>
        <w:tc>
          <w:tcPr>
            <w:tcW w:w="537" w:type="pct"/>
            <w:shd w:val="clear" w:color="auto" w:fill="auto"/>
            <w:tcMar>
              <w:left w:w="20" w:type="dxa"/>
              <w:right w:w="20" w:type="dxa"/>
            </w:tcMar>
          </w:tcPr>
          <w:p w14:paraId="4ACBC37B"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156 (42.3%)</w:t>
            </w:r>
          </w:p>
        </w:tc>
        <w:tc>
          <w:tcPr>
            <w:tcW w:w="575" w:type="pct"/>
            <w:shd w:val="clear" w:color="auto" w:fill="auto"/>
            <w:tcMar>
              <w:left w:w="20" w:type="dxa"/>
              <w:right w:w="20" w:type="dxa"/>
            </w:tcMar>
          </w:tcPr>
          <w:p w14:paraId="06173568"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99 (37.6%)</w:t>
            </w:r>
          </w:p>
        </w:tc>
        <w:tc>
          <w:tcPr>
            <w:tcW w:w="575" w:type="pct"/>
            <w:shd w:val="clear" w:color="auto" w:fill="auto"/>
            <w:tcMar>
              <w:left w:w="20" w:type="dxa"/>
              <w:right w:w="20" w:type="dxa"/>
            </w:tcMar>
          </w:tcPr>
          <w:p w14:paraId="43688397"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98 (37.7%)</w:t>
            </w:r>
          </w:p>
        </w:tc>
        <w:tc>
          <w:tcPr>
            <w:tcW w:w="518" w:type="pct"/>
            <w:tcMar>
              <w:left w:w="20" w:type="dxa"/>
              <w:right w:w="20" w:type="dxa"/>
            </w:tcMar>
          </w:tcPr>
          <w:p w14:paraId="1B8D0329"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36%</w:t>
            </w:r>
          </w:p>
        </w:tc>
        <w:tc>
          <w:tcPr>
            <w:tcW w:w="518" w:type="pct"/>
            <w:tcMar>
              <w:left w:w="20" w:type="dxa"/>
              <w:right w:w="20" w:type="dxa"/>
            </w:tcMar>
          </w:tcPr>
          <w:p w14:paraId="0BBF046E"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32%</w:t>
            </w:r>
          </w:p>
        </w:tc>
        <w:tc>
          <w:tcPr>
            <w:tcW w:w="518" w:type="pct"/>
            <w:tcMar>
              <w:left w:w="20" w:type="dxa"/>
              <w:right w:w="20" w:type="dxa"/>
            </w:tcMar>
          </w:tcPr>
          <w:p w14:paraId="3A199CD8"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42%</w:t>
            </w:r>
          </w:p>
        </w:tc>
        <w:tc>
          <w:tcPr>
            <w:tcW w:w="518" w:type="pct"/>
            <w:tcMar>
              <w:left w:w="20" w:type="dxa"/>
              <w:right w:w="20" w:type="dxa"/>
            </w:tcMar>
          </w:tcPr>
          <w:p w14:paraId="03A2DCBE"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49%</w:t>
            </w:r>
          </w:p>
        </w:tc>
      </w:tr>
      <w:tr w:rsidR="00D30F1D" w:rsidRPr="0058247A" w14:paraId="04394A99"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94" w:type="pct"/>
            <w:shd w:val="clear" w:color="auto" w:fill="auto"/>
            <w:tcMar>
              <w:left w:w="20" w:type="dxa"/>
              <w:right w:w="20" w:type="dxa"/>
            </w:tcMar>
            <w:hideMark/>
          </w:tcPr>
          <w:p w14:paraId="53715AF1" w14:textId="77777777" w:rsidR="00D30F1D" w:rsidRPr="0058247A" w:rsidRDefault="00D30F1D" w:rsidP="00A25B4A">
            <w:pPr>
              <w:pStyle w:val="TableText1"/>
              <w:keepNext w:val="0"/>
              <w:keepLines/>
              <w:widowControl w:val="0"/>
              <w:spacing w:before="0" w:after="0"/>
              <w:jc w:val="left"/>
              <w:rPr>
                <w:rFonts w:ascii="Arial Narrow" w:hAnsi="Arial Narrow" w:cs="Arial"/>
                <w:sz w:val="20"/>
              </w:rPr>
            </w:pPr>
            <w:r w:rsidRPr="0058247A">
              <w:rPr>
                <w:rFonts w:ascii="Arial Narrow" w:hAnsi="Arial Narrow" w:cs="Arial"/>
                <w:sz w:val="20"/>
              </w:rPr>
              <w:t>III</w:t>
            </w:r>
          </w:p>
        </w:tc>
        <w:tc>
          <w:tcPr>
            <w:tcW w:w="546" w:type="pct"/>
            <w:shd w:val="clear" w:color="auto" w:fill="auto"/>
            <w:tcMar>
              <w:left w:w="20" w:type="dxa"/>
              <w:right w:w="20" w:type="dxa"/>
            </w:tcMar>
          </w:tcPr>
          <w:p w14:paraId="3EBAC4AA"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107 (29.1%)</w:t>
            </w:r>
          </w:p>
        </w:tc>
        <w:tc>
          <w:tcPr>
            <w:tcW w:w="537" w:type="pct"/>
            <w:shd w:val="clear" w:color="auto" w:fill="auto"/>
            <w:tcMar>
              <w:left w:w="20" w:type="dxa"/>
              <w:right w:w="20" w:type="dxa"/>
            </w:tcMar>
          </w:tcPr>
          <w:p w14:paraId="1E1783EE"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110 (29.8%)</w:t>
            </w:r>
          </w:p>
        </w:tc>
        <w:tc>
          <w:tcPr>
            <w:tcW w:w="575" w:type="pct"/>
            <w:shd w:val="clear" w:color="auto" w:fill="auto"/>
            <w:tcMar>
              <w:left w:w="20" w:type="dxa"/>
              <w:right w:w="20" w:type="dxa"/>
            </w:tcMar>
          </w:tcPr>
          <w:p w14:paraId="072CF098"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86 (32.7%)</w:t>
            </w:r>
          </w:p>
        </w:tc>
        <w:tc>
          <w:tcPr>
            <w:tcW w:w="575" w:type="pct"/>
            <w:shd w:val="clear" w:color="auto" w:fill="auto"/>
            <w:tcMar>
              <w:left w:w="20" w:type="dxa"/>
              <w:right w:w="20" w:type="dxa"/>
            </w:tcMar>
          </w:tcPr>
          <w:p w14:paraId="6216B45C"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87 (33.5%)</w:t>
            </w:r>
          </w:p>
        </w:tc>
        <w:tc>
          <w:tcPr>
            <w:tcW w:w="518" w:type="pct"/>
            <w:tcMar>
              <w:left w:w="20" w:type="dxa"/>
              <w:right w:w="20" w:type="dxa"/>
            </w:tcMar>
          </w:tcPr>
          <w:p w14:paraId="1C120FA8"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30%</w:t>
            </w:r>
          </w:p>
        </w:tc>
        <w:tc>
          <w:tcPr>
            <w:tcW w:w="518" w:type="pct"/>
            <w:tcMar>
              <w:left w:w="20" w:type="dxa"/>
              <w:right w:w="20" w:type="dxa"/>
            </w:tcMar>
          </w:tcPr>
          <w:p w14:paraId="7BEF5886"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35%</w:t>
            </w:r>
          </w:p>
        </w:tc>
        <w:tc>
          <w:tcPr>
            <w:tcW w:w="518" w:type="pct"/>
            <w:tcMar>
              <w:left w:w="20" w:type="dxa"/>
              <w:right w:w="20" w:type="dxa"/>
            </w:tcMar>
          </w:tcPr>
          <w:p w14:paraId="28240B3C"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37%</w:t>
            </w:r>
          </w:p>
        </w:tc>
        <w:tc>
          <w:tcPr>
            <w:tcW w:w="518" w:type="pct"/>
            <w:tcMar>
              <w:left w:w="20" w:type="dxa"/>
              <w:right w:w="20" w:type="dxa"/>
            </w:tcMar>
          </w:tcPr>
          <w:p w14:paraId="09CFCEB2"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34%</w:t>
            </w:r>
          </w:p>
        </w:tc>
      </w:tr>
      <w:tr w:rsidR="00D30F1D" w:rsidRPr="0058247A" w14:paraId="15AB8F4B"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9"/>
            <w:shd w:val="clear" w:color="auto" w:fill="auto"/>
            <w:tcMar>
              <w:left w:w="20" w:type="dxa"/>
              <w:right w:w="20" w:type="dxa"/>
            </w:tcMar>
          </w:tcPr>
          <w:p w14:paraId="24EF9172" w14:textId="77777777" w:rsidR="00D30F1D" w:rsidRPr="0058247A" w:rsidRDefault="00D30F1D" w:rsidP="00A25B4A">
            <w:pPr>
              <w:pStyle w:val="TableText1"/>
              <w:keepNext w:val="0"/>
              <w:keepLines/>
              <w:widowControl w:val="0"/>
              <w:spacing w:before="0" w:after="0"/>
              <w:jc w:val="left"/>
              <w:rPr>
                <w:rFonts w:ascii="Arial Narrow" w:hAnsi="Arial Narrow" w:cs="Arial"/>
                <w:b/>
                <w:bCs/>
                <w:sz w:val="20"/>
              </w:rPr>
            </w:pPr>
            <w:r w:rsidRPr="0058247A">
              <w:rPr>
                <w:rFonts w:ascii="Arial Narrow" w:hAnsi="Arial Narrow" w:cs="Arial"/>
                <w:b/>
                <w:bCs/>
                <w:sz w:val="20"/>
              </w:rPr>
              <w:t>Cytogenetic risk</w:t>
            </w:r>
          </w:p>
        </w:tc>
      </w:tr>
      <w:tr w:rsidR="00D30F1D" w:rsidRPr="0058247A" w14:paraId="7609743E"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94" w:type="pct"/>
            <w:shd w:val="clear" w:color="auto" w:fill="auto"/>
            <w:tcMar>
              <w:left w:w="20" w:type="dxa"/>
              <w:right w:w="20" w:type="dxa"/>
            </w:tcMar>
          </w:tcPr>
          <w:p w14:paraId="71A4F1A8" w14:textId="77777777" w:rsidR="00D30F1D" w:rsidRPr="0058247A" w:rsidRDefault="00D30F1D" w:rsidP="00A25B4A">
            <w:pPr>
              <w:pStyle w:val="TableText1"/>
              <w:keepNext w:val="0"/>
              <w:keepLines/>
              <w:widowControl w:val="0"/>
              <w:spacing w:before="0" w:after="0"/>
              <w:jc w:val="left"/>
              <w:rPr>
                <w:rFonts w:ascii="Arial Narrow" w:hAnsi="Arial Narrow" w:cs="Arial"/>
                <w:sz w:val="20"/>
              </w:rPr>
            </w:pPr>
            <w:r w:rsidRPr="0058247A">
              <w:rPr>
                <w:rFonts w:ascii="Arial Narrow" w:hAnsi="Arial Narrow" w:cs="Arial"/>
                <w:sz w:val="20"/>
              </w:rPr>
              <w:t>N</w:t>
            </w:r>
          </w:p>
        </w:tc>
        <w:tc>
          <w:tcPr>
            <w:tcW w:w="546" w:type="pct"/>
            <w:shd w:val="clear" w:color="auto" w:fill="auto"/>
            <w:tcMar>
              <w:left w:w="20" w:type="dxa"/>
              <w:right w:w="20" w:type="dxa"/>
            </w:tcMar>
          </w:tcPr>
          <w:p w14:paraId="5FD7A9D3"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319</w:t>
            </w:r>
          </w:p>
        </w:tc>
        <w:tc>
          <w:tcPr>
            <w:tcW w:w="537" w:type="pct"/>
            <w:shd w:val="clear" w:color="auto" w:fill="auto"/>
            <w:tcMar>
              <w:left w:w="20" w:type="dxa"/>
              <w:right w:w="20" w:type="dxa"/>
            </w:tcMar>
          </w:tcPr>
          <w:p w14:paraId="6F9ADDCA"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323</w:t>
            </w:r>
          </w:p>
        </w:tc>
        <w:tc>
          <w:tcPr>
            <w:tcW w:w="575" w:type="pct"/>
            <w:shd w:val="clear" w:color="auto" w:fill="auto"/>
            <w:tcMar>
              <w:left w:w="20" w:type="dxa"/>
              <w:right w:w="20" w:type="dxa"/>
            </w:tcMar>
          </w:tcPr>
          <w:p w14:paraId="233B7BEE"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240</w:t>
            </w:r>
          </w:p>
        </w:tc>
        <w:tc>
          <w:tcPr>
            <w:tcW w:w="575" w:type="pct"/>
            <w:shd w:val="clear" w:color="auto" w:fill="auto"/>
            <w:tcMar>
              <w:left w:w="20" w:type="dxa"/>
              <w:right w:w="20" w:type="dxa"/>
            </w:tcMar>
          </w:tcPr>
          <w:p w14:paraId="3C0E2284"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243</w:t>
            </w:r>
          </w:p>
        </w:tc>
        <w:tc>
          <w:tcPr>
            <w:tcW w:w="518" w:type="pct"/>
            <w:tcMar>
              <w:left w:w="20" w:type="dxa"/>
              <w:right w:w="20" w:type="dxa"/>
            </w:tcMar>
          </w:tcPr>
          <w:p w14:paraId="054EFF9E"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149</w:t>
            </w:r>
          </w:p>
        </w:tc>
        <w:tc>
          <w:tcPr>
            <w:tcW w:w="518" w:type="pct"/>
            <w:tcMar>
              <w:left w:w="20" w:type="dxa"/>
              <w:right w:w="20" w:type="dxa"/>
            </w:tcMar>
          </w:tcPr>
          <w:p w14:paraId="42B105D3"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120</w:t>
            </w:r>
          </w:p>
        </w:tc>
        <w:tc>
          <w:tcPr>
            <w:tcW w:w="518" w:type="pct"/>
            <w:tcMar>
              <w:left w:w="20" w:type="dxa"/>
              <w:right w:w="20" w:type="dxa"/>
            </w:tcMar>
          </w:tcPr>
          <w:p w14:paraId="1C3936B0"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93</w:t>
            </w:r>
          </w:p>
        </w:tc>
        <w:tc>
          <w:tcPr>
            <w:tcW w:w="518" w:type="pct"/>
            <w:tcMar>
              <w:left w:w="20" w:type="dxa"/>
              <w:right w:w="20" w:type="dxa"/>
            </w:tcMar>
          </w:tcPr>
          <w:p w14:paraId="59F3B8E8"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109</w:t>
            </w:r>
          </w:p>
        </w:tc>
      </w:tr>
      <w:tr w:rsidR="00D30F1D" w:rsidRPr="0058247A" w14:paraId="51683F11"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94" w:type="pct"/>
            <w:shd w:val="clear" w:color="auto" w:fill="auto"/>
            <w:tcMar>
              <w:left w:w="20" w:type="dxa"/>
              <w:right w:w="20" w:type="dxa"/>
            </w:tcMar>
          </w:tcPr>
          <w:p w14:paraId="63BD782A" w14:textId="77777777" w:rsidR="00D30F1D" w:rsidRPr="0058247A" w:rsidRDefault="00D30F1D" w:rsidP="00A25B4A">
            <w:pPr>
              <w:pStyle w:val="TableText1"/>
              <w:keepNext w:val="0"/>
              <w:keepLines/>
              <w:widowControl w:val="0"/>
              <w:spacing w:before="0" w:after="0"/>
              <w:jc w:val="left"/>
              <w:rPr>
                <w:rFonts w:ascii="Arial Narrow" w:hAnsi="Arial Narrow" w:cs="Arial"/>
                <w:sz w:val="20"/>
              </w:rPr>
            </w:pPr>
            <w:r w:rsidRPr="0058247A">
              <w:rPr>
                <w:rFonts w:ascii="Arial Narrow" w:hAnsi="Arial Narrow" w:cs="Arial"/>
                <w:sz w:val="20"/>
              </w:rPr>
              <w:t>Standard</w:t>
            </w:r>
          </w:p>
        </w:tc>
        <w:tc>
          <w:tcPr>
            <w:tcW w:w="546" w:type="pct"/>
            <w:shd w:val="clear" w:color="auto" w:fill="auto"/>
            <w:tcMar>
              <w:left w:w="20" w:type="dxa"/>
              <w:right w:w="20" w:type="dxa"/>
            </w:tcMar>
          </w:tcPr>
          <w:p w14:paraId="76B7D705"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271 (85.0%)</w:t>
            </w:r>
          </w:p>
        </w:tc>
        <w:tc>
          <w:tcPr>
            <w:tcW w:w="537" w:type="pct"/>
            <w:shd w:val="clear" w:color="auto" w:fill="auto"/>
            <w:tcMar>
              <w:left w:w="20" w:type="dxa"/>
              <w:right w:w="20" w:type="dxa"/>
            </w:tcMar>
          </w:tcPr>
          <w:p w14:paraId="05C0CD03"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279 (86.4%)</w:t>
            </w:r>
          </w:p>
        </w:tc>
        <w:tc>
          <w:tcPr>
            <w:tcW w:w="575" w:type="pct"/>
            <w:shd w:val="clear" w:color="auto" w:fill="auto"/>
            <w:tcMar>
              <w:left w:w="20" w:type="dxa"/>
              <w:right w:w="20" w:type="dxa"/>
            </w:tcMar>
          </w:tcPr>
          <w:p w14:paraId="508598AC"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210 (87.5%)</w:t>
            </w:r>
          </w:p>
        </w:tc>
        <w:tc>
          <w:tcPr>
            <w:tcW w:w="575" w:type="pct"/>
            <w:shd w:val="clear" w:color="auto" w:fill="auto"/>
            <w:tcMar>
              <w:left w:w="20" w:type="dxa"/>
              <w:right w:w="20" w:type="dxa"/>
            </w:tcMar>
          </w:tcPr>
          <w:p w14:paraId="303EDB3F"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207 (85.2%)</w:t>
            </w:r>
          </w:p>
        </w:tc>
        <w:tc>
          <w:tcPr>
            <w:tcW w:w="518" w:type="pct"/>
            <w:tcMar>
              <w:left w:w="20" w:type="dxa"/>
              <w:right w:w="20" w:type="dxa"/>
            </w:tcMar>
          </w:tcPr>
          <w:p w14:paraId="766DD4C7"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90%</w:t>
            </w:r>
          </w:p>
        </w:tc>
        <w:tc>
          <w:tcPr>
            <w:tcW w:w="518" w:type="pct"/>
            <w:tcMar>
              <w:left w:w="20" w:type="dxa"/>
              <w:right w:w="20" w:type="dxa"/>
            </w:tcMar>
          </w:tcPr>
          <w:p w14:paraId="6E88CEC6"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91%</w:t>
            </w:r>
          </w:p>
        </w:tc>
        <w:tc>
          <w:tcPr>
            <w:tcW w:w="518" w:type="pct"/>
            <w:tcMar>
              <w:left w:w="20" w:type="dxa"/>
              <w:right w:w="20" w:type="dxa"/>
            </w:tcMar>
          </w:tcPr>
          <w:p w14:paraId="11718522"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92%</w:t>
            </w:r>
          </w:p>
        </w:tc>
        <w:tc>
          <w:tcPr>
            <w:tcW w:w="518" w:type="pct"/>
            <w:tcMar>
              <w:left w:w="20" w:type="dxa"/>
              <w:right w:w="20" w:type="dxa"/>
            </w:tcMar>
          </w:tcPr>
          <w:p w14:paraId="4B0D1EED"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90%</w:t>
            </w:r>
          </w:p>
        </w:tc>
      </w:tr>
      <w:tr w:rsidR="00D30F1D" w:rsidRPr="0058247A" w14:paraId="2B5A5EE0" w14:textId="77777777" w:rsidTr="0054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94" w:type="pct"/>
            <w:shd w:val="clear" w:color="auto" w:fill="auto"/>
            <w:tcMar>
              <w:left w:w="20" w:type="dxa"/>
              <w:right w:w="20" w:type="dxa"/>
            </w:tcMar>
          </w:tcPr>
          <w:p w14:paraId="27484844" w14:textId="77777777" w:rsidR="00D30F1D" w:rsidRPr="0058247A" w:rsidRDefault="00D30F1D" w:rsidP="00A25B4A">
            <w:pPr>
              <w:pStyle w:val="TableText1"/>
              <w:keepNext w:val="0"/>
              <w:keepLines/>
              <w:widowControl w:val="0"/>
              <w:spacing w:before="0" w:after="0"/>
              <w:jc w:val="left"/>
              <w:rPr>
                <w:rFonts w:ascii="Arial Narrow" w:hAnsi="Arial Narrow" w:cs="Arial"/>
                <w:sz w:val="20"/>
              </w:rPr>
            </w:pPr>
            <w:r w:rsidRPr="0058247A">
              <w:rPr>
                <w:rFonts w:ascii="Arial Narrow" w:hAnsi="Arial Narrow" w:cs="Arial"/>
                <w:sz w:val="20"/>
              </w:rPr>
              <w:t>High</w:t>
            </w:r>
          </w:p>
        </w:tc>
        <w:tc>
          <w:tcPr>
            <w:tcW w:w="546" w:type="pct"/>
            <w:shd w:val="clear" w:color="auto" w:fill="auto"/>
            <w:tcMar>
              <w:left w:w="20" w:type="dxa"/>
              <w:right w:w="20" w:type="dxa"/>
            </w:tcMar>
          </w:tcPr>
          <w:p w14:paraId="1B09316C"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48 (15.0%)</w:t>
            </w:r>
          </w:p>
        </w:tc>
        <w:tc>
          <w:tcPr>
            <w:tcW w:w="537" w:type="pct"/>
            <w:shd w:val="clear" w:color="auto" w:fill="auto"/>
            <w:tcMar>
              <w:left w:w="20" w:type="dxa"/>
              <w:right w:w="20" w:type="dxa"/>
            </w:tcMar>
          </w:tcPr>
          <w:p w14:paraId="4AB9B21C"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44 (13.6%)</w:t>
            </w:r>
          </w:p>
        </w:tc>
        <w:tc>
          <w:tcPr>
            <w:tcW w:w="575" w:type="pct"/>
            <w:shd w:val="clear" w:color="auto" w:fill="auto"/>
            <w:tcMar>
              <w:left w:w="20" w:type="dxa"/>
              <w:right w:w="20" w:type="dxa"/>
            </w:tcMar>
          </w:tcPr>
          <w:p w14:paraId="50F2A6A6"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30 (12.5%)</w:t>
            </w:r>
          </w:p>
        </w:tc>
        <w:tc>
          <w:tcPr>
            <w:tcW w:w="575" w:type="pct"/>
            <w:shd w:val="clear" w:color="auto" w:fill="auto"/>
            <w:tcMar>
              <w:left w:w="20" w:type="dxa"/>
              <w:right w:w="20" w:type="dxa"/>
            </w:tcMar>
          </w:tcPr>
          <w:p w14:paraId="07F01D47"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36 (14.8%)</w:t>
            </w:r>
          </w:p>
        </w:tc>
        <w:tc>
          <w:tcPr>
            <w:tcW w:w="518" w:type="pct"/>
            <w:tcMar>
              <w:left w:w="20" w:type="dxa"/>
              <w:right w:w="20" w:type="dxa"/>
            </w:tcMar>
          </w:tcPr>
          <w:p w14:paraId="219FE0A5"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10%</w:t>
            </w:r>
          </w:p>
        </w:tc>
        <w:tc>
          <w:tcPr>
            <w:tcW w:w="518" w:type="pct"/>
            <w:tcMar>
              <w:left w:w="20" w:type="dxa"/>
              <w:right w:w="20" w:type="dxa"/>
            </w:tcMar>
          </w:tcPr>
          <w:p w14:paraId="0D79E818"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9%</w:t>
            </w:r>
          </w:p>
        </w:tc>
        <w:tc>
          <w:tcPr>
            <w:tcW w:w="518" w:type="pct"/>
            <w:tcMar>
              <w:left w:w="20" w:type="dxa"/>
              <w:right w:w="20" w:type="dxa"/>
            </w:tcMar>
          </w:tcPr>
          <w:p w14:paraId="18C9A581"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8%</w:t>
            </w:r>
          </w:p>
        </w:tc>
        <w:tc>
          <w:tcPr>
            <w:tcW w:w="518" w:type="pct"/>
            <w:tcMar>
              <w:left w:w="20" w:type="dxa"/>
              <w:right w:w="20" w:type="dxa"/>
            </w:tcMar>
          </w:tcPr>
          <w:p w14:paraId="0ADF15F7" w14:textId="77777777" w:rsidR="00D30F1D" w:rsidRPr="0058247A" w:rsidRDefault="00D30F1D" w:rsidP="00A25B4A">
            <w:pPr>
              <w:pStyle w:val="TableText1"/>
              <w:keepNext w:val="0"/>
              <w:keepLines/>
              <w:widowControl w:val="0"/>
              <w:spacing w:before="0" w:after="0"/>
              <w:jc w:val="center"/>
              <w:rPr>
                <w:rFonts w:ascii="Arial Narrow" w:hAnsi="Arial Narrow" w:cs="Arial"/>
                <w:sz w:val="20"/>
              </w:rPr>
            </w:pPr>
            <w:r w:rsidRPr="0058247A">
              <w:rPr>
                <w:rFonts w:ascii="Arial Narrow" w:hAnsi="Arial Narrow" w:cs="Arial"/>
                <w:sz w:val="20"/>
              </w:rPr>
              <w:t>10%</w:t>
            </w:r>
          </w:p>
        </w:tc>
      </w:tr>
    </w:tbl>
    <w:p w14:paraId="44F68F6A" w14:textId="77777777" w:rsidR="00D30F1D" w:rsidRPr="0058247A" w:rsidRDefault="00D30F1D" w:rsidP="00D30F1D">
      <w:pPr>
        <w:pStyle w:val="FooterTableFigure"/>
      </w:pPr>
      <w:r w:rsidRPr="0058247A">
        <w:t>Source: Table 2.13, p110 of the submission, Table 2.14, p112 of the submission</w:t>
      </w:r>
    </w:p>
    <w:p w14:paraId="41E8BFC2" w14:textId="77777777" w:rsidR="00D30F1D" w:rsidRPr="0058247A" w:rsidRDefault="00D30F1D" w:rsidP="00D30F1D">
      <w:pPr>
        <w:pStyle w:val="FooterTableFigure"/>
      </w:pPr>
      <w:r w:rsidRPr="0058247A">
        <w:t>BLd= bortezomib, lenalidomide, dexamethasone; BSA= body surface area; DLd= daratumumab, lenalidomide, dexamethasone; ECOG= the Eastern Cooperative Oncology Group; ISS = International Staging System; Ld= lenalidomide, dexamethasone; NR = not reported; SD= standard deviation.</w:t>
      </w:r>
    </w:p>
    <w:p w14:paraId="459E84CF" w14:textId="77777777" w:rsidR="00D30F1D" w:rsidRPr="0058247A" w:rsidRDefault="00D30F1D" w:rsidP="00814607">
      <w:pPr>
        <w:keepNext/>
        <w:rPr>
          <w:u w:val="single"/>
        </w:rPr>
      </w:pPr>
      <w:r w:rsidRPr="0058247A">
        <w:rPr>
          <w:u w:val="single"/>
        </w:rPr>
        <w:t xml:space="preserve">Indirect comparison conducted during the evaluation (DLd vs BLd) </w:t>
      </w:r>
    </w:p>
    <w:p w14:paraId="6D59CCBE" w14:textId="38BC98D7" w:rsidR="00D30F1D" w:rsidRPr="006154DA" w:rsidRDefault="00D30F1D" w:rsidP="00D30F1D">
      <w:pPr>
        <w:pStyle w:val="3-BodyText"/>
      </w:pPr>
      <w:r w:rsidRPr="006154DA">
        <w:t xml:space="preserve">A survival analysis was conducted during the evaluation to compare PFS and OS across the treatment groups </w:t>
      </w:r>
      <w:r w:rsidR="00535C20" w:rsidRPr="006154DA">
        <w:t xml:space="preserve">for </w:t>
      </w:r>
      <w:r w:rsidR="00C67F8D" w:rsidRPr="006154DA">
        <w:t xml:space="preserve">the </w:t>
      </w:r>
      <w:r w:rsidR="00C67F8D" w:rsidRPr="006154DA">
        <w:rPr>
          <w:rFonts w:cstheme="minorHAnsi"/>
        </w:rPr>
        <w:t>≥</w:t>
      </w:r>
      <w:r w:rsidR="00C67F8D" w:rsidRPr="006154DA">
        <w:t xml:space="preserve"> 65 years of age subgroup</w:t>
      </w:r>
      <w:r w:rsidRPr="006154DA">
        <w:t xml:space="preserve"> from SWOG s0777 and from MAIA. </w:t>
      </w:r>
      <w:r w:rsidR="00535C20" w:rsidRPr="006154DA">
        <w:t xml:space="preserve">Figures provided in the PSCR are presented below. </w:t>
      </w:r>
      <w:r w:rsidRPr="006154DA">
        <w:t xml:space="preserve">The purpose of this analysis was to assess the comparability of the common reference group Ld by overlaying the outcome curves from the respective studies; a difference in Ld outcomes would support the submission's assertion that it would be inappropriate to conduct an ITC due to differences in the underlying patient populations. </w:t>
      </w:r>
    </w:p>
    <w:p w14:paraId="2910832B" w14:textId="0B6CA303" w:rsidR="00D30F1D" w:rsidRPr="0058247A" w:rsidRDefault="00C9450F" w:rsidP="0021164A">
      <w:pPr>
        <w:pStyle w:val="3-BodyText"/>
      </w:pPr>
      <w:r w:rsidRPr="0058247A">
        <w:t xml:space="preserve">The </w:t>
      </w:r>
      <w:r w:rsidR="00791FD3" w:rsidRPr="0058247A">
        <w:t>submission</w:t>
      </w:r>
      <w:r w:rsidRPr="0058247A">
        <w:t xml:space="preserve"> was</w:t>
      </w:r>
      <w:r w:rsidR="00791FD3" w:rsidRPr="0058247A">
        <w:t xml:space="preserve"> concern</w:t>
      </w:r>
      <w:r w:rsidRPr="0058247A">
        <w:t>ed</w:t>
      </w:r>
      <w:r w:rsidR="00791FD3" w:rsidRPr="0058247A">
        <w:t xml:space="preserve"> that an ITC would be unfairly biased against </w:t>
      </w:r>
      <w:r w:rsidR="003B1825" w:rsidRPr="0058247A">
        <w:t xml:space="preserve">DLd </w:t>
      </w:r>
      <w:r w:rsidR="00791FD3" w:rsidRPr="0058247A">
        <w:t>due to SWOG s0777 enrolling a potentially healthier population</w:t>
      </w:r>
      <w:r w:rsidRPr="0058247A">
        <w:t>. If this</w:t>
      </w:r>
      <w:r w:rsidR="00791FD3" w:rsidRPr="0058247A">
        <w:t xml:space="preserve"> were </w:t>
      </w:r>
      <w:r w:rsidR="00205531" w:rsidRPr="0058247A">
        <w:t>the case</w:t>
      </w:r>
      <w:r w:rsidR="00791FD3" w:rsidRPr="0058247A">
        <w:t xml:space="preserve">, </w:t>
      </w:r>
      <w:r w:rsidR="00925A1E" w:rsidRPr="0058247A">
        <w:t xml:space="preserve">it </w:t>
      </w:r>
      <w:r w:rsidR="00925A1E" w:rsidRPr="0058247A">
        <w:lastRenderedPageBreak/>
        <w:t xml:space="preserve">would be anticipated that </w:t>
      </w:r>
      <w:r w:rsidR="00791FD3" w:rsidRPr="0058247A">
        <w:t xml:space="preserve">the Ld arm in MAIA </w:t>
      </w:r>
      <w:r w:rsidR="00925A1E" w:rsidRPr="0058247A">
        <w:t xml:space="preserve">would be below that of </w:t>
      </w:r>
      <w:r w:rsidR="00791FD3" w:rsidRPr="0058247A">
        <w:t>the Ld arm in SWOG s0777</w:t>
      </w:r>
      <w:r w:rsidR="00925A1E" w:rsidRPr="0058247A">
        <w:t>, indicating poorer outcomes</w:t>
      </w:r>
      <w:r w:rsidR="00791FD3" w:rsidRPr="0058247A">
        <w:t xml:space="preserve">. Contrary to the submission’s concern, the </w:t>
      </w:r>
      <w:r w:rsidR="00D30F1D" w:rsidRPr="0058247A">
        <w:t>results of the survival analysis (</w:t>
      </w:r>
      <w:r w:rsidR="00D30F1D" w:rsidRPr="0058247A">
        <w:fldChar w:fldCharType="begin"/>
      </w:r>
      <w:r w:rsidR="00D30F1D" w:rsidRPr="0058247A">
        <w:instrText xml:space="preserve"> REF _Ref121750793 \h </w:instrText>
      </w:r>
      <w:r w:rsidR="006A6407" w:rsidRPr="0058247A">
        <w:instrText xml:space="preserve"> \* MERGEFORMAT </w:instrText>
      </w:r>
      <w:r w:rsidR="00D30F1D" w:rsidRPr="0058247A">
        <w:fldChar w:fldCharType="separate"/>
      </w:r>
      <w:r w:rsidR="008D65C7" w:rsidRPr="0058247A">
        <w:t xml:space="preserve">Figure </w:t>
      </w:r>
      <w:r w:rsidR="008D65C7">
        <w:t>5</w:t>
      </w:r>
      <w:r w:rsidR="00D30F1D" w:rsidRPr="0058247A">
        <w:fldChar w:fldCharType="end"/>
      </w:r>
      <w:r w:rsidR="00D30F1D" w:rsidRPr="0058247A">
        <w:t xml:space="preserve"> and </w:t>
      </w:r>
      <w:r w:rsidR="00D30F1D" w:rsidRPr="0058247A">
        <w:fldChar w:fldCharType="begin"/>
      </w:r>
      <w:r w:rsidR="00D30F1D" w:rsidRPr="0058247A">
        <w:instrText xml:space="preserve"> REF _Ref121750795 \h </w:instrText>
      </w:r>
      <w:r w:rsidR="006A6407" w:rsidRPr="0058247A">
        <w:instrText xml:space="preserve"> \* MERGEFORMAT </w:instrText>
      </w:r>
      <w:r w:rsidR="00D30F1D" w:rsidRPr="0058247A">
        <w:fldChar w:fldCharType="separate"/>
      </w:r>
      <w:r w:rsidR="008D65C7" w:rsidRPr="0058247A">
        <w:t xml:space="preserve">Figure </w:t>
      </w:r>
      <w:r w:rsidR="008D65C7">
        <w:t>6</w:t>
      </w:r>
      <w:r w:rsidR="00D30F1D" w:rsidRPr="0058247A">
        <w:fldChar w:fldCharType="end"/>
      </w:r>
      <w:r w:rsidR="00D30F1D" w:rsidRPr="0058247A">
        <w:t xml:space="preserve">) show that the </w:t>
      </w:r>
      <w:r w:rsidR="00707D16" w:rsidRPr="0058247A">
        <w:t xml:space="preserve">Ld arm in MAIA is </w:t>
      </w:r>
      <w:r w:rsidR="00DC1AB4" w:rsidRPr="0058247A">
        <w:t>not below</w:t>
      </w:r>
      <w:r w:rsidR="00707D16" w:rsidRPr="0058247A">
        <w:t xml:space="preserve"> that of the Ld arm </w:t>
      </w:r>
      <w:r w:rsidR="00336CA9" w:rsidRPr="0058247A">
        <w:t xml:space="preserve">of the </w:t>
      </w:r>
      <w:r w:rsidR="00336CA9" w:rsidRPr="0058247A">
        <w:rPr>
          <w:rFonts w:cstheme="minorHAnsi"/>
        </w:rPr>
        <w:t>≥</w:t>
      </w:r>
      <w:r w:rsidR="00336CA9" w:rsidRPr="0058247A">
        <w:t xml:space="preserve"> 65 years subgroup </w:t>
      </w:r>
      <w:r w:rsidR="00707D16" w:rsidRPr="0058247A">
        <w:t>in SWOG s0777,</w:t>
      </w:r>
      <w:r w:rsidR="00336CA9" w:rsidRPr="0058247A">
        <w:t xml:space="preserve"> </w:t>
      </w:r>
      <w:r w:rsidR="00D30F1D" w:rsidRPr="0058247A">
        <w:t>in terms of PFS and OS.</w:t>
      </w:r>
      <w:r w:rsidR="00F258C8" w:rsidRPr="0058247A">
        <w:t xml:space="preserve"> </w:t>
      </w:r>
      <w:r w:rsidR="00D30F1D" w:rsidRPr="0058247A">
        <w:t xml:space="preserve">These results should be interpreted with caution because: </w:t>
      </w:r>
      <w:r w:rsidR="001C58FE" w:rsidRPr="0058247A">
        <w:t>SWOG</w:t>
      </w:r>
      <w:r w:rsidR="001C58FE">
        <w:t> </w:t>
      </w:r>
      <w:r w:rsidR="00D30F1D" w:rsidRPr="0058247A">
        <w:t xml:space="preserve">s0777 </w:t>
      </w:r>
      <w:r w:rsidR="00C976BB" w:rsidRPr="0058247A">
        <w:t>was not</w:t>
      </w:r>
      <w:r w:rsidR="00D30F1D" w:rsidRPr="0058247A">
        <w:t xml:space="preserve"> powered to detect differences by age; and,</w:t>
      </w:r>
      <w:r w:rsidR="005339B3" w:rsidRPr="0058247A">
        <w:t xml:space="preserve"> </w:t>
      </w:r>
      <w:r w:rsidR="00336CA9" w:rsidRPr="0058247A">
        <w:t xml:space="preserve">because </w:t>
      </w:r>
      <w:r w:rsidR="00D0082F" w:rsidRPr="0058247A">
        <w:t>of</w:t>
      </w:r>
      <w:r w:rsidR="00D30F1D" w:rsidRPr="0058247A">
        <w:t xml:space="preserve"> the difference in inclusion criteria between the trials affects the extent to which they reflect the same population with respect to transplant eligibility and potentially their applicability to Australian clinical practice (which generally relies on more than age to determine transplant eligibility).</w:t>
      </w:r>
    </w:p>
    <w:p w14:paraId="7A079980" w14:textId="4EF82145" w:rsidR="00D30F1D" w:rsidRPr="0058247A" w:rsidRDefault="00D30F1D" w:rsidP="003B3112">
      <w:pPr>
        <w:pStyle w:val="Caption"/>
      </w:pPr>
      <w:bookmarkStart w:id="62" w:name="_Ref121750793"/>
      <w:bookmarkStart w:id="63" w:name="_Toc22897642"/>
      <w:r w:rsidRPr="0058247A">
        <w:t xml:space="preserve">Figure </w:t>
      </w:r>
      <w:fldSimple w:instr=" SEQ Figure \* ARABIC ">
        <w:r w:rsidR="008D65C7">
          <w:rPr>
            <w:noProof/>
          </w:rPr>
          <w:t>5</w:t>
        </w:r>
      </w:fldSimple>
      <w:bookmarkEnd w:id="62"/>
      <w:r w:rsidRPr="0058247A">
        <w:t>: Survival analysis of progression free survival in MAIA and SWOG s0777</w:t>
      </w:r>
      <w:r w:rsidR="00D0082F" w:rsidRPr="0058247A">
        <w:t xml:space="preserve"> (≥ 65 years of age subgroup)</w:t>
      </w:r>
      <w:r w:rsidRPr="0058247A">
        <w:t>.</w:t>
      </w:r>
    </w:p>
    <w:p w14:paraId="1A4F0606" w14:textId="7D9461A7" w:rsidR="00D30F1D" w:rsidRPr="0058247A" w:rsidRDefault="00535C20" w:rsidP="003B3112">
      <w:pPr>
        <w:keepNext/>
        <w:rPr>
          <w:i/>
          <w:iCs/>
        </w:rPr>
      </w:pPr>
      <w:r w:rsidRPr="0058247A">
        <w:rPr>
          <w:b/>
          <w:bCs/>
          <w:noProof/>
          <w:sz w:val="20"/>
          <w:szCs w:val="20"/>
        </w:rPr>
        <w:drawing>
          <wp:inline distT="0" distB="0" distL="0" distR="0" wp14:anchorId="1B774228" wp14:editId="0C1D360C">
            <wp:extent cx="3710781" cy="2698750"/>
            <wp:effectExtent l="0" t="0" r="4445" b="6350"/>
            <wp:docPr id="6" name="Picture 6" descr="Figure 5: Survival analysis of progression free survival in MAIA and SWOG s0777 (≥ 65 years of age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5: Survival analysis of progression free survival in MAIA and SWOG s0777 (≥ 65 years of age subgroup)."/>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3714629" cy="2701549"/>
                    </a:xfrm>
                    <a:prstGeom prst="rect">
                      <a:avLst/>
                    </a:prstGeom>
                    <a:noFill/>
                    <a:ln>
                      <a:noFill/>
                    </a:ln>
                  </pic:spPr>
                </pic:pic>
              </a:graphicData>
            </a:graphic>
          </wp:inline>
        </w:drawing>
      </w:r>
    </w:p>
    <w:p w14:paraId="216FAECB" w14:textId="77777777" w:rsidR="00D0082F" w:rsidRPr="0058247A" w:rsidRDefault="00D0082F" w:rsidP="003B3112">
      <w:pPr>
        <w:pStyle w:val="FooterTableFigure"/>
        <w:keepNext/>
      </w:pPr>
      <w:r w:rsidRPr="0058247A">
        <w:t>Source: Figure 3, p6 of the PSCR</w:t>
      </w:r>
    </w:p>
    <w:p w14:paraId="407346CB" w14:textId="7E1CAD7C" w:rsidR="00D0082F" w:rsidRPr="00A8529D" w:rsidRDefault="00D0082F" w:rsidP="00A8529D">
      <w:pPr>
        <w:pStyle w:val="FooterTableFigure"/>
      </w:pPr>
      <w:r w:rsidRPr="0058247A">
        <w:t xml:space="preserve">BLd= bortezomib, lenalidomide, dexamethasone; DLd= daratumumab, lenalidomide, dexamethasone; Ld= lenalidomide, dexamethasone; PFS= progression free survival. </w:t>
      </w:r>
    </w:p>
    <w:p w14:paraId="27CFFC6B" w14:textId="4BB78B88" w:rsidR="00D30F1D" w:rsidRPr="0058247A" w:rsidRDefault="00D30F1D" w:rsidP="00C94C73">
      <w:pPr>
        <w:pStyle w:val="Caption"/>
      </w:pPr>
      <w:bookmarkStart w:id="64" w:name="_Ref121750795"/>
      <w:r w:rsidRPr="0058247A">
        <w:lastRenderedPageBreak/>
        <w:t xml:space="preserve">Figure </w:t>
      </w:r>
      <w:fldSimple w:instr=" SEQ Figure \* ARABIC ">
        <w:r w:rsidR="008D65C7">
          <w:rPr>
            <w:noProof/>
          </w:rPr>
          <w:t>6</w:t>
        </w:r>
      </w:fldSimple>
      <w:bookmarkEnd w:id="64"/>
      <w:r w:rsidRPr="0058247A">
        <w:t>: Survival analysis of overall survival in MAIA and SWOG s0777</w:t>
      </w:r>
      <w:r w:rsidR="00D0082F" w:rsidRPr="0058247A">
        <w:t xml:space="preserve"> (≥ 65 years of age subgroup)</w:t>
      </w:r>
      <w:r w:rsidRPr="0058247A">
        <w:t>.</w:t>
      </w:r>
    </w:p>
    <w:p w14:paraId="36E2270E" w14:textId="1D010E6B" w:rsidR="00535C20" w:rsidRPr="0058247A" w:rsidRDefault="00535C20" w:rsidP="00C94C73">
      <w:pPr>
        <w:pStyle w:val="FooterTableFigure"/>
        <w:keepNext/>
        <w:rPr>
          <w:szCs w:val="18"/>
        </w:rPr>
      </w:pPr>
      <w:r w:rsidRPr="0058247A">
        <w:rPr>
          <w:b/>
          <w:bCs/>
          <w:noProof/>
          <w:sz w:val="20"/>
          <w:szCs w:val="20"/>
        </w:rPr>
        <w:drawing>
          <wp:inline distT="0" distB="0" distL="0" distR="0" wp14:anchorId="4C92F08B" wp14:editId="46FE5215">
            <wp:extent cx="3689350" cy="2683618"/>
            <wp:effectExtent l="0" t="0" r="6350" b="2540"/>
            <wp:docPr id="5" name="Picture 5" descr="Figure 6: Survival analysis of overall survival in MAIA and SWOG s0777 (≥ 65 years of age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6: Survival analysis of overall survival in MAIA and SWOG s0777 (≥ 65 years of age subgroup)."/>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3694763" cy="2687555"/>
                    </a:xfrm>
                    <a:prstGeom prst="rect">
                      <a:avLst/>
                    </a:prstGeom>
                    <a:noFill/>
                    <a:ln>
                      <a:noFill/>
                    </a:ln>
                  </pic:spPr>
                </pic:pic>
              </a:graphicData>
            </a:graphic>
          </wp:inline>
        </w:drawing>
      </w:r>
    </w:p>
    <w:p w14:paraId="7B5B207A" w14:textId="65731517" w:rsidR="00D0082F" w:rsidRPr="0058247A" w:rsidRDefault="00D0082F" w:rsidP="00D0082F">
      <w:pPr>
        <w:pStyle w:val="FooterTableFigure"/>
      </w:pPr>
      <w:r w:rsidRPr="0058247A">
        <w:t>Source: Figure 3, p6 of the PSCR</w:t>
      </w:r>
    </w:p>
    <w:p w14:paraId="5A541C94" w14:textId="11E59B43" w:rsidR="00D0082F" w:rsidRPr="0058247A" w:rsidRDefault="00D0082F" w:rsidP="00D0082F">
      <w:pPr>
        <w:pStyle w:val="FooterTableFigure"/>
      </w:pPr>
      <w:r w:rsidRPr="0058247A">
        <w:t xml:space="preserve">BLd= bortezomib, lenalidomide, dexamethasone; DLd= daratumumab, lenalidomide, dexamethasone; Ld= lenalidomide, dexamethasone; OS= overall survival. </w:t>
      </w:r>
    </w:p>
    <w:p w14:paraId="0CFEE22B" w14:textId="73254397" w:rsidR="00D30F1D" w:rsidRPr="006154DA" w:rsidRDefault="00D30F1D" w:rsidP="0021164A">
      <w:pPr>
        <w:pStyle w:val="3-BodyText"/>
      </w:pPr>
      <w:r w:rsidRPr="006154DA">
        <w:t xml:space="preserve">During the evaluation, an </w:t>
      </w:r>
      <w:r w:rsidR="00925A1E" w:rsidRPr="006154DA">
        <w:t xml:space="preserve">anchored </w:t>
      </w:r>
      <w:r w:rsidRPr="006154DA">
        <w:t>ITC was conducted comparing the ITT population of MAIA with the ITT, ≥</w:t>
      </w:r>
      <w:r w:rsidR="00535C20" w:rsidRPr="006154DA">
        <w:t xml:space="preserve"> </w:t>
      </w:r>
      <w:r w:rsidRPr="006154DA">
        <w:t xml:space="preserve">65 years and the “No transplant” population in </w:t>
      </w:r>
      <w:r w:rsidR="001C58FE" w:rsidRPr="006154DA">
        <w:t>SWOG</w:t>
      </w:r>
      <w:r w:rsidR="001C58FE">
        <w:t> </w:t>
      </w:r>
      <w:r w:rsidRPr="006154DA">
        <w:t>s0</w:t>
      </w:r>
      <w:r w:rsidR="00814607" w:rsidRPr="006154DA">
        <w:t>7</w:t>
      </w:r>
      <w:r w:rsidRPr="006154DA">
        <w:t xml:space="preserve">77 (as reported in Durie 2020, see paragraph </w:t>
      </w:r>
      <w:r w:rsidRPr="006154DA">
        <w:fldChar w:fldCharType="begin"/>
      </w:r>
      <w:r w:rsidRPr="006154DA">
        <w:instrText xml:space="preserve"> REF _Ref122532110 \r \h </w:instrText>
      </w:r>
      <w:r w:rsidR="001679F2" w:rsidRPr="006154DA">
        <w:instrText xml:space="preserve"> \* MERGEFORMAT </w:instrText>
      </w:r>
      <w:r w:rsidRPr="006154DA">
        <w:fldChar w:fldCharType="separate"/>
      </w:r>
      <w:r w:rsidR="008D65C7">
        <w:t>6.22</w:t>
      </w:r>
      <w:r w:rsidRPr="006154DA">
        <w:fldChar w:fldCharType="end"/>
      </w:r>
      <w:r w:rsidRPr="006154DA">
        <w:t>), noting the potential for issues of transitivity across MAIA and SWOG s0777. The results of the ITC of DLd vs BLd (via an Ld common comparator) showed that, with the exception of PFS for MAIA-ITT compared with ≥</w:t>
      </w:r>
      <w:r w:rsidR="00535C20" w:rsidRPr="006154DA">
        <w:t xml:space="preserve"> </w:t>
      </w:r>
      <w:r w:rsidRPr="006154DA">
        <w:t>65 years in SWOG s0777, a significant difference could not be demonstrated between DLd and BLd for PFS or OS</w:t>
      </w:r>
      <w:r w:rsidR="00590444" w:rsidRPr="006154DA">
        <w:t xml:space="preserve">, as shown in </w:t>
      </w:r>
      <w:r w:rsidR="00590444" w:rsidRPr="006154DA">
        <w:fldChar w:fldCharType="begin"/>
      </w:r>
      <w:r w:rsidR="00590444" w:rsidRPr="006154DA">
        <w:instrText xml:space="preserve"> REF _Ref121750934 \h </w:instrText>
      </w:r>
      <w:r w:rsidR="006A6407" w:rsidRPr="006154DA">
        <w:instrText xml:space="preserve"> \* MERGEFORMAT </w:instrText>
      </w:r>
      <w:r w:rsidR="00590444" w:rsidRPr="006154DA">
        <w:fldChar w:fldCharType="separate"/>
      </w:r>
      <w:r w:rsidR="008D65C7" w:rsidRPr="0058247A">
        <w:t xml:space="preserve">Table </w:t>
      </w:r>
      <w:r w:rsidR="008D65C7">
        <w:t>9</w:t>
      </w:r>
      <w:r w:rsidR="00590444" w:rsidRPr="006154DA">
        <w:fldChar w:fldCharType="end"/>
      </w:r>
      <w:r w:rsidRPr="006154DA">
        <w:t>.</w:t>
      </w:r>
      <w:r w:rsidR="00DC1AB4" w:rsidRPr="006154DA">
        <w:t xml:space="preserve"> The ESC considered that the comparison most applicable to the proposed PBS population was the comparison of MAIA ITT vs SWOG s0777 "No transplant" group and noted this did not demonstrate DLd to be superior to BLd, indeed the point estimate of the ITC of OS favoured BLd (HR=1.04; 95% CI: 0.70, 1.56).</w:t>
      </w:r>
    </w:p>
    <w:p w14:paraId="29375221" w14:textId="18AE4A2D" w:rsidR="00D30F1D" w:rsidRPr="0058247A" w:rsidRDefault="00D30F1D" w:rsidP="00D30F1D">
      <w:pPr>
        <w:pStyle w:val="Caption"/>
      </w:pPr>
      <w:bookmarkStart w:id="65" w:name="_Ref121750934"/>
      <w:r w:rsidRPr="0058247A">
        <w:t xml:space="preserve">Table </w:t>
      </w:r>
      <w:fldSimple w:instr=" SEQ Table \* ARABIC ">
        <w:r w:rsidR="008D65C7">
          <w:rPr>
            <w:noProof/>
          </w:rPr>
          <w:t>9</w:t>
        </w:r>
      </w:fldSimple>
      <w:bookmarkEnd w:id="65"/>
      <w:r w:rsidRPr="0058247A">
        <w:t>: Indirect treatment comparison of MAIA (ITT) and subgroups of SWOG s0777.</w:t>
      </w:r>
    </w:p>
    <w:tbl>
      <w:tblPr>
        <w:tblStyle w:val="TableGrid"/>
        <w:tblW w:w="0" w:type="auto"/>
        <w:tblLook w:val="04A0" w:firstRow="1" w:lastRow="0" w:firstColumn="1" w:lastColumn="0" w:noHBand="0" w:noVBand="1"/>
      </w:tblPr>
      <w:tblGrid>
        <w:gridCol w:w="3397"/>
        <w:gridCol w:w="2977"/>
        <w:gridCol w:w="2643"/>
      </w:tblGrid>
      <w:tr w:rsidR="00D30F1D" w:rsidRPr="0058247A" w14:paraId="449CFCB3" w14:textId="77777777" w:rsidTr="007A3E08">
        <w:trPr>
          <w:trHeight w:val="255"/>
        </w:trPr>
        <w:tc>
          <w:tcPr>
            <w:tcW w:w="3397" w:type="dxa"/>
            <w:noWrap/>
            <w:hideMark/>
          </w:tcPr>
          <w:p w14:paraId="4A5692E8" w14:textId="77777777" w:rsidR="00D30F1D" w:rsidRPr="0058247A" w:rsidRDefault="00D30F1D" w:rsidP="00A25B4A">
            <w:pPr>
              <w:pStyle w:val="TableText0"/>
              <w:rPr>
                <w:b/>
                <w:bCs w:val="0"/>
              </w:rPr>
            </w:pPr>
            <w:r w:rsidRPr="0058247A">
              <w:rPr>
                <w:b/>
                <w:bCs w:val="0"/>
              </w:rPr>
              <w:t>Population</w:t>
            </w:r>
          </w:p>
        </w:tc>
        <w:tc>
          <w:tcPr>
            <w:tcW w:w="2977" w:type="dxa"/>
            <w:noWrap/>
            <w:vAlign w:val="center"/>
            <w:hideMark/>
          </w:tcPr>
          <w:p w14:paraId="764E9CBA" w14:textId="77777777" w:rsidR="00D30F1D" w:rsidRPr="0058247A" w:rsidRDefault="00D30F1D" w:rsidP="00A25B4A">
            <w:pPr>
              <w:pStyle w:val="TableText0"/>
              <w:jc w:val="center"/>
              <w:rPr>
                <w:b/>
                <w:bCs w:val="0"/>
              </w:rPr>
            </w:pPr>
            <w:r w:rsidRPr="0058247A">
              <w:rPr>
                <w:b/>
                <w:bCs w:val="0"/>
              </w:rPr>
              <w:t>DLd vs BLd via Ld</w:t>
            </w:r>
          </w:p>
          <w:p w14:paraId="40DF9297" w14:textId="63A912E5" w:rsidR="00D30F1D" w:rsidRPr="0058247A" w:rsidRDefault="00D30F1D" w:rsidP="00A25B4A">
            <w:pPr>
              <w:pStyle w:val="TableText0"/>
              <w:jc w:val="center"/>
              <w:rPr>
                <w:b/>
                <w:bCs w:val="0"/>
              </w:rPr>
            </w:pPr>
            <w:r w:rsidRPr="0058247A">
              <w:rPr>
                <w:b/>
                <w:bCs w:val="0"/>
              </w:rPr>
              <w:t>PFS</w:t>
            </w:r>
            <w:r w:rsidR="004A614D">
              <w:rPr>
                <w:b/>
                <w:bCs w:val="0"/>
              </w:rPr>
              <w:t xml:space="preserve">, </w:t>
            </w:r>
            <w:r w:rsidRPr="0058247A">
              <w:rPr>
                <w:b/>
                <w:bCs w:val="0"/>
              </w:rPr>
              <w:t>HR (95% CI)</w:t>
            </w:r>
          </w:p>
        </w:tc>
        <w:tc>
          <w:tcPr>
            <w:tcW w:w="2643" w:type="dxa"/>
            <w:noWrap/>
            <w:vAlign w:val="center"/>
            <w:hideMark/>
          </w:tcPr>
          <w:p w14:paraId="5C0790FB" w14:textId="77777777" w:rsidR="00D30F1D" w:rsidRPr="0058247A" w:rsidRDefault="00D30F1D" w:rsidP="00A25B4A">
            <w:pPr>
              <w:pStyle w:val="TableText0"/>
              <w:jc w:val="center"/>
              <w:rPr>
                <w:b/>
                <w:bCs w:val="0"/>
              </w:rPr>
            </w:pPr>
            <w:r w:rsidRPr="0058247A">
              <w:rPr>
                <w:b/>
                <w:bCs w:val="0"/>
              </w:rPr>
              <w:t>DLd vs BLd via Ld</w:t>
            </w:r>
          </w:p>
          <w:p w14:paraId="2951DD21" w14:textId="6846CDAE" w:rsidR="00D30F1D" w:rsidRPr="0058247A" w:rsidRDefault="00D30F1D" w:rsidP="00A25B4A">
            <w:pPr>
              <w:pStyle w:val="TableText0"/>
              <w:jc w:val="center"/>
              <w:rPr>
                <w:b/>
                <w:bCs w:val="0"/>
              </w:rPr>
            </w:pPr>
            <w:r w:rsidRPr="0058247A">
              <w:rPr>
                <w:b/>
                <w:bCs w:val="0"/>
              </w:rPr>
              <w:t>OS</w:t>
            </w:r>
            <w:r w:rsidR="004A614D">
              <w:rPr>
                <w:b/>
                <w:bCs w:val="0"/>
              </w:rPr>
              <w:t xml:space="preserve">, </w:t>
            </w:r>
            <w:r w:rsidRPr="0058247A">
              <w:rPr>
                <w:b/>
                <w:bCs w:val="0"/>
              </w:rPr>
              <w:t>HR (95% CI)</w:t>
            </w:r>
          </w:p>
        </w:tc>
      </w:tr>
      <w:tr w:rsidR="00D30F1D" w:rsidRPr="0058247A" w14:paraId="6624B6F5" w14:textId="77777777" w:rsidTr="007A3E08">
        <w:trPr>
          <w:trHeight w:val="255"/>
        </w:trPr>
        <w:tc>
          <w:tcPr>
            <w:tcW w:w="3397" w:type="dxa"/>
            <w:noWrap/>
            <w:hideMark/>
          </w:tcPr>
          <w:p w14:paraId="55974454" w14:textId="1F416603" w:rsidR="00D30F1D" w:rsidRPr="0058247A" w:rsidRDefault="00D30F1D" w:rsidP="00A25B4A">
            <w:pPr>
              <w:pStyle w:val="TableText0"/>
            </w:pPr>
            <w:r w:rsidRPr="0058247A">
              <w:t>MAIA ITT vs SWOG s0</w:t>
            </w:r>
            <w:r w:rsidR="00814607" w:rsidRPr="0058247A">
              <w:t>7</w:t>
            </w:r>
            <w:r w:rsidRPr="0058247A">
              <w:t>77 ITT</w:t>
            </w:r>
          </w:p>
        </w:tc>
        <w:tc>
          <w:tcPr>
            <w:tcW w:w="2977" w:type="dxa"/>
            <w:noWrap/>
            <w:vAlign w:val="center"/>
            <w:hideMark/>
          </w:tcPr>
          <w:p w14:paraId="27253A89" w14:textId="77777777" w:rsidR="00D30F1D" w:rsidRPr="0058247A" w:rsidRDefault="00D30F1D" w:rsidP="00A25B4A">
            <w:pPr>
              <w:pStyle w:val="TableText0"/>
              <w:jc w:val="center"/>
            </w:pPr>
            <w:r w:rsidRPr="0058247A">
              <w:t>0.77 (0.57, 1.06)</w:t>
            </w:r>
          </w:p>
        </w:tc>
        <w:tc>
          <w:tcPr>
            <w:tcW w:w="2643" w:type="dxa"/>
            <w:noWrap/>
            <w:vAlign w:val="center"/>
            <w:hideMark/>
          </w:tcPr>
          <w:p w14:paraId="5A436273" w14:textId="77777777" w:rsidR="00D30F1D" w:rsidRPr="0058247A" w:rsidRDefault="00D30F1D" w:rsidP="00A25B4A">
            <w:pPr>
              <w:pStyle w:val="TableText0"/>
              <w:jc w:val="center"/>
            </w:pPr>
            <w:r w:rsidRPr="0058247A">
              <w:t>0.93 (0.64, 1.36)</w:t>
            </w:r>
          </w:p>
        </w:tc>
      </w:tr>
      <w:tr w:rsidR="00D30F1D" w:rsidRPr="0058247A" w14:paraId="6342B300" w14:textId="77777777" w:rsidTr="007A3E08">
        <w:trPr>
          <w:trHeight w:val="255"/>
        </w:trPr>
        <w:tc>
          <w:tcPr>
            <w:tcW w:w="3397" w:type="dxa"/>
            <w:noWrap/>
            <w:hideMark/>
          </w:tcPr>
          <w:p w14:paraId="298BC566" w14:textId="7B746823" w:rsidR="00D30F1D" w:rsidRPr="0058247A" w:rsidRDefault="00D30F1D" w:rsidP="00A25B4A">
            <w:pPr>
              <w:pStyle w:val="TableText0"/>
            </w:pPr>
            <w:r w:rsidRPr="0058247A">
              <w:t>MAIA ITT vs SWOG s07</w:t>
            </w:r>
            <w:r w:rsidR="00814607" w:rsidRPr="0058247A">
              <w:t>7</w:t>
            </w:r>
            <w:r w:rsidRPr="0058247A">
              <w:t>7 ≥</w:t>
            </w:r>
            <w:r w:rsidR="007F790A">
              <w:t xml:space="preserve"> </w:t>
            </w:r>
            <w:r w:rsidRPr="0058247A">
              <w:t>65</w:t>
            </w:r>
          </w:p>
        </w:tc>
        <w:tc>
          <w:tcPr>
            <w:tcW w:w="2977" w:type="dxa"/>
            <w:noWrap/>
            <w:vAlign w:val="center"/>
            <w:hideMark/>
          </w:tcPr>
          <w:p w14:paraId="72209F36" w14:textId="77777777" w:rsidR="00D30F1D" w:rsidRPr="0058247A" w:rsidRDefault="00D30F1D" w:rsidP="00A25B4A">
            <w:pPr>
              <w:pStyle w:val="TableText0"/>
              <w:jc w:val="center"/>
            </w:pPr>
            <w:r w:rsidRPr="0058247A">
              <w:t>0.61 (0.42, 0.90)</w:t>
            </w:r>
          </w:p>
        </w:tc>
        <w:tc>
          <w:tcPr>
            <w:tcW w:w="2643" w:type="dxa"/>
            <w:noWrap/>
            <w:vAlign w:val="center"/>
            <w:hideMark/>
          </w:tcPr>
          <w:p w14:paraId="6888CD8E" w14:textId="77777777" w:rsidR="00D30F1D" w:rsidRPr="0058247A" w:rsidRDefault="00D30F1D" w:rsidP="00A25B4A">
            <w:pPr>
              <w:pStyle w:val="TableText0"/>
              <w:jc w:val="center"/>
            </w:pPr>
            <w:r w:rsidRPr="0058247A">
              <w:t>0.75 (0.47, 1.19)</w:t>
            </w:r>
          </w:p>
        </w:tc>
      </w:tr>
      <w:tr w:rsidR="00D30F1D" w:rsidRPr="0058247A" w14:paraId="300A2DB8" w14:textId="77777777" w:rsidTr="007A3E08">
        <w:trPr>
          <w:trHeight w:val="255"/>
        </w:trPr>
        <w:tc>
          <w:tcPr>
            <w:tcW w:w="3397" w:type="dxa"/>
            <w:noWrap/>
            <w:hideMark/>
          </w:tcPr>
          <w:p w14:paraId="10D9EEDB" w14:textId="77777777" w:rsidR="00D30F1D" w:rsidRPr="0058247A" w:rsidRDefault="00D30F1D" w:rsidP="00A25B4A">
            <w:pPr>
              <w:pStyle w:val="TableText0"/>
            </w:pPr>
            <w:r w:rsidRPr="0058247A">
              <w:t>MAIA ITT vs SWOG s0777 "No transplant"</w:t>
            </w:r>
          </w:p>
        </w:tc>
        <w:tc>
          <w:tcPr>
            <w:tcW w:w="2977" w:type="dxa"/>
            <w:noWrap/>
            <w:vAlign w:val="center"/>
            <w:hideMark/>
          </w:tcPr>
          <w:p w14:paraId="13ACF199" w14:textId="77777777" w:rsidR="00D30F1D" w:rsidRPr="0058247A" w:rsidRDefault="00D30F1D" w:rsidP="00A25B4A">
            <w:pPr>
              <w:pStyle w:val="TableText0"/>
              <w:jc w:val="center"/>
            </w:pPr>
            <w:r w:rsidRPr="0058247A">
              <w:t>0.75 (0.53, 1.06)</w:t>
            </w:r>
          </w:p>
        </w:tc>
        <w:tc>
          <w:tcPr>
            <w:tcW w:w="2643" w:type="dxa"/>
            <w:noWrap/>
            <w:vAlign w:val="center"/>
            <w:hideMark/>
          </w:tcPr>
          <w:p w14:paraId="6CBD2A3C" w14:textId="06003AF8" w:rsidR="00D30F1D" w:rsidRPr="0058247A" w:rsidRDefault="00D30F1D" w:rsidP="00A25B4A">
            <w:pPr>
              <w:pStyle w:val="TableText0"/>
              <w:jc w:val="center"/>
            </w:pPr>
            <w:r w:rsidRPr="0058247A">
              <w:t>1.04 (0.7</w:t>
            </w:r>
            <w:r w:rsidR="00DC1AB4" w:rsidRPr="0058247A">
              <w:t>0</w:t>
            </w:r>
            <w:r w:rsidRPr="0058247A">
              <w:t>, 1.56)</w:t>
            </w:r>
          </w:p>
        </w:tc>
      </w:tr>
    </w:tbl>
    <w:p w14:paraId="1188B14E" w14:textId="77777777" w:rsidR="00D30F1D" w:rsidRPr="0058247A" w:rsidRDefault="00D30F1D" w:rsidP="00D30F1D">
      <w:pPr>
        <w:pStyle w:val="FooterTableFigure"/>
      </w:pPr>
      <w:r w:rsidRPr="0058247A">
        <w:t>Source: Table 2.27, p146, Table 2.25, p142, Table 2.49, p184, Table 2.50, p186 of the submission and figure 4b of Durie 2020.</w:t>
      </w:r>
    </w:p>
    <w:p w14:paraId="4406BF6C" w14:textId="77777777" w:rsidR="00D30F1D" w:rsidRPr="0058247A" w:rsidDel="006253DE" w:rsidRDefault="00D30F1D" w:rsidP="00D30F1D">
      <w:pPr>
        <w:pStyle w:val="FooterTableFigure"/>
        <w:rPr>
          <w:szCs w:val="18"/>
        </w:rPr>
      </w:pPr>
      <w:r w:rsidRPr="0058247A">
        <w:rPr>
          <w:szCs w:val="18"/>
        </w:rPr>
        <w:t xml:space="preserve">BLd= bortezomib, lenalidomide, dexamethasone; CI= confidence interval; DLd= daratumumab, lenalidomide, dexamethasone; HR= hazard ratio; </w:t>
      </w:r>
      <w:r w:rsidRPr="0058247A">
        <w:t xml:space="preserve">ITT= intention to treat; </w:t>
      </w:r>
      <w:r w:rsidRPr="0058247A">
        <w:rPr>
          <w:szCs w:val="18"/>
        </w:rPr>
        <w:t xml:space="preserve">Ld= lenalidomide, dexamethasone; PFS= progression free survival; OS= overall survival. </w:t>
      </w:r>
    </w:p>
    <w:p w14:paraId="51EA7404" w14:textId="77777777" w:rsidR="00D30F1D" w:rsidRPr="0058247A" w:rsidRDefault="00D30F1D" w:rsidP="008318D3">
      <w:pPr>
        <w:keepNext/>
        <w:rPr>
          <w:u w:val="single"/>
        </w:rPr>
      </w:pPr>
      <w:r w:rsidRPr="0058247A">
        <w:rPr>
          <w:u w:val="single"/>
        </w:rPr>
        <w:t>Assessment of differences between the trial setting and the Australian setting after listing</w:t>
      </w:r>
    </w:p>
    <w:p w14:paraId="2A7198DE" w14:textId="77777777" w:rsidR="00D30F1D" w:rsidRPr="0058247A" w:rsidRDefault="00D30F1D" w:rsidP="00D30F1D">
      <w:pPr>
        <w:pStyle w:val="3-BodyText"/>
        <w:rPr>
          <w:rFonts w:ascii="Calibri" w:hAnsi="Calibri"/>
          <w:iCs/>
        </w:rPr>
      </w:pPr>
      <w:r w:rsidRPr="0058247A">
        <w:rPr>
          <w:iCs/>
        </w:rPr>
        <w:t xml:space="preserve">Australian patients with MM in the </w:t>
      </w:r>
      <w:r w:rsidRPr="0058247A">
        <w:rPr>
          <w:iCs/>
          <w:szCs w:val="20"/>
        </w:rPr>
        <w:t xml:space="preserve">MRDR </w:t>
      </w:r>
      <w:r w:rsidRPr="0058247A">
        <w:rPr>
          <w:iCs/>
        </w:rPr>
        <w:t>had similar demographic characteristics compared to those enrolled in MAIA, but some differences in terms of disease stage and health status were observed, mainly:</w:t>
      </w:r>
    </w:p>
    <w:p w14:paraId="63024733" w14:textId="3BB5AB9B" w:rsidR="00D30F1D" w:rsidRPr="0058247A" w:rsidRDefault="00D30F1D" w:rsidP="00661C42">
      <w:pPr>
        <w:pStyle w:val="ListParagraph"/>
        <w:numPr>
          <w:ilvl w:val="0"/>
          <w:numId w:val="8"/>
        </w:numPr>
        <w:snapToGrid w:val="0"/>
        <w:ind w:left="1080"/>
        <w:rPr>
          <w:iCs/>
        </w:rPr>
      </w:pPr>
      <w:r w:rsidRPr="0058247A">
        <w:rPr>
          <w:iCs/>
        </w:rPr>
        <w:t xml:space="preserve">Transplant eligibility criteria: Patients in the MRDR were presumably assessed according to local clinical guidelines where age, disabilities, frailty and </w:t>
      </w:r>
      <w:r w:rsidRPr="0058247A">
        <w:rPr>
          <w:iCs/>
        </w:rPr>
        <w:lastRenderedPageBreak/>
        <w:t xml:space="preserve">comorbidities are used to assess eligibility to transplant. In contrast, MAIA patients were </w:t>
      </w:r>
      <w:r w:rsidR="00F0430B" w:rsidRPr="0058247A">
        <w:rPr>
          <w:iCs/>
        </w:rPr>
        <w:t xml:space="preserve">primarily defined as transplant </w:t>
      </w:r>
      <w:r w:rsidR="00814607" w:rsidRPr="0058247A">
        <w:rPr>
          <w:iCs/>
        </w:rPr>
        <w:t>ineligible</w:t>
      </w:r>
      <w:r w:rsidR="00F0430B" w:rsidRPr="0058247A">
        <w:rPr>
          <w:iCs/>
        </w:rPr>
        <w:t xml:space="preserve"> based</w:t>
      </w:r>
      <w:r w:rsidRPr="0058247A">
        <w:rPr>
          <w:iCs/>
        </w:rPr>
        <w:t xml:space="preserve"> on age</w:t>
      </w:r>
      <w:r w:rsidR="004D7895" w:rsidRPr="0058247A">
        <w:rPr>
          <w:iCs/>
        </w:rPr>
        <w:t xml:space="preserve"> alone</w:t>
      </w:r>
      <w:r w:rsidR="00482440" w:rsidRPr="0058247A">
        <w:rPr>
          <w:iCs/>
        </w:rPr>
        <w:t xml:space="preserve"> (patients 65 and over were considered TI, while those under 65 may have been classified as TI in the presence of specific comorbidities). Thus,</w:t>
      </w:r>
      <w:r w:rsidR="004D7895" w:rsidRPr="0058247A">
        <w:rPr>
          <w:iCs/>
        </w:rPr>
        <w:t xml:space="preserve"> a proportion of </w:t>
      </w:r>
      <w:r w:rsidR="00482440" w:rsidRPr="0058247A">
        <w:rPr>
          <w:iCs/>
        </w:rPr>
        <w:t>patients in MAIA, particularly of those over 65</w:t>
      </w:r>
      <w:r w:rsidR="00B01025" w:rsidRPr="0058247A">
        <w:rPr>
          <w:iCs/>
        </w:rPr>
        <w:t xml:space="preserve"> years of age</w:t>
      </w:r>
      <w:r w:rsidR="00482440" w:rsidRPr="0058247A">
        <w:rPr>
          <w:iCs/>
        </w:rPr>
        <w:t xml:space="preserve">, </w:t>
      </w:r>
      <w:r w:rsidR="004D7895" w:rsidRPr="0058247A">
        <w:rPr>
          <w:iCs/>
        </w:rPr>
        <w:t xml:space="preserve">may </w:t>
      </w:r>
      <w:r w:rsidR="00482440" w:rsidRPr="0058247A">
        <w:rPr>
          <w:iCs/>
        </w:rPr>
        <w:t xml:space="preserve">have </w:t>
      </w:r>
      <w:r w:rsidR="004D7895" w:rsidRPr="0058247A">
        <w:rPr>
          <w:iCs/>
        </w:rPr>
        <w:t>be</w:t>
      </w:r>
      <w:r w:rsidR="00482440" w:rsidRPr="0058247A">
        <w:rPr>
          <w:iCs/>
        </w:rPr>
        <w:t>en</w:t>
      </w:r>
      <w:r w:rsidR="004D7895" w:rsidRPr="0058247A">
        <w:rPr>
          <w:iCs/>
        </w:rPr>
        <w:t xml:space="preserve"> considered transplant eligible in </w:t>
      </w:r>
      <w:r w:rsidR="009D04E4" w:rsidRPr="0058247A">
        <w:rPr>
          <w:iCs/>
        </w:rPr>
        <w:t>Australian</w:t>
      </w:r>
      <w:r w:rsidR="004D7895" w:rsidRPr="0058247A">
        <w:rPr>
          <w:iCs/>
        </w:rPr>
        <w:t xml:space="preserve"> practice</w:t>
      </w:r>
      <w:r w:rsidRPr="0058247A">
        <w:rPr>
          <w:iCs/>
        </w:rPr>
        <w:t xml:space="preserve">. Therefore, it is expected that if listed, DLd </w:t>
      </w:r>
      <w:r w:rsidR="004D7895" w:rsidRPr="0058247A">
        <w:rPr>
          <w:iCs/>
        </w:rPr>
        <w:t xml:space="preserve">may </w:t>
      </w:r>
      <w:r w:rsidRPr="0058247A">
        <w:rPr>
          <w:iCs/>
        </w:rPr>
        <w:t>be used to treat Australian patients who are frailer with more comorbidities compared to MAIA patients.</w:t>
      </w:r>
    </w:p>
    <w:p w14:paraId="69726576" w14:textId="3589CDE1" w:rsidR="00D30F1D" w:rsidRPr="0058247A" w:rsidRDefault="00D30F1D" w:rsidP="00661C42">
      <w:pPr>
        <w:pStyle w:val="ListParagraph"/>
        <w:numPr>
          <w:ilvl w:val="0"/>
          <w:numId w:val="8"/>
        </w:numPr>
        <w:snapToGrid w:val="0"/>
        <w:ind w:left="1080"/>
        <w:rPr>
          <w:iCs/>
        </w:rPr>
      </w:pPr>
      <w:r w:rsidRPr="0058247A">
        <w:rPr>
          <w:iCs/>
        </w:rPr>
        <w:t xml:space="preserve">ECOG score: MRDR patients </w:t>
      </w:r>
      <w:r w:rsidR="009D04E4" w:rsidRPr="0058247A">
        <w:rPr>
          <w:iCs/>
        </w:rPr>
        <w:t xml:space="preserve">had higher </w:t>
      </w:r>
      <w:r w:rsidR="001B683F" w:rsidRPr="0058247A">
        <w:rPr>
          <w:iCs/>
        </w:rPr>
        <w:t xml:space="preserve">(worse) </w:t>
      </w:r>
      <w:r w:rsidRPr="0058247A">
        <w:rPr>
          <w:iCs/>
        </w:rPr>
        <w:t>ECOG scores compared with the ITT population in MAIA (MRDR-ECOG ≥</w:t>
      </w:r>
      <w:r w:rsidR="005339B3" w:rsidRPr="0058247A">
        <w:rPr>
          <w:iCs/>
        </w:rPr>
        <w:t xml:space="preserve"> </w:t>
      </w:r>
      <w:r w:rsidRPr="0058247A">
        <w:rPr>
          <w:iCs/>
        </w:rPr>
        <w:t>2= 27.8% and MAIA-ECOG ≥</w:t>
      </w:r>
      <w:r w:rsidR="005339B3" w:rsidRPr="0058247A">
        <w:rPr>
          <w:iCs/>
        </w:rPr>
        <w:t xml:space="preserve"> </w:t>
      </w:r>
      <w:r w:rsidRPr="0058247A">
        <w:rPr>
          <w:iCs/>
        </w:rPr>
        <w:t>2 = 16.6%).</w:t>
      </w:r>
    </w:p>
    <w:p w14:paraId="64AB5C52" w14:textId="3A01B321" w:rsidR="00D30F1D" w:rsidRPr="0058247A" w:rsidRDefault="00D30F1D" w:rsidP="00661C42">
      <w:pPr>
        <w:pStyle w:val="ListParagraph"/>
        <w:numPr>
          <w:ilvl w:val="0"/>
          <w:numId w:val="8"/>
        </w:numPr>
        <w:snapToGrid w:val="0"/>
        <w:ind w:left="1080"/>
        <w:rPr>
          <w:iCs/>
        </w:rPr>
      </w:pPr>
      <w:r w:rsidRPr="0058247A">
        <w:rPr>
          <w:iCs/>
        </w:rPr>
        <w:t>MM type: A higher proportion of patients in the MRDR had light chain MM (one of the most common types of MM), associated with poorer prognosis when compared to the immunoglobulin (Ig) G or IgA variant (MRDR= 19.4% and MAIA</w:t>
      </w:r>
      <w:r w:rsidR="001C58FE" w:rsidRPr="0058247A">
        <w:rPr>
          <w:iCs/>
        </w:rPr>
        <w:t>=</w:t>
      </w:r>
      <w:r w:rsidR="001C58FE">
        <w:rPr>
          <w:iCs/>
        </w:rPr>
        <w:t> </w:t>
      </w:r>
      <w:r w:rsidRPr="0058247A">
        <w:rPr>
          <w:iCs/>
        </w:rPr>
        <w:t>11.4%).</w:t>
      </w:r>
    </w:p>
    <w:p w14:paraId="1D01AAAE" w14:textId="77777777" w:rsidR="00D30F1D" w:rsidRPr="0058247A" w:rsidRDefault="00D30F1D" w:rsidP="00D30F1D">
      <w:pPr>
        <w:pStyle w:val="ListBullet"/>
        <w:tabs>
          <w:tab w:val="clear" w:pos="360"/>
          <w:tab w:val="num" w:pos="1080"/>
        </w:tabs>
        <w:spacing w:after="120"/>
        <w:ind w:left="1077" w:hanging="357"/>
        <w:contextualSpacing w:val="0"/>
        <w:rPr>
          <w:iCs/>
        </w:rPr>
      </w:pPr>
      <w:r w:rsidRPr="0058247A">
        <w:rPr>
          <w:iCs/>
        </w:rPr>
        <w:t xml:space="preserve">ISS stage: More patients in the MRDR were ISS stage III compared to those included in MAIA (MRDR= 39.6%, MAIA= 29.4%). </w:t>
      </w:r>
    </w:p>
    <w:p w14:paraId="63FD9679" w14:textId="00A838CA" w:rsidR="00D30F1D" w:rsidRPr="0058247A" w:rsidRDefault="00D30F1D" w:rsidP="00D30F1D">
      <w:pPr>
        <w:pStyle w:val="3-BodyText"/>
        <w:rPr>
          <w:iCs/>
        </w:rPr>
      </w:pPr>
      <w:r w:rsidRPr="0058247A">
        <w:rPr>
          <w:iCs/>
        </w:rPr>
        <w:t xml:space="preserve">The poorer health state, worse severity of the disease and the </w:t>
      </w:r>
      <w:r w:rsidR="005138BB" w:rsidRPr="0058247A">
        <w:rPr>
          <w:iCs/>
        </w:rPr>
        <w:t xml:space="preserve">greater </w:t>
      </w:r>
      <w:r w:rsidR="001B683F" w:rsidRPr="0058247A">
        <w:rPr>
          <w:iCs/>
        </w:rPr>
        <w:t>prevalence</w:t>
      </w:r>
      <w:r w:rsidRPr="0058247A">
        <w:rPr>
          <w:iCs/>
        </w:rPr>
        <w:t xml:space="preserve"> of </w:t>
      </w:r>
      <w:r w:rsidR="001B683F" w:rsidRPr="0058247A">
        <w:rPr>
          <w:iCs/>
        </w:rPr>
        <w:t>light chain</w:t>
      </w:r>
      <w:r w:rsidRPr="0058247A">
        <w:rPr>
          <w:iCs/>
        </w:rPr>
        <w:t xml:space="preserve"> MM </w:t>
      </w:r>
      <w:r w:rsidR="00D5607A" w:rsidRPr="0058247A">
        <w:rPr>
          <w:iCs/>
        </w:rPr>
        <w:t>(</w:t>
      </w:r>
      <w:r w:rsidRPr="0058247A">
        <w:rPr>
          <w:iCs/>
        </w:rPr>
        <w:t>associated with poorer outcomes</w:t>
      </w:r>
      <w:r w:rsidR="00D5607A" w:rsidRPr="0058247A">
        <w:rPr>
          <w:iCs/>
        </w:rPr>
        <w:t>)</w:t>
      </w:r>
      <w:r w:rsidRPr="0058247A">
        <w:rPr>
          <w:iCs/>
        </w:rPr>
        <w:t xml:space="preserve"> in the Australian population, </w:t>
      </w:r>
      <w:r w:rsidR="000E6560" w:rsidRPr="0058247A">
        <w:rPr>
          <w:iCs/>
        </w:rPr>
        <w:t xml:space="preserve">may </w:t>
      </w:r>
      <w:r w:rsidR="00943357" w:rsidRPr="0058247A">
        <w:rPr>
          <w:iCs/>
        </w:rPr>
        <w:t xml:space="preserve">result in </w:t>
      </w:r>
      <w:r w:rsidRPr="0058247A">
        <w:rPr>
          <w:iCs/>
        </w:rPr>
        <w:t xml:space="preserve">a </w:t>
      </w:r>
      <w:r w:rsidR="00943357" w:rsidRPr="0058247A">
        <w:rPr>
          <w:iCs/>
        </w:rPr>
        <w:t xml:space="preserve">diminished </w:t>
      </w:r>
      <w:r w:rsidRPr="0058247A">
        <w:rPr>
          <w:iCs/>
        </w:rPr>
        <w:t>treatment effect for DLd, if listed, compared to that reported in MAIA. A subgroup analysis in MAIA showed statistically significant results for PFS in ISS stage III but non-significant results in OS when ISS stage and ECOG performance status were analysed</w:t>
      </w:r>
      <w:r w:rsidR="00AB2535" w:rsidRPr="0058247A">
        <w:rPr>
          <w:iCs/>
        </w:rPr>
        <w:t xml:space="preserve">, and </w:t>
      </w:r>
      <w:r w:rsidRPr="0058247A">
        <w:rPr>
          <w:iCs/>
        </w:rPr>
        <w:t>no subgroup analyses w</w:t>
      </w:r>
      <w:r w:rsidR="00371A2E" w:rsidRPr="0058247A">
        <w:rPr>
          <w:iCs/>
        </w:rPr>
        <w:t>ere</w:t>
      </w:r>
      <w:r w:rsidRPr="0058247A">
        <w:rPr>
          <w:iCs/>
        </w:rPr>
        <w:t xml:space="preserve"> conducted in MAIA to test the treatment effect associated with light chain MM type subgroups.</w:t>
      </w:r>
    </w:p>
    <w:p w14:paraId="128281D1" w14:textId="77777777" w:rsidR="00D30F1D" w:rsidRPr="0058247A" w:rsidRDefault="00D30F1D" w:rsidP="004A614D">
      <w:pPr>
        <w:pStyle w:val="4-SubsectionHeading"/>
      </w:pPr>
      <w:bookmarkStart w:id="66" w:name="_Toc121741814"/>
      <w:bookmarkStart w:id="67" w:name="_Toc124878974"/>
      <w:r w:rsidRPr="0058247A">
        <w:t>Comparative harms</w:t>
      </w:r>
      <w:bookmarkEnd w:id="63"/>
      <w:bookmarkEnd w:id="66"/>
      <w:bookmarkEnd w:id="67"/>
    </w:p>
    <w:p w14:paraId="201AC96E" w14:textId="30349F3F" w:rsidR="0088759C" w:rsidRPr="0058247A" w:rsidRDefault="00D30F1D" w:rsidP="007A3E08">
      <w:pPr>
        <w:pStyle w:val="3-BodyText"/>
      </w:pPr>
      <w:r w:rsidRPr="0058247A">
        <w:t xml:space="preserve">A summary of the comparative harms for DLd vs Ld from MAIA </w:t>
      </w:r>
      <w:r w:rsidR="002A5E11" w:rsidRPr="0058247A">
        <w:t xml:space="preserve">after a median follow-up of 64.5 months </w:t>
      </w:r>
      <w:r w:rsidRPr="0058247A">
        <w:t xml:space="preserve">is presented in </w:t>
      </w:r>
      <w:r w:rsidRPr="0058247A">
        <w:fldChar w:fldCharType="begin"/>
      </w:r>
      <w:r w:rsidRPr="0058247A">
        <w:instrText xml:space="preserve"> REF _Ref121384017 \h  \* MERGEFORMAT </w:instrText>
      </w:r>
      <w:r w:rsidRPr="0058247A">
        <w:fldChar w:fldCharType="separate"/>
      </w:r>
      <w:r w:rsidR="008D65C7" w:rsidRPr="0058247A">
        <w:t xml:space="preserve">Table </w:t>
      </w:r>
      <w:r w:rsidR="008D65C7">
        <w:t>10</w:t>
      </w:r>
      <w:r w:rsidRPr="0058247A">
        <w:fldChar w:fldCharType="end"/>
      </w:r>
      <w:r w:rsidRPr="0058247A">
        <w:t xml:space="preserve">. Almost all patients in the DLd and Ld treatment groups experienced one or more treatment emergent adverse events (TEAEs) (100.0% vs 99.5%). Although more patients in the DLd treatment group experienced any serious TEAE compared with those treated with Ld (78.8% vs 71.0%), fewer patients in the DLd treatment group discontinued all study treatment due to a TEAE compared with the Ld group (14.6% vs 23.8%). However, this proportion should be interpreted carefully as it was defined as patients discontinuing all components of the treatment and the total number of patients discontinuing at least one component of the treatment was higher for DLd than Ld (see “TEAE leading to discontinuation” in </w:t>
      </w:r>
      <w:r w:rsidRPr="0058247A">
        <w:fldChar w:fldCharType="begin"/>
      </w:r>
      <w:r w:rsidRPr="0058247A">
        <w:instrText xml:space="preserve"> REF _Ref121384017 \h  \* MERGEFORMAT </w:instrText>
      </w:r>
      <w:r w:rsidRPr="0058247A">
        <w:fldChar w:fldCharType="separate"/>
      </w:r>
      <w:r w:rsidR="008D65C7" w:rsidRPr="0058247A">
        <w:t xml:space="preserve">Table </w:t>
      </w:r>
      <w:r w:rsidR="008D65C7">
        <w:t>10</w:t>
      </w:r>
      <w:r w:rsidRPr="0058247A">
        <w:fldChar w:fldCharType="end"/>
      </w:r>
      <w:r w:rsidRPr="0058247A">
        <w:t>).</w:t>
      </w:r>
    </w:p>
    <w:p w14:paraId="24D40C59" w14:textId="77368A90" w:rsidR="00D30F1D" w:rsidRPr="0058247A" w:rsidRDefault="00D30F1D" w:rsidP="007A3E08">
      <w:pPr>
        <w:pStyle w:val="TableFigureHeading"/>
        <w:keepLines/>
        <w:rPr>
          <w:rStyle w:val="CommentReference"/>
          <w:b/>
          <w:szCs w:val="24"/>
        </w:rPr>
      </w:pPr>
      <w:bookmarkStart w:id="68" w:name="_Ref121384017"/>
      <w:r w:rsidRPr="0058247A">
        <w:lastRenderedPageBreak/>
        <w:t xml:space="preserve">Table </w:t>
      </w:r>
      <w:fldSimple w:instr=" SEQ Table \* ARABIC ">
        <w:r w:rsidR="008D65C7">
          <w:rPr>
            <w:noProof/>
          </w:rPr>
          <w:t>10</w:t>
        </w:r>
      </w:fldSimple>
      <w:bookmarkEnd w:id="68"/>
      <w:r w:rsidRPr="0058247A">
        <w:t xml:space="preserve">: </w:t>
      </w:r>
      <w:r w:rsidRPr="0058247A">
        <w:rPr>
          <w:rStyle w:val="CommentReference"/>
          <w:b/>
          <w:szCs w:val="24"/>
        </w:rPr>
        <w:t>Summary of key adverse events in MAIA, safety population (cut-off date 21 October 2021)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94"/>
        <w:gridCol w:w="1595"/>
        <w:gridCol w:w="1594"/>
        <w:gridCol w:w="1595"/>
      </w:tblGrid>
      <w:tr w:rsidR="00D30F1D" w:rsidRPr="0058247A" w14:paraId="108CD141" w14:textId="77777777" w:rsidTr="00A25B4A">
        <w:trPr>
          <w:tblHeader/>
        </w:trPr>
        <w:tc>
          <w:tcPr>
            <w:tcW w:w="2689" w:type="dxa"/>
          </w:tcPr>
          <w:p w14:paraId="75EA8247" w14:textId="77777777" w:rsidR="00D30F1D" w:rsidRPr="0058247A" w:rsidRDefault="00D30F1D" w:rsidP="007A3E08">
            <w:pPr>
              <w:pStyle w:val="TableFigureHeading"/>
              <w:keepLines/>
            </w:pPr>
            <w:r w:rsidRPr="0058247A">
              <w:t>MAIA</w:t>
            </w:r>
          </w:p>
        </w:tc>
        <w:tc>
          <w:tcPr>
            <w:tcW w:w="1594" w:type="dxa"/>
          </w:tcPr>
          <w:p w14:paraId="4094D6BA" w14:textId="77777777" w:rsidR="00D30F1D" w:rsidRPr="0058247A" w:rsidRDefault="00D30F1D" w:rsidP="007A3E08">
            <w:pPr>
              <w:pStyle w:val="TableFigureHeading"/>
              <w:keepLines/>
              <w:jc w:val="center"/>
            </w:pPr>
            <w:r w:rsidRPr="0058247A">
              <w:t>DLd</w:t>
            </w:r>
          </w:p>
          <w:p w14:paraId="28FE7E01" w14:textId="77777777" w:rsidR="00D30F1D" w:rsidRPr="0058247A" w:rsidRDefault="00D30F1D" w:rsidP="007A3E08">
            <w:pPr>
              <w:pStyle w:val="TableFigureHeading"/>
              <w:keepLines/>
              <w:jc w:val="center"/>
            </w:pPr>
            <w:r w:rsidRPr="0058247A">
              <w:t>n with event (%)</w:t>
            </w:r>
          </w:p>
        </w:tc>
        <w:tc>
          <w:tcPr>
            <w:tcW w:w="1595" w:type="dxa"/>
          </w:tcPr>
          <w:p w14:paraId="4634BD70" w14:textId="77777777" w:rsidR="00D30F1D" w:rsidRPr="0058247A" w:rsidRDefault="00D30F1D" w:rsidP="007A3E08">
            <w:pPr>
              <w:pStyle w:val="TableFigureHeading"/>
              <w:keepLines/>
              <w:jc w:val="center"/>
            </w:pPr>
            <w:r w:rsidRPr="0058247A">
              <w:t>Ld</w:t>
            </w:r>
          </w:p>
          <w:p w14:paraId="705439B1" w14:textId="77777777" w:rsidR="00D30F1D" w:rsidRPr="0058247A" w:rsidRDefault="00D30F1D" w:rsidP="007A3E08">
            <w:pPr>
              <w:pStyle w:val="TableFigureHeading"/>
              <w:keepLines/>
              <w:jc w:val="center"/>
            </w:pPr>
            <w:r w:rsidRPr="0058247A">
              <w:t>n with event (%)</w:t>
            </w:r>
          </w:p>
        </w:tc>
        <w:tc>
          <w:tcPr>
            <w:tcW w:w="1594" w:type="dxa"/>
          </w:tcPr>
          <w:p w14:paraId="6A362A7E" w14:textId="77777777" w:rsidR="00D30F1D" w:rsidRPr="0058247A" w:rsidRDefault="00D30F1D" w:rsidP="007A3E08">
            <w:pPr>
              <w:pStyle w:val="TableFigureHeading"/>
              <w:keepLines/>
              <w:jc w:val="center"/>
            </w:pPr>
            <w:r w:rsidRPr="0058247A">
              <w:t>RR</w:t>
            </w:r>
          </w:p>
          <w:p w14:paraId="3B0912E5" w14:textId="77777777" w:rsidR="00D30F1D" w:rsidRPr="0058247A" w:rsidRDefault="00D30F1D" w:rsidP="007A3E08">
            <w:pPr>
              <w:pStyle w:val="TableFigureHeading"/>
              <w:keepLines/>
              <w:jc w:val="center"/>
            </w:pPr>
            <w:r w:rsidRPr="0058247A">
              <w:t>(95% CI)</w:t>
            </w:r>
            <w:r w:rsidRPr="0058247A">
              <w:rPr>
                <w:b w:val="0"/>
                <w:bCs w:val="0"/>
                <w:vertAlign w:val="superscript"/>
              </w:rPr>
              <w:t>d</w:t>
            </w:r>
          </w:p>
        </w:tc>
        <w:tc>
          <w:tcPr>
            <w:tcW w:w="1595" w:type="dxa"/>
          </w:tcPr>
          <w:p w14:paraId="66269CFA" w14:textId="77777777" w:rsidR="00D30F1D" w:rsidRPr="0058247A" w:rsidRDefault="00D30F1D" w:rsidP="007A3E08">
            <w:pPr>
              <w:pStyle w:val="TableFigureHeading"/>
              <w:keepLines/>
              <w:jc w:val="center"/>
            </w:pPr>
            <w:r w:rsidRPr="0058247A">
              <w:t>RD</w:t>
            </w:r>
          </w:p>
          <w:p w14:paraId="72610F17" w14:textId="77777777" w:rsidR="00D30F1D" w:rsidRPr="0058247A" w:rsidRDefault="00D30F1D" w:rsidP="007A3E08">
            <w:pPr>
              <w:pStyle w:val="TableFigureHeading"/>
              <w:keepLines/>
              <w:jc w:val="center"/>
            </w:pPr>
            <w:r w:rsidRPr="0058247A">
              <w:t>(95% CI)</w:t>
            </w:r>
            <w:r w:rsidRPr="0058247A">
              <w:rPr>
                <w:b w:val="0"/>
                <w:bCs w:val="0"/>
                <w:vertAlign w:val="superscript"/>
              </w:rPr>
              <w:t>d</w:t>
            </w:r>
            <w:r w:rsidRPr="0058247A" w:rsidDel="00073418">
              <w:t xml:space="preserve"> </w:t>
            </w:r>
          </w:p>
        </w:tc>
      </w:tr>
      <w:tr w:rsidR="00D30F1D" w:rsidRPr="0058247A" w14:paraId="306D395B" w14:textId="77777777" w:rsidTr="00A25B4A">
        <w:tc>
          <w:tcPr>
            <w:tcW w:w="2689" w:type="dxa"/>
          </w:tcPr>
          <w:p w14:paraId="054473AC" w14:textId="77777777" w:rsidR="00D30F1D" w:rsidRPr="0058247A" w:rsidRDefault="00D30F1D" w:rsidP="007A3E08">
            <w:pPr>
              <w:pStyle w:val="TableText0"/>
              <w:keepLines/>
              <w:rPr>
                <w:szCs w:val="20"/>
              </w:rPr>
            </w:pPr>
            <w:r w:rsidRPr="0058247A">
              <w:rPr>
                <w:szCs w:val="20"/>
              </w:rPr>
              <w:t>Safety analysis set</w:t>
            </w:r>
          </w:p>
        </w:tc>
        <w:tc>
          <w:tcPr>
            <w:tcW w:w="1594" w:type="dxa"/>
          </w:tcPr>
          <w:p w14:paraId="2E1644C8" w14:textId="77777777" w:rsidR="00D30F1D" w:rsidRPr="0058247A" w:rsidRDefault="00D30F1D" w:rsidP="007A3E08">
            <w:pPr>
              <w:pStyle w:val="TableText0"/>
              <w:keepLines/>
              <w:jc w:val="center"/>
              <w:rPr>
                <w:szCs w:val="20"/>
              </w:rPr>
            </w:pPr>
            <w:r w:rsidRPr="0058247A">
              <w:rPr>
                <w:rFonts w:cs="Calibri"/>
                <w:color w:val="000000"/>
                <w:szCs w:val="20"/>
              </w:rPr>
              <w:t xml:space="preserve">364 </w:t>
            </w:r>
          </w:p>
        </w:tc>
        <w:tc>
          <w:tcPr>
            <w:tcW w:w="1595" w:type="dxa"/>
          </w:tcPr>
          <w:p w14:paraId="27598872" w14:textId="77777777" w:rsidR="00D30F1D" w:rsidRPr="0058247A" w:rsidRDefault="00D30F1D" w:rsidP="007A3E08">
            <w:pPr>
              <w:pStyle w:val="TableText0"/>
              <w:keepLines/>
              <w:jc w:val="center"/>
              <w:rPr>
                <w:szCs w:val="20"/>
              </w:rPr>
            </w:pPr>
            <w:r w:rsidRPr="0058247A">
              <w:rPr>
                <w:rFonts w:cs="Calibri"/>
                <w:color w:val="000000"/>
                <w:szCs w:val="20"/>
              </w:rPr>
              <w:t xml:space="preserve">365 </w:t>
            </w:r>
          </w:p>
        </w:tc>
        <w:tc>
          <w:tcPr>
            <w:tcW w:w="1594" w:type="dxa"/>
          </w:tcPr>
          <w:p w14:paraId="30D44473" w14:textId="3E922876" w:rsidR="00D30F1D" w:rsidRPr="003B3112" w:rsidRDefault="003B3112" w:rsidP="007A3E08">
            <w:pPr>
              <w:pStyle w:val="TableText0"/>
              <w:keepLines/>
              <w:jc w:val="center"/>
              <w:rPr>
                <w:szCs w:val="20"/>
              </w:rPr>
            </w:pPr>
            <w:r w:rsidRPr="003B3112">
              <w:rPr>
                <w:szCs w:val="20"/>
              </w:rPr>
              <w:t>-</w:t>
            </w:r>
          </w:p>
        </w:tc>
        <w:tc>
          <w:tcPr>
            <w:tcW w:w="1595" w:type="dxa"/>
          </w:tcPr>
          <w:p w14:paraId="5A52AABF" w14:textId="08271821" w:rsidR="00D30F1D" w:rsidRPr="003B3112" w:rsidRDefault="003B3112" w:rsidP="007A3E08">
            <w:pPr>
              <w:pStyle w:val="TableText0"/>
              <w:keepLines/>
              <w:jc w:val="center"/>
              <w:rPr>
                <w:szCs w:val="20"/>
              </w:rPr>
            </w:pPr>
            <w:r w:rsidRPr="003B3112">
              <w:rPr>
                <w:szCs w:val="20"/>
              </w:rPr>
              <w:t>-</w:t>
            </w:r>
          </w:p>
        </w:tc>
      </w:tr>
      <w:tr w:rsidR="00D30F1D" w:rsidRPr="0058247A" w14:paraId="0DB78826" w14:textId="77777777" w:rsidTr="00A25B4A">
        <w:tc>
          <w:tcPr>
            <w:tcW w:w="9067" w:type="dxa"/>
            <w:gridSpan w:val="5"/>
          </w:tcPr>
          <w:p w14:paraId="693E14F9" w14:textId="77777777" w:rsidR="00D30F1D" w:rsidRPr="0058247A" w:rsidRDefault="00D30F1D" w:rsidP="007A3E08">
            <w:pPr>
              <w:pStyle w:val="TableText0"/>
              <w:keepLines/>
              <w:rPr>
                <w:rFonts w:cs="Calibri"/>
                <w:b/>
                <w:bCs w:val="0"/>
                <w:i/>
                <w:iCs/>
                <w:color w:val="000000"/>
                <w:szCs w:val="20"/>
              </w:rPr>
            </w:pPr>
            <w:r w:rsidRPr="0058247A">
              <w:rPr>
                <w:b/>
                <w:bCs w:val="0"/>
              </w:rPr>
              <w:t xml:space="preserve">Summary of TEAEs </w:t>
            </w:r>
          </w:p>
        </w:tc>
      </w:tr>
      <w:tr w:rsidR="00D30F1D" w:rsidRPr="0058247A" w14:paraId="3713ECD9" w14:textId="77777777" w:rsidTr="00A25B4A">
        <w:tc>
          <w:tcPr>
            <w:tcW w:w="2689" w:type="dxa"/>
          </w:tcPr>
          <w:p w14:paraId="54EEDEAA" w14:textId="77777777" w:rsidR="00D30F1D" w:rsidRPr="0058247A" w:rsidRDefault="00D30F1D" w:rsidP="007A3E08">
            <w:pPr>
              <w:pStyle w:val="TableText0"/>
              <w:keepLines/>
              <w:rPr>
                <w:szCs w:val="20"/>
              </w:rPr>
            </w:pPr>
            <w:r w:rsidRPr="0058247A">
              <w:rPr>
                <w:szCs w:val="20"/>
              </w:rPr>
              <w:t>Any TEAE</w:t>
            </w:r>
          </w:p>
        </w:tc>
        <w:tc>
          <w:tcPr>
            <w:tcW w:w="1594" w:type="dxa"/>
          </w:tcPr>
          <w:p w14:paraId="6AE0F6D2" w14:textId="77777777" w:rsidR="00D30F1D" w:rsidRPr="0058247A" w:rsidRDefault="00D30F1D" w:rsidP="007A3E08">
            <w:pPr>
              <w:pStyle w:val="TableText0"/>
              <w:keepLines/>
              <w:jc w:val="center"/>
              <w:rPr>
                <w:szCs w:val="20"/>
              </w:rPr>
            </w:pPr>
            <w:r w:rsidRPr="0058247A">
              <w:rPr>
                <w:rFonts w:cs="Calibri"/>
                <w:color w:val="000000"/>
                <w:szCs w:val="20"/>
              </w:rPr>
              <w:t>364 (100)</w:t>
            </w:r>
          </w:p>
        </w:tc>
        <w:tc>
          <w:tcPr>
            <w:tcW w:w="1595" w:type="dxa"/>
          </w:tcPr>
          <w:p w14:paraId="5369D90A" w14:textId="77777777" w:rsidR="00D30F1D" w:rsidRPr="0058247A" w:rsidRDefault="00D30F1D" w:rsidP="007A3E08">
            <w:pPr>
              <w:pStyle w:val="TableText0"/>
              <w:keepLines/>
              <w:jc w:val="center"/>
              <w:rPr>
                <w:szCs w:val="20"/>
              </w:rPr>
            </w:pPr>
            <w:r w:rsidRPr="0058247A">
              <w:rPr>
                <w:rFonts w:cs="Calibri"/>
                <w:color w:val="000000"/>
                <w:szCs w:val="20"/>
              </w:rPr>
              <w:t>363 (99)</w:t>
            </w:r>
          </w:p>
        </w:tc>
        <w:tc>
          <w:tcPr>
            <w:tcW w:w="1594" w:type="dxa"/>
          </w:tcPr>
          <w:p w14:paraId="1EB82D20" w14:textId="77777777" w:rsidR="00D30F1D" w:rsidRPr="0058247A" w:rsidRDefault="00D30F1D" w:rsidP="007A3E08">
            <w:pPr>
              <w:pStyle w:val="TableText0"/>
              <w:keepLines/>
              <w:jc w:val="center"/>
              <w:rPr>
                <w:szCs w:val="20"/>
              </w:rPr>
            </w:pPr>
            <w:r w:rsidRPr="0058247A">
              <w:rPr>
                <w:rFonts w:cs="Calibri"/>
                <w:color w:val="000000"/>
                <w:szCs w:val="20"/>
              </w:rPr>
              <w:t>1.01 (1, 1.02)</w:t>
            </w:r>
          </w:p>
        </w:tc>
        <w:tc>
          <w:tcPr>
            <w:tcW w:w="1595" w:type="dxa"/>
          </w:tcPr>
          <w:p w14:paraId="1AA7EBF6" w14:textId="77777777" w:rsidR="00D30F1D" w:rsidRPr="0058247A" w:rsidRDefault="00D30F1D" w:rsidP="007A3E08">
            <w:pPr>
              <w:pStyle w:val="TableText0"/>
              <w:keepLines/>
              <w:jc w:val="center"/>
              <w:rPr>
                <w:szCs w:val="20"/>
              </w:rPr>
            </w:pPr>
            <w:r w:rsidRPr="0058247A">
              <w:rPr>
                <w:rFonts w:cs="Calibri"/>
                <w:color w:val="000000"/>
                <w:szCs w:val="20"/>
              </w:rPr>
              <w:t>0.01 (0, 0.01)</w:t>
            </w:r>
          </w:p>
        </w:tc>
      </w:tr>
      <w:tr w:rsidR="00D30F1D" w:rsidRPr="0058247A" w14:paraId="3F9EEE29" w14:textId="77777777" w:rsidTr="00A25B4A">
        <w:tc>
          <w:tcPr>
            <w:tcW w:w="2689" w:type="dxa"/>
          </w:tcPr>
          <w:p w14:paraId="12720851" w14:textId="77777777" w:rsidR="00D30F1D" w:rsidRPr="0058247A" w:rsidRDefault="00D30F1D" w:rsidP="007A3E08">
            <w:pPr>
              <w:pStyle w:val="TableText0"/>
              <w:keepLines/>
              <w:rPr>
                <w:szCs w:val="20"/>
              </w:rPr>
            </w:pPr>
            <w:r w:rsidRPr="0058247A">
              <w:rPr>
                <w:szCs w:val="20"/>
              </w:rPr>
              <w:t>At least one related</w:t>
            </w:r>
            <w:r w:rsidRPr="0058247A">
              <w:rPr>
                <w:szCs w:val="20"/>
                <w:vertAlign w:val="superscript"/>
              </w:rPr>
              <w:t>a</w:t>
            </w:r>
          </w:p>
        </w:tc>
        <w:tc>
          <w:tcPr>
            <w:tcW w:w="1594" w:type="dxa"/>
          </w:tcPr>
          <w:p w14:paraId="3BB5C9D7" w14:textId="77777777" w:rsidR="00D30F1D" w:rsidRPr="0058247A" w:rsidRDefault="00D30F1D" w:rsidP="007A3E08">
            <w:pPr>
              <w:pStyle w:val="TableText0"/>
              <w:keepLines/>
              <w:jc w:val="center"/>
              <w:rPr>
                <w:szCs w:val="20"/>
              </w:rPr>
            </w:pPr>
            <w:r w:rsidRPr="0058247A">
              <w:rPr>
                <w:rFonts w:cs="Calibri"/>
                <w:color w:val="000000"/>
                <w:szCs w:val="20"/>
              </w:rPr>
              <w:t>362 (99)</w:t>
            </w:r>
          </w:p>
        </w:tc>
        <w:tc>
          <w:tcPr>
            <w:tcW w:w="1595" w:type="dxa"/>
          </w:tcPr>
          <w:p w14:paraId="480D22B5" w14:textId="77777777" w:rsidR="00D30F1D" w:rsidRPr="0058247A" w:rsidRDefault="00D30F1D" w:rsidP="007A3E08">
            <w:pPr>
              <w:pStyle w:val="TableText0"/>
              <w:keepLines/>
              <w:jc w:val="center"/>
              <w:rPr>
                <w:szCs w:val="20"/>
              </w:rPr>
            </w:pPr>
            <w:r w:rsidRPr="0058247A">
              <w:rPr>
                <w:rFonts w:cs="Calibri"/>
                <w:color w:val="000000"/>
                <w:szCs w:val="20"/>
              </w:rPr>
              <w:t>347 (95)</w:t>
            </w:r>
          </w:p>
        </w:tc>
        <w:tc>
          <w:tcPr>
            <w:tcW w:w="1594" w:type="dxa"/>
          </w:tcPr>
          <w:p w14:paraId="3AF95F48" w14:textId="77777777" w:rsidR="00D30F1D" w:rsidRPr="0058247A" w:rsidRDefault="00D30F1D" w:rsidP="007A3E08">
            <w:pPr>
              <w:pStyle w:val="TableText0"/>
              <w:keepLines/>
              <w:jc w:val="center"/>
              <w:rPr>
                <w:szCs w:val="20"/>
              </w:rPr>
            </w:pPr>
            <w:r w:rsidRPr="0058247A">
              <w:rPr>
                <w:rFonts w:cs="Calibri"/>
                <w:color w:val="000000"/>
                <w:szCs w:val="20"/>
              </w:rPr>
              <w:t>1.05 (1.02, 1.08)</w:t>
            </w:r>
          </w:p>
        </w:tc>
        <w:tc>
          <w:tcPr>
            <w:tcW w:w="1595" w:type="dxa"/>
          </w:tcPr>
          <w:p w14:paraId="0BC92BB8" w14:textId="77777777" w:rsidR="00D30F1D" w:rsidRPr="0058247A" w:rsidRDefault="00D30F1D" w:rsidP="007A3E08">
            <w:pPr>
              <w:pStyle w:val="TableText0"/>
              <w:keepLines/>
              <w:jc w:val="center"/>
              <w:rPr>
                <w:szCs w:val="20"/>
              </w:rPr>
            </w:pPr>
            <w:r w:rsidRPr="0058247A">
              <w:rPr>
                <w:rFonts w:cs="Calibri"/>
                <w:color w:val="000000"/>
                <w:szCs w:val="20"/>
              </w:rPr>
              <w:t>0.04 (0.02, 0.07)</w:t>
            </w:r>
          </w:p>
        </w:tc>
      </w:tr>
      <w:tr w:rsidR="00D30F1D" w:rsidRPr="0058247A" w14:paraId="33D49F7B" w14:textId="77777777" w:rsidTr="00A25B4A">
        <w:tc>
          <w:tcPr>
            <w:tcW w:w="2689" w:type="dxa"/>
          </w:tcPr>
          <w:p w14:paraId="4F237D33" w14:textId="77777777" w:rsidR="00D30F1D" w:rsidRPr="0058247A" w:rsidRDefault="00D30F1D" w:rsidP="007A3E08">
            <w:pPr>
              <w:pStyle w:val="TableText0"/>
              <w:keepLines/>
              <w:rPr>
                <w:szCs w:val="20"/>
              </w:rPr>
            </w:pPr>
            <w:r w:rsidRPr="0058247A">
              <w:rPr>
                <w:szCs w:val="20"/>
              </w:rPr>
              <w:t>Grade 3</w:t>
            </w:r>
          </w:p>
        </w:tc>
        <w:tc>
          <w:tcPr>
            <w:tcW w:w="1594" w:type="dxa"/>
          </w:tcPr>
          <w:p w14:paraId="1F86F35B" w14:textId="77777777" w:rsidR="00D30F1D" w:rsidRPr="0058247A" w:rsidRDefault="00D30F1D" w:rsidP="007A3E08">
            <w:pPr>
              <w:pStyle w:val="TableText0"/>
              <w:keepLines/>
              <w:jc w:val="center"/>
              <w:rPr>
                <w:szCs w:val="20"/>
              </w:rPr>
            </w:pPr>
            <w:r w:rsidRPr="0058247A">
              <w:rPr>
                <w:rFonts w:cs="Calibri"/>
                <w:color w:val="000000"/>
                <w:szCs w:val="20"/>
              </w:rPr>
              <w:t>197 (54)</w:t>
            </w:r>
          </w:p>
        </w:tc>
        <w:tc>
          <w:tcPr>
            <w:tcW w:w="1595" w:type="dxa"/>
          </w:tcPr>
          <w:p w14:paraId="1732BE22" w14:textId="77777777" w:rsidR="00D30F1D" w:rsidRPr="0058247A" w:rsidRDefault="00D30F1D" w:rsidP="007A3E08">
            <w:pPr>
              <w:pStyle w:val="TableText0"/>
              <w:keepLines/>
              <w:jc w:val="center"/>
              <w:rPr>
                <w:szCs w:val="20"/>
              </w:rPr>
            </w:pPr>
            <w:r w:rsidRPr="0058247A">
              <w:rPr>
                <w:rFonts w:cs="Calibri"/>
                <w:color w:val="000000"/>
                <w:szCs w:val="20"/>
              </w:rPr>
              <w:t>203 (56)</w:t>
            </w:r>
          </w:p>
        </w:tc>
        <w:tc>
          <w:tcPr>
            <w:tcW w:w="1594" w:type="dxa"/>
          </w:tcPr>
          <w:p w14:paraId="10B4CA30" w14:textId="77777777" w:rsidR="00D30F1D" w:rsidRPr="0058247A" w:rsidRDefault="00D30F1D" w:rsidP="007A3E08">
            <w:pPr>
              <w:pStyle w:val="TableText0"/>
              <w:keepLines/>
              <w:jc w:val="center"/>
              <w:rPr>
                <w:szCs w:val="20"/>
              </w:rPr>
            </w:pPr>
            <w:r w:rsidRPr="0058247A">
              <w:rPr>
                <w:rFonts w:cs="Calibri"/>
                <w:color w:val="000000"/>
                <w:szCs w:val="20"/>
              </w:rPr>
              <w:t>0.97 (0.85, 1.11)</w:t>
            </w:r>
          </w:p>
        </w:tc>
        <w:tc>
          <w:tcPr>
            <w:tcW w:w="1595" w:type="dxa"/>
          </w:tcPr>
          <w:p w14:paraId="02BD50E2" w14:textId="77777777" w:rsidR="00D30F1D" w:rsidRPr="0058247A" w:rsidRDefault="00D30F1D" w:rsidP="007A3E08">
            <w:pPr>
              <w:pStyle w:val="TableText0"/>
              <w:keepLines/>
              <w:jc w:val="center"/>
              <w:rPr>
                <w:szCs w:val="20"/>
              </w:rPr>
            </w:pPr>
            <w:r w:rsidRPr="0058247A">
              <w:rPr>
                <w:rFonts w:cs="Calibri"/>
                <w:color w:val="000000"/>
                <w:szCs w:val="20"/>
              </w:rPr>
              <w:t>-0.01 (-0.09, 0.06)</w:t>
            </w:r>
          </w:p>
        </w:tc>
      </w:tr>
      <w:tr w:rsidR="00D30F1D" w:rsidRPr="0058247A" w14:paraId="5D6051A7" w14:textId="77777777" w:rsidTr="00A25B4A">
        <w:tc>
          <w:tcPr>
            <w:tcW w:w="2689" w:type="dxa"/>
          </w:tcPr>
          <w:p w14:paraId="7EF7000F" w14:textId="77777777" w:rsidR="00D30F1D" w:rsidRPr="0058247A" w:rsidRDefault="00D30F1D" w:rsidP="007A3E08">
            <w:pPr>
              <w:pStyle w:val="TableText0"/>
              <w:keepLines/>
              <w:rPr>
                <w:szCs w:val="20"/>
              </w:rPr>
            </w:pPr>
            <w:r w:rsidRPr="0058247A">
              <w:rPr>
                <w:szCs w:val="20"/>
              </w:rPr>
              <w:t>Grade 4</w:t>
            </w:r>
          </w:p>
        </w:tc>
        <w:tc>
          <w:tcPr>
            <w:tcW w:w="1594" w:type="dxa"/>
          </w:tcPr>
          <w:p w14:paraId="64CA3024" w14:textId="77777777" w:rsidR="00D30F1D" w:rsidRPr="0058247A" w:rsidRDefault="00D30F1D" w:rsidP="007A3E08">
            <w:pPr>
              <w:pStyle w:val="TableText0"/>
              <w:keepLines/>
              <w:jc w:val="center"/>
              <w:rPr>
                <w:szCs w:val="20"/>
              </w:rPr>
            </w:pPr>
            <w:r w:rsidRPr="0058247A">
              <w:rPr>
                <w:rFonts w:cs="Calibri"/>
                <w:color w:val="000000"/>
                <w:szCs w:val="20"/>
              </w:rPr>
              <w:t>118 (32)</w:t>
            </w:r>
          </w:p>
        </w:tc>
        <w:tc>
          <w:tcPr>
            <w:tcW w:w="1595" w:type="dxa"/>
          </w:tcPr>
          <w:p w14:paraId="3BA5B61C" w14:textId="77777777" w:rsidR="00D30F1D" w:rsidRPr="0058247A" w:rsidRDefault="00D30F1D" w:rsidP="007A3E08">
            <w:pPr>
              <w:pStyle w:val="TableText0"/>
              <w:keepLines/>
              <w:jc w:val="center"/>
              <w:rPr>
                <w:szCs w:val="20"/>
              </w:rPr>
            </w:pPr>
            <w:r w:rsidRPr="0058247A">
              <w:rPr>
                <w:rFonts w:cs="Calibri"/>
                <w:color w:val="000000"/>
                <w:szCs w:val="20"/>
              </w:rPr>
              <w:t>89 (24)</w:t>
            </w:r>
          </w:p>
        </w:tc>
        <w:tc>
          <w:tcPr>
            <w:tcW w:w="1594" w:type="dxa"/>
          </w:tcPr>
          <w:p w14:paraId="5F4832A0" w14:textId="77777777" w:rsidR="00D30F1D" w:rsidRPr="0058247A" w:rsidRDefault="00D30F1D" w:rsidP="007A3E08">
            <w:pPr>
              <w:pStyle w:val="TableText0"/>
              <w:keepLines/>
              <w:jc w:val="center"/>
              <w:rPr>
                <w:szCs w:val="20"/>
              </w:rPr>
            </w:pPr>
            <w:r w:rsidRPr="0058247A">
              <w:rPr>
                <w:rFonts w:cs="Calibri"/>
                <w:color w:val="000000"/>
                <w:szCs w:val="20"/>
              </w:rPr>
              <w:t>1.33 (1.05, 1.68)</w:t>
            </w:r>
          </w:p>
        </w:tc>
        <w:tc>
          <w:tcPr>
            <w:tcW w:w="1595" w:type="dxa"/>
          </w:tcPr>
          <w:p w14:paraId="6FCB17E3" w14:textId="77777777" w:rsidR="00D30F1D" w:rsidRPr="0058247A" w:rsidRDefault="00D30F1D" w:rsidP="007A3E08">
            <w:pPr>
              <w:pStyle w:val="TableText0"/>
              <w:keepLines/>
              <w:jc w:val="center"/>
              <w:rPr>
                <w:szCs w:val="20"/>
              </w:rPr>
            </w:pPr>
            <w:r w:rsidRPr="0058247A">
              <w:rPr>
                <w:rFonts w:cs="Calibri"/>
                <w:color w:val="000000"/>
                <w:szCs w:val="20"/>
              </w:rPr>
              <w:t>0.08 (0.02, 0.15)</w:t>
            </w:r>
          </w:p>
        </w:tc>
      </w:tr>
      <w:tr w:rsidR="00D30F1D" w:rsidRPr="0058247A" w14:paraId="15EC5CF4" w14:textId="77777777" w:rsidTr="00A25B4A">
        <w:tc>
          <w:tcPr>
            <w:tcW w:w="2689" w:type="dxa"/>
          </w:tcPr>
          <w:p w14:paraId="53296CFA" w14:textId="77777777" w:rsidR="00D30F1D" w:rsidRPr="0058247A" w:rsidRDefault="00D30F1D" w:rsidP="007A3E08">
            <w:pPr>
              <w:pStyle w:val="TableText0"/>
              <w:keepLines/>
              <w:rPr>
                <w:szCs w:val="20"/>
              </w:rPr>
            </w:pPr>
            <w:r w:rsidRPr="0058247A">
              <w:rPr>
                <w:szCs w:val="20"/>
              </w:rPr>
              <w:t>Grade 5</w:t>
            </w:r>
          </w:p>
        </w:tc>
        <w:tc>
          <w:tcPr>
            <w:tcW w:w="1594" w:type="dxa"/>
          </w:tcPr>
          <w:p w14:paraId="77468F94" w14:textId="77777777" w:rsidR="00D30F1D" w:rsidRPr="0058247A" w:rsidRDefault="00D30F1D" w:rsidP="007A3E08">
            <w:pPr>
              <w:pStyle w:val="TableText0"/>
              <w:keepLines/>
              <w:jc w:val="center"/>
              <w:rPr>
                <w:szCs w:val="20"/>
              </w:rPr>
            </w:pPr>
            <w:r w:rsidRPr="0058247A">
              <w:rPr>
                <w:rFonts w:cs="Calibri"/>
                <w:color w:val="000000"/>
                <w:szCs w:val="20"/>
              </w:rPr>
              <w:t>36 (10)</w:t>
            </w:r>
          </w:p>
        </w:tc>
        <w:tc>
          <w:tcPr>
            <w:tcW w:w="1595" w:type="dxa"/>
          </w:tcPr>
          <w:p w14:paraId="68FF1C05" w14:textId="77777777" w:rsidR="00D30F1D" w:rsidRPr="0058247A" w:rsidRDefault="00D30F1D" w:rsidP="007A3E08">
            <w:pPr>
              <w:pStyle w:val="TableText0"/>
              <w:keepLines/>
              <w:jc w:val="center"/>
              <w:rPr>
                <w:szCs w:val="20"/>
              </w:rPr>
            </w:pPr>
            <w:r w:rsidRPr="0058247A">
              <w:rPr>
                <w:rFonts w:cs="Calibri"/>
                <w:color w:val="000000"/>
                <w:szCs w:val="20"/>
              </w:rPr>
              <w:t>34 (9)</w:t>
            </w:r>
          </w:p>
        </w:tc>
        <w:tc>
          <w:tcPr>
            <w:tcW w:w="1594" w:type="dxa"/>
          </w:tcPr>
          <w:p w14:paraId="1DE2E461" w14:textId="77777777" w:rsidR="00D30F1D" w:rsidRPr="0058247A" w:rsidRDefault="00D30F1D" w:rsidP="007A3E08">
            <w:pPr>
              <w:pStyle w:val="TableText0"/>
              <w:keepLines/>
              <w:jc w:val="center"/>
              <w:rPr>
                <w:szCs w:val="20"/>
              </w:rPr>
            </w:pPr>
            <w:r w:rsidRPr="0058247A">
              <w:rPr>
                <w:rFonts w:cs="Calibri"/>
                <w:color w:val="000000"/>
                <w:szCs w:val="20"/>
              </w:rPr>
              <w:t>1.06 (0.68, 1.66)</w:t>
            </w:r>
          </w:p>
        </w:tc>
        <w:tc>
          <w:tcPr>
            <w:tcW w:w="1595" w:type="dxa"/>
          </w:tcPr>
          <w:p w14:paraId="24601AAE" w14:textId="77777777" w:rsidR="00D30F1D" w:rsidRPr="0058247A" w:rsidRDefault="00D30F1D" w:rsidP="007A3E08">
            <w:pPr>
              <w:pStyle w:val="TableText0"/>
              <w:keepLines/>
              <w:jc w:val="center"/>
              <w:rPr>
                <w:szCs w:val="20"/>
              </w:rPr>
            </w:pPr>
            <w:r w:rsidRPr="0058247A">
              <w:rPr>
                <w:rFonts w:cs="Calibri"/>
                <w:color w:val="000000"/>
                <w:szCs w:val="20"/>
              </w:rPr>
              <w:t>0.01 (-0.04, 0.05)</w:t>
            </w:r>
          </w:p>
        </w:tc>
      </w:tr>
      <w:tr w:rsidR="00D30F1D" w:rsidRPr="0058247A" w14:paraId="249EDC31" w14:textId="77777777" w:rsidTr="00A25B4A">
        <w:tc>
          <w:tcPr>
            <w:tcW w:w="2689" w:type="dxa"/>
          </w:tcPr>
          <w:p w14:paraId="27B6CB04" w14:textId="77777777" w:rsidR="00D30F1D" w:rsidRPr="0058247A" w:rsidRDefault="00D30F1D" w:rsidP="007A3E08">
            <w:pPr>
              <w:pStyle w:val="TableText0"/>
              <w:keepLines/>
              <w:rPr>
                <w:szCs w:val="20"/>
              </w:rPr>
            </w:pPr>
            <w:r w:rsidRPr="0058247A">
              <w:rPr>
                <w:szCs w:val="20"/>
              </w:rPr>
              <w:t>Any serious TEAE</w:t>
            </w:r>
          </w:p>
        </w:tc>
        <w:tc>
          <w:tcPr>
            <w:tcW w:w="1594" w:type="dxa"/>
          </w:tcPr>
          <w:p w14:paraId="2A973225" w14:textId="77777777" w:rsidR="00D30F1D" w:rsidRPr="0058247A" w:rsidRDefault="00D30F1D" w:rsidP="007A3E08">
            <w:pPr>
              <w:pStyle w:val="TableText0"/>
              <w:keepLines/>
              <w:jc w:val="center"/>
              <w:rPr>
                <w:szCs w:val="20"/>
              </w:rPr>
            </w:pPr>
            <w:r w:rsidRPr="0058247A">
              <w:rPr>
                <w:rFonts w:cs="Calibri"/>
                <w:color w:val="000000"/>
                <w:szCs w:val="20"/>
              </w:rPr>
              <w:t>287 (79)</w:t>
            </w:r>
          </w:p>
        </w:tc>
        <w:tc>
          <w:tcPr>
            <w:tcW w:w="1595" w:type="dxa"/>
          </w:tcPr>
          <w:p w14:paraId="056B792E" w14:textId="77777777" w:rsidR="00D30F1D" w:rsidRPr="0058247A" w:rsidRDefault="00D30F1D" w:rsidP="007A3E08">
            <w:pPr>
              <w:pStyle w:val="TableText0"/>
              <w:keepLines/>
              <w:jc w:val="center"/>
              <w:rPr>
                <w:szCs w:val="20"/>
              </w:rPr>
            </w:pPr>
            <w:r w:rsidRPr="0058247A">
              <w:rPr>
                <w:rFonts w:cs="Calibri"/>
                <w:color w:val="000000"/>
                <w:szCs w:val="20"/>
              </w:rPr>
              <w:t>259 (71)</w:t>
            </w:r>
          </w:p>
        </w:tc>
        <w:tc>
          <w:tcPr>
            <w:tcW w:w="1594" w:type="dxa"/>
          </w:tcPr>
          <w:p w14:paraId="071494FC" w14:textId="77777777" w:rsidR="00D30F1D" w:rsidRPr="0058247A" w:rsidRDefault="00D30F1D" w:rsidP="007A3E08">
            <w:pPr>
              <w:pStyle w:val="TableText0"/>
              <w:keepLines/>
              <w:jc w:val="center"/>
              <w:rPr>
                <w:szCs w:val="20"/>
              </w:rPr>
            </w:pPr>
            <w:r w:rsidRPr="0058247A">
              <w:rPr>
                <w:rFonts w:cs="Calibri"/>
                <w:color w:val="000000"/>
                <w:szCs w:val="20"/>
              </w:rPr>
              <w:t>1.11 (1.02, 1.21)</w:t>
            </w:r>
          </w:p>
        </w:tc>
        <w:tc>
          <w:tcPr>
            <w:tcW w:w="1595" w:type="dxa"/>
          </w:tcPr>
          <w:p w14:paraId="3BA42EA9" w14:textId="77777777" w:rsidR="00D30F1D" w:rsidRPr="0058247A" w:rsidRDefault="00D30F1D" w:rsidP="007A3E08">
            <w:pPr>
              <w:pStyle w:val="TableText0"/>
              <w:keepLines/>
              <w:jc w:val="center"/>
              <w:rPr>
                <w:szCs w:val="20"/>
              </w:rPr>
            </w:pPr>
            <w:r w:rsidRPr="0058247A">
              <w:rPr>
                <w:rFonts w:cs="Calibri"/>
                <w:color w:val="000000"/>
                <w:szCs w:val="20"/>
              </w:rPr>
              <w:t>0.08 (0.02, 0.14)</w:t>
            </w:r>
          </w:p>
        </w:tc>
      </w:tr>
      <w:tr w:rsidR="00D30F1D" w:rsidRPr="0058247A" w14:paraId="07D1BACB" w14:textId="77777777" w:rsidTr="003B3112">
        <w:tc>
          <w:tcPr>
            <w:tcW w:w="2689" w:type="dxa"/>
          </w:tcPr>
          <w:p w14:paraId="7D72129F" w14:textId="77777777" w:rsidR="00D30F1D" w:rsidRPr="0058247A" w:rsidRDefault="00D30F1D" w:rsidP="007A3E08">
            <w:pPr>
              <w:pStyle w:val="TableText0"/>
              <w:keepLines/>
              <w:rPr>
                <w:szCs w:val="20"/>
              </w:rPr>
            </w:pPr>
            <w:r w:rsidRPr="0058247A">
              <w:rPr>
                <w:szCs w:val="20"/>
              </w:rPr>
              <w:t>TEAE leading to discontinuation of lenalidomide</w:t>
            </w:r>
          </w:p>
        </w:tc>
        <w:tc>
          <w:tcPr>
            <w:tcW w:w="1594" w:type="dxa"/>
            <w:vAlign w:val="center"/>
          </w:tcPr>
          <w:p w14:paraId="1C416143" w14:textId="77777777" w:rsidR="00D30F1D" w:rsidRPr="0058247A" w:rsidRDefault="00D30F1D" w:rsidP="007A3E08">
            <w:pPr>
              <w:pStyle w:val="TableText0"/>
              <w:keepLines/>
              <w:jc w:val="center"/>
              <w:rPr>
                <w:szCs w:val="20"/>
              </w:rPr>
            </w:pPr>
            <w:r w:rsidRPr="0058247A">
              <w:rPr>
                <w:rFonts w:cs="Calibri"/>
                <w:color w:val="000000"/>
                <w:szCs w:val="20"/>
              </w:rPr>
              <w:t>134 (37)</w:t>
            </w:r>
          </w:p>
        </w:tc>
        <w:tc>
          <w:tcPr>
            <w:tcW w:w="1595" w:type="dxa"/>
            <w:vAlign w:val="center"/>
          </w:tcPr>
          <w:p w14:paraId="133D18CA" w14:textId="77777777" w:rsidR="00D30F1D" w:rsidRPr="0058247A" w:rsidRDefault="00D30F1D" w:rsidP="007A3E08">
            <w:pPr>
              <w:pStyle w:val="TableText0"/>
              <w:keepLines/>
              <w:jc w:val="center"/>
              <w:rPr>
                <w:szCs w:val="20"/>
              </w:rPr>
            </w:pPr>
            <w:r w:rsidRPr="0058247A">
              <w:rPr>
                <w:rFonts w:cs="Calibri"/>
                <w:color w:val="000000"/>
                <w:szCs w:val="20"/>
              </w:rPr>
              <w:t>89 (24)</w:t>
            </w:r>
          </w:p>
        </w:tc>
        <w:tc>
          <w:tcPr>
            <w:tcW w:w="1594" w:type="dxa"/>
            <w:vAlign w:val="center"/>
          </w:tcPr>
          <w:p w14:paraId="29ECC1DE" w14:textId="77777777" w:rsidR="00D30F1D" w:rsidRPr="0058247A" w:rsidRDefault="00D30F1D" w:rsidP="007A3E08">
            <w:pPr>
              <w:pStyle w:val="TableText0"/>
              <w:keepLines/>
              <w:jc w:val="center"/>
              <w:rPr>
                <w:szCs w:val="20"/>
              </w:rPr>
            </w:pPr>
            <w:r w:rsidRPr="0058247A">
              <w:rPr>
                <w:rFonts w:cs="Calibri"/>
                <w:color w:val="000000"/>
                <w:szCs w:val="20"/>
              </w:rPr>
              <w:t>1.51 (1.21, 1.89)</w:t>
            </w:r>
          </w:p>
        </w:tc>
        <w:tc>
          <w:tcPr>
            <w:tcW w:w="1595" w:type="dxa"/>
            <w:vAlign w:val="center"/>
          </w:tcPr>
          <w:p w14:paraId="7AD63C3C" w14:textId="77777777" w:rsidR="00D30F1D" w:rsidRPr="0058247A" w:rsidRDefault="00D30F1D" w:rsidP="007A3E08">
            <w:pPr>
              <w:pStyle w:val="TableText0"/>
              <w:keepLines/>
              <w:jc w:val="center"/>
              <w:rPr>
                <w:szCs w:val="20"/>
              </w:rPr>
            </w:pPr>
            <w:r w:rsidRPr="0058247A">
              <w:rPr>
                <w:rFonts w:cs="Calibri"/>
                <w:color w:val="000000"/>
                <w:szCs w:val="20"/>
              </w:rPr>
              <w:t>0.12 (0.06, 0.19)</w:t>
            </w:r>
          </w:p>
        </w:tc>
      </w:tr>
      <w:tr w:rsidR="00D30F1D" w:rsidRPr="0058247A" w14:paraId="3BFB62E4" w14:textId="77777777" w:rsidTr="003B3112">
        <w:tc>
          <w:tcPr>
            <w:tcW w:w="2689" w:type="dxa"/>
          </w:tcPr>
          <w:p w14:paraId="13F7ADEE" w14:textId="77777777" w:rsidR="00D30F1D" w:rsidRPr="0058247A" w:rsidRDefault="00D30F1D" w:rsidP="007A3E08">
            <w:pPr>
              <w:pStyle w:val="TableText0"/>
              <w:keepLines/>
              <w:rPr>
                <w:szCs w:val="20"/>
              </w:rPr>
            </w:pPr>
            <w:r w:rsidRPr="0058247A">
              <w:rPr>
                <w:szCs w:val="20"/>
              </w:rPr>
              <w:t>TEAE leading to discontinuation of dexamethasone</w:t>
            </w:r>
          </w:p>
        </w:tc>
        <w:tc>
          <w:tcPr>
            <w:tcW w:w="1594" w:type="dxa"/>
            <w:vAlign w:val="center"/>
          </w:tcPr>
          <w:p w14:paraId="1FD82F12" w14:textId="77777777" w:rsidR="00D30F1D" w:rsidRPr="0058247A" w:rsidRDefault="00D30F1D" w:rsidP="007A3E08">
            <w:pPr>
              <w:pStyle w:val="TableText0"/>
              <w:keepLines/>
              <w:jc w:val="center"/>
              <w:rPr>
                <w:szCs w:val="20"/>
              </w:rPr>
            </w:pPr>
            <w:r w:rsidRPr="0058247A">
              <w:rPr>
                <w:rFonts w:cs="Calibri"/>
                <w:color w:val="000000"/>
                <w:szCs w:val="20"/>
              </w:rPr>
              <w:t>145 (40)</w:t>
            </w:r>
          </w:p>
        </w:tc>
        <w:tc>
          <w:tcPr>
            <w:tcW w:w="1595" w:type="dxa"/>
            <w:vAlign w:val="center"/>
          </w:tcPr>
          <w:p w14:paraId="43929470" w14:textId="77777777" w:rsidR="00D30F1D" w:rsidRPr="0058247A" w:rsidRDefault="00D30F1D" w:rsidP="007A3E08">
            <w:pPr>
              <w:pStyle w:val="TableText0"/>
              <w:keepLines/>
              <w:jc w:val="center"/>
              <w:rPr>
                <w:szCs w:val="20"/>
              </w:rPr>
            </w:pPr>
            <w:r w:rsidRPr="0058247A">
              <w:rPr>
                <w:rFonts w:cs="Calibri"/>
                <w:color w:val="000000"/>
                <w:szCs w:val="20"/>
              </w:rPr>
              <w:t>132 (36)</w:t>
            </w:r>
          </w:p>
        </w:tc>
        <w:tc>
          <w:tcPr>
            <w:tcW w:w="1594" w:type="dxa"/>
            <w:vAlign w:val="center"/>
          </w:tcPr>
          <w:p w14:paraId="695570CA" w14:textId="77777777" w:rsidR="00D30F1D" w:rsidRPr="0058247A" w:rsidRDefault="00D30F1D" w:rsidP="007A3E08">
            <w:pPr>
              <w:pStyle w:val="TableText0"/>
              <w:keepLines/>
              <w:jc w:val="center"/>
              <w:rPr>
                <w:szCs w:val="20"/>
              </w:rPr>
            </w:pPr>
            <w:r w:rsidRPr="0058247A">
              <w:rPr>
                <w:rFonts w:cs="Calibri"/>
                <w:color w:val="000000"/>
                <w:szCs w:val="20"/>
              </w:rPr>
              <w:t>1.1 (0.91, 1.32)</w:t>
            </w:r>
          </w:p>
        </w:tc>
        <w:tc>
          <w:tcPr>
            <w:tcW w:w="1595" w:type="dxa"/>
            <w:vAlign w:val="center"/>
          </w:tcPr>
          <w:p w14:paraId="0DD4E900" w14:textId="77777777" w:rsidR="00D30F1D" w:rsidRPr="0058247A" w:rsidRDefault="00D30F1D" w:rsidP="007A3E08">
            <w:pPr>
              <w:pStyle w:val="TableText0"/>
              <w:keepLines/>
              <w:jc w:val="center"/>
              <w:rPr>
                <w:szCs w:val="20"/>
              </w:rPr>
            </w:pPr>
            <w:r w:rsidRPr="0058247A">
              <w:rPr>
                <w:rFonts w:cs="Calibri"/>
                <w:color w:val="000000"/>
                <w:szCs w:val="20"/>
              </w:rPr>
              <w:t>0.04 (-0.03, 0.11)</w:t>
            </w:r>
          </w:p>
        </w:tc>
      </w:tr>
      <w:tr w:rsidR="00D30F1D" w:rsidRPr="0058247A" w14:paraId="42E821A1" w14:textId="77777777" w:rsidTr="003B3112">
        <w:tc>
          <w:tcPr>
            <w:tcW w:w="2689" w:type="dxa"/>
          </w:tcPr>
          <w:p w14:paraId="360DA004" w14:textId="77777777" w:rsidR="00D30F1D" w:rsidRPr="0058247A" w:rsidRDefault="00D30F1D" w:rsidP="007A3E08">
            <w:pPr>
              <w:pStyle w:val="TableText0"/>
              <w:keepLines/>
              <w:rPr>
                <w:szCs w:val="20"/>
              </w:rPr>
            </w:pPr>
            <w:r w:rsidRPr="0058247A">
              <w:rPr>
                <w:szCs w:val="20"/>
              </w:rPr>
              <w:t>TEAE leading to discontinuation of daratumumab</w:t>
            </w:r>
          </w:p>
        </w:tc>
        <w:tc>
          <w:tcPr>
            <w:tcW w:w="1594" w:type="dxa"/>
            <w:vAlign w:val="center"/>
          </w:tcPr>
          <w:p w14:paraId="43C09577" w14:textId="77777777" w:rsidR="00D30F1D" w:rsidRPr="0058247A" w:rsidRDefault="00D30F1D" w:rsidP="007A3E08">
            <w:pPr>
              <w:pStyle w:val="TableText0"/>
              <w:keepLines/>
              <w:jc w:val="center"/>
              <w:rPr>
                <w:szCs w:val="20"/>
              </w:rPr>
            </w:pPr>
            <w:r w:rsidRPr="0058247A">
              <w:rPr>
                <w:rFonts w:cs="Calibri"/>
                <w:color w:val="000000"/>
                <w:szCs w:val="20"/>
              </w:rPr>
              <w:t>53 (15)</w:t>
            </w:r>
          </w:p>
        </w:tc>
        <w:tc>
          <w:tcPr>
            <w:tcW w:w="1595" w:type="dxa"/>
            <w:vAlign w:val="center"/>
          </w:tcPr>
          <w:p w14:paraId="4E32D22B" w14:textId="77777777" w:rsidR="00D30F1D" w:rsidRPr="0058247A" w:rsidRDefault="00D30F1D" w:rsidP="007A3E08">
            <w:pPr>
              <w:pStyle w:val="TableText0"/>
              <w:keepLines/>
              <w:jc w:val="center"/>
              <w:rPr>
                <w:szCs w:val="20"/>
              </w:rPr>
            </w:pPr>
            <w:r w:rsidRPr="0058247A">
              <w:rPr>
                <w:szCs w:val="20"/>
              </w:rPr>
              <w:t>NA</w:t>
            </w:r>
          </w:p>
        </w:tc>
        <w:tc>
          <w:tcPr>
            <w:tcW w:w="1594" w:type="dxa"/>
            <w:vAlign w:val="center"/>
          </w:tcPr>
          <w:p w14:paraId="0EB59098" w14:textId="77777777" w:rsidR="00D30F1D" w:rsidRPr="0058247A" w:rsidRDefault="00D30F1D" w:rsidP="007A3E08">
            <w:pPr>
              <w:pStyle w:val="TableText0"/>
              <w:keepLines/>
              <w:jc w:val="center"/>
              <w:rPr>
                <w:szCs w:val="20"/>
              </w:rPr>
            </w:pPr>
            <w:r w:rsidRPr="0058247A">
              <w:rPr>
                <w:szCs w:val="20"/>
              </w:rPr>
              <w:t>NA</w:t>
            </w:r>
          </w:p>
        </w:tc>
        <w:tc>
          <w:tcPr>
            <w:tcW w:w="1595" w:type="dxa"/>
            <w:vAlign w:val="center"/>
          </w:tcPr>
          <w:p w14:paraId="6678C9F1" w14:textId="77777777" w:rsidR="00D30F1D" w:rsidRPr="0058247A" w:rsidRDefault="00D30F1D" w:rsidP="007A3E08">
            <w:pPr>
              <w:pStyle w:val="TableText0"/>
              <w:keepLines/>
              <w:jc w:val="center"/>
              <w:rPr>
                <w:szCs w:val="20"/>
              </w:rPr>
            </w:pPr>
            <w:r w:rsidRPr="0058247A">
              <w:rPr>
                <w:szCs w:val="20"/>
              </w:rPr>
              <w:t>NA</w:t>
            </w:r>
          </w:p>
        </w:tc>
      </w:tr>
      <w:tr w:rsidR="00D30F1D" w:rsidRPr="0058247A" w14:paraId="63124489" w14:textId="77777777" w:rsidTr="003B3112">
        <w:tc>
          <w:tcPr>
            <w:tcW w:w="2689" w:type="dxa"/>
          </w:tcPr>
          <w:p w14:paraId="5E5EF9B9" w14:textId="77777777" w:rsidR="00D30F1D" w:rsidRPr="0058247A" w:rsidRDefault="00D30F1D" w:rsidP="007A3E08">
            <w:pPr>
              <w:pStyle w:val="TableText0"/>
              <w:keepLines/>
              <w:rPr>
                <w:szCs w:val="20"/>
              </w:rPr>
            </w:pPr>
            <w:r w:rsidRPr="0058247A">
              <w:rPr>
                <w:szCs w:val="20"/>
              </w:rPr>
              <w:t>TEAE leading to discontinuation of study treatment</w:t>
            </w:r>
            <w:r w:rsidRPr="0058247A">
              <w:rPr>
                <w:szCs w:val="20"/>
                <w:vertAlign w:val="superscript"/>
              </w:rPr>
              <w:t>c</w:t>
            </w:r>
          </w:p>
        </w:tc>
        <w:tc>
          <w:tcPr>
            <w:tcW w:w="1594" w:type="dxa"/>
            <w:vAlign w:val="center"/>
          </w:tcPr>
          <w:p w14:paraId="7C9F1F0C" w14:textId="77777777" w:rsidR="00D30F1D" w:rsidRPr="0058247A" w:rsidRDefault="00D30F1D" w:rsidP="007A3E08">
            <w:pPr>
              <w:pStyle w:val="TableText0"/>
              <w:keepLines/>
              <w:jc w:val="center"/>
              <w:rPr>
                <w:szCs w:val="20"/>
              </w:rPr>
            </w:pPr>
            <w:r w:rsidRPr="0058247A">
              <w:rPr>
                <w:rFonts w:cs="Calibri"/>
                <w:color w:val="000000"/>
                <w:szCs w:val="20"/>
              </w:rPr>
              <w:t>53 (15)</w:t>
            </w:r>
          </w:p>
        </w:tc>
        <w:tc>
          <w:tcPr>
            <w:tcW w:w="1595" w:type="dxa"/>
            <w:vAlign w:val="center"/>
          </w:tcPr>
          <w:p w14:paraId="7F76FE53" w14:textId="77777777" w:rsidR="00D30F1D" w:rsidRPr="0058247A" w:rsidRDefault="00D30F1D" w:rsidP="007A3E08">
            <w:pPr>
              <w:pStyle w:val="TableText0"/>
              <w:keepLines/>
              <w:jc w:val="center"/>
              <w:rPr>
                <w:szCs w:val="20"/>
              </w:rPr>
            </w:pPr>
            <w:r w:rsidRPr="0058247A">
              <w:rPr>
                <w:rFonts w:cs="Calibri"/>
                <w:color w:val="000000"/>
                <w:szCs w:val="20"/>
              </w:rPr>
              <w:t>87 (24)</w:t>
            </w:r>
          </w:p>
        </w:tc>
        <w:tc>
          <w:tcPr>
            <w:tcW w:w="1594" w:type="dxa"/>
            <w:vAlign w:val="center"/>
          </w:tcPr>
          <w:p w14:paraId="1307B6CF" w14:textId="77777777" w:rsidR="00D30F1D" w:rsidRPr="0058247A" w:rsidRDefault="00D30F1D" w:rsidP="007A3E08">
            <w:pPr>
              <w:pStyle w:val="TableText0"/>
              <w:keepLines/>
              <w:jc w:val="center"/>
              <w:rPr>
                <w:szCs w:val="20"/>
              </w:rPr>
            </w:pPr>
            <w:r w:rsidRPr="0058247A">
              <w:rPr>
                <w:rFonts w:cs="Calibri"/>
                <w:color w:val="000000"/>
                <w:szCs w:val="20"/>
              </w:rPr>
              <w:t>0.61 (0.45, 0.83)</w:t>
            </w:r>
          </w:p>
        </w:tc>
        <w:tc>
          <w:tcPr>
            <w:tcW w:w="1595" w:type="dxa"/>
            <w:vAlign w:val="center"/>
          </w:tcPr>
          <w:p w14:paraId="29FCD208" w14:textId="77777777" w:rsidR="00D30F1D" w:rsidRPr="0058247A" w:rsidRDefault="00D30F1D" w:rsidP="007A3E08">
            <w:pPr>
              <w:pStyle w:val="TableText0"/>
              <w:keepLines/>
              <w:jc w:val="center"/>
              <w:rPr>
                <w:szCs w:val="20"/>
              </w:rPr>
            </w:pPr>
            <w:r w:rsidRPr="0058247A">
              <w:rPr>
                <w:rFonts w:cs="Calibri"/>
                <w:color w:val="000000"/>
                <w:szCs w:val="20"/>
              </w:rPr>
              <w:t>-0.09 (-0.15, -0.04)</w:t>
            </w:r>
          </w:p>
        </w:tc>
      </w:tr>
      <w:tr w:rsidR="00D30F1D" w:rsidRPr="0058247A" w14:paraId="6FF02868" w14:textId="77777777" w:rsidTr="00A25B4A">
        <w:tc>
          <w:tcPr>
            <w:tcW w:w="9067" w:type="dxa"/>
            <w:gridSpan w:val="5"/>
          </w:tcPr>
          <w:p w14:paraId="4EDC2E7C" w14:textId="77777777" w:rsidR="00D30F1D" w:rsidRPr="0058247A" w:rsidRDefault="00D30F1D" w:rsidP="007A3E08">
            <w:pPr>
              <w:pStyle w:val="TableText0"/>
              <w:keepLines/>
              <w:rPr>
                <w:rFonts w:cs="Calibri"/>
                <w:b/>
                <w:bCs w:val="0"/>
                <w:color w:val="000000"/>
                <w:szCs w:val="20"/>
              </w:rPr>
            </w:pPr>
            <w:r w:rsidRPr="0058247A">
              <w:rPr>
                <w:rFonts w:cs="Calibri"/>
                <w:b/>
                <w:bCs w:val="0"/>
                <w:color w:val="000000"/>
                <w:szCs w:val="20"/>
              </w:rPr>
              <w:t>Most commonly reported (&gt;5%) toxicity Grade 3 or 4 TEAEs</w:t>
            </w:r>
          </w:p>
        </w:tc>
      </w:tr>
      <w:tr w:rsidR="00D30F1D" w:rsidRPr="0058247A" w14:paraId="68EA813E" w14:textId="77777777" w:rsidTr="00A25B4A">
        <w:tc>
          <w:tcPr>
            <w:tcW w:w="2689" w:type="dxa"/>
          </w:tcPr>
          <w:p w14:paraId="6B4B040E" w14:textId="77777777" w:rsidR="00D30F1D" w:rsidRPr="0058247A" w:rsidRDefault="00D30F1D" w:rsidP="007A3E08">
            <w:pPr>
              <w:pStyle w:val="TableText0"/>
              <w:keepLines/>
            </w:pPr>
            <w:r w:rsidRPr="0058247A">
              <w:t>Patients with toxicity grade 3 or 4 TEAEs</w:t>
            </w:r>
          </w:p>
        </w:tc>
        <w:tc>
          <w:tcPr>
            <w:tcW w:w="1594" w:type="dxa"/>
          </w:tcPr>
          <w:p w14:paraId="37E78B0B" w14:textId="77777777" w:rsidR="00D30F1D" w:rsidRPr="0058247A" w:rsidRDefault="00D30F1D" w:rsidP="007A3E08">
            <w:pPr>
              <w:pStyle w:val="TableText0"/>
              <w:keepLines/>
              <w:jc w:val="center"/>
              <w:rPr>
                <w:rFonts w:cs="Calibri"/>
                <w:color w:val="000000"/>
              </w:rPr>
            </w:pPr>
            <w:r w:rsidRPr="0058247A">
              <w:rPr>
                <w:rFonts w:cs="Calibri"/>
                <w:color w:val="000000"/>
              </w:rPr>
              <w:t>349 (96)</w:t>
            </w:r>
          </w:p>
        </w:tc>
        <w:tc>
          <w:tcPr>
            <w:tcW w:w="1595" w:type="dxa"/>
          </w:tcPr>
          <w:p w14:paraId="48CDE582" w14:textId="77777777" w:rsidR="00D30F1D" w:rsidRPr="0058247A" w:rsidRDefault="00D30F1D" w:rsidP="007A3E08">
            <w:pPr>
              <w:pStyle w:val="TableText0"/>
              <w:keepLines/>
              <w:jc w:val="center"/>
              <w:rPr>
                <w:rFonts w:cs="Calibri"/>
                <w:color w:val="000000"/>
              </w:rPr>
            </w:pPr>
            <w:r w:rsidRPr="0058247A">
              <w:rPr>
                <w:rFonts w:cs="Calibri"/>
                <w:color w:val="000000"/>
              </w:rPr>
              <w:t>324 (89)</w:t>
            </w:r>
          </w:p>
        </w:tc>
        <w:tc>
          <w:tcPr>
            <w:tcW w:w="1594" w:type="dxa"/>
          </w:tcPr>
          <w:p w14:paraId="1DEA9521" w14:textId="77777777" w:rsidR="00D30F1D" w:rsidRPr="0058247A" w:rsidRDefault="00D30F1D" w:rsidP="007A3E08">
            <w:pPr>
              <w:pStyle w:val="TableText0"/>
              <w:keepLines/>
              <w:jc w:val="center"/>
              <w:rPr>
                <w:rFonts w:cs="Calibri"/>
                <w:color w:val="000000"/>
              </w:rPr>
            </w:pPr>
            <w:r w:rsidRPr="0058247A">
              <w:rPr>
                <w:rFonts w:cs="Calibri"/>
                <w:color w:val="000000"/>
              </w:rPr>
              <w:t>1.08 (1.04, 1.13)</w:t>
            </w:r>
          </w:p>
        </w:tc>
        <w:tc>
          <w:tcPr>
            <w:tcW w:w="1595" w:type="dxa"/>
          </w:tcPr>
          <w:p w14:paraId="4B67D1DA" w14:textId="77777777" w:rsidR="00D30F1D" w:rsidRPr="0058247A" w:rsidRDefault="00D30F1D" w:rsidP="007A3E08">
            <w:pPr>
              <w:pStyle w:val="TableText0"/>
              <w:keepLines/>
              <w:jc w:val="center"/>
              <w:rPr>
                <w:rFonts w:cs="Calibri"/>
                <w:color w:val="000000"/>
              </w:rPr>
            </w:pPr>
            <w:r w:rsidRPr="0058247A">
              <w:rPr>
                <w:rFonts w:cs="Calibri"/>
                <w:color w:val="000000"/>
              </w:rPr>
              <w:t>0.07 (0.03, 0.11)</w:t>
            </w:r>
          </w:p>
        </w:tc>
      </w:tr>
      <w:tr w:rsidR="00D30F1D" w:rsidRPr="0058247A" w14:paraId="59C74485" w14:textId="77777777" w:rsidTr="00A25B4A">
        <w:tc>
          <w:tcPr>
            <w:tcW w:w="2689" w:type="dxa"/>
          </w:tcPr>
          <w:p w14:paraId="076D1AB1" w14:textId="77777777" w:rsidR="00D30F1D" w:rsidRPr="0058247A" w:rsidRDefault="00D30F1D" w:rsidP="007A3E08">
            <w:pPr>
              <w:pStyle w:val="TableText0"/>
              <w:keepLines/>
              <w:rPr>
                <w:szCs w:val="20"/>
              </w:rPr>
            </w:pPr>
            <w:r w:rsidRPr="0058247A">
              <w:t xml:space="preserve">Neutropenia </w:t>
            </w:r>
          </w:p>
        </w:tc>
        <w:tc>
          <w:tcPr>
            <w:tcW w:w="1594" w:type="dxa"/>
          </w:tcPr>
          <w:p w14:paraId="7FA5B2BE" w14:textId="77777777" w:rsidR="00D30F1D" w:rsidRPr="0058247A" w:rsidRDefault="00D30F1D" w:rsidP="007A3E08">
            <w:pPr>
              <w:pStyle w:val="TableText0"/>
              <w:keepLines/>
              <w:jc w:val="center"/>
              <w:rPr>
                <w:rFonts w:cs="Calibri"/>
                <w:color w:val="000000"/>
                <w:szCs w:val="20"/>
              </w:rPr>
            </w:pPr>
            <w:r w:rsidRPr="0058247A">
              <w:rPr>
                <w:rFonts w:cs="Calibri"/>
                <w:color w:val="000000"/>
              </w:rPr>
              <w:t>197 (54)</w:t>
            </w:r>
          </w:p>
        </w:tc>
        <w:tc>
          <w:tcPr>
            <w:tcW w:w="1595" w:type="dxa"/>
          </w:tcPr>
          <w:p w14:paraId="12C716F1" w14:textId="77777777" w:rsidR="00D30F1D" w:rsidRPr="0058247A" w:rsidRDefault="00D30F1D" w:rsidP="007A3E08">
            <w:pPr>
              <w:pStyle w:val="TableText0"/>
              <w:keepLines/>
              <w:jc w:val="center"/>
              <w:rPr>
                <w:rFonts w:cs="Calibri"/>
                <w:color w:val="000000"/>
                <w:szCs w:val="20"/>
              </w:rPr>
            </w:pPr>
            <w:r w:rsidRPr="0058247A">
              <w:rPr>
                <w:rFonts w:cs="Calibri"/>
                <w:color w:val="000000"/>
              </w:rPr>
              <w:t>135 (37)</w:t>
            </w:r>
          </w:p>
        </w:tc>
        <w:tc>
          <w:tcPr>
            <w:tcW w:w="1594" w:type="dxa"/>
          </w:tcPr>
          <w:p w14:paraId="7AC7CF06" w14:textId="77777777" w:rsidR="00D30F1D" w:rsidRPr="0058247A" w:rsidRDefault="00D30F1D" w:rsidP="007A3E08">
            <w:pPr>
              <w:pStyle w:val="TableText0"/>
              <w:keepLines/>
              <w:jc w:val="center"/>
              <w:rPr>
                <w:rFonts w:cs="Calibri"/>
                <w:color w:val="000000"/>
                <w:szCs w:val="20"/>
              </w:rPr>
            </w:pPr>
            <w:r w:rsidRPr="0058247A">
              <w:rPr>
                <w:rFonts w:cs="Calibri"/>
                <w:color w:val="000000"/>
              </w:rPr>
              <w:t>1.46 (1.24, 1.72)</w:t>
            </w:r>
          </w:p>
        </w:tc>
        <w:tc>
          <w:tcPr>
            <w:tcW w:w="1595" w:type="dxa"/>
          </w:tcPr>
          <w:p w14:paraId="5E5E1137" w14:textId="77777777" w:rsidR="00D30F1D" w:rsidRPr="0058247A" w:rsidRDefault="00D30F1D" w:rsidP="007A3E08">
            <w:pPr>
              <w:pStyle w:val="TableText0"/>
              <w:keepLines/>
              <w:jc w:val="center"/>
              <w:rPr>
                <w:rFonts w:cs="Calibri"/>
                <w:color w:val="000000"/>
                <w:szCs w:val="20"/>
              </w:rPr>
            </w:pPr>
            <w:r w:rsidRPr="0058247A">
              <w:rPr>
                <w:rFonts w:cs="Calibri"/>
                <w:color w:val="000000"/>
              </w:rPr>
              <w:t>0.17 (0.1, 0.24)</w:t>
            </w:r>
          </w:p>
        </w:tc>
      </w:tr>
      <w:tr w:rsidR="00D30F1D" w:rsidRPr="0058247A" w14:paraId="04FA6024" w14:textId="77777777" w:rsidTr="00A25B4A">
        <w:tc>
          <w:tcPr>
            <w:tcW w:w="2689" w:type="dxa"/>
          </w:tcPr>
          <w:p w14:paraId="4C9C7E7A" w14:textId="77777777" w:rsidR="00D30F1D" w:rsidRPr="0058247A" w:rsidRDefault="00D30F1D" w:rsidP="007A3E08">
            <w:pPr>
              <w:pStyle w:val="TableText0"/>
              <w:keepLines/>
              <w:rPr>
                <w:szCs w:val="20"/>
              </w:rPr>
            </w:pPr>
            <w:r w:rsidRPr="0058247A">
              <w:t xml:space="preserve">Leukopenia </w:t>
            </w:r>
          </w:p>
        </w:tc>
        <w:tc>
          <w:tcPr>
            <w:tcW w:w="1594" w:type="dxa"/>
          </w:tcPr>
          <w:p w14:paraId="2AACF832" w14:textId="77777777" w:rsidR="00D30F1D" w:rsidRPr="0058247A" w:rsidRDefault="00D30F1D" w:rsidP="007A3E08">
            <w:pPr>
              <w:pStyle w:val="TableText0"/>
              <w:keepLines/>
              <w:jc w:val="center"/>
              <w:rPr>
                <w:rFonts w:cs="Calibri"/>
                <w:color w:val="000000"/>
                <w:szCs w:val="20"/>
              </w:rPr>
            </w:pPr>
            <w:r w:rsidRPr="0058247A">
              <w:rPr>
                <w:rFonts w:cs="Calibri"/>
                <w:color w:val="000000"/>
              </w:rPr>
              <w:t>42 (12)</w:t>
            </w:r>
          </w:p>
        </w:tc>
        <w:tc>
          <w:tcPr>
            <w:tcW w:w="1595" w:type="dxa"/>
          </w:tcPr>
          <w:p w14:paraId="48BA62E4" w14:textId="77777777" w:rsidR="00D30F1D" w:rsidRPr="0058247A" w:rsidRDefault="00D30F1D" w:rsidP="007A3E08">
            <w:pPr>
              <w:pStyle w:val="TableText0"/>
              <w:keepLines/>
              <w:jc w:val="center"/>
              <w:rPr>
                <w:rFonts w:cs="Calibri"/>
                <w:color w:val="000000"/>
                <w:szCs w:val="20"/>
              </w:rPr>
            </w:pPr>
            <w:r w:rsidRPr="0058247A">
              <w:rPr>
                <w:rFonts w:cs="Calibri"/>
                <w:color w:val="000000"/>
              </w:rPr>
              <w:t>23 (6)</w:t>
            </w:r>
          </w:p>
        </w:tc>
        <w:tc>
          <w:tcPr>
            <w:tcW w:w="1594" w:type="dxa"/>
          </w:tcPr>
          <w:p w14:paraId="31709EAB" w14:textId="77777777" w:rsidR="00D30F1D" w:rsidRPr="0058247A" w:rsidRDefault="00D30F1D" w:rsidP="007A3E08">
            <w:pPr>
              <w:pStyle w:val="TableText0"/>
              <w:keepLines/>
              <w:jc w:val="center"/>
              <w:rPr>
                <w:rFonts w:cs="Calibri"/>
                <w:color w:val="000000"/>
                <w:szCs w:val="20"/>
              </w:rPr>
            </w:pPr>
            <w:r w:rsidRPr="0058247A">
              <w:rPr>
                <w:rFonts w:cs="Calibri"/>
                <w:color w:val="000000"/>
              </w:rPr>
              <w:t>1.83 (1.12, 2.98)</w:t>
            </w:r>
          </w:p>
        </w:tc>
        <w:tc>
          <w:tcPr>
            <w:tcW w:w="1595" w:type="dxa"/>
          </w:tcPr>
          <w:p w14:paraId="4883D7CB" w14:textId="77777777" w:rsidR="00D30F1D" w:rsidRPr="0058247A" w:rsidRDefault="00D30F1D" w:rsidP="007A3E08">
            <w:pPr>
              <w:pStyle w:val="TableText0"/>
              <w:keepLines/>
              <w:jc w:val="center"/>
              <w:rPr>
                <w:rFonts w:cs="Calibri"/>
                <w:color w:val="000000"/>
                <w:szCs w:val="20"/>
              </w:rPr>
            </w:pPr>
            <w:r w:rsidRPr="0058247A">
              <w:rPr>
                <w:rFonts w:cs="Calibri"/>
                <w:color w:val="000000"/>
              </w:rPr>
              <w:t>0.05 (0.01, 0.09)</w:t>
            </w:r>
          </w:p>
        </w:tc>
      </w:tr>
      <w:tr w:rsidR="00D30F1D" w:rsidRPr="0058247A" w14:paraId="46BEA9C0" w14:textId="77777777" w:rsidTr="00A25B4A">
        <w:tc>
          <w:tcPr>
            <w:tcW w:w="2689" w:type="dxa"/>
          </w:tcPr>
          <w:p w14:paraId="1446ECF1" w14:textId="77777777" w:rsidR="00D30F1D" w:rsidRPr="0058247A" w:rsidRDefault="00D30F1D" w:rsidP="007A3E08">
            <w:pPr>
              <w:pStyle w:val="TableText0"/>
              <w:keepLines/>
              <w:rPr>
                <w:szCs w:val="20"/>
              </w:rPr>
            </w:pPr>
            <w:r w:rsidRPr="0058247A">
              <w:t xml:space="preserve">Hypertension </w:t>
            </w:r>
          </w:p>
        </w:tc>
        <w:tc>
          <w:tcPr>
            <w:tcW w:w="1594" w:type="dxa"/>
          </w:tcPr>
          <w:p w14:paraId="7FFCA54D" w14:textId="77777777" w:rsidR="00D30F1D" w:rsidRPr="0058247A" w:rsidRDefault="00D30F1D" w:rsidP="007A3E08">
            <w:pPr>
              <w:pStyle w:val="TableText0"/>
              <w:keepLines/>
              <w:jc w:val="center"/>
              <w:rPr>
                <w:rFonts w:cs="Calibri"/>
                <w:color w:val="000000"/>
                <w:szCs w:val="20"/>
              </w:rPr>
            </w:pPr>
            <w:r w:rsidRPr="0058247A">
              <w:rPr>
                <w:rFonts w:cs="Calibri"/>
                <w:color w:val="000000"/>
              </w:rPr>
              <w:t>32 (9)</w:t>
            </w:r>
          </w:p>
        </w:tc>
        <w:tc>
          <w:tcPr>
            <w:tcW w:w="1595" w:type="dxa"/>
          </w:tcPr>
          <w:p w14:paraId="1A5E6D51" w14:textId="77777777" w:rsidR="00D30F1D" w:rsidRPr="0058247A" w:rsidRDefault="00D30F1D" w:rsidP="007A3E08">
            <w:pPr>
              <w:pStyle w:val="TableText0"/>
              <w:keepLines/>
              <w:jc w:val="center"/>
              <w:rPr>
                <w:rFonts w:cs="Calibri"/>
                <w:color w:val="000000"/>
                <w:szCs w:val="20"/>
              </w:rPr>
            </w:pPr>
            <w:r w:rsidRPr="0058247A">
              <w:rPr>
                <w:rFonts w:cs="Calibri"/>
                <w:color w:val="000000"/>
              </w:rPr>
              <w:t>16 (4)</w:t>
            </w:r>
          </w:p>
        </w:tc>
        <w:tc>
          <w:tcPr>
            <w:tcW w:w="1594" w:type="dxa"/>
          </w:tcPr>
          <w:p w14:paraId="33947719" w14:textId="77777777" w:rsidR="00D30F1D" w:rsidRPr="0058247A" w:rsidRDefault="00D30F1D" w:rsidP="007A3E08">
            <w:pPr>
              <w:pStyle w:val="TableText0"/>
              <w:keepLines/>
              <w:jc w:val="center"/>
              <w:rPr>
                <w:rFonts w:cs="Calibri"/>
                <w:color w:val="000000"/>
                <w:szCs w:val="20"/>
              </w:rPr>
            </w:pPr>
            <w:r w:rsidRPr="0058247A">
              <w:rPr>
                <w:rFonts w:cs="Calibri"/>
                <w:color w:val="000000"/>
              </w:rPr>
              <w:t>2.01 (1.12, 3.6)</w:t>
            </w:r>
          </w:p>
        </w:tc>
        <w:tc>
          <w:tcPr>
            <w:tcW w:w="1595" w:type="dxa"/>
          </w:tcPr>
          <w:p w14:paraId="61A9B62C" w14:textId="77777777" w:rsidR="00D30F1D" w:rsidRPr="0058247A" w:rsidRDefault="00D30F1D" w:rsidP="007A3E08">
            <w:pPr>
              <w:pStyle w:val="TableText0"/>
              <w:keepLines/>
              <w:jc w:val="center"/>
              <w:rPr>
                <w:rFonts w:cs="Calibri"/>
                <w:color w:val="000000"/>
                <w:szCs w:val="20"/>
              </w:rPr>
            </w:pPr>
            <w:r w:rsidRPr="0058247A">
              <w:rPr>
                <w:rFonts w:cs="Calibri"/>
                <w:color w:val="000000"/>
              </w:rPr>
              <w:t>0.04 (0.01, 0.08)</w:t>
            </w:r>
          </w:p>
        </w:tc>
      </w:tr>
      <w:tr w:rsidR="00D30F1D" w:rsidRPr="0058247A" w14:paraId="1FF8192B" w14:textId="77777777" w:rsidTr="00A25B4A">
        <w:tc>
          <w:tcPr>
            <w:tcW w:w="2689" w:type="dxa"/>
          </w:tcPr>
          <w:p w14:paraId="1B82F694" w14:textId="77777777" w:rsidR="00D30F1D" w:rsidRPr="0058247A" w:rsidRDefault="00D30F1D" w:rsidP="007A3E08">
            <w:pPr>
              <w:pStyle w:val="TableText0"/>
              <w:keepLines/>
              <w:rPr>
                <w:szCs w:val="20"/>
              </w:rPr>
            </w:pPr>
            <w:r w:rsidRPr="0058247A">
              <w:t xml:space="preserve">Lymphopenia </w:t>
            </w:r>
          </w:p>
        </w:tc>
        <w:tc>
          <w:tcPr>
            <w:tcW w:w="1594" w:type="dxa"/>
          </w:tcPr>
          <w:p w14:paraId="0A3A5EB7" w14:textId="77777777" w:rsidR="00D30F1D" w:rsidRPr="0058247A" w:rsidRDefault="00D30F1D" w:rsidP="007A3E08">
            <w:pPr>
              <w:pStyle w:val="TableText0"/>
              <w:keepLines/>
              <w:jc w:val="center"/>
              <w:rPr>
                <w:rFonts w:cs="Calibri"/>
                <w:color w:val="000000"/>
                <w:szCs w:val="20"/>
              </w:rPr>
            </w:pPr>
            <w:r w:rsidRPr="0058247A">
              <w:rPr>
                <w:rFonts w:cs="Calibri"/>
                <w:color w:val="000000"/>
              </w:rPr>
              <w:t>60 (16)</w:t>
            </w:r>
          </w:p>
        </w:tc>
        <w:tc>
          <w:tcPr>
            <w:tcW w:w="1595" w:type="dxa"/>
          </w:tcPr>
          <w:p w14:paraId="7C5048E0" w14:textId="77777777" w:rsidR="00D30F1D" w:rsidRPr="0058247A" w:rsidRDefault="00D30F1D" w:rsidP="007A3E08">
            <w:pPr>
              <w:pStyle w:val="TableText0"/>
              <w:keepLines/>
              <w:jc w:val="center"/>
              <w:rPr>
                <w:rFonts w:cs="Calibri"/>
                <w:color w:val="000000"/>
                <w:szCs w:val="20"/>
              </w:rPr>
            </w:pPr>
            <w:r w:rsidRPr="0058247A">
              <w:rPr>
                <w:rFonts w:cs="Calibri"/>
                <w:color w:val="000000"/>
              </w:rPr>
              <w:t>41 (11)</w:t>
            </w:r>
          </w:p>
        </w:tc>
        <w:tc>
          <w:tcPr>
            <w:tcW w:w="1594" w:type="dxa"/>
          </w:tcPr>
          <w:p w14:paraId="2F08B4A2" w14:textId="77777777" w:rsidR="00D30F1D" w:rsidRPr="0058247A" w:rsidRDefault="00D30F1D" w:rsidP="007A3E08">
            <w:pPr>
              <w:pStyle w:val="TableText0"/>
              <w:keepLines/>
              <w:jc w:val="center"/>
              <w:rPr>
                <w:rFonts w:cs="Calibri"/>
                <w:color w:val="000000"/>
                <w:szCs w:val="20"/>
              </w:rPr>
            </w:pPr>
            <w:r w:rsidRPr="0058247A">
              <w:rPr>
                <w:rFonts w:cs="Calibri"/>
                <w:color w:val="000000"/>
              </w:rPr>
              <w:t>1.47 (1.02, 2.13)</w:t>
            </w:r>
          </w:p>
        </w:tc>
        <w:tc>
          <w:tcPr>
            <w:tcW w:w="1595" w:type="dxa"/>
          </w:tcPr>
          <w:p w14:paraId="7C067D0B" w14:textId="77777777" w:rsidR="00D30F1D" w:rsidRPr="0058247A" w:rsidRDefault="00D30F1D" w:rsidP="007A3E08">
            <w:pPr>
              <w:pStyle w:val="TableText0"/>
              <w:keepLines/>
              <w:jc w:val="center"/>
              <w:rPr>
                <w:rFonts w:cs="Calibri"/>
                <w:color w:val="000000"/>
                <w:szCs w:val="20"/>
              </w:rPr>
            </w:pPr>
            <w:r w:rsidRPr="0058247A">
              <w:rPr>
                <w:rFonts w:cs="Calibri"/>
                <w:color w:val="000000"/>
              </w:rPr>
              <w:t>0.05 (0, 0.1)</w:t>
            </w:r>
          </w:p>
        </w:tc>
      </w:tr>
      <w:tr w:rsidR="00D30F1D" w:rsidRPr="0058247A" w14:paraId="33732660" w14:textId="77777777" w:rsidTr="00A25B4A">
        <w:tc>
          <w:tcPr>
            <w:tcW w:w="9067" w:type="dxa"/>
            <w:gridSpan w:val="5"/>
          </w:tcPr>
          <w:p w14:paraId="0BEA3801" w14:textId="77777777" w:rsidR="00D30F1D" w:rsidRPr="0058247A" w:rsidRDefault="00D30F1D" w:rsidP="007A3E08">
            <w:pPr>
              <w:pStyle w:val="TableHeading"/>
              <w:keepLines/>
              <w:spacing w:before="0" w:after="0"/>
              <w:rPr>
                <w:rFonts w:eastAsia="Calibri"/>
                <w:lang w:eastAsia="en-US"/>
              </w:rPr>
            </w:pPr>
            <w:r w:rsidRPr="0058247A">
              <w:rPr>
                <w:rFonts w:eastAsia="Calibri"/>
                <w:lang w:eastAsia="en-US"/>
              </w:rPr>
              <w:t>Common (≥2%) treatment-emergent SAEs.</w:t>
            </w:r>
          </w:p>
        </w:tc>
      </w:tr>
      <w:tr w:rsidR="00D30F1D" w:rsidRPr="0058247A" w14:paraId="73DDBE9B" w14:textId="77777777" w:rsidTr="00A25B4A">
        <w:tc>
          <w:tcPr>
            <w:tcW w:w="2689" w:type="dxa"/>
          </w:tcPr>
          <w:p w14:paraId="63940A90" w14:textId="77777777" w:rsidR="00D30F1D" w:rsidRPr="0058247A" w:rsidRDefault="00D30F1D" w:rsidP="007A3E08">
            <w:pPr>
              <w:pStyle w:val="TableText0"/>
              <w:keepLines/>
              <w:rPr>
                <w:rFonts w:eastAsia="Calibri" w:cs="Calibri"/>
                <w:color w:val="000000"/>
                <w:szCs w:val="20"/>
                <w:lang w:eastAsia="en-US"/>
              </w:rPr>
            </w:pPr>
            <w:r w:rsidRPr="0058247A">
              <w:rPr>
                <w:rFonts w:eastAsia="Calibri" w:cs="Calibri"/>
                <w:color w:val="000000"/>
                <w:szCs w:val="20"/>
                <w:lang w:eastAsia="en-US"/>
              </w:rPr>
              <w:t>Patient with &gt;1 TESAEs</w:t>
            </w:r>
          </w:p>
        </w:tc>
        <w:tc>
          <w:tcPr>
            <w:tcW w:w="1594" w:type="dxa"/>
          </w:tcPr>
          <w:p w14:paraId="41662069"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287 (79)</w:t>
            </w:r>
          </w:p>
        </w:tc>
        <w:tc>
          <w:tcPr>
            <w:tcW w:w="1595" w:type="dxa"/>
          </w:tcPr>
          <w:p w14:paraId="05F63DC8"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259 (71)</w:t>
            </w:r>
          </w:p>
        </w:tc>
        <w:tc>
          <w:tcPr>
            <w:tcW w:w="1594" w:type="dxa"/>
          </w:tcPr>
          <w:p w14:paraId="52ACC8C5"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1.11 (1.02, 1.21)</w:t>
            </w:r>
          </w:p>
        </w:tc>
        <w:tc>
          <w:tcPr>
            <w:tcW w:w="1595" w:type="dxa"/>
          </w:tcPr>
          <w:p w14:paraId="499F005D"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0.08 (0.02, 0.14)</w:t>
            </w:r>
          </w:p>
        </w:tc>
      </w:tr>
      <w:tr w:rsidR="00D30F1D" w:rsidRPr="0058247A" w14:paraId="4A243989" w14:textId="77777777" w:rsidTr="00A25B4A">
        <w:tc>
          <w:tcPr>
            <w:tcW w:w="2689" w:type="dxa"/>
          </w:tcPr>
          <w:p w14:paraId="1CE643CF" w14:textId="77777777" w:rsidR="00D30F1D" w:rsidRPr="0058247A" w:rsidRDefault="00D30F1D" w:rsidP="007A3E08">
            <w:pPr>
              <w:pStyle w:val="TableText0"/>
              <w:keepLines/>
              <w:rPr>
                <w:szCs w:val="20"/>
              </w:rPr>
            </w:pPr>
            <w:r w:rsidRPr="0058247A">
              <w:rPr>
                <w:rFonts w:eastAsia="Calibri" w:cs="Calibri"/>
                <w:color w:val="000000"/>
                <w:szCs w:val="20"/>
                <w:lang w:eastAsia="en-US"/>
              </w:rPr>
              <w:t>Pneumonia</w:t>
            </w:r>
          </w:p>
        </w:tc>
        <w:tc>
          <w:tcPr>
            <w:tcW w:w="1594" w:type="dxa"/>
          </w:tcPr>
          <w:p w14:paraId="48C42DA5"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68 (19)</w:t>
            </w:r>
          </w:p>
        </w:tc>
        <w:tc>
          <w:tcPr>
            <w:tcW w:w="1595" w:type="dxa"/>
          </w:tcPr>
          <w:p w14:paraId="2917FDCA"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39 (11)</w:t>
            </w:r>
          </w:p>
        </w:tc>
        <w:tc>
          <w:tcPr>
            <w:tcW w:w="1594" w:type="dxa"/>
          </w:tcPr>
          <w:p w14:paraId="187008F9"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1.75 (1.21, 2.52)</w:t>
            </w:r>
          </w:p>
        </w:tc>
        <w:tc>
          <w:tcPr>
            <w:tcW w:w="1595" w:type="dxa"/>
          </w:tcPr>
          <w:p w14:paraId="1D150317"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0.08 (0.03, 0.13)</w:t>
            </w:r>
          </w:p>
        </w:tc>
      </w:tr>
      <w:tr w:rsidR="00D30F1D" w:rsidRPr="0058247A" w14:paraId="09E20241" w14:textId="77777777" w:rsidTr="00A25B4A">
        <w:tc>
          <w:tcPr>
            <w:tcW w:w="2689" w:type="dxa"/>
          </w:tcPr>
          <w:p w14:paraId="6AC00EBD" w14:textId="77777777" w:rsidR="00D30F1D" w:rsidRPr="0058247A" w:rsidRDefault="00D30F1D" w:rsidP="007A3E08">
            <w:pPr>
              <w:pStyle w:val="TableText0"/>
              <w:keepLines/>
              <w:rPr>
                <w:szCs w:val="20"/>
              </w:rPr>
            </w:pPr>
            <w:r w:rsidRPr="0058247A">
              <w:rPr>
                <w:rFonts w:eastAsia="Calibri" w:cs="Calibri"/>
                <w:color w:val="000000"/>
                <w:szCs w:val="20"/>
                <w:lang w:eastAsia="en-US"/>
              </w:rPr>
              <w:t>Sepsis</w:t>
            </w:r>
          </w:p>
        </w:tc>
        <w:tc>
          <w:tcPr>
            <w:tcW w:w="1594" w:type="dxa"/>
          </w:tcPr>
          <w:p w14:paraId="65025DEC"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11 (3)</w:t>
            </w:r>
          </w:p>
        </w:tc>
        <w:tc>
          <w:tcPr>
            <w:tcW w:w="1595" w:type="dxa"/>
          </w:tcPr>
          <w:p w14:paraId="26DA0AD7"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10 (3)</w:t>
            </w:r>
          </w:p>
        </w:tc>
        <w:tc>
          <w:tcPr>
            <w:tcW w:w="1594" w:type="dxa"/>
          </w:tcPr>
          <w:p w14:paraId="15DEA75C"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1.1 (0.47, 2.56)</w:t>
            </w:r>
          </w:p>
        </w:tc>
        <w:tc>
          <w:tcPr>
            <w:tcW w:w="1595" w:type="dxa"/>
          </w:tcPr>
          <w:p w14:paraId="19C73251" w14:textId="77777777" w:rsidR="00D30F1D" w:rsidRPr="0058247A" w:rsidRDefault="00D30F1D" w:rsidP="007A3E08">
            <w:pPr>
              <w:pStyle w:val="TableText0"/>
              <w:keepLines/>
              <w:jc w:val="center"/>
              <w:rPr>
                <w:rFonts w:cs="Calibri"/>
                <w:color w:val="000000"/>
                <w:szCs w:val="20"/>
              </w:rPr>
            </w:pPr>
            <w:r w:rsidRPr="0058247A">
              <w:rPr>
                <w:rFonts w:cs="Calibri"/>
                <w:color w:val="000000"/>
                <w:szCs w:val="20"/>
              </w:rPr>
              <w:t>0 (-0.02, 0.03)</w:t>
            </w:r>
          </w:p>
        </w:tc>
      </w:tr>
    </w:tbl>
    <w:p w14:paraId="3E7D2D43" w14:textId="77777777" w:rsidR="00D30F1D" w:rsidRPr="0058247A" w:rsidRDefault="00D30F1D" w:rsidP="007A3E08">
      <w:pPr>
        <w:pStyle w:val="FooterTableFigure"/>
        <w:keepNext/>
        <w:keepLines/>
      </w:pPr>
      <w:bookmarkStart w:id="69" w:name="_Toc22897643"/>
      <w:r w:rsidRPr="0058247A">
        <w:t>Source: Table 2.42, p167, Table 2.44, p173 and Table 2.45, p174 of the submission.</w:t>
      </w:r>
    </w:p>
    <w:p w14:paraId="633E3F46" w14:textId="77777777" w:rsidR="00D30F1D" w:rsidRPr="0058247A" w:rsidRDefault="00D30F1D" w:rsidP="007A3E08">
      <w:pPr>
        <w:pStyle w:val="FooterTableFigure"/>
        <w:keepNext/>
        <w:keepLines/>
      </w:pPr>
      <w:r w:rsidRPr="0058247A">
        <w:rPr>
          <w:rFonts w:eastAsia="Calibri"/>
        </w:rPr>
        <w:t xml:space="preserve">CI= confidence interval; </w:t>
      </w:r>
      <w:r w:rsidRPr="0058247A">
        <w:t xml:space="preserve">DLd= daratumumab, lenalidomide, dexamethasone; Ld= lenalidomide, dexamethasone; </w:t>
      </w:r>
      <w:r w:rsidRPr="0058247A">
        <w:rPr>
          <w:rFonts w:eastAsia="Calibri"/>
        </w:rPr>
        <w:t>n= number of participants reporting data; N= total participants in group; NA= not applicable; RD= risk difference; RR= relative risk;</w:t>
      </w:r>
      <w:r w:rsidRPr="0058247A">
        <w:t xml:space="preserve"> SAE= serious adverse event; TEAE= treatment-emergent adverse event; TESAE= treatment-emergent serious adverse event.</w:t>
      </w:r>
    </w:p>
    <w:p w14:paraId="660E5BC2" w14:textId="77777777" w:rsidR="00D30F1D" w:rsidRPr="0058247A" w:rsidRDefault="00D30F1D" w:rsidP="007A3E08">
      <w:pPr>
        <w:pStyle w:val="FooterTableFigure"/>
        <w:keepNext/>
        <w:keepLines/>
      </w:pPr>
      <w:r w:rsidRPr="0058247A">
        <w:rPr>
          <w:vertAlign w:val="superscript"/>
        </w:rPr>
        <w:t>a</w:t>
      </w:r>
      <w:r w:rsidRPr="0058247A">
        <w:t xml:space="preserve"> TEAEs related to at least 1 of the 3 components of study treatment: lenalidomide, dexamethasone or daratumumab.</w:t>
      </w:r>
    </w:p>
    <w:p w14:paraId="4FE320EE" w14:textId="77777777" w:rsidR="00D30F1D" w:rsidRPr="0058247A" w:rsidRDefault="00D30F1D" w:rsidP="007A3E08">
      <w:pPr>
        <w:pStyle w:val="FooterTableFigure"/>
        <w:keepNext/>
        <w:keepLines/>
      </w:pPr>
      <w:r w:rsidRPr="0058247A">
        <w:rPr>
          <w:vertAlign w:val="superscript"/>
        </w:rPr>
        <w:t>b</w:t>
      </w:r>
      <w:r w:rsidRPr="0058247A">
        <w:t xml:space="preserve"> COVID-19 associated AEs are based on events coded to a COVID-19 MedDRA preferred term, including COVID-19, COVID-19 pneumonia, suspected COVID-19, asymptomatic COVID-19 and SARS-COV-2 test positive.</w:t>
      </w:r>
    </w:p>
    <w:p w14:paraId="5773232D" w14:textId="77777777" w:rsidR="00D30F1D" w:rsidRPr="0058247A" w:rsidRDefault="00D30F1D" w:rsidP="007A3E08">
      <w:pPr>
        <w:pStyle w:val="FooterTableFigure"/>
        <w:keepNext/>
        <w:keepLines/>
      </w:pPr>
      <w:r w:rsidRPr="0058247A">
        <w:rPr>
          <w:vertAlign w:val="superscript"/>
        </w:rPr>
        <w:t xml:space="preserve">c </w:t>
      </w:r>
      <w:r w:rsidRPr="0058247A">
        <w:t>Includes those patients indicated as having discontinued study treatment due to an adverse event on the end of treatment CRF page.</w:t>
      </w:r>
    </w:p>
    <w:p w14:paraId="77195195" w14:textId="77777777" w:rsidR="00D30F1D" w:rsidRPr="0058247A" w:rsidRDefault="00D30F1D" w:rsidP="007A3E08">
      <w:pPr>
        <w:pStyle w:val="FooterTableFigure"/>
        <w:keepNext/>
        <w:keepLines/>
      </w:pPr>
      <w:r w:rsidRPr="0058247A">
        <w:t>Adverse events are reported using MedDRA version 23.0. Percentages are calculated with the number of patients in each group as denominator. Dexamethasone is for "dexamethasone or equivalent".</w:t>
      </w:r>
    </w:p>
    <w:p w14:paraId="55C76636" w14:textId="4E91B7E1" w:rsidR="00D30F1D" w:rsidRPr="0058247A" w:rsidRDefault="00D30F1D" w:rsidP="00D30F1D">
      <w:pPr>
        <w:pStyle w:val="FooterTableFigure"/>
      </w:pPr>
      <w:r w:rsidRPr="0058247A">
        <w:rPr>
          <w:vertAlign w:val="superscript"/>
        </w:rPr>
        <w:t>d</w:t>
      </w:r>
      <w:r w:rsidRPr="0058247A">
        <w:t xml:space="preserve"> </w:t>
      </w:r>
      <w:r w:rsidR="0035626A" w:rsidRPr="0058247A">
        <w:t>Calculated</w:t>
      </w:r>
      <w:r w:rsidR="006937D7" w:rsidRPr="0058247A">
        <w:t xml:space="preserve"> during the evaluation. </w:t>
      </w:r>
      <w:r w:rsidRPr="0058247A">
        <w:t>This analysis was not powered to detect statistical differences in the occurrence of safety events; apparent differences shown in relative measures of effect are exploratory only.</w:t>
      </w:r>
    </w:p>
    <w:p w14:paraId="5DA90DC4" w14:textId="46CEDE6B" w:rsidR="00D30F1D" w:rsidRPr="0058247A" w:rsidRDefault="00D30F1D" w:rsidP="00D30F1D">
      <w:pPr>
        <w:pStyle w:val="3-BodyText"/>
        <w:rPr>
          <w:iCs/>
        </w:rPr>
      </w:pPr>
      <w:r w:rsidRPr="0058247A">
        <w:rPr>
          <w:iCs/>
        </w:rPr>
        <w:t xml:space="preserve">A summary of the TEAEs (any grade and Grade 3 or more) from SWOG s0777, with a median follow-up of 55 months, as presented by the submission is provided in </w:t>
      </w:r>
      <w:r w:rsidRPr="0058247A">
        <w:rPr>
          <w:iCs/>
        </w:rPr>
        <w:fldChar w:fldCharType="begin"/>
      </w:r>
      <w:r w:rsidRPr="0058247A">
        <w:rPr>
          <w:iCs/>
        </w:rPr>
        <w:instrText xml:space="preserve"> REF _Ref121722517 \h  \* MERGEFORMAT </w:instrText>
      </w:r>
      <w:r w:rsidRPr="0058247A">
        <w:rPr>
          <w:iCs/>
        </w:rPr>
      </w:r>
      <w:r w:rsidRPr="0058247A">
        <w:rPr>
          <w:iCs/>
        </w:rPr>
        <w:fldChar w:fldCharType="separate"/>
      </w:r>
      <w:r w:rsidR="008D65C7" w:rsidRPr="008D65C7">
        <w:rPr>
          <w:iCs/>
        </w:rPr>
        <w:t>Table 11</w:t>
      </w:r>
      <w:r w:rsidRPr="0058247A">
        <w:rPr>
          <w:iCs/>
        </w:rPr>
        <w:fldChar w:fldCharType="end"/>
      </w:r>
      <w:r w:rsidRPr="0058247A">
        <w:rPr>
          <w:iCs/>
        </w:rPr>
        <w:t xml:space="preserve">. Overall, the incidence of any grade TEAEs in the subgroup of patients aged </w:t>
      </w:r>
      <w:r w:rsidR="001C58FE" w:rsidRPr="0058247A">
        <w:rPr>
          <w:iCs/>
        </w:rPr>
        <w:t>≥</w:t>
      </w:r>
      <w:r w:rsidR="001C58FE">
        <w:rPr>
          <w:iCs/>
        </w:rPr>
        <w:t> </w:t>
      </w:r>
      <w:r w:rsidRPr="0058247A">
        <w:rPr>
          <w:iCs/>
        </w:rPr>
        <w:t>65</w:t>
      </w:r>
      <w:r w:rsidR="001C58FE">
        <w:rPr>
          <w:iCs/>
        </w:rPr>
        <w:t> </w:t>
      </w:r>
      <w:r w:rsidRPr="0058247A">
        <w:rPr>
          <w:iCs/>
        </w:rPr>
        <w:t>years was the same between the two groups.</w:t>
      </w:r>
    </w:p>
    <w:p w14:paraId="3982047A" w14:textId="476CCC79" w:rsidR="00D30F1D" w:rsidRPr="0058247A" w:rsidRDefault="00D30F1D" w:rsidP="00D30F1D">
      <w:pPr>
        <w:pStyle w:val="Caption"/>
      </w:pPr>
      <w:bookmarkStart w:id="70" w:name="_Ref121722517"/>
      <w:r w:rsidRPr="0058247A">
        <w:lastRenderedPageBreak/>
        <w:t xml:space="preserve">Table </w:t>
      </w:r>
      <w:fldSimple w:instr=" SEQ Table \* ARABIC ">
        <w:r w:rsidR="008D65C7">
          <w:rPr>
            <w:noProof/>
          </w:rPr>
          <w:t>11</w:t>
        </w:r>
      </w:fldSimple>
      <w:bookmarkEnd w:id="70"/>
      <w:r w:rsidRPr="0058247A">
        <w:t>: TEAEs by CTC toxicity category in SWOG s0777 (ITT and subgroups, safety analysis set at a median follow-up of 55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562"/>
        <w:gridCol w:w="1556"/>
        <w:gridCol w:w="1533"/>
        <w:gridCol w:w="1535"/>
      </w:tblGrid>
      <w:tr w:rsidR="00D30F1D" w:rsidRPr="0058247A" w14:paraId="0A8F89DD" w14:textId="77777777" w:rsidTr="00A25B4A">
        <w:trPr>
          <w:trHeight w:val="56"/>
        </w:trPr>
        <w:tc>
          <w:tcPr>
            <w:tcW w:w="1570" w:type="pct"/>
            <w:shd w:val="clear" w:color="auto" w:fill="auto"/>
            <w:vAlign w:val="center"/>
          </w:tcPr>
          <w:p w14:paraId="4BF281DA" w14:textId="77777777" w:rsidR="00D30F1D" w:rsidRPr="0058247A" w:rsidRDefault="00D30F1D" w:rsidP="00A25B4A">
            <w:pPr>
              <w:pStyle w:val="TableText0"/>
              <w:rPr>
                <w:rFonts w:eastAsia="Calibri" w:cs="Calibri"/>
                <w:b/>
                <w:bCs w:val="0"/>
                <w:lang w:eastAsia="en-US"/>
              </w:rPr>
            </w:pPr>
            <w:r w:rsidRPr="0058247A">
              <w:rPr>
                <w:b/>
                <w:bCs w:val="0"/>
              </w:rPr>
              <w:t xml:space="preserve">SWOG s0777 </w:t>
            </w:r>
          </w:p>
        </w:tc>
        <w:tc>
          <w:tcPr>
            <w:tcW w:w="866" w:type="pct"/>
            <w:shd w:val="clear" w:color="auto" w:fill="auto"/>
            <w:vAlign w:val="center"/>
          </w:tcPr>
          <w:p w14:paraId="316C779D" w14:textId="77777777" w:rsidR="00D30F1D" w:rsidRPr="0058247A" w:rsidRDefault="00D30F1D" w:rsidP="00A25B4A">
            <w:pPr>
              <w:pStyle w:val="TableText0"/>
              <w:jc w:val="center"/>
              <w:rPr>
                <w:b/>
                <w:bCs w:val="0"/>
              </w:rPr>
            </w:pPr>
            <w:r w:rsidRPr="0058247A">
              <w:rPr>
                <w:b/>
                <w:bCs w:val="0"/>
              </w:rPr>
              <w:t>BLd</w:t>
            </w:r>
          </w:p>
          <w:p w14:paraId="29359FB2" w14:textId="77777777" w:rsidR="00D30F1D" w:rsidRPr="0058247A" w:rsidRDefault="00D30F1D" w:rsidP="00A25B4A">
            <w:pPr>
              <w:pStyle w:val="TableText0"/>
              <w:jc w:val="center"/>
              <w:rPr>
                <w:rFonts w:eastAsia="Calibri" w:cs="Calibri"/>
                <w:b/>
                <w:bCs w:val="0"/>
                <w:lang w:eastAsia="en-US"/>
              </w:rPr>
            </w:pPr>
            <w:r w:rsidRPr="0058247A">
              <w:rPr>
                <w:b/>
                <w:bCs w:val="0"/>
              </w:rPr>
              <w:t>n with event (%)</w:t>
            </w:r>
          </w:p>
        </w:tc>
        <w:tc>
          <w:tcPr>
            <w:tcW w:w="863" w:type="pct"/>
            <w:shd w:val="clear" w:color="auto" w:fill="auto"/>
            <w:vAlign w:val="center"/>
          </w:tcPr>
          <w:p w14:paraId="093C4B74" w14:textId="77777777" w:rsidR="00D30F1D" w:rsidRPr="0058247A" w:rsidRDefault="00D30F1D" w:rsidP="00A25B4A">
            <w:pPr>
              <w:pStyle w:val="TableText0"/>
              <w:jc w:val="center"/>
              <w:rPr>
                <w:b/>
                <w:bCs w:val="0"/>
              </w:rPr>
            </w:pPr>
            <w:r w:rsidRPr="0058247A">
              <w:rPr>
                <w:b/>
                <w:bCs w:val="0"/>
              </w:rPr>
              <w:t>Ld</w:t>
            </w:r>
          </w:p>
          <w:p w14:paraId="6927682C" w14:textId="77777777" w:rsidR="00D30F1D" w:rsidRPr="0058247A" w:rsidRDefault="00D30F1D" w:rsidP="00A25B4A">
            <w:pPr>
              <w:pStyle w:val="TableText0"/>
              <w:jc w:val="center"/>
              <w:rPr>
                <w:rFonts w:eastAsia="Calibri" w:cs="Calibri"/>
                <w:b/>
                <w:bCs w:val="0"/>
                <w:lang w:eastAsia="en-US"/>
              </w:rPr>
            </w:pPr>
            <w:r w:rsidRPr="0058247A">
              <w:rPr>
                <w:b/>
                <w:bCs w:val="0"/>
              </w:rPr>
              <w:t>n with event (%)</w:t>
            </w:r>
          </w:p>
        </w:tc>
        <w:tc>
          <w:tcPr>
            <w:tcW w:w="850" w:type="pct"/>
            <w:shd w:val="clear" w:color="auto" w:fill="auto"/>
            <w:vAlign w:val="center"/>
          </w:tcPr>
          <w:p w14:paraId="27D44151" w14:textId="77777777" w:rsidR="00D30F1D" w:rsidRPr="0058247A" w:rsidRDefault="00D30F1D" w:rsidP="00A25B4A">
            <w:pPr>
              <w:pStyle w:val="TableText0"/>
              <w:jc w:val="center"/>
              <w:rPr>
                <w:b/>
                <w:bCs w:val="0"/>
              </w:rPr>
            </w:pPr>
            <w:r w:rsidRPr="0058247A">
              <w:rPr>
                <w:b/>
                <w:bCs w:val="0"/>
              </w:rPr>
              <w:t>RR</w:t>
            </w:r>
          </w:p>
          <w:p w14:paraId="14DA9865" w14:textId="77777777" w:rsidR="00D30F1D" w:rsidRPr="0058247A" w:rsidRDefault="00D30F1D" w:rsidP="00A25B4A">
            <w:pPr>
              <w:pStyle w:val="TableText0"/>
              <w:jc w:val="center"/>
              <w:rPr>
                <w:rFonts w:eastAsia="Calibri" w:cs="Calibri"/>
                <w:lang w:eastAsia="en-US"/>
              </w:rPr>
            </w:pPr>
            <w:r w:rsidRPr="0058247A">
              <w:rPr>
                <w:b/>
                <w:bCs w:val="0"/>
              </w:rPr>
              <w:t>(95% CI)</w:t>
            </w:r>
            <w:r w:rsidRPr="0058247A">
              <w:rPr>
                <w:vertAlign w:val="superscript"/>
              </w:rPr>
              <w:t>a</w:t>
            </w:r>
          </w:p>
        </w:tc>
        <w:tc>
          <w:tcPr>
            <w:tcW w:w="851" w:type="pct"/>
            <w:shd w:val="clear" w:color="auto" w:fill="auto"/>
            <w:vAlign w:val="center"/>
          </w:tcPr>
          <w:p w14:paraId="2115179C" w14:textId="77777777" w:rsidR="00D30F1D" w:rsidRPr="0058247A" w:rsidRDefault="00D30F1D" w:rsidP="00A25B4A">
            <w:pPr>
              <w:pStyle w:val="TableText0"/>
              <w:jc w:val="center"/>
              <w:rPr>
                <w:b/>
                <w:bCs w:val="0"/>
              </w:rPr>
            </w:pPr>
            <w:r w:rsidRPr="0058247A">
              <w:rPr>
                <w:b/>
                <w:bCs w:val="0"/>
              </w:rPr>
              <w:t>RD</w:t>
            </w:r>
          </w:p>
          <w:p w14:paraId="41378900" w14:textId="77777777" w:rsidR="00D30F1D" w:rsidRPr="0058247A" w:rsidRDefault="00D30F1D" w:rsidP="00A25B4A">
            <w:pPr>
              <w:pStyle w:val="TableText0"/>
              <w:jc w:val="center"/>
              <w:rPr>
                <w:rFonts w:eastAsia="Calibri" w:cs="Calibri"/>
                <w:b/>
                <w:bCs w:val="0"/>
                <w:lang w:eastAsia="en-US"/>
              </w:rPr>
            </w:pPr>
            <w:r w:rsidRPr="0058247A">
              <w:rPr>
                <w:b/>
                <w:bCs w:val="0"/>
              </w:rPr>
              <w:t>(95% CI)</w:t>
            </w:r>
            <w:r w:rsidRPr="0058247A">
              <w:rPr>
                <w:vertAlign w:val="superscript"/>
              </w:rPr>
              <w:t xml:space="preserve"> a</w:t>
            </w:r>
          </w:p>
        </w:tc>
      </w:tr>
      <w:tr w:rsidR="00D30F1D" w:rsidRPr="0058247A" w14:paraId="1FE90FFF" w14:textId="77777777" w:rsidTr="003B3112">
        <w:trPr>
          <w:trHeight w:val="241"/>
        </w:trPr>
        <w:tc>
          <w:tcPr>
            <w:tcW w:w="1570" w:type="pct"/>
            <w:shd w:val="clear" w:color="auto" w:fill="auto"/>
            <w:noWrap/>
          </w:tcPr>
          <w:p w14:paraId="3FA893FD" w14:textId="77777777" w:rsidR="00D30F1D" w:rsidRPr="0058247A" w:rsidRDefault="00D30F1D" w:rsidP="00A25B4A">
            <w:pPr>
              <w:pStyle w:val="TableText0"/>
              <w:rPr>
                <w:rFonts w:eastAsia="Calibri" w:cs="Calibri"/>
                <w:lang w:eastAsia="en-US"/>
              </w:rPr>
            </w:pPr>
            <w:r w:rsidRPr="0058247A">
              <w:t>Safety analysis set</w:t>
            </w:r>
          </w:p>
        </w:tc>
        <w:tc>
          <w:tcPr>
            <w:tcW w:w="866" w:type="pct"/>
            <w:shd w:val="clear" w:color="auto" w:fill="auto"/>
            <w:noWrap/>
            <w:vAlign w:val="center"/>
          </w:tcPr>
          <w:p w14:paraId="41422D4C" w14:textId="77777777" w:rsidR="00D30F1D" w:rsidRPr="0058247A" w:rsidRDefault="00D30F1D" w:rsidP="003B3112">
            <w:pPr>
              <w:pStyle w:val="TableText0"/>
              <w:jc w:val="center"/>
              <w:rPr>
                <w:rFonts w:eastAsia="Calibri" w:cs="Calibri"/>
                <w:lang w:eastAsia="en-US"/>
              </w:rPr>
            </w:pPr>
            <w:r w:rsidRPr="0058247A">
              <w:t>241 (100)</w:t>
            </w:r>
          </w:p>
        </w:tc>
        <w:tc>
          <w:tcPr>
            <w:tcW w:w="863" w:type="pct"/>
            <w:shd w:val="clear" w:color="auto" w:fill="auto"/>
            <w:vAlign w:val="center"/>
          </w:tcPr>
          <w:p w14:paraId="22D09507" w14:textId="77777777" w:rsidR="00D30F1D" w:rsidRPr="0058247A" w:rsidRDefault="00D30F1D" w:rsidP="003B3112">
            <w:pPr>
              <w:pStyle w:val="TableText0"/>
              <w:jc w:val="center"/>
              <w:rPr>
                <w:rFonts w:eastAsia="Calibri" w:cs="Calibri"/>
                <w:lang w:eastAsia="en-US"/>
              </w:rPr>
            </w:pPr>
            <w:r w:rsidRPr="0058247A">
              <w:t>226 (100)</w:t>
            </w:r>
          </w:p>
        </w:tc>
        <w:tc>
          <w:tcPr>
            <w:tcW w:w="850" w:type="pct"/>
            <w:shd w:val="clear" w:color="auto" w:fill="auto"/>
            <w:vAlign w:val="center"/>
          </w:tcPr>
          <w:p w14:paraId="36F1EDE8" w14:textId="77777777" w:rsidR="00D30F1D" w:rsidRPr="0058247A" w:rsidRDefault="00D30F1D" w:rsidP="003B3112">
            <w:pPr>
              <w:pStyle w:val="TableText0"/>
              <w:jc w:val="center"/>
              <w:rPr>
                <w:rFonts w:eastAsia="Calibri" w:cs="Calibri"/>
                <w:lang w:eastAsia="en-US"/>
              </w:rPr>
            </w:pPr>
            <w:r w:rsidRPr="0058247A">
              <w:rPr>
                <w:rFonts w:eastAsia="Calibri" w:cs="Calibri"/>
                <w:lang w:eastAsia="en-US"/>
              </w:rPr>
              <w:t>NA</w:t>
            </w:r>
          </w:p>
        </w:tc>
        <w:tc>
          <w:tcPr>
            <w:tcW w:w="851" w:type="pct"/>
            <w:shd w:val="clear" w:color="auto" w:fill="auto"/>
            <w:vAlign w:val="center"/>
          </w:tcPr>
          <w:p w14:paraId="7A40B83E" w14:textId="77777777" w:rsidR="00D30F1D" w:rsidRPr="0058247A" w:rsidRDefault="00D30F1D" w:rsidP="003B3112">
            <w:pPr>
              <w:pStyle w:val="TableText0"/>
              <w:jc w:val="center"/>
              <w:rPr>
                <w:rFonts w:eastAsia="Calibri" w:cs="Calibri"/>
                <w:lang w:eastAsia="en-US"/>
              </w:rPr>
            </w:pPr>
            <w:r w:rsidRPr="0058247A">
              <w:rPr>
                <w:rFonts w:eastAsia="Calibri" w:cs="Calibri"/>
                <w:lang w:eastAsia="en-US"/>
              </w:rPr>
              <w:t>NA</w:t>
            </w:r>
          </w:p>
        </w:tc>
      </w:tr>
      <w:tr w:rsidR="00D30F1D" w:rsidRPr="0058247A" w14:paraId="0E9328B5" w14:textId="77777777" w:rsidTr="003B3112">
        <w:trPr>
          <w:trHeight w:val="241"/>
        </w:trPr>
        <w:tc>
          <w:tcPr>
            <w:tcW w:w="1570" w:type="pct"/>
            <w:shd w:val="clear" w:color="auto" w:fill="auto"/>
            <w:noWrap/>
          </w:tcPr>
          <w:p w14:paraId="4B176BA6" w14:textId="77777777" w:rsidR="00D30F1D" w:rsidRPr="0058247A" w:rsidRDefault="00D30F1D" w:rsidP="00A25B4A">
            <w:pPr>
              <w:pStyle w:val="TableText0"/>
              <w:rPr>
                <w:rFonts w:eastAsia="Calibri" w:cs="Calibri"/>
                <w:lang w:eastAsia="en-US"/>
              </w:rPr>
            </w:pPr>
            <w:r w:rsidRPr="0058247A">
              <w:t>Number of patients with 1 or more any TEAE</w:t>
            </w:r>
          </w:p>
        </w:tc>
        <w:tc>
          <w:tcPr>
            <w:tcW w:w="866" w:type="pct"/>
            <w:shd w:val="clear" w:color="auto" w:fill="auto"/>
            <w:noWrap/>
            <w:vAlign w:val="center"/>
          </w:tcPr>
          <w:p w14:paraId="5C899A1E" w14:textId="77777777" w:rsidR="00D30F1D" w:rsidRPr="0058247A" w:rsidRDefault="00D30F1D" w:rsidP="003B3112">
            <w:pPr>
              <w:pStyle w:val="TableText0"/>
              <w:jc w:val="center"/>
              <w:rPr>
                <w:rFonts w:eastAsia="Calibri" w:cs="Calibri"/>
                <w:lang w:eastAsia="en-US"/>
              </w:rPr>
            </w:pPr>
            <w:r w:rsidRPr="0058247A">
              <w:t>241 (100)</w:t>
            </w:r>
          </w:p>
        </w:tc>
        <w:tc>
          <w:tcPr>
            <w:tcW w:w="863" w:type="pct"/>
            <w:shd w:val="clear" w:color="auto" w:fill="auto"/>
            <w:vAlign w:val="center"/>
          </w:tcPr>
          <w:p w14:paraId="25EA506F" w14:textId="77777777" w:rsidR="00D30F1D" w:rsidRPr="0058247A" w:rsidRDefault="00D30F1D" w:rsidP="003B3112">
            <w:pPr>
              <w:pStyle w:val="TableText0"/>
              <w:jc w:val="center"/>
              <w:rPr>
                <w:rFonts w:eastAsia="Calibri" w:cs="Calibri"/>
                <w:lang w:eastAsia="en-US"/>
              </w:rPr>
            </w:pPr>
            <w:r w:rsidRPr="0058247A">
              <w:t>226 (100)</w:t>
            </w:r>
          </w:p>
        </w:tc>
        <w:tc>
          <w:tcPr>
            <w:tcW w:w="850" w:type="pct"/>
            <w:shd w:val="clear" w:color="auto" w:fill="auto"/>
            <w:vAlign w:val="center"/>
          </w:tcPr>
          <w:p w14:paraId="291C7C81" w14:textId="77777777" w:rsidR="00D30F1D" w:rsidRPr="0058247A" w:rsidRDefault="00D30F1D" w:rsidP="003B3112">
            <w:pPr>
              <w:pStyle w:val="TableText0"/>
              <w:jc w:val="center"/>
              <w:rPr>
                <w:rFonts w:eastAsia="Calibri" w:cs="Calibri"/>
                <w:lang w:eastAsia="en-US"/>
              </w:rPr>
            </w:pPr>
            <w:r w:rsidRPr="0058247A">
              <w:t>1 (1, 1)</w:t>
            </w:r>
          </w:p>
        </w:tc>
        <w:tc>
          <w:tcPr>
            <w:tcW w:w="851" w:type="pct"/>
            <w:shd w:val="clear" w:color="auto" w:fill="auto"/>
            <w:vAlign w:val="center"/>
          </w:tcPr>
          <w:p w14:paraId="44E133F5" w14:textId="77777777" w:rsidR="00D30F1D" w:rsidRPr="0058247A" w:rsidRDefault="00D30F1D" w:rsidP="003B3112">
            <w:pPr>
              <w:pStyle w:val="TableText0"/>
              <w:jc w:val="center"/>
              <w:rPr>
                <w:rFonts w:eastAsia="Calibri" w:cs="Calibri"/>
                <w:lang w:eastAsia="en-US"/>
              </w:rPr>
            </w:pPr>
            <w:r w:rsidRPr="0058247A">
              <w:t>0 (0, 0)</w:t>
            </w:r>
          </w:p>
        </w:tc>
      </w:tr>
      <w:tr w:rsidR="00D30F1D" w:rsidRPr="0058247A" w14:paraId="4C04BF17" w14:textId="77777777" w:rsidTr="003B3112">
        <w:trPr>
          <w:trHeight w:val="241"/>
        </w:trPr>
        <w:tc>
          <w:tcPr>
            <w:tcW w:w="1570" w:type="pct"/>
            <w:shd w:val="clear" w:color="auto" w:fill="auto"/>
            <w:noWrap/>
          </w:tcPr>
          <w:p w14:paraId="3E8D4E0B" w14:textId="77777777" w:rsidR="00D30F1D" w:rsidRPr="0058247A" w:rsidRDefault="00D30F1D" w:rsidP="00A25B4A">
            <w:pPr>
              <w:pStyle w:val="TableText0"/>
              <w:rPr>
                <w:rFonts w:eastAsia="Calibri" w:cs="Calibri"/>
                <w:lang w:eastAsia="en-US"/>
              </w:rPr>
            </w:pPr>
            <w:r w:rsidRPr="0058247A">
              <w:t>Lymphatics</w:t>
            </w:r>
          </w:p>
        </w:tc>
        <w:tc>
          <w:tcPr>
            <w:tcW w:w="866" w:type="pct"/>
            <w:shd w:val="clear" w:color="auto" w:fill="auto"/>
            <w:noWrap/>
            <w:vAlign w:val="center"/>
          </w:tcPr>
          <w:p w14:paraId="4DF7CEDE" w14:textId="77777777" w:rsidR="00D30F1D" w:rsidRPr="0058247A" w:rsidRDefault="00D30F1D" w:rsidP="003B3112">
            <w:pPr>
              <w:pStyle w:val="TableText0"/>
              <w:jc w:val="center"/>
              <w:rPr>
                <w:rFonts w:eastAsia="Calibri" w:cs="Calibri"/>
                <w:lang w:eastAsia="en-US"/>
              </w:rPr>
            </w:pPr>
            <w:r w:rsidRPr="0058247A">
              <w:t>123 (51)</w:t>
            </w:r>
          </w:p>
        </w:tc>
        <w:tc>
          <w:tcPr>
            <w:tcW w:w="863" w:type="pct"/>
            <w:shd w:val="clear" w:color="auto" w:fill="auto"/>
            <w:vAlign w:val="center"/>
          </w:tcPr>
          <w:p w14:paraId="36C7F071" w14:textId="77777777" w:rsidR="00D30F1D" w:rsidRPr="0058247A" w:rsidRDefault="00D30F1D" w:rsidP="003B3112">
            <w:pPr>
              <w:pStyle w:val="TableText0"/>
              <w:jc w:val="center"/>
              <w:rPr>
                <w:rFonts w:eastAsia="Calibri" w:cs="Calibri"/>
                <w:lang w:eastAsia="en-US"/>
              </w:rPr>
            </w:pPr>
            <w:r w:rsidRPr="0058247A">
              <w:t>96 (42)</w:t>
            </w:r>
          </w:p>
        </w:tc>
        <w:tc>
          <w:tcPr>
            <w:tcW w:w="850" w:type="pct"/>
            <w:shd w:val="clear" w:color="auto" w:fill="auto"/>
            <w:vAlign w:val="center"/>
          </w:tcPr>
          <w:p w14:paraId="2F5FF811" w14:textId="77777777" w:rsidR="00D30F1D" w:rsidRPr="0058247A" w:rsidRDefault="00D30F1D" w:rsidP="003B3112">
            <w:pPr>
              <w:pStyle w:val="TableText0"/>
              <w:jc w:val="center"/>
              <w:rPr>
                <w:rFonts w:eastAsia="Calibri" w:cs="Calibri"/>
                <w:lang w:eastAsia="en-US"/>
              </w:rPr>
            </w:pPr>
            <w:r w:rsidRPr="0058247A">
              <w:t>1.2 (0.99, 1.46)</w:t>
            </w:r>
          </w:p>
        </w:tc>
        <w:tc>
          <w:tcPr>
            <w:tcW w:w="851" w:type="pct"/>
            <w:shd w:val="clear" w:color="auto" w:fill="auto"/>
            <w:vAlign w:val="center"/>
          </w:tcPr>
          <w:p w14:paraId="0FBC75ED" w14:textId="77777777" w:rsidR="00D30F1D" w:rsidRPr="0058247A" w:rsidRDefault="00D30F1D" w:rsidP="003B3112">
            <w:pPr>
              <w:pStyle w:val="TableText0"/>
              <w:jc w:val="center"/>
              <w:rPr>
                <w:rFonts w:eastAsia="Calibri" w:cs="Calibri"/>
                <w:lang w:eastAsia="en-US"/>
              </w:rPr>
            </w:pPr>
            <w:r w:rsidRPr="0058247A">
              <w:t>0.09 (0, 0.18)</w:t>
            </w:r>
          </w:p>
        </w:tc>
      </w:tr>
      <w:tr w:rsidR="00D30F1D" w:rsidRPr="0058247A" w14:paraId="4AACCC1D" w14:textId="77777777" w:rsidTr="003B3112">
        <w:trPr>
          <w:trHeight w:val="241"/>
        </w:trPr>
        <w:tc>
          <w:tcPr>
            <w:tcW w:w="1570" w:type="pct"/>
            <w:shd w:val="clear" w:color="auto" w:fill="auto"/>
            <w:noWrap/>
          </w:tcPr>
          <w:p w14:paraId="6D23C5D2" w14:textId="77777777" w:rsidR="00D30F1D" w:rsidRPr="0058247A" w:rsidRDefault="00D30F1D" w:rsidP="00A25B4A">
            <w:pPr>
              <w:pStyle w:val="TableText0"/>
              <w:rPr>
                <w:rFonts w:eastAsia="Calibri" w:cs="Calibri"/>
                <w:lang w:eastAsia="en-US"/>
              </w:rPr>
            </w:pPr>
            <w:r w:rsidRPr="0058247A">
              <w:t>Ocular or visual</w:t>
            </w:r>
          </w:p>
        </w:tc>
        <w:tc>
          <w:tcPr>
            <w:tcW w:w="866" w:type="pct"/>
            <w:shd w:val="clear" w:color="auto" w:fill="auto"/>
            <w:noWrap/>
            <w:vAlign w:val="center"/>
          </w:tcPr>
          <w:p w14:paraId="1068FBC8" w14:textId="77777777" w:rsidR="00D30F1D" w:rsidRPr="0058247A" w:rsidRDefault="00D30F1D" w:rsidP="003B3112">
            <w:pPr>
              <w:pStyle w:val="TableText0"/>
              <w:jc w:val="center"/>
              <w:rPr>
                <w:rFonts w:eastAsia="Calibri" w:cs="Calibri"/>
                <w:lang w:eastAsia="en-US"/>
              </w:rPr>
            </w:pPr>
            <w:r w:rsidRPr="0058247A">
              <w:t>82 (34)</w:t>
            </w:r>
          </w:p>
        </w:tc>
        <w:tc>
          <w:tcPr>
            <w:tcW w:w="863" w:type="pct"/>
            <w:shd w:val="clear" w:color="auto" w:fill="auto"/>
            <w:vAlign w:val="center"/>
          </w:tcPr>
          <w:p w14:paraId="268FF01D" w14:textId="77777777" w:rsidR="00D30F1D" w:rsidRPr="0058247A" w:rsidRDefault="00D30F1D" w:rsidP="003B3112">
            <w:pPr>
              <w:pStyle w:val="TableText0"/>
              <w:jc w:val="center"/>
              <w:rPr>
                <w:rFonts w:eastAsia="Calibri" w:cs="Calibri"/>
                <w:lang w:eastAsia="en-US"/>
              </w:rPr>
            </w:pPr>
            <w:r w:rsidRPr="0058247A">
              <w:t>58 (26)</w:t>
            </w:r>
          </w:p>
        </w:tc>
        <w:tc>
          <w:tcPr>
            <w:tcW w:w="850" w:type="pct"/>
            <w:shd w:val="clear" w:color="auto" w:fill="auto"/>
            <w:vAlign w:val="center"/>
          </w:tcPr>
          <w:p w14:paraId="7AFB54CF" w14:textId="77777777" w:rsidR="00D30F1D" w:rsidRPr="0058247A" w:rsidRDefault="00D30F1D" w:rsidP="003B3112">
            <w:pPr>
              <w:pStyle w:val="TableText0"/>
              <w:jc w:val="center"/>
              <w:rPr>
                <w:rFonts w:eastAsia="Calibri" w:cs="Calibri"/>
                <w:lang w:eastAsia="en-US"/>
              </w:rPr>
            </w:pPr>
            <w:r w:rsidRPr="0058247A">
              <w:t>1.33 (1, 1.77)</w:t>
            </w:r>
          </w:p>
        </w:tc>
        <w:tc>
          <w:tcPr>
            <w:tcW w:w="851" w:type="pct"/>
            <w:shd w:val="clear" w:color="auto" w:fill="auto"/>
            <w:vAlign w:val="center"/>
          </w:tcPr>
          <w:p w14:paraId="16F185F5" w14:textId="77777777" w:rsidR="00D30F1D" w:rsidRPr="0058247A" w:rsidRDefault="00D30F1D" w:rsidP="003B3112">
            <w:pPr>
              <w:pStyle w:val="TableText0"/>
              <w:jc w:val="center"/>
              <w:rPr>
                <w:rFonts w:eastAsia="Calibri" w:cs="Calibri"/>
                <w:lang w:eastAsia="en-US"/>
              </w:rPr>
            </w:pPr>
            <w:r w:rsidRPr="0058247A">
              <w:t>0.08 (0, 0.17)</w:t>
            </w:r>
          </w:p>
        </w:tc>
      </w:tr>
      <w:tr w:rsidR="00D30F1D" w:rsidRPr="0058247A" w14:paraId="75EAE98B" w14:textId="77777777" w:rsidTr="003B3112">
        <w:trPr>
          <w:trHeight w:val="241"/>
        </w:trPr>
        <w:tc>
          <w:tcPr>
            <w:tcW w:w="1570" w:type="pct"/>
            <w:shd w:val="clear" w:color="auto" w:fill="auto"/>
            <w:noWrap/>
          </w:tcPr>
          <w:p w14:paraId="621F52A5" w14:textId="77777777" w:rsidR="00D30F1D" w:rsidRPr="0058247A" w:rsidRDefault="00D30F1D" w:rsidP="00A25B4A">
            <w:pPr>
              <w:pStyle w:val="TableText0"/>
              <w:rPr>
                <w:rFonts w:eastAsia="Calibri" w:cs="Calibri"/>
                <w:lang w:eastAsia="en-US"/>
              </w:rPr>
            </w:pPr>
            <w:r w:rsidRPr="0058247A">
              <w:t>Number of patients with 1 or more Grade 3 or higher TEAE</w:t>
            </w:r>
          </w:p>
        </w:tc>
        <w:tc>
          <w:tcPr>
            <w:tcW w:w="866" w:type="pct"/>
            <w:shd w:val="clear" w:color="auto" w:fill="auto"/>
            <w:noWrap/>
            <w:vAlign w:val="center"/>
          </w:tcPr>
          <w:p w14:paraId="66B2632C" w14:textId="77777777" w:rsidR="00D30F1D" w:rsidRPr="0058247A" w:rsidRDefault="00D30F1D" w:rsidP="003B3112">
            <w:pPr>
              <w:pStyle w:val="TableText0"/>
              <w:jc w:val="center"/>
              <w:rPr>
                <w:rFonts w:eastAsia="Calibri" w:cs="Calibri"/>
                <w:lang w:eastAsia="en-US"/>
              </w:rPr>
            </w:pPr>
            <w:r w:rsidRPr="0058247A">
              <w:t>215 (89)</w:t>
            </w:r>
          </w:p>
        </w:tc>
        <w:tc>
          <w:tcPr>
            <w:tcW w:w="863" w:type="pct"/>
            <w:shd w:val="clear" w:color="auto" w:fill="auto"/>
            <w:vAlign w:val="center"/>
          </w:tcPr>
          <w:p w14:paraId="64938A04" w14:textId="77777777" w:rsidR="00D30F1D" w:rsidRPr="0058247A" w:rsidRDefault="00D30F1D" w:rsidP="003B3112">
            <w:pPr>
              <w:pStyle w:val="TableText0"/>
              <w:jc w:val="center"/>
              <w:rPr>
                <w:rFonts w:eastAsia="Calibri" w:cs="Calibri"/>
                <w:lang w:eastAsia="en-US"/>
              </w:rPr>
            </w:pPr>
            <w:r w:rsidRPr="0058247A">
              <w:t>189 (84)</w:t>
            </w:r>
          </w:p>
        </w:tc>
        <w:tc>
          <w:tcPr>
            <w:tcW w:w="850" w:type="pct"/>
            <w:shd w:val="clear" w:color="auto" w:fill="auto"/>
            <w:vAlign w:val="center"/>
          </w:tcPr>
          <w:p w14:paraId="0B229F09" w14:textId="77777777" w:rsidR="00D30F1D" w:rsidRPr="0058247A" w:rsidRDefault="00D30F1D" w:rsidP="003B3112">
            <w:pPr>
              <w:pStyle w:val="TableText0"/>
              <w:jc w:val="center"/>
              <w:rPr>
                <w:rFonts w:eastAsia="Calibri" w:cs="Calibri"/>
                <w:lang w:eastAsia="en-US"/>
              </w:rPr>
            </w:pPr>
            <w:r w:rsidRPr="0058247A">
              <w:t>1.07 (1, 1.15)</w:t>
            </w:r>
          </w:p>
        </w:tc>
        <w:tc>
          <w:tcPr>
            <w:tcW w:w="851" w:type="pct"/>
            <w:shd w:val="clear" w:color="auto" w:fill="auto"/>
            <w:vAlign w:val="center"/>
          </w:tcPr>
          <w:p w14:paraId="4A3BDF1B" w14:textId="77777777" w:rsidR="00D30F1D" w:rsidRPr="0058247A" w:rsidRDefault="00D30F1D" w:rsidP="003B3112">
            <w:pPr>
              <w:pStyle w:val="TableText0"/>
              <w:jc w:val="center"/>
              <w:rPr>
                <w:rFonts w:eastAsia="Calibri" w:cs="Calibri"/>
                <w:lang w:eastAsia="en-US"/>
              </w:rPr>
            </w:pPr>
            <w:r w:rsidRPr="0058247A">
              <w:t>0.06 (-0.01, 0.12)</w:t>
            </w:r>
          </w:p>
        </w:tc>
      </w:tr>
      <w:tr w:rsidR="00D30F1D" w:rsidRPr="0058247A" w14:paraId="0543510D" w14:textId="77777777" w:rsidTr="003B3112">
        <w:trPr>
          <w:trHeight w:val="241"/>
        </w:trPr>
        <w:tc>
          <w:tcPr>
            <w:tcW w:w="1570" w:type="pct"/>
            <w:shd w:val="clear" w:color="auto" w:fill="auto"/>
            <w:noWrap/>
          </w:tcPr>
          <w:p w14:paraId="500E786D" w14:textId="77777777" w:rsidR="00D30F1D" w:rsidRPr="0058247A" w:rsidRDefault="00D30F1D" w:rsidP="00A25B4A">
            <w:pPr>
              <w:pStyle w:val="TableText0"/>
              <w:rPr>
                <w:rFonts w:eastAsia="Calibri" w:cs="Calibri"/>
                <w:lang w:eastAsia="en-US"/>
              </w:rPr>
            </w:pPr>
            <w:r w:rsidRPr="0058247A">
              <w:t>Neurology</w:t>
            </w:r>
          </w:p>
        </w:tc>
        <w:tc>
          <w:tcPr>
            <w:tcW w:w="866" w:type="pct"/>
            <w:shd w:val="clear" w:color="auto" w:fill="auto"/>
            <w:noWrap/>
            <w:vAlign w:val="center"/>
          </w:tcPr>
          <w:p w14:paraId="562EBC0C" w14:textId="77777777" w:rsidR="00D30F1D" w:rsidRPr="0058247A" w:rsidRDefault="00D30F1D" w:rsidP="003B3112">
            <w:pPr>
              <w:pStyle w:val="TableText0"/>
              <w:jc w:val="center"/>
              <w:rPr>
                <w:rFonts w:eastAsia="Calibri" w:cs="Calibri"/>
                <w:lang w:eastAsia="en-US"/>
              </w:rPr>
            </w:pPr>
            <w:r w:rsidRPr="0058247A">
              <w:t>213 (88)</w:t>
            </w:r>
          </w:p>
        </w:tc>
        <w:tc>
          <w:tcPr>
            <w:tcW w:w="863" w:type="pct"/>
            <w:shd w:val="clear" w:color="auto" w:fill="auto"/>
            <w:vAlign w:val="center"/>
          </w:tcPr>
          <w:p w14:paraId="59F0F904" w14:textId="77777777" w:rsidR="00D30F1D" w:rsidRPr="0058247A" w:rsidRDefault="00D30F1D" w:rsidP="003B3112">
            <w:pPr>
              <w:pStyle w:val="TableText0"/>
              <w:jc w:val="center"/>
              <w:rPr>
                <w:rFonts w:eastAsia="Calibri" w:cs="Calibri"/>
                <w:lang w:eastAsia="en-US"/>
              </w:rPr>
            </w:pPr>
            <w:r w:rsidRPr="0058247A">
              <w:t>184 (81)</w:t>
            </w:r>
          </w:p>
        </w:tc>
        <w:tc>
          <w:tcPr>
            <w:tcW w:w="850" w:type="pct"/>
            <w:shd w:val="clear" w:color="auto" w:fill="auto"/>
            <w:vAlign w:val="center"/>
          </w:tcPr>
          <w:p w14:paraId="0C8DF46F" w14:textId="77777777" w:rsidR="00D30F1D" w:rsidRPr="0058247A" w:rsidRDefault="00D30F1D" w:rsidP="003B3112">
            <w:pPr>
              <w:pStyle w:val="TableText0"/>
              <w:jc w:val="center"/>
              <w:rPr>
                <w:rFonts w:eastAsia="Calibri" w:cs="Calibri"/>
                <w:lang w:eastAsia="en-US"/>
              </w:rPr>
            </w:pPr>
            <w:r w:rsidRPr="0058247A">
              <w:t>1.09 (1.01, 1.18)</w:t>
            </w:r>
          </w:p>
        </w:tc>
        <w:tc>
          <w:tcPr>
            <w:tcW w:w="851" w:type="pct"/>
            <w:shd w:val="clear" w:color="auto" w:fill="auto"/>
            <w:vAlign w:val="center"/>
          </w:tcPr>
          <w:p w14:paraId="3CE701F8" w14:textId="77777777" w:rsidR="00D30F1D" w:rsidRPr="0058247A" w:rsidRDefault="00D30F1D" w:rsidP="003B3112">
            <w:pPr>
              <w:pStyle w:val="TableText0"/>
              <w:jc w:val="center"/>
              <w:rPr>
                <w:rFonts w:eastAsia="Calibri" w:cs="Calibri"/>
                <w:lang w:eastAsia="en-US"/>
              </w:rPr>
            </w:pPr>
            <w:r w:rsidRPr="0058247A">
              <w:t>0.07 (0, 0.13)</w:t>
            </w:r>
          </w:p>
        </w:tc>
      </w:tr>
      <w:tr w:rsidR="00D30F1D" w:rsidRPr="0058247A" w14:paraId="0F9C4B05" w14:textId="77777777" w:rsidTr="003B3112">
        <w:trPr>
          <w:trHeight w:val="241"/>
        </w:trPr>
        <w:tc>
          <w:tcPr>
            <w:tcW w:w="1570" w:type="pct"/>
            <w:shd w:val="clear" w:color="auto" w:fill="auto"/>
            <w:noWrap/>
          </w:tcPr>
          <w:p w14:paraId="02891DEB" w14:textId="77777777" w:rsidR="00D30F1D" w:rsidRPr="0058247A" w:rsidRDefault="00D30F1D" w:rsidP="00A25B4A">
            <w:pPr>
              <w:pStyle w:val="TableText0"/>
              <w:rPr>
                <w:rFonts w:eastAsia="Calibri" w:cs="Calibri"/>
                <w:lang w:eastAsia="en-US"/>
              </w:rPr>
            </w:pPr>
            <w:r w:rsidRPr="0058247A">
              <w:t>Gastrointestinal</w:t>
            </w:r>
          </w:p>
        </w:tc>
        <w:tc>
          <w:tcPr>
            <w:tcW w:w="866" w:type="pct"/>
            <w:shd w:val="clear" w:color="auto" w:fill="auto"/>
            <w:noWrap/>
            <w:vAlign w:val="center"/>
          </w:tcPr>
          <w:p w14:paraId="614D6AB4" w14:textId="77777777" w:rsidR="00D30F1D" w:rsidRPr="0058247A" w:rsidRDefault="00D30F1D" w:rsidP="003B3112">
            <w:pPr>
              <w:pStyle w:val="TableText0"/>
              <w:jc w:val="center"/>
              <w:rPr>
                <w:rFonts w:eastAsia="Calibri" w:cs="Calibri"/>
                <w:lang w:eastAsia="en-US"/>
              </w:rPr>
            </w:pPr>
            <w:r w:rsidRPr="0058247A">
              <w:t>213 (88)</w:t>
            </w:r>
          </w:p>
        </w:tc>
        <w:tc>
          <w:tcPr>
            <w:tcW w:w="863" w:type="pct"/>
            <w:shd w:val="clear" w:color="auto" w:fill="auto"/>
            <w:vAlign w:val="center"/>
          </w:tcPr>
          <w:p w14:paraId="72036D48" w14:textId="77777777" w:rsidR="00D30F1D" w:rsidRPr="0058247A" w:rsidRDefault="00D30F1D" w:rsidP="003B3112">
            <w:pPr>
              <w:pStyle w:val="TableText0"/>
              <w:jc w:val="center"/>
              <w:rPr>
                <w:rFonts w:eastAsia="Calibri" w:cs="Calibri"/>
                <w:lang w:eastAsia="en-US"/>
              </w:rPr>
            </w:pPr>
            <w:r w:rsidRPr="0058247A">
              <w:t>184 (81)</w:t>
            </w:r>
          </w:p>
        </w:tc>
        <w:tc>
          <w:tcPr>
            <w:tcW w:w="850" w:type="pct"/>
            <w:shd w:val="clear" w:color="auto" w:fill="auto"/>
            <w:vAlign w:val="center"/>
          </w:tcPr>
          <w:p w14:paraId="08845799" w14:textId="77777777" w:rsidR="00D30F1D" w:rsidRPr="0058247A" w:rsidRDefault="00D30F1D" w:rsidP="003B3112">
            <w:pPr>
              <w:pStyle w:val="TableText0"/>
              <w:jc w:val="center"/>
              <w:rPr>
                <w:rFonts w:eastAsia="Calibri" w:cs="Calibri"/>
                <w:lang w:eastAsia="en-US"/>
              </w:rPr>
            </w:pPr>
            <w:r w:rsidRPr="0058247A">
              <w:t>1.09 (1.01, 1.18)</w:t>
            </w:r>
          </w:p>
        </w:tc>
        <w:tc>
          <w:tcPr>
            <w:tcW w:w="851" w:type="pct"/>
            <w:shd w:val="clear" w:color="auto" w:fill="auto"/>
            <w:vAlign w:val="center"/>
          </w:tcPr>
          <w:p w14:paraId="5821468C" w14:textId="77777777" w:rsidR="00D30F1D" w:rsidRPr="0058247A" w:rsidRDefault="00D30F1D" w:rsidP="003B3112">
            <w:pPr>
              <w:pStyle w:val="TableText0"/>
              <w:jc w:val="center"/>
              <w:rPr>
                <w:rFonts w:eastAsia="Calibri" w:cs="Calibri"/>
                <w:lang w:eastAsia="en-US"/>
              </w:rPr>
            </w:pPr>
            <w:r w:rsidRPr="0058247A">
              <w:t>0.07 (0, 0.13)</w:t>
            </w:r>
          </w:p>
        </w:tc>
      </w:tr>
      <w:tr w:rsidR="00D30F1D" w:rsidRPr="0058247A" w14:paraId="51454CDF" w14:textId="77777777" w:rsidTr="003B3112">
        <w:trPr>
          <w:trHeight w:val="241"/>
        </w:trPr>
        <w:tc>
          <w:tcPr>
            <w:tcW w:w="1570" w:type="pct"/>
            <w:shd w:val="clear" w:color="auto" w:fill="auto"/>
            <w:noWrap/>
          </w:tcPr>
          <w:p w14:paraId="79F6B057" w14:textId="77777777" w:rsidR="00D30F1D" w:rsidRPr="0058247A" w:rsidRDefault="00D30F1D" w:rsidP="00A25B4A">
            <w:pPr>
              <w:pStyle w:val="TableText0"/>
              <w:rPr>
                <w:rFonts w:eastAsia="Calibri" w:cs="Calibri"/>
                <w:lang w:eastAsia="en-US"/>
              </w:rPr>
            </w:pPr>
            <w:r w:rsidRPr="0058247A">
              <w:t>Neurology</w:t>
            </w:r>
          </w:p>
        </w:tc>
        <w:tc>
          <w:tcPr>
            <w:tcW w:w="866" w:type="pct"/>
            <w:shd w:val="clear" w:color="auto" w:fill="auto"/>
            <w:noWrap/>
            <w:vAlign w:val="center"/>
          </w:tcPr>
          <w:p w14:paraId="07D7FC49" w14:textId="77777777" w:rsidR="00D30F1D" w:rsidRPr="0058247A" w:rsidRDefault="00D30F1D" w:rsidP="003B3112">
            <w:pPr>
              <w:pStyle w:val="TableText0"/>
              <w:jc w:val="center"/>
              <w:rPr>
                <w:rFonts w:eastAsia="Calibri" w:cs="Calibri"/>
                <w:lang w:eastAsia="en-US"/>
              </w:rPr>
            </w:pPr>
            <w:r w:rsidRPr="0058247A">
              <w:t>90 (37)</w:t>
            </w:r>
          </w:p>
        </w:tc>
        <w:tc>
          <w:tcPr>
            <w:tcW w:w="863" w:type="pct"/>
            <w:shd w:val="clear" w:color="auto" w:fill="auto"/>
            <w:vAlign w:val="center"/>
          </w:tcPr>
          <w:p w14:paraId="03F6279B" w14:textId="77777777" w:rsidR="00D30F1D" w:rsidRPr="0058247A" w:rsidRDefault="00D30F1D" w:rsidP="003B3112">
            <w:pPr>
              <w:pStyle w:val="TableText0"/>
              <w:jc w:val="center"/>
              <w:rPr>
                <w:rFonts w:eastAsia="Calibri" w:cs="Calibri"/>
                <w:lang w:eastAsia="en-US"/>
              </w:rPr>
            </w:pPr>
            <w:r w:rsidRPr="0058247A">
              <w:t>44 (19)</w:t>
            </w:r>
          </w:p>
        </w:tc>
        <w:tc>
          <w:tcPr>
            <w:tcW w:w="850" w:type="pct"/>
            <w:shd w:val="clear" w:color="auto" w:fill="auto"/>
            <w:vAlign w:val="center"/>
          </w:tcPr>
          <w:p w14:paraId="155A29CC" w14:textId="77777777" w:rsidR="00D30F1D" w:rsidRPr="0058247A" w:rsidRDefault="00D30F1D" w:rsidP="003B3112">
            <w:pPr>
              <w:pStyle w:val="TableText0"/>
              <w:jc w:val="center"/>
              <w:rPr>
                <w:rFonts w:eastAsia="Calibri" w:cs="Calibri"/>
                <w:lang w:eastAsia="en-US"/>
              </w:rPr>
            </w:pPr>
            <w:r w:rsidRPr="0058247A">
              <w:t>1.92 (1.41, 2.62)</w:t>
            </w:r>
          </w:p>
        </w:tc>
        <w:tc>
          <w:tcPr>
            <w:tcW w:w="851" w:type="pct"/>
            <w:shd w:val="clear" w:color="auto" w:fill="auto"/>
            <w:vAlign w:val="center"/>
          </w:tcPr>
          <w:p w14:paraId="3F022B56" w14:textId="77777777" w:rsidR="00D30F1D" w:rsidRPr="0058247A" w:rsidRDefault="00D30F1D" w:rsidP="003B3112">
            <w:pPr>
              <w:pStyle w:val="TableText0"/>
              <w:jc w:val="center"/>
              <w:rPr>
                <w:rFonts w:eastAsia="Calibri" w:cs="Calibri"/>
                <w:lang w:eastAsia="en-US"/>
              </w:rPr>
            </w:pPr>
            <w:r w:rsidRPr="0058247A">
              <w:t>0.18 (0.1, 0.26)</w:t>
            </w:r>
          </w:p>
        </w:tc>
      </w:tr>
      <w:tr w:rsidR="00D30F1D" w:rsidRPr="0058247A" w14:paraId="6FDEB6F0" w14:textId="77777777" w:rsidTr="003B3112">
        <w:trPr>
          <w:trHeight w:val="241"/>
        </w:trPr>
        <w:tc>
          <w:tcPr>
            <w:tcW w:w="1570" w:type="pct"/>
            <w:shd w:val="clear" w:color="auto" w:fill="auto"/>
            <w:noWrap/>
          </w:tcPr>
          <w:p w14:paraId="6AA2DD8D" w14:textId="77777777" w:rsidR="00D30F1D" w:rsidRPr="0058247A" w:rsidRDefault="00D30F1D" w:rsidP="00A25B4A">
            <w:pPr>
              <w:pStyle w:val="TableText0"/>
              <w:rPr>
                <w:rFonts w:eastAsia="Calibri" w:cs="Calibri"/>
                <w:lang w:eastAsia="en-US"/>
              </w:rPr>
            </w:pPr>
            <w:r w:rsidRPr="0058247A">
              <w:t>Pain</w:t>
            </w:r>
          </w:p>
        </w:tc>
        <w:tc>
          <w:tcPr>
            <w:tcW w:w="866" w:type="pct"/>
            <w:shd w:val="clear" w:color="auto" w:fill="auto"/>
            <w:noWrap/>
            <w:vAlign w:val="center"/>
          </w:tcPr>
          <w:p w14:paraId="051A6290" w14:textId="77777777" w:rsidR="00D30F1D" w:rsidRPr="0058247A" w:rsidRDefault="00D30F1D" w:rsidP="003B3112">
            <w:pPr>
              <w:pStyle w:val="TableText0"/>
              <w:jc w:val="center"/>
              <w:rPr>
                <w:rFonts w:eastAsia="Calibri" w:cs="Calibri"/>
                <w:lang w:eastAsia="en-US"/>
              </w:rPr>
            </w:pPr>
            <w:r w:rsidRPr="0058247A">
              <w:t>57 (24)</w:t>
            </w:r>
          </w:p>
        </w:tc>
        <w:tc>
          <w:tcPr>
            <w:tcW w:w="863" w:type="pct"/>
            <w:shd w:val="clear" w:color="auto" w:fill="auto"/>
            <w:vAlign w:val="center"/>
          </w:tcPr>
          <w:p w14:paraId="6043D6D9" w14:textId="77777777" w:rsidR="00D30F1D" w:rsidRPr="0058247A" w:rsidRDefault="00D30F1D" w:rsidP="003B3112">
            <w:pPr>
              <w:pStyle w:val="TableText0"/>
              <w:jc w:val="center"/>
              <w:rPr>
                <w:rFonts w:eastAsia="Calibri" w:cs="Calibri"/>
                <w:lang w:eastAsia="en-US"/>
              </w:rPr>
            </w:pPr>
            <w:r w:rsidRPr="0058247A">
              <w:t>36 (16)</w:t>
            </w:r>
          </w:p>
        </w:tc>
        <w:tc>
          <w:tcPr>
            <w:tcW w:w="850" w:type="pct"/>
            <w:shd w:val="clear" w:color="auto" w:fill="auto"/>
            <w:vAlign w:val="center"/>
          </w:tcPr>
          <w:p w14:paraId="259626F0" w14:textId="77777777" w:rsidR="00D30F1D" w:rsidRPr="0058247A" w:rsidRDefault="00D30F1D" w:rsidP="003B3112">
            <w:pPr>
              <w:pStyle w:val="TableText0"/>
              <w:jc w:val="center"/>
              <w:rPr>
                <w:rFonts w:eastAsia="Calibri" w:cs="Calibri"/>
                <w:lang w:eastAsia="en-US"/>
              </w:rPr>
            </w:pPr>
            <w:r w:rsidRPr="0058247A">
              <w:t>1.48 (1.02, 2.15)</w:t>
            </w:r>
          </w:p>
        </w:tc>
        <w:tc>
          <w:tcPr>
            <w:tcW w:w="851" w:type="pct"/>
            <w:shd w:val="clear" w:color="auto" w:fill="auto"/>
            <w:vAlign w:val="center"/>
          </w:tcPr>
          <w:p w14:paraId="0C609271" w14:textId="77777777" w:rsidR="00D30F1D" w:rsidRPr="0058247A" w:rsidRDefault="00D30F1D" w:rsidP="003B3112">
            <w:pPr>
              <w:pStyle w:val="TableText0"/>
              <w:jc w:val="center"/>
              <w:rPr>
                <w:rFonts w:eastAsia="Calibri" w:cs="Calibri"/>
                <w:lang w:eastAsia="en-US"/>
              </w:rPr>
            </w:pPr>
            <w:r w:rsidRPr="0058247A">
              <w:t>0.08 (0.01, 0.15)</w:t>
            </w:r>
          </w:p>
        </w:tc>
      </w:tr>
      <w:tr w:rsidR="00D30F1D" w:rsidRPr="0058247A" w14:paraId="15C7BE45" w14:textId="77777777" w:rsidTr="003B3112">
        <w:trPr>
          <w:trHeight w:val="241"/>
        </w:trPr>
        <w:tc>
          <w:tcPr>
            <w:tcW w:w="1570" w:type="pct"/>
            <w:shd w:val="clear" w:color="auto" w:fill="auto"/>
            <w:noWrap/>
          </w:tcPr>
          <w:p w14:paraId="4E1D16BD" w14:textId="77777777" w:rsidR="00D30F1D" w:rsidRPr="0058247A" w:rsidRDefault="00D30F1D" w:rsidP="00A25B4A">
            <w:pPr>
              <w:pStyle w:val="TableText0"/>
              <w:rPr>
                <w:rFonts w:eastAsia="Calibri" w:cs="Calibri"/>
                <w:lang w:eastAsia="en-US"/>
              </w:rPr>
            </w:pPr>
            <w:r w:rsidRPr="0058247A">
              <w:t>Gastrointestinal</w:t>
            </w:r>
          </w:p>
        </w:tc>
        <w:tc>
          <w:tcPr>
            <w:tcW w:w="866" w:type="pct"/>
            <w:shd w:val="clear" w:color="auto" w:fill="auto"/>
            <w:noWrap/>
            <w:vAlign w:val="center"/>
          </w:tcPr>
          <w:p w14:paraId="4CFE2CBF" w14:textId="77777777" w:rsidR="00D30F1D" w:rsidRPr="0058247A" w:rsidRDefault="00D30F1D" w:rsidP="003B3112">
            <w:pPr>
              <w:pStyle w:val="TableText0"/>
              <w:jc w:val="center"/>
              <w:rPr>
                <w:rFonts w:eastAsia="Calibri" w:cs="Calibri"/>
                <w:lang w:eastAsia="en-US"/>
              </w:rPr>
            </w:pPr>
            <w:r w:rsidRPr="0058247A">
              <w:t>64 (27)</w:t>
            </w:r>
          </w:p>
        </w:tc>
        <w:tc>
          <w:tcPr>
            <w:tcW w:w="863" w:type="pct"/>
            <w:shd w:val="clear" w:color="auto" w:fill="auto"/>
            <w:vAlign w:val="center"/>
          </w:tcPr>
          <w:p w14:paraId="4E077E4B" w14:textId="77777777" w:rsidR="00D30F1D" w:rsidRPr="0058247A" w:rsidRDefault="00D30F1D" w:rsidP="003B3112">
            <w:pPr>
              <w:pStyle w:val="TableText0"/>
              <w:jc w:val="center"/>
              <w:rPr>
                <w:rFonts w:eastAsia="Calibri" w:cs="Calibri"/>
                <w:lang w:eastAsia="en-US"/>
              </w:rPr>
            </w:pPr>
            <w:r w:rsidRPr="0058247A">
              <w:t>29 (13)</w:t>
            </w:r>
          </w:p>
        </w:tc>
        <w:tc>
          <w:tcPr>
            <w:tcW w:w="850" w:type="pct"/>
            <w:shd w:val="clear" w:color="auto" w:fill="auto"/>
            <w:vAlign w:val="center"/>
          </w:tcPr>
          <w:p w14:paraId="1084D419" w14:textId="77777777" w:rsidR="00D30F1D" w:rsidRPr="0058247A" w:rsidRDefault="00D30F1D" w:rsidP="003B3112">
            <w:pPr>
              <w:pStyle w:val="TableText0"/>
              <w:jc w:val="center"/>
              <w:rPr>
                <w:rFonts w:eastAsia="Calibri" w:cs="Calibri"/>
                <w:lang w:eastAsia="en-US"/>
              </w:rPr>
            </w:pPr>
            <w:r w:rsidRPr="0058247A">
              <w:t>2.07 (1.39, 3.09)</w:t>
            </w:r>
          </w:p>
        </w:tc>
        <w:tc>
          <w:tcPr>
            <w:tcW w:w="851" w:type="pct"/>
            <w:shd w:val="clear" w:color="auto" w:fill="auto"/>
            <w:vAlign w:val="center"/>
          </w:tcPr>
          <w:p w14:paraId="52C9762F" w14:textId="77777777" w:rsidR="00D30F1D" w:rsidRPr="0058247A" w:rsidRDefault="00D30F1D" w:rsidP="003B3112">
            <w:pPr>
              <w:pStyle w:val="TableText0"/>
              <w:jc w:val="center"/>
              <w:rPr>
                <w:rFonts w:eastAsia="Calibri" w:cs="Calibri"/>
                <w:lang w:eastAsia="en-US"/>
              </w:rPr>
            </w:pPr>
            <w:r w:rsidRPr="0058247A">
              <w:t>0.14 (0.07, 0.21)</w:t>
            </w:r>
          </w:p>
        </w:tc>
      </w:tr>
      <w:tr w:rsidR="00D30F1D" w:rsidRPr="0058247A" w14:paraId="341BB361" w14:textId="77777777" w:rsidTr="00A25B4A">
        <w:trPr>
          <w:trHeight w:val="241"/>
        </w:trPr>
        <w:tc>
          <w:tcPr>
            <w:tcW w:w="5000" w:type="pct"/>
            <w:gridSpan w:val="5"/>
            <w:shd w:val="clear" w:color="auto" w:fill="auto"/>
            <w:noWrap/>
            <w:vAlign w:val="center"/>
          </w:tcPr>
          <w:p w14:paraId="2ADB24B3" w14:textId="77777777" w:rsidR="00D30F1D" w:rsidRPr="0058247A" w:rsidRDefault="00D30F1D" w:rsidP="00A25B4A">
            <w:pPr>
              <w:pStyle w:val="TableText0"/>
              <w:rPr>
                <w:rFonts w:eastAsia="Calibri" w:cs="Calibri"/>
                <w:lang w:eastAsia="en-US"/>
              </w:rPr>
            </w:pPr>
            <w:r w:rsidRPr="0058247A">
              <w:rPr>
                <w:b/>
                <w:bCs w:val="0"/>
              </w:rPr>
              <w:t>SWOG s0777 Age &lt;65 years</w:t>
            </w:r>
          </w:p>
        </w:tc>
      </w:tr>
      <w:tr w:rsidR="00D30F1D" w:rsidRPr="0058247A" w14:paraId="5FFC221F" w14:textId="77777777" w:rsidTr="003B3112">
        <w:trPr>
          <w:trHeight w:val="241"/>
        </w:trPr>
        <w:tc>
          <w:tcPr>
            <w:tcW w:w="1570" w:type="pct"/>
            <w:shd w:val="clear" w:color="auto" w:fill="auto"/>
            <w:noWrap/>
          </w:tcPr>
          <w:p w14:paraId="25BD6D9A" w14:textId="77777777" w:rsidR="00D30F1D" w:rsidRPr="0058247A" w:rsidRDefault="00D30F1D" w:rsidP="00A25B4A">
            <w:pPr>
              <w:pStyle w:val="TableText0"/>
              <w:rPr>
                <w:rFonts w:eastAsia="Calibri" w:cs="Calibri"/>
                <w:lang w:eastAsia="en-US"/>
              </w:rPr>
            </w:pPr>
            <w:r w:rsidRPr="0058247A">
              <w:t>Safety analysis set</w:t>
            </w:r>
          </w:p>
        </w:tc>
        <w:tc>
          <w:tcPr>
            <w:tcW w:w="866" w:type="pct"/>
            <w:shd w:val="clear" w:color="auto" w:fill="auto"/>
            <w:noWrap/>
            <w:vAlign w:val="center"/>
          </w:tcPr>
          <w:p w14:paraId="6F226CDB" w14:textId="77777777" w:rsidR="00D30F1D" w:rsidRPr="0058247A" w:rsidRDefault="00D30F1D" w:rsidP="003B3112">
            <w:pPr>
              <w:pStyle w:val="TableText0"/>
              <w:jc w:val="center"/>
              <w:rPr>
                <w:rFonts w:eastAsia="Calibri" w:cs="Calibri"/>
                <w:lang w:eastAsia="en-US"/>
              </w:rPr>
            </w:pPr>
            <w:r w:rsidRPr="0058247A">
              <w:t>149 (100)</w:t>
            </w:r>
          </w:p>
        </w:tc>
        <w:tc>
          <w:tcPr>
            <w:tcW w:w="863" w:type="pct"/>
            <w:shd w:val="clear" w:color="auto" w:fill="auto"/>
            <w:vAlign w:val="center"/>
          </w:tcPr>
          <w:p w14:paraId="16B70B71" w14:textId="77777777" w:rsidR="00D30F1D" w:rsidRPr="0058247A" w:rsidRDefault="00D30F1D" w:rsidP="003B3112">
            <w:pPr>
              <w:pStyle w:val="TableText0"/>
              <w:jc w:val="center"/>
              <w:rPr>
                <w:rFonts w:eastAsia="Calibri" w:cs="Calibri"/>
                <w:lang w:eastAsia="en-US"/>
              </w:rPr>
            </w:pPr>
            <w:r w:rsidRPr="0058247A">
              <w:t>119 (100)</w:t>
            </w:r>
          </w:p>
        </w:tc>
        <w:tc>
          <w:tcPr>
            <w:tcW w:w="850" w:type="pct"/>
            <w:shd w:val="clear" w:color="auto" w:fill="auto"/>
            <w:vAlign w:val="center"/>
          </w:tcPr>
          <w:p w14:paraId="073EA786" w14:textId="77777777" w:rsidR="00D30F1D" w:rsidRPr="0058247A" w:rsidRDefault="00D30F1D" w:rsidP="003B3112">
            <w:pPr>
              <w:pStyle w:val="TableText0"/>
              <w:jc w:val="center"/>
              <w:rPr>
                <w:rFonts w:eastAsia="Calibri" w:cs="Calibri"/>
                <w:lang w:eastAsia="en-US"/>
              </w:rPr>
            </w:pPr>
            <w:r w:rsidRPr="0058247A">
              <w:rPr>
                <w:rFonts w:eastAsia="Calibri" w:cs="Calibri"/>
                <w:lang w:eastAsia="en-US"/>
              </w:rPr>
              <w:t>NA</w:t>
            </w:r>
          </w:p>
        </w:tc>
        <w:tc>
          <w:tcPr>
            <w:tcW w:w="851" w:type="pct"/>
            <w:shd w:val="clear" w:color="auto" w:fill="auto"/>
            <w:vAlign w:val="center"/>
          </w:tcPr>
          <w:p w14:paraId="09AD7F5F" w14:textId="77777777" w:rsidR="00D30F1D" w:rsidRPr="0058247A" w:rsidRDefault="00D30F1D" w:rsidP="003B3112">
            <w:pPr>
              <w:pStyle w:val="TableText0"/>
              <w:jc w:val="center"/>
              <w:rPr>
                <w:rFonts w:eastAsia="Calibri" w:cs="Calibri"/>
                <w:lang w:eastAsia="en-US"/>
              </w:rPr>
            </w:pPr>
            <w:r w:rsidRPr="0058247A">
              <w:rPr>
                <w:rFonts w:eastAsia="Calibri" w:cs="Calibri"/>
                <w:lang w:eastAsia="en-US"/>
              </w:rPr>
              <w:t>NA</w:t>
            </w:r>
          </w:p>
        </w:tc>
      </w:tr>
      <w:tr w:rsidR="00D30F1D" w:rsidRPr="0058247A" w14:paraId="4F3BE5EF" w14:textId="77777777" w:rsidTr="003B3112">
        <w:trPr>
          <w:trHeight w:val="241"/>
        </w:trPr>
        <w:tc>
          <w:tcPr>
            <w:tcW w:w="1570" w:type="pct"/>
            <w:shd w:val="clear" w:color="auto" w:fill="auto"/>
            <w:noWrap/>
          </w:tcPr>
          <w:p w14:paraId="66B5EB75" w14:textId="77777777" w:rsidR="00D30F1D" w:rsidRPr="0058247A" w:rsidRDefault="00D30F1D" w:rsidP="00A25B4A">
            <w:pPr>
              <w:pStyle w:val="TableText0"/>
              <w:rPr>
                <w:rFonts w:eastAsia="Calibri" w:cs="Calibri"/>
                <w:lang w:eastAsia="en-US"/>
              </w:rPr>
            </w:pPr>
            <w:r w:rsidRPr="0058247A">
              <w:t>Number of patients with 1 or more any TEAE</w:t>
            </w:r>
          </w:p>
        </w:tc>
        <w:tc>
          <w:tcPr>
            <w:tcW w:w="866" w:type="pct"/>
            <w:shd w:val="clear" w:color="auto" w:fill="auto"/>
            <w:noWrap/>
            <w:vAlign w:val="center"/>
          </w:tcPr>
          <w:p w14:paraId="6C16CC6E" w14:textId="77777777" w:rsidR="00D30F1D" w:rsidRPr="0058247A" w:rsidRDefault="00D30F1D" w:rsidP="003B3112">
            <w:pPr>
              <w:pStyle w:val="TableText0"/>
              <w:jc w:val="center"/>
              <w:rPr>
                <w:rFonts w:eastAsia="Calibri" w:cs="Calibri"/>
                <w:lang w:eastAsia="en-US"/>
              </w:rPr>
            </w:pPr>
            <w:r w:rsidRPr="0058247A">
              <w:t>149 (100)</w:t>
            </w:r>
          </w:p>
        </w:tc>
        <w:tc>
          <w:tcPr>
            <w:tcW w:w="863" w:type="pct"/>
            <w:shd w:val="clear" w:color="auto" w:fill="auto"/>
            <w:vAlign w:val="center"/>
          </w:tcPr>
          <w:p w14:paraId="41AD8B80" w14:textId="77777777" w:rsidR="00D30F1D" w:rsidRPr="0058247A" w:rsidRDefault="00D30F1D" w:rsidP="003B3112">
            <w:pPr>
              <w:pStyle w:val="TableText0"/>
              <w:jc w:val="center"/>
              <w:rPr>
                <w:rFonts w:eastAsia="Calibri" w:cs="Calibri"/>
                <w:lang w:eastAsia="en-US"/>
              </w:rPr>
            </w:pPr>
            <w:r w:rsidRPr="0058247A">
              <w:t>119 (100)</w:t>
            </w:r>
          </w:p>
        </w:tc>
        <w:tc>
          <w:tcPr>
            <w:tcW w:w="850" w:type="pct"/>
            <w:shd w:val="clear" w:color="auto" w:fill="auto"/>
            <w:vAlign w:val="center"/>
          </w:tcPr>
          <w:p w14:paraId="39CD8AF0" w14:textId="77777777" w:rsidR="00D30F1D" w:rsidRPr="0058247A" w:rsidRDefault="00D30F1D" w:rsidP="003B3112">
            <w:pPr>
              <w:pStyle w:val="TableText0"/>
              <w:jc w:val="center"/>
              <w:rPr>
                <w:rFonts w:eastAsia="Calibri" w:cs="Calibri"/>
                <w:lang w:eastAsia="en-US"/>
              </w:rPr>
            </w:pPr>
            <w:r w:rsidRPr="0058247A">
              <w:t>1 (1, 1)</w:t>
            </w:r>
          </w:p>
        </w:tc>
        <w:tc>
          <w:tcPr>
            <w:tcW w:w="851" w:type="pct"/>
            <w:shd w:val="clear" w:color="auto" w:fill="auto"/>
            <w:vAlign w:val="center"/>
          </w:tcPr>
          <w:p w14:paraId="1D57E012" w14:textId="77777777" w:rsidR="00D30F1D" w:rsidRPr="0058247A" w:rsidRDefault="00D30F1D" w:rsidP="003B3112">
            <w:pPr>
              <w:pStyle w:val="TableText0"/>
              <w:jc w:val="center"/>
              <w:rPr>
                <w:rFonts w:eastAsia="Calibri" w:cs="Calibri"/>
                <w:lang w:eastAsia="en-US"/>
              </w:rPr>
            </w:pPr>
            <w:r w:rsidRPr="0058247A">
              <w:t>0 (0, 0)</w:t>
            </w:r>
          </w:p>
        </w:tc>
      </w:tr>
      <w:tr w:rsidR="00D30F1D" w:rsidRPr="0058247A" w14:paraId="36B81416" w14:textId="77777777" w:rsidTr="003B3112">
        <w:trPr>
          <w:trHeight w:val="241"/>
        </w:trPr>
        <w:tc>
          <w:tcPr>
            <w:tcW w:w="1570" w:type="pct"/>
            <w:shd w:val="clear" w:color="auto" w:fill="auto"/>
            <w:noWrap/>
          </w:tcPr>
          <w:p w14:paraId="47F0E208" w14:textId="77777777" w:rsidR="00D30F1D" w:rsidRPr="0058247A" w:rsidRDefault="00D30F1D" w:rsidP="00A25B4A">
            <w:pPr>
              <w:pStyle w:val="TableText0"/>
              <w:rPr>
                <w:rFonts w:eastAsia="Calibri" w:cs="Calibri"/>
                <w:lang w:eastAsia="en-US"/>
              </w:rPr>
            </w:pPr>
            <w:r w:rsidRPr="0058247A">
              <w:t>Neurology</w:t>
            </w:r>
          </w:p>
        </w:tc>
        <w:tc>
          <w:tcPr>
            <w:tcW w:w="866" w:type="pct"/>
            <w:shd w:val="clear" w:color="auto" w:fill="auto"/>
            <w:noWrap/>
            <w:vAlign w:val="center"/>
          </w:tcPr>
          <w:p w14:paraId="7F1C2F6F" w14:textId="77777777" w:rsidR="00D30F1D" w:rsidRPr="0058247A" w:rsidRDefault="00D30F1D" w:rsidP="003B3112">
            <w:pPr>
              <w:pStyle w:val="TableText0"/>
              <w:jc w:val="center"/>
              <w:rPr>
                <w:rFonts w:eastAsia="Calibri" w:cs="Calibri"/>
                <w:lang w:eastAsia="en-US"/>
              </w:rPr>
            </w:pPr>
            <w:r w:rsidRPr="0058247A">
              <w:t>126 (85)</w:t>
            </w:r>
          </w:p>
        </w:tc>
        <w:tc>
          <w:tcPr>
            <w:tcW w:w="863" w:type="pct"/>
            <w:shd w:val="clear" w:color="auto" w:fill="auto"/>
            <w:vAlign w:val="center"/>
          </w:tcPr>
          <w:p w14:paraId="7754B00E" w14:textId="77777777" w:rsidR="00D30F1D" w:rsidRPr="0058247A" w:rsidRDefault="00D30F1D" w:rsidP="003B3112">
            <w:pPr>
              <w:pStyle w:val="TableText0"/>
              <w:jc w:val="center"/>
              <w:rPr>
                <w:rFonts w:eastAsia="Calibri" w:cs="Calibri"/>
                <w:lang w:eastAsia="en-US"/>
              </w:rPr>
            </w:pPr>
            <w:r w:rsidRPr="0058247A">
              <w:t>83 (70)</w:t>
            </w:r>
          </w:p>
        </w:tc>
        <w:tc>
          <w:tcPr>
            <w:tcW w:w="850" w:type="pct"/>
            <w:shd w:val="clear" w:color="auto" w:fill="auto"/>
            <w:vAlign w:val="center"/>
          </w:tcPr>
          <w:p w14:paraId="06F2F74F" w14:textId="77777777" w:rsidR="00D30F1D" w:rsidRPr="0058247A" w:rsidRDefault="00D30F1D" w:rsidP="003B3112">
            <w:pPr>
              <w:pStyle w:val="TableText0"/>
              <w:jc w:val="center"/>
              <w:rPr>
                <w:rFonts w:eastAsia="Calibri" w:cs="Calibri"/>
                <w:lang w:eastAsia="en-US"/>
              </w:rPr>
            </w:pPr>
            <w:r w:rsidRPr="0058247A">
              <w:t>1.21 (1.06, 1.39)</w:t>
            </w:r>
          </w:p>
        </w:tc>
        <w:tc>
          <w:tcPr>
            <w:tcW w:w="851" w:type="pct"/>
            <w:shd w:val="clear" w:color="auto" w:fill="auto"/>
            <w:vAlign w:val="center"/>
          </w:tcPr>
          <w:p w14:paraId="32064CAB" w14:textId="77777777" w:rsidR="00D30F1D" w:rsidRPr="0058247A" w:rsidRDefault="00D30F1D" w:rsidP="003B3112">
            <w:pPr>
              <w:pStyle w:val="TableText0"/>
              <w:jc w:val="center"/>
              <w:rPr>
                <w:rFonts w:eastAsia="Calibri" w:cs="Calibri"/>
                <w:lang w:eastAsia="en-US"/>
              </w:rPr>
            </w:pPr>
            <w:r w:rsidRPr="0058247A">
              <w:t>0.15 (0.05, 0.25)</w:t>
            </w:r>
          </w:p>
        </w:tc>
      </w:tr>
      <w:tr w:rsidR="00D30F1D" w:rsidRPr="0058247A" w14:paraId="016C496A" w14:textId="77777777" w:rsidTr="003B3112">
        <w:trPr>
          <w:trHeight w:val="241"/>
        </w:trPr>
        <w:tc>
          <w:tcPr>
            <w:tcW w:w="1570" w:type="pct"/>
            <w:shd w:val="clear" w:color="auto" w:fill="auto"/>
            <w:noWrap/>
          </w:tcPr>
          <w:p w14:paraId="4EE77346" w14:textId="77777777" w:rsidR="00D30F1D" w:rsidRPr="0058247A" w:rsidRDefault="00D30F1D" w:rsidP="00A25B4A">
            <w:pPr>
              <w:pStyle w:val="TableText0"/>
              <w:rPr>
                <w:rFonts w:eastAsia="Calibri" w:cs="Calibri"/>
                <w:lang w:eastAsia="en-US"/>
              </w:rPr>
            </w:pPr>
            <w:r w:rsidRPr="0058247A">
              <w:t>Number of patients with 1 or more Grade 3 or higher TEAE</w:t>
            </w:r>
          </w:p>
        </w:tc>
        <w:tc>
          <w:tcPr>
            <w:tcW w:w="866" w:type="pct"/>
            <w:shd w:val="clear" w:color="auto" w:fill="auto"/>
            <w:noWrap/>
            <w:vAlign w:val="center"/>
          </w:tcPr>
          <w:p w14:paraId="203E11C2" w14:textId="77777777" w:rsidR="00D30F1D" w:rsidRPr="0058247A" w:rsidRDefault="00D30F1D" w:rsidP="003B3112">
            <w:pPr>
              <w:pStyle w:val="TableText0"/>
              <w:jc w:val="center"/>
              <w:rPr>
                <w:rFonts w:eastAsia="Calibri" w:cs="Calibri"/>
                <w:lang w:eastAsia="en-US"/>
              </w:rPr>
            </w:pPr>
            <w:r w:rsidRPr="0058247A">
              <w:t>129 (87)</w:t>
            </w:r>
          </w:p>
        </w:tc>
        <w:tc>
          <w:tcPr>
            <w:tcW w:w="863" w:type="pct"/>
            <w:shd w:val="clear" w:color="auto" w:fill="auto"/>
            <w:vAlign w:val="center"/>
          </w:tcPr>
          <w:p w14:paraId="083C0457" w14:textId="77777777" w:rsidR="00D30F1D" w:rsidRPr="0058247A" w:rsidRDefault="00D30F1D" w:rsidP="003B3112">
            <w:pPr>
              <w:pStyle w:val="TableText0"/>
              <w:jc w:val="center"/>
              <w:rPr>
                <w:rFonts w:eastAsia="Calibri" w:cs="Calibri"/>
                <w:lang w:eastAsia="en-US"/>
              </w:rPr>
            </w:pPr>
            <w:r w:rsidRPr="0058247A">
              <w:t>94 (79)</w:t>
            </w:r>
          </w:p>
        </w:tc>
        <w:tc>
          <w:tcPr>
            <w:tcW w:w="850" w:type="pct"/>
            <w:shd w:val="clear" w:color="auto" w:fill="auto"/>
            <w:vAlign w:val="center"/>
          </w:tcPr>
          <w:p w14:paraId="017F2E50" w14:textId="77777777" w:rsidR="00D30F1D" w:rsidRPr="0058247A" w:rsidRDefault="00D30F1D" w:rsidP="003B3112">
            <w:pPr>
              <w:pStyle w:val="TableText0"/>
              <w:jc w:val="center"/>
              <w:rPr>
                <w:rFonts w:eastAsia="Calibri" w:cs="Calibri"/>
                <w:lang w:eastAsia="en-US"/>
              </w:rPr>
            </w:pPr>
            <w:r w:rsidRPr="0058247A">
              <w:t>1.1 (0.98, 1.23)</w:t>
            </w:r>
          </w:p>
        </w:tc>
        <w:tc>
          <w:tcPr>
            <w:tcW w:w="851" w:type="pct"/>
            <w:shd w:val="clear" w:color="auto" w:fill="auto"/>
            <w:vAlign w:val="center"/>
          </w:tcPr>
          <w:p w14:paraId="07206917" w14:textId="77777777" w:rsidR="00D30F1D" w:rsidRPr="0058247A" w:rsidRDefault="00D30F1D" w:rsidP="003B3112">
            <w:pPr>
              <w:pStyle w:val="TableText0"/>
              <w:jc w:val="center"/>
              <w:rPr>
                <w:rFonts w:eastAsia="Calibri" w:cs="Calibri"/>
                <w:lang w:eastAsia="en-US"/>
              </w:rPr>
            </w:pPr>
            <w:r w:rsidRPr="0058247A">
              <w:t>0.08 (-0.02, 0.17)</w:t>
            </w:r>
          </w:p>
        </w:tc>
      </w:tr>
      <w:tr w:rsidR="00D30F1D" w:rsidRPr="0058247A" w14:paraId="69E57060" w14:textId="77777777" w:rsidTr="003B3112">
        <w:trPr>
          <w:trHeight w:val="241"/>
        </w:trPr>
        <w:tc>
          <w:tcPr>
            <w:tcW w:w="1570" w:type="pct"/>
            <w:shd w:val="clear" w:color="auto" w:fill="auto"/>
            <w:noWrap/>
          </w:tcPr>
          <w:p w14:paraId="32490D03" w14:textId="77777777" w:rsidR="00D30F1D" w:rsidRPr="0058247A" w:rsidRDefault="00D30F1D" w:rsidP="00A25B4A">
            <w:pPr>
              <w:pStyle w:val="TableText0"/>
              <w:rPr>
                <w:rFonts w:eastAsia="Calibri" w:cs="Calibri"/>
                <w:lang w:eastAsia="en-US"/>
              </w:rPr>
            </w:pPr>
            <w:r w:rsidRPr="0058247A">
              <w:t>Neurology</w:t>
            </w:r>
          </w:p>
        </w:tc>
        <w:tc>
          <w:tcPr>
            <w:tcW w:w="866" w:type="pct"/>
            <w:shd w:val="clear" w:color="auto" w:fill="auto"/>
            <w:noWrap/>
            <w:vAlign w:val="center"/>
          </w:tcPr>
          <w:p w14:paraId="3784EF57" w14:textId="77777777" w:rsidR="00D30F1D" w:rsidRPr="0058247A" w:rsidRDefault="00D30F1D" w:rsidP="003B3112">
            <w:pPr>
              <w:pStyle w:val="TableText0"/>
              <w:jc w:val="center"/>
              <w:rPr>
                <w:rFonts w:eastAsia="Calibri" w:cs="Calibri"/>
                <w:lang w:eastAsia="en-US"/>
              </w:rPr>
            </w:pPr>
            <w:r w:rsidRPr="0058247A">
              <w:t>49 (33)</w:t>
            </w:r>
          </w:p>
        </w:tc>
        <w:tc>
          <w:tcPr>
            <w:tcW w:w="863" w:type="pct"/>
            <w:shd w:val="clear" w:color="auto" w:fill="auto"/>
            <w:vAlign w:val="center"/>
          </w:tcPr>
          <w:p w14:paraId="01DEAFA1" w14:textId="77777777" w:rsidR="00D30F1D" w:rsidRPr="0058247A" w:rsidRDefault="00D30F1D" w:rsidP="003B3112">
            <w:pPr>
              <w:pStyle w:val="TableText0"/>
              <w:jc w:val="center"/>
              <w:rPr>
                <w:rFonts w:eastAsia="Calibri" w:cs="Calibri"/>
                <w:lang w:eastAsia="en-US"/>
              </w:rPr>
            </w:pPr>
            <w:r w:rsidRPr="0058247A">
              <w:t>15 (13)</w:t>
            </w:r>
          </w:p>
        </w:tc>
        <w:tc>
          <w:tcPr>
            <w:tcW w:w="850" w:type="pct"/>
            <w:shd w:val="clear" w:color="auto" w:fill="auto"/>
            <w:vAlign w:val="center"/>
          </w:tcPr>
          <w:p w14:paraId="570470DA" w14:textId="77777777" w:rsidR="00D30F1D" w:rsidRPr="0058247A" w:rsidRDefault="00D30F1D" w:rsidP="003B3112">
            <w:pPr>
              <w:pStyle w:val="TableText0"/>
              <w:jc w:val="center"/>
              <w:rPr>
                <w:rFonts w:eastAsia="Calibri" w:cs="Calibri"/>
                <w:lang w:eastAsia="en-US"/>
              </w:rPr>
            </w:pPr>
            <w:r w:rsidRPr="0058247A">
              <w:t>2.61 (1.54, 4.42)</w:t>
            </w:r>
          </w:p>
        </w:tc>
        <w:tc>
          <w:tcPr>
            <w:tcW w:w="851" w:type="pct"/>
            <w:shd w:val="clear" w:color="auto" w:fill="auto"/>
            <w:vAlign w:val="center"/>
          </w:tcPr>
          <w:p w14:paraId="606A5255" w14:textId="77777777" w:rsidR="00D30F1D" w:rsidRPr="0058247A" w:rsidRDefault="00D30F1D" w:rsidP="003B3112">
            <w:pPr>
              <w:pStyle w:val="TableText0"/>
              <w:jc w:val="center"/>
              <w:rPr>
                <w:rFonts w:eastAsia="Calibri" w:cs="Calibri"/>
                <w:lang w:eastAsia="en-US"/>
              </w:rPr>
            </w:pPr>
            <w:r w:rsidRPr="0058247A">
              <w:t>0.2 (0.11, 0.3)</w:t>
            </w:r>
          </w:p>
        </w:tc>
      </w:tr>
      <w:tr w:rsidR="00D30F1D" w:rsidRPr="0058247A" w14:paraId="3D57DA92" w14:textId="77777777" w:rsidTr="003B3112">
        <w:trPr>
          <w:trHeight w:val="241"/>
        </w:trPr>
        <w:tc>
          <w:tcPr>
            <w:tcW w:w="1570" w:type="pct"/>
            <w:shd w:val="clear" w:color="auto" w:fill="auto"/>
            <w:noWrap/>
          </w:tcPr>
          <w:p w14:paraId="2215097D" w14:textId="77777777" w:rsidR="00D30F1D" w:rsidRPr="0058247A" w:rsidRDefault="00D30F1D" w:rsidP="00A25B4A">
            <w:pPr>
              <w:pStyle w:val="TableText0"/>
              <w:rPr>
                <w:rFonts w:eastAsia="Calibri" w:cs="Calibri"/>
                <w:lang w:eastAsia="en-US"/>
              </w:rPr>
            </w:pPr>
            <w:r w:rsidRPr="0058247A">
              <w:t>Pain</w:t>
            </w:r>
          </w:p>
        </w:tc>
        <w:tc>
          <w:tcPr>
            <w:tcW w:w="866" w:type="pct"/>
            <w:shd w:val="clear" w:color="auto" w:fill="auto"/>
            <w:noWrap/>
            <w:vAlign w:val="center"/>
          </w:tcPr>
          <w:p w14:paraId="1C19C87E" w14:textId="77777777" w:rsidR="00D30F1D" w:rsidRPr="0058247A" w:rsidRDefault="00D30F1D" w:rsidP="003B3112">
            <w:pPr>
              <w:pStyle w:val="TableText0"/>
              <w:jc w:val="center"/>
              <w:rPr>
                <w:rFonts w:eastAsia="Calibri" w:cs="Calibri"/>
                <w:lang w:eastAsia="en-US"/>
              </w:rPr>
            </w:pPr>
            <w:r w:rsidRPr="0058247A">
              <w:t>35 (23)</w:t>
            </w:r>
          </w:p>
        </w:tc>
        <w:tc>
          <w:tcPr>
            <w:tcW w:w="863" w:type="pct"/>
            <w:shd w:val="clear" w:color="auto" w:fill="auto"/>
            <w:vAlign w:val="center"/>
          </w:tcPr>
          <w:p w14:paraId="242D5993" w14:textId="77777777" w:rsidR="00D30F1D" w:rsidRPr="0058247A" w:rsidRDefault="00D30F1D" w:rsidP="003B3112">
            <w:pPr>
              <w:pStyle w:val="TableText0"/>
              <w:jc w:val="center"/>
              <w:rPr>
                <w:rFonts w:eastAsia="Calibri" w:cs="Calibri"/>
                <w:lang w:eastAsia="en-US"/>
              </w:rPr>
            </w:pPr>
            <w:r w:rsidRPr="0058247A">
              <w:t>13 (11)</w:t>
            </w:r>
          </w:p>
        </w:tc>
        <w:tc>
          <w:tcPr>
            <w:tcW w:w="850" w:type="pct"/>
            <w:shd w:val="clear" w:color="auto" w:fill="auto"/>
            <w:vAlign w:val="center"/>
          </w:tcPr>
          <w:p w14:paraId="7AD22109" w14:textId="77777777" w:rsidR="00D30F1D" w:rsidRPr="0058247A" w:rsidRDefault="00D30F1D" w:rsidP="003B3112">
            <w:pPr>
              <w:pStyle w:val="TableText0"/>
              <w:jc w:val="center"/>
              <w:rPr>
                <w:rFonts w:eastAsia="Calibri" w:cs="Calibri"/>
                <w:lang w:eastAsia="en-US"/>
              </w:rPr>
            </w:pPr>
            <w:r w:rsidRPr="0058247A">
              <w:t>2.15 (1.19, 3.88)</w:t>
            </w:r>
          </w:p>
        </w:tc>
        <w:tc>
          <w:tcPr>
            <w:tcW w:w="851" w:type="pct"/>
            <w:shd w:val="clear" w:color="auto" w:fill="auto"/>
            <w:vAlign w:val="center"/>
          </w:tcPr>
          <w:p w14:paraId="6A4A3ECB" w14:textId="77777777" w:rsidR="00D30F1D" w:rsidRPr="0058247A" w:rsidRDefault="00D30F1D" w:rsidP="003B3112">
            <w:pPr>
              <w:pStyle w:val="TableText0"/>
              <w:jc w:val="center"/>
              <w:rPr>
                <w:rFonts w:eastAsia="Calibri" w:cs="Calibri"/>
                <w:lang w:eastAsia="en-US"/>
              </w:rPr>
            </w:pPr>
            <w:r w:rsidRPr="0058247A">
              <w:t>0.13 (0.04, 0.21)</w:t>
            </w:r>
          </w:p>
        </w:tc>
      </w:tr>
      <w:tr w:rsidR="00D30F1D" w:rsidRPr="0058247A" w14:paraId="774038FC" w14:textId="77777777" w:rsidTr="003B3112">
        <w:trPr>
          <w:trHeight w:val="241"/>
        </w:trPr>
        <w:tc>
          <w:tcPr>
            <w:tcW w:w="1570" w:type="pct"/>
            <w:shd w:val="clear" w:color="auto" w:fill="auto"/>
            <w:noWrap/>
          </w:tcPr>
          <w:p w14:paraId="6E68F14C" w14:textId="77777777" w:rsidR="00D30F1D" w:rsidRPr="0058247A" w:rsidRDefault="00D30F1D" w:rsidP="00A25B4A">
            <w:pPr>
              <w:pStyle w:val="TableText0"/>
              <w:rPr>
                <w:rFonts w:eastAsia="Calibri" w:cs="Calibri"/>
                <w:lang w:eastAsia="en-US"/>
              </w:rPr>
            </w:pPr>
            <w:r w:rsidRPr="0058247A">
              <w:t>Gastrointestinal</w:t>
            </w:r>
          </w:p>
        </w:tc>
        <w:tc>
          <w:tcPr>
            <w:tcW w:w="866" w:type="pct"/>
            <w:shd w:val="clear" w:color="auto" w:fill="auto"/>
            <w:noWrap/>
            <w:vAlign w:val="center"/>
          </w:tcPr>
          <w:p w14:paraId="4AFDDDC8" w14:textId="77777777" w:rsidR="00D30F1D" w:rsidRPr="0058247A" w:rsidRDefault="00D30F1D" w:rsidP="003B3112">
            <w:pPr>
              <w:pStyle w:val="TableText0"/>
              <w:jc w:val="center"/>
              <w:rPr>
                <w:rFonts w:eastAsia="Calibri" w:cs="Calibri"/>
                <w:lang w:eastAsia="en-US"/>
              </w:rPr>
            </w:pPr>
            <w:r w:rsidRPr="0058247A">
              <w:t>32 (21)</w:t>
            </w:r>
          </w:p>
        </w:tc>
        <w:tc>
          <w:tcPr>
            <w:tcW w:w="863" w:type="pct"/>
            <w:shd w:val="clear" w:color="auto" w:fill="auto"/>
            <w:vAlign w:val="center"/>
          </w:tcPr>
          <w:p w14:paraId="08320E29" w14:textId="77777777" w:rsidR="00D30F1D" w:rsidRPr="0058247A" w:rsidRDefault="00D30F1D" w:rsidP="003B3112">
            <w:pPr>
              <w:pStyle w:val="TableText0"/>
              <w:jc w:val="center"/>
              <w:rPr>
                <w:rFonts w:eastAsia="Calibri" w:cs="Calibri"/>
                <w:lang w:eastAsia="en-US"/>
              </w:rPr>
            </w:pPr>
            <w:r w:rsidRPr="0058247A">
              <w:t>13 (11)</w:t>
            </w:r>
          </w:p>
        </w:tc>
        <w:tc>
          <w:tcPr>
            <w:tcW w:w="850" w:type="pct"/>
            <w:shd w:val="clear" w:color="auto" w:fill="auto"/>
            <w:vAlign w:val="center"/>
          </w:tcPr>
          <w:p w14:paraId="0355FFD5" w14:textId="77777777" w:rsidR="00D30F1D" w:rsidRPr="0058247A" w:rsidRDefault="00D30F1D" w:rsidP="003B3112">
            <w:pPr>
              <w:pStyle w:val="TableText0"/>
              <w:jc w:val="center"/>
              <w:rPr>
                <w:rFonts w:eastAsia="Calibri" w:cs="Calibri"/>
                <w:lang w:eastAsia="en-US"/>
              </w:rPr>
            </w:pPr>
            <w:r w:rsidRPr="0058247A">
              <w:t>1.97 (1.08, 3.58)</w:t>
            </w:r>
          </w:p>
        </w:tc>
        <w:tc>
          <w:tcPr>
            <w:tcW w:w="851" w:type="pct"/>
            <w:shd w:val="clear" w:color="auto" w:fill="auto"/>
            <w:vAlign w:val="center"/>
          </w:tcPr>
          <w:p w14:paraId="1544460E" w14:textId="77777777" w:rsidR="00D30F1D" w:rsidRPr="0058247A" w:rsidRDefault="00D30F1D" w:rsidP="003B3112">
            <w:pPr>
              <w:pStyle w:val="TableText0"/>
              <w:jc w:val="center"/>
              <w:rPr>
                <w:rFonts w:eastAsia="Calibri" w:cs="Calibri"/>
                <w:lang w:eastAsia="en-US"/>
              </w:rPr>
            </w:pPr>
            <w:r w:rsidRPr="0058247A">
              <w:t>0.11 (0.02, 0.19)</w:t>
            </w:r>
          </w:p>
        </w:tc>
      </w:tr>
      <w:tr w:rsidR="00D30F1D" w:rsidRPr="0058247A" w14:paraId="1EB724A3" w14:textId="77777777" w:rsidTr="003B3112">
        <w:trPr>
          <w:trHeight w:val="241"/>
        </w:trPr>
        <w:tc>
          <w:tcPr>
            <w:tcW w:w="1570" w:type="pct"/>
            <w:shd w:val="clear" w:color="auto" w:fill="auto"/>
            <w:noWrap/>
          </w:tcPr>
          <w:p w14:paraId="75D71AB2" w14:textId="77777777" w:rsidR="00D30F1D" w:rsidRPr="0058247A" w:rsidRDefault="00D30F1D" w:rsidP="00A25B4A">
            <w:pPr>
              <w:pStyle w:val="TableText0"/>
              <w:rPr>
                <w:rFonts w:eastAsia="Calibri" w:cs="Calibri"/>
                <w:lang w:eastAsia="en-US"/>
              </w:rPr>
            </w:pPr>
            <w:r w:rsidRPr="0058247A">
              <w:t>Treatment discontinuation - toxicity</w:t>
            </w:r>
          </w:p>
        </w:tc>
        <w:tc>
          <w:tcPr>
            <w:tcW w:w="866" w:type="pct"/>
            <w:shd w:val="clear" w:color="auto" w:fill="auto"/>
            <w:noWrap/>
            <w:vAlign w:val="center"/>
          </w:tcPr>
          <w:p w14:paraId="5828284E" w14:textId="77777777" w:rsidR="00D30F1D" w:rsidRPr="0058247A" w:rsidRDefault="00D30F1D" w:rsidP="003B3112">
            <w:pPr>
              <w:pStyle w:val="TableText0"/>
              <w:jc w:val="center"/>
              <w:rPr>
                <w:rFonts w:eastAsia="Calibri" w:cs="Calibri"/>
                <w:lang w:eastAsia="en-US"/>
              </w:rPr>
            </w:pPr>
            <w:r w:rsidRPr="0058247A">
              <w:t>43 (29)</w:t>
            </w:r>
          </w:p>
        </w:tc>
        <w:tc>
          <w:tcPr>
            <w:tcW w:w="863" w:type="pct"/>
            <w:shd w:val="clear" w:color="auto" w:fill="auto"/>
            <w:vAlign w:val="center"/>
          </w:tcPr>
          <w:p w14:paraId="179F2C1A" w14:textId="77777777" w:rsidR="00D30F1D" w:rsidRPr="0058247A" w:rsidRDefault="00D30F1D" w:rsidP="003B3112">
            <w:pPr>
              <w:pStyle w:val="TableText0"/>
              <w:jc w:val="center"/>
              <w:rPr>
                <w:rFonts w:eastAsia="Calibri" w:cs="Calibri"/>
                <w:lang w:eastAsia="en-US"/>
              </w:rPr>
            </w:pPr>
            <w:r w:rsidRPr="0058247A">
              <w:t>21 (18)</w:t>
            </w:r>
          </w:p>
        </w:tc>
        <w:tc>
          <w:tcPr>
            <w:tcW w:w="850" w:type="pct"/>
            <w:shd w:val="clear" w:color="auto" w:fill="auto"/>
            <w:vAlign w:val="center"/>
          </w:tcPr>
          <w:p w14:paraId="506BAD46" w14:textId="77777777" w:rsidR="00D30F1D" w:rsidRPr="0058247A" w:rsidRDefault="00D30F1D" w:rsidP="003B3112">
            <w:pPr>
              <w:pStyle w:val="TableText0"/>
              <w:jc w:val="center"/>
              <w:rPr>
                <w:rFonts w:eastAsia="Calibri" w:cs="Calibri"/>
                <w:lang w:eastAsia="en-US"/>
              </w:rPr>
            </w:pPr>
            <w:r w:rsidRPr="0058247A">
              <w:t>1.64 (1.03, 2.61)</w:t>
            </w:r>
          </w:p>
        </w:tc>
        <w:tc>
          <w:tcPr>
            <w:tcW w:w="851" w:type="pct"/>
            <w:shd w:val="clear" w:color="auto" w:fill="auto"/>
            <w:vAlign w:val="center"/>
          </w:tcPr>
          <w:p w14:paraId="4DE32960" w14:textId="77777777" w:rsidR="00D30F1D" w:rsidRPr="0058247A" w:rsidRDefault="00D30F1D" w:rsidP="003B3112">
            <w:pPr>
              <w:pStyle w:val="TableText0"/>
              <w:jc w:val="center"/>
              <w:rPr>
                <w:rFonts w:eastAsia="Calibri" w:cs="Calibri"/>
                <w:lang w:eastAsia="en-US"/>
              </w:rPr>
            </w:pPr>
            <w:r w:rsidRPr="0058247A">
              <w:t>0.11 (0.01, 0.21)</w:t>
            </w:r>
          </w:p>
        </w:tc>
      </w:tr>
      <w:tr w:rsidR="00D30F1D" w:rsidRPr="0058247A" w14:paraId="2EC5424B" w14:textId="77777777" w:rsidTr="00A25B4A">
        <w:trPr>
          <w:trHeight w:val="241"/>
        </w:trPr>
        <w:tc>
          <w:tcPr>
            <w:tcW w:w="5000" w:type="pct"/>
            <w:gridSpan w:val="5"/>
            <w:shd w:val="clear" w:color="auto" w:fill="auto"/>
            <w:noWrap/>
            <w:vAlign w:val="center"/>
          </w:tcPr>
          <w:p w14:paraId="7305561B" w14:textId="77777777" w:rsidR="00D30F1D" w:rsidRPr="0058247A" w:rsidRDefault="00D30F1D" w:rsidP="00A25B4A">
            <w:pPr>
              <w:pStyle w:val="TableText0"/>
              <w:rPr>
                <w:rFonts w:eastAsia="Calibri" w:cs="Calibri"/>
                <w:lang w:eastAsia="en-US"/>
              </w:rPr>
            </w:pPr>
            <w:r w:rsidRPr="0058247A">
              <w:rPr>
                <w:b/>
                <w:bCs w:val="0"/>
              </w:rPr>
              <w:t>SWOG s0777 Age ≥65 years</w:t>
            </w:r>
          </w:p>
        </w:tc>
      </w:tr>
      <w:tr w:rsidR="00D30F1D" w:rsidRPr="0058247A" w14:paraId="5B6F62A1" w14:textId="77777777" w:rsidTr="003B3112">
        <w:trPr>
          <w:trHeight w:val="241"/>
        </w:trPr>
        <w:tc>
          <w:tcPr>
            <w:tcW w:w="1570" w:type="pct"/>
            <w:shd w:val="clear" w:color="auto" w:fill="auto"/>
            <w:noWrap/>
          </w:tcPr>
          <w:p w14:paraId="608D1415" w14:textId="77777777" w:rsidR="00D30F1D" w:rsidRPr="0058247A" w:rsidRDefault="00D30F1D" w:rsidP="00A25B4A">
            <w:pPr>
              <w:pStyle w:val="TableText0"/>
              <w:rPr>
                <w:b/>
                <w:bCs w:val="0"/>
              </w:rPr>
            </w:pPr>
            <w:r w:rsidRPr="0058247A">
              <w:t>Safety analysis set</w:t>
            </w:r>
          </w:p>
        </w:tc>
        <w:tc>
          <w:tcPr>
            <w:tcW w:w="866" w:type="pct"/>
            <w:shd w:val="clear" w:color="auto" w:fill="auto"/>
            <w:noWrap/>
            <w:vAlign w:val="center"/>
          </w:tcPr>
          <w:p w14:paraId="1F48457E" w14:textId="77777777" w:rsidR="00D30F1D" w:rsidRPr="0058247A" w:rsidRDefault="00D30F1D" w:rsidP="003B3112">
            <w:pPr>
              <w:pStyle w:val="TableText0"/>
              <w:jc w:val="center"/>
            </w:pPr>
            <w:r w:rsidRPr="0058247A">
              <w:t>92 (100)</w:t>
            </w:r>
          </w:p>
        </w:tc>
        <w:tc>
          <w:tcPr>
            <w:tcW w:w="863" w:type="pct"/>
            <w:shd w:val="clear" w:color="auto" w:fill="auto"/>
            <w:vAlign w:val="center"/>
          </w:tcPr>
          <w:p w14:paraId="329EC0C6" w14:textId="77777777" w:rsidR="00D30F1D" w:rsidRPr="0058247A" w:rsidRDefault="00D30F1D" w:rsidP="003B3112">
            <w:pPr>
              <w:pStyle w:val="TableText0"/>
              <w:jc w:val="center"/>
            </w:pPr>
            <w:r w:rsidRPr="0058247A">
              <w:t>107 (100)</w:t>
            </w:r>
          </w:p>
        </w:tc>
        <w:tc>
          <w:tcPr>
            <w:tcW w:w="850" w:type="pct"/>
            <w:shd w:val="clear" w:color="auto" w:fill="auto"/>
            <w:vAlign w:val="center"/>
          </w:tcPr>
          <w:p w14:paraId="0F564925" w14:textId="77777777" w:rsidR="00D30F1D" w:rsidRPr="0058247A" w:rsidRDefault="00D30F1D" w:rsidP="003B3112">
            <w:pPr>
              <w:pStyle w:val="TableText0"/>
              <w:jc w:val="center"/>
            </w:pPr>
            <w:r w:rsidRPr="0058247A">
              <w:rPr>
                <w:rFonts w:eastAsia="Calibri" w:cs="Calibri"/>
                <w:lang w:eastAsia="en-US"/>
              </w:rPr>
              <w:t>NA</w:t>
            </w:r>
          </w:p>
        </w:tc>
        <w:tc>
          <w:tcPr>
            <w:tcW w:w="851" w:type="pct"/>
            <w:shd w:val="clear" w:color="auto" w:fill="auto"/>
            <w:vAlign w:val="center"/>
          </w:tcPr>
          <w:p w14:paraId="7C40C26A" w14:textId="77777777" w:rsidR="00D30F1D" w:rsidRPr="0058247A" w:rsidRDefault="00D30F1D" w:rsidP="003B3112">
            <w:pPr>
              <w:pStyle w:val="TableText0"/>
              <w:jc w:val="center"/>
            </w:pPr>
            <w:r w:rsidRPr="0058247A">
              <w:rPr>
                <w:rFonts w:eastAsia="Calibri" w:cs="Calibri"/>
                <w:lang w:eastAsia="en-US"/>
              </w:rPr>
              <w:t>NA</w:t>
            </w:r>
          </w:p>
        </w:tc>
      </w:tr>
      <w:tr w:rsidR="00D30F1D" w:rsidRPr="0058247A" w14:paraId="53C8C808" w14:textId="77777777" w:rsidTr="003B3112">
        <w:trPr>
          <w:trHeight w:val="241"/>
        </w:trPr>
        <w:tc>
          <w:tcPr>
            <w:tcW w:w="1570" w:type="pct"/>
            <w:shd w:val="clear" w:color="auto" w:fill="auto"/>
            <w:noWrap/>
          </w:tcPr>
          <w:p w14:paraId="5B2799B9" w14:textId="77777777" w:rsidR="00D30F1D" w:rsidRPr="0058247A" w:rsidRDefault="00D30F1D" w:rsidP="00A25B4A">
            <w:pPr>
              <w:pStyle w:val="TableText0"/>
              <w:rPr>
                <w:rFonts w:eastAsia="Calibri" w:cs="Calibri"/>
                <w:lang w:eastAsia="en-US"/>
              </w:rPr>
            </w:pPr>
            <w:r w:rsidRPr="0058247A">
              <w:t>Number of patients with 1 or more any TEAE</w:t>
            </w:r>
          </w:p>
        </w:tc>
        <w:tc>
          <w:tcPr>
            <w:tcW w:w="866" w:type="pct"/>
            <w:shd w:val="clear" w:color="auto" w:fill="auto"/>
            <w:noWrap/>
            <w:vAlign w:val="center"/>
          </w:tcPr>
          <w:p w14:paraId="194122E1" w14:textId="77777777" w:rsidR="00D30F1D" w:rsidRPr="0058247A" w:rsidRDefault="00D30F1D" w:rsidP="003B3112">
            <w:pPr>
              <w:pStyle w:val="TableText0"/>
              <w:jc w:val="center"/>
              <w:rPr>
                <w:rFonts w:eastAsia="Calibri" w:cs="Calibri"/>
                <w:lang w:eastAsia="en-US"/>
              </w:rPr>
            </w:pPr>
            <w:r w:rsidRPr="0058247A">
              <w:t>92 (100)</w:t>
            </w:r>
          </w:p>
        </w:tc>
        <w:tc>
          <w:tcPr>
            <w:tcW w:w="863" w:type="pct"/>
            <w:shd w:val="clear" w:color="auto" w:fill="auto"/>
            <w:vAlign w:val="center"/>
          </w:tcPr>
          <w:p w14:paraId="72E3CEF4" w14:textId="77777777" w:rsidR="00D30F1D" w:rsidRPr="0058247A" w:rsidRDefault="00D30F1D" w:rsidP="003B3112">
            <w:pPr>
              <w:pStyle w:val="TableText0"/>
              <w:jc w:val="center"/>
              <w:rPr>
                <w:rFonts w:eastAsia="Calibri" w:cs="Calibri"/>
                <w:lang w:eastAsia="en-US"/>
              </w:rPr>
            </w:pPr>
            <w:r w:rsidRPr="0058247A">
              <w:t>107 (100)</w:t>
            </w:r>
          </w:p>
        </w:tc>
        <w:tc>
          <w:tcPr>
            <w:tcW w:w="850" w:type="pct"/>
            <w:shd w:val="clear" w:color="auto" w:fill="auto"/>
            <w:vAlign w:val="center"/>
          </w:tcPr>
          <w:p w14:paraId="28874FD7" w14:textId="77777777" w:rsidR="00D30F1D" w:rsidRPr="0058247A" w:rsidRDefault="00D30F1D" w:rsidP="003B3112">
            <w:pPr>
              <w:pStyle w:val="TableText0"/>
              <w:jc w:val="center"/>
              <w:rPr>
                <w:rFonts w:eastAsia="Calibri" w:cs="Calibri"/>
                <w:lang w:eastAsia="en-US"/>
              </w:rPr>
            </w:pPr>
            <w:r w:rsidRPr="0058247A">
              <w:t>1 (1, 1)</w:t>
            </w:r>
          </w:p>
        </w:tc>
        <w:tc>
          <w:tcPr>
            <w:tcW w:w="851" w:type="pct"/>
            <w:shd w:val="clear" w:color="auto" w:fill="auto"/>
            <w:vAlign w:val="center"/>
          </w:tcPr>
          <w:p w14:paraId="6A0EC5D7" w14:textId="77777777" w:rsidR="00D30F1D" w:rsidRPr="0058247A" w:rsidRDefault="00D30F1D" w:rsidP="003B3112">
            <w:pPr>
              <w:pStyle w:val="TableText0"/>
              <w:jc w:val="center"/>
              <w:rPr>
                <w:rFonts w:eastAsia="Calibri" w:cs="Calibri"/>
                <w:lang w:eastAsia="en-US"/>
              </w:rPr>
            </w:pPr>
            <w:r w:rsidRPr="0058247A">
              <w:t>0 (0, 0)</w:t>
            </w:r>
          </w:p>
        </w:tc>
      </w:tr>
      <w:tr w:rsidR="00D30F1D" w:rsidRPr="0058247A" w14:paraId="5BA91E55" w14:textId="77777777" w:rsidTr="003B3112">
        <w:trPr>
          <w:trHeight w:val="241"/>
        </w:trPr>
        <w:tc>
          <w:tcPr>
            <w:tcW w:w="1570" w:type="pct"/>
            <w:shd w:val="clear" w:color="auto" w:fill="auto"/>
            <w:noWrap/>
          </w:tcPr>
          <w:p w14:paraId="58AECF92" w14:textId="77777777" w:rsidR="00D30F1D" w:rsidRPr="0058247A" w:rsidRDefault="00D30F1D" w:rsidP="00A25B4A">
            <w:pPr>
              <w:pStyle w:val="TableText0"/>
              <w:rPr>
                <w:rFonts w:eastAsia="Calibri" w:cs="Calibri"/>
                <w:lang w:eastAsia="en-US"/>
              </w:rPr>
            </w:pPr>
            <w:r w:rsidRPr="0058247A">
              <w:t>Musculoskeletal or soft tissue</w:t>
            </w:r>
          </w:p>
        </w:tc>
        <w:tc>
          <w:tcPr>
            <w:tcW w:w="866" w:type="pct"/>
            <w:shd w:val="clear" w:color="auto" w:fill="auto"/>
            <w:noWrap/>
            <w:vAlign w:val="center"/>
          </w:tcPr>
          <w:p w14:paraId="455DE6C3" w14:textId="77777777" w:rsidR="00D30F1D" w:rsidRPr="0058247A" w:rsidRDefault="00D30F1D" w:rsidP="003B3112">
            <w:pPr>
              <w:pStyle w:val="TableText0"/>
              <w:jc w:val="center"/>
              <w:rPr>
                <w:rFonts w:eastAsia="Calibri" w:cs="Calibri"/>
                <w:lang w:eastAsia="en-US"/>
              </w:rPr>
            </w:pPr>
            <w:r w:rsidRPr="0058247A">
              <w:t>51 (55)</w:t>
            </w:r>
          </w:p>
        </w:tc>
        <w:tc>
          <w:tcPr>
            <w:tcW w:w="863" w:type="pct"/>
            <w:shd w:val="clear" w:color="auto" w:fill="auto"/>
            <w:vAlign w:val="center"/>
          </w:tcPr>
          <w:p w14:paraId="3E6A8EB2" w14:textId="77777777" w:rsidR="00D30F1D" w:rsidRPr="0058247A" w:rsidRDefault="00D30F1D" w:rsidP="003B3112">
            <w:pPr>
              <w:pStyle w:val="TableText0"/>
              <w:jc w:val="center"/>
              <w:rPr>
                <w:rFonts w:eastAsia="Calibri" w:cs="Calibri"/>
                <w:lang w:eastAsia="en-US"/>
              </w:rPr>
            </w:pPr>
            <w:r w:rsidRPr="0058247A">
              <w:t>44 (41)</w:t>
            </w:r>
          </w:p>
        </w:tc>
        <w:tc>
          <w:tcPr>
            <w:tcW w:w="850" w:type="pct"/>
            <w:shd w:val="clear" w:color="auto" w:fill="auto"/>
            <w:vAlign w:val="center"/>
          </w:tcPr>
          <w:p w14:paraId="18F123EC" w14:textId="77777777" w:rsidR="00D30F1D" w:rsidRPr="0058247A" w:rsidRDefault="00D30F1D" w:rsidP="003B3112">
            <w:pPr>
              <w:pStyle w:val="TableText0"/>
              <w:jc w:val="center"/>
              <w:rPr>
                <w:rFonts w:eastAsia="Calibri" w:cs="Calibri"/>
                <w:lang w:eastAsia="en-US"/>
              </w:rPr>
            </w:pPr>
            <w:r w:rsidRPr="0058247A">
              <w:t>1.35 (1.01, 1.81)</w:t>
            </w:r>
          </w:p>
        </w:tc>
        <w:tc>
          <w:tcPr>
            <w:tcW w:w="851" w:type="pct"/>
            <w:shd w:val="clear" w:color="auto" w:fill="auto"/>
            <w:vAlign w:val="center"/>
          </w:tcPr>
          <w:p w14:paraId="75FBE5BB" w14:textId="77777777" w:rsidR="00D30F1D" w:rsidRPr="0058247A" w:rsidRDefault="00D30F1D" w:rsidP="003B3112">
            <w:pPr>
              <w:pStyle w:val="TableText0"/>
              <w:jc w:val="center"/>
              <w:rPr>
                <w:rFonts w:eastAsia="Calibri" w:cs="Calibri"/>
                <w:lang w:eastAsia="en-US"/>
              </w:rPr>
            </w:pPr>
            <w:r w:rsidRPr="0058247A">
              <w:t>0.14 (0.01, 0.28)</w:t>
            </w:r>
          </w:p>
        </w:tc>
      </w:tr>
      <w:tr w:rsidR="00D30F1D" w:rsidRPr="0058247A" w14:paraId="3FF163F9" w14:textId="77777777" w:rsidTr="003B3112">
        <w:trPr>
          <w:trHeight w:val="241"/>
        </w:trPr>
        <w:tc>
          <w:tcPr>
            <w:tcW w:w="1570" w:type="pct"/>
            <w:shd w:val="clear" w:color="auto" w:fill="auto"/>
            <w:noWrap/>
          </w:tcPr>
          <w:p w14:paraId="01FD9633" w14:textId="77777777" w:rsidR="00D30F1D" w:rsidRPr="0058247A" w:rsidRDefault="00D30F1D" w:rsidP="00A25B4A">
            <w:pPr>
              <w:pStyle w:val="TableText0"/>
            </w:pPr>
            <w:r w:rsidRPr="0058247A">
              <w:t>Number of patients with 1 or more Grade 3 or higher TEAE</w:t>
            </w:r>
          </w:p>
        </w:tc>
        <w:tc>
          <w:tcPr>
            <w:tcW w:w="866" w:type="pct"/>
            <w:shd w:val="clear" w:color="auto" w:fill="auto"/>
            <w:noWrap/>
            <w:vAlign w:val="center"/>
          </w:tcPr>
          <w:p w14:paraId="7877C48B" w14:textId="77777777" w:rsidR="00D30F1D" w:rsidRPr="0058247A" w:rsidRDefault="00D30F1D" w:rsidP="003B3112">
            <w:pPr>
              <w:pStyle w:val="TableText0"/>
              <w:jc w:val="center"/>
            </w:pPr>
            <w:r w:rsidRPr="0058247A">
              <w:t>86 (93)</w:t>
            </w:r>
          </w:p>
        </w:tc>
        <w:tc>
          <w:tcPr>
            <w:tcW w:w="863" w:type="pct"/>
            <w:shd w:val="clear" w:color="auto" w:fill="auto"/>
            <w:vAlign w:val="center"/>
          </w:tcPr>
          <w:p w14:paraId="25BBF42C" w14:textId="77777777" w:rsidR="00D30F1D" w:rsidRPr="0058247A" w:rsidRDefault="00D30F1D" w:rsidP="003B3112">
            <w:pPr>
              <w:pStyle w:val="TableText0"/>
              <w:jc w:val="center"/>
            </w:pPr>
            <w:r w:rsidRPr="0058247A">
              <w:t>95 (89)</w:t>
            </w:r>
          </w:p>
        </w:tc>
        <w:tc>
          <w:tcPr>
            <w:tcW w:w="850" w:type="pct"/>
            <w:shd w:val="clear" w:color="auto" w:fill="auto"/>
            <w:vAlign w:val="center"/>
          </w:tcPr>
          <w:p w14:paraId="36930723" w14:textId="77777777" w:rsidR="00D30F1D" w:rsidRPr="0058247A" w:rsidRDefault="00D30F1D" w:rsidP="003B3112">
            <w:pPr>
              <w:pStyle w:val="TableText0"/>
              <w:jc w:val="center"/>
            </w:pPr>
            <w:r w:rsidRPr="0058247A">
              <w:t>1.05 (0.96, 1.14)</w:t>
            </w:r>
          </w:p>
        </w:tc>
        <w:tc>
          <w:tcPr>
            <w:tcW w:w="851" w:type="pct"/>
            <w:shd w:val="clear" w:color="auto" w:fill="auto"/>
            <w:vAlign w:val="center"/>
          </w:tcPr>
          <w:p w14:paraId="4185AAAC" w14:textId="77777777" w:rsidR="00D30F1D" w:rsidRPr="0058247A" w:rsidRDefault="00D30F1D" w:rsidP="003B3112">
            <w:pPr>
              <w:pStyle w:val="TableText0"/>
              <w:jc w:val="center"/>
            </w:pPr>
            <w:r w:rsidRPr="0058247A">
              <w:t>0.05 (-0.03, 0.13)</w:t>
            </w:r>
          </w:p>
        </w:tc>
      </w:tr>
      <w:tr w:rsidR="00D30F1D" w:rsidRPr="0058247A" w14:paraId="573095BF" w14:textId="77777777" w:rsidTr="003B3112">
        <w:trPr>
          <w:trHeight w:val="241"/>
        </w:trPr>
        <w:tc>
          <w:tcPr>
            <w:tcW w:w="1570" w:type="pct"/>
            <w:shd w:val="clear" w:color="auto" w:fill="auto"/>
            <w:noWrap/>
          </w:tcPr>
          <w:p w14:paraId="2A9518FB" w14:textId="77777777" w:rsidR="00D30F1D" w:rsidRPr="0058247A" w:rsidRDefault="00D30F1D" w:rsidP="00A25B4A">
            <w:pPr>
              <w:pStyle w:val="TableText0"/>
              <w:rPr>
                <w:rFonts w:eastAsia="Calibri" w:cs="Calibri"/>
                <w:lang w:eastAsia="en-US"/>
              </w:rPr>
            </w:pPr>
            <w:r w:rsidRPr="0058247A">
              <w:t>Neurology</w:t>
            </w:r>
          </w:p>
        </w:tc>
        <w:tc>
          <w:tcPr>
            <w:tcW w:w="866" w:type="pct"/>
            <w:shd w:val="clear" w:color="auto" w:fill="auto"/>
            <w:noWrap/>
            <w:vAlign w:val="center"/>
          </w:tcPr>
          <w:p w14:paraId="34EC20A3" w14:textId="77777777" w:rsidR="00D30F1D" w:rsidRPr="0058247A" w:rsidRDefault="00D30F1D" w:rsidP="003B3112">
            <w:pPr>
              <w:pStyle w:val="TableText0"/>
              <w:jc w:val="center"/>
              <w:rPr>
                <w:rFonts w:eastAsia="Calibri" w:cs="Calibri"/>
                <w:lang w:eastAsia="en-US"/>
              </w:rPr>
            </w:pPr>
            <w:r w:rsidRPr="0058247A">
              <w:t>41 (45)</w:t>
            </w:r>
          </w:p>
        </w:tc>
        <w:tc>
          <w:tcPr>
            <w:tcW w:w="863" w:type="pct"/>
            <w:shd w:val="clear" w:color="auto" w:fill="auto"/>
            <w:vAlign w:val="center"/>
          </w:tcPr>
          <w:p w14:paraId="61ACE3AE" w14:textId="77777777" w:rsidR="00D30F1D" w:rsidRPr="0058247A" w:rsidRDefault="00D30F1D" w:rsidP="003B3112">
            <w:pPr>
              <w:pStyle w:val="TableText0"/>
              <w:jc w:val="center"/>
              <w:rPr>
                <w:rFonts w:eastAsia="Calibri" w:cs="Calibri"/>
                <w:lang w:eastAsia="en-US"/>
              </w:rPr>
            </w:pPr>
            <w:r w:rsidRPr="0058247A">
              <w:t>29 (27)</w:t>
            </w:r>
          </w:p>
        </w:tc>
        <w:tc>
          <w:tcPr>
            <w:tcW w:w="850" w:type="pct"/>
            <w:shd w:val="clear" w:color="auto" w:fill="auto"/>
            <w:vAlign w:val="center"/>
          </w:tcPr>
          <w:p w14:paraId="40A77B94" w14:textId="77777777" w:rsidR="00D30F1D" w:rsidRPr="0058247A" w:rsidRDefault="00D30F1D" w:rsidP="003B3112">
            <w:pPr>
              <w:pStyle w:val="TableText0"/>
              <w:jc w:val="center"/>
              <w:rPr>
                <w:rFonts w:eastAsia="Calibri" w:cs="Calibri"/>
                <w:lang w:eastAsia="en-US"/>
              </w:rPr>
            </w:pPr>
            <w:r w:rsidRPr="0058247A">
              <w:t>1.64 (1.12, 2.41)</w:t>
            </w:r>
          </w:p>
        </w:tc>
        <w:tc>
          <w:tcPr>
            <w:tcW w:w="851" w:type="pct"/>
            <w:shd w:val="clear" w:color="auto" w:fill="auto"/>
            <w:vAlign w:val="center"/>
          </w:tcPr>
          <w:p w14:paraId="743CAFC9" w14:textId="77777777" w:rsidR="00D30F1D" w:rsidRPr="0058247A" w:rsidRDefault="00D30F1D" w:rsidP="003B3112">
            <w:pPr>
              <w:pStyle w:val="TableText0"/>
              <w:jc w:val="center"/>
              <w:rPr>
                <w:rFonts w:eastAsia="Calibri" w:cs="Calibri"/>
                <w:lang w:eastAsia="en-US"/>
              </w:rPr>
            </w:pPr>
            <w:r w:rsidRPr="0058247A">
              <w:t>0.17 (0.04, 0.31)</w:t>
            </w:r>
          </w:p>
        </w:tc>
      </w:tr>
      <w:tr w:rsidR="00D30F1D" w:rsidRPr="0058247A" w14:paraId="6031686E" w14:textId="77777777" w:rsidTr="003B3112">
        <w:trPr>
          <w:trHeight w:val="241"/>
        </w:trPr>
        <w:tc>
          <w:tcPr>
            <w:tcW w:w="1570" w:type="pct"/>
            <w:shd w:val="clear" w:color="auto" w:fill="auto"/>
            <w:noWrap/>
          </w:tcPr>
          <w:p w14:paraId="7DEDB798" w14:textId="77777777" w:rsidR="00D30F1D" w:rsidRPr="0058247A" w:rsidRDefault="00D30F1D" w:rsidP="00A25B4A">
            <w:pPr>
              <w:pStyle w:val="TableText0"/>
              <w:rPr>
                <w:rFonts w:eastAsia="Calibri" w:cs="Calibri"/>
                <w:lang w:eastAsia="en-US"/>
              </w:rPr>
            </w:pPr>
            <w:r w:rsidRPr="0058247A">
              <w:t>Gastrointestinal</w:t>
            </w:r>
          </w:p>
        </w:tc>
        <w:tc>
          <w:tcPr>
            <w:tcW w:w="866" w:type="pct"/>
            <w:shd w:val="clear" w:color="auto" w:fill="auto"/>
            <w:noWrap/>
            <w:vAlign w:val="center"/>
          </w:tcPr>
          <w:p w14:paraId="23A9420C" w14:textId="77777777" w:rsidR="00D30F1D" w:rsidRPr="0058247A" w:rsidRDefault="00D30F1D" w:rsidP="003B3112">
            <w:pPr>
              <w:pStyle w:val="TableText0"/>
              <w:jc w:val="center"/>
              <w:rPr>
                <w:rFonts w:eastAsia="Calibri" w:cs="Calibri"/>
                <w:lang w:eastAsia="en-US"/>
              </w:rPr>
            </w:pPr>
            <w:r w:rsidRPr="0058247A">
              <w:t>32 (35)</w:t>
            </w:r>
          </w:p>
        </w:tc>
        <w:tc>
          <w:tcPr>
            <w:tcW w:w="863" w:type="pct"/>
            <w:shd w:val="clear" w:color="auto" w:fill="auto"/>
            <w:vAlign w:val="center"/>
          </w:tcPr>
          <w:p w14:paraId="2F579BB4" w14:textId="77777777" w:rsidR="00D30F1D" w:rsidRPr="0058247A" w:rsidRDefault="00D30F1D" w:rsidP="003B3112">
            <w:pPr>
              <w:pStyle w:val="TableText0"/>
              <w:jc w:val="center"/>
              <w:rPr>
                <w:rFonts w:eastAsia="Calibri" w:cs="Calibri"/>
                <w:lang w:eastAsia="en-US"/>
              </w:rPr>
            </w:pPr>
            <w:r w:rsidRPr="0058247A">
              <w:t>16 (15)</w:t>
            </w:r>
          </w:p>
        </w:tc>
        <w:tc>
          <w:tcPr>
            <w:tcW w:w="850" w:type="pct"/>
            <w:shd w:val="clear" w:color="auto" w:fill="auto"/>
            <w:vAlign w:val="center"/>
          </w:tcPr>
          <w:p w14:paraId="4EFD1DF5" w14:textId="77777777" w:rsidR="00D30F1D" w:rsidRPr="0058247A" w:rsidRDefault="00D30F1D" w:rsidP="003B3112">
            <w:pPr>
              <w:pStyle w:val="TableText0"/>
              <w:jc w:val="center"/>
              <w:rPr>
                <w:rFonts w:eastAsia="Calibri" w:cs="Calibri"/>
                <w:lang w:eastAsia="en-US"/>
              </w:rPr>
            </w:pPr>
            <w:r w:rsidRPr="0058247A">
              <w:t>2.33 (1.37, 3.96)</w:t>
            </w:r>
          </w:p>
        </w:tc>
        <w:tc>
          <w:tcPr>
            <w:tcW w:w="851" w:type="pct"/>
            <w:shd w:val="clear" w:color="auto" w:fill="auto"/>
            <w:vAlign w:val="center"/>
          </w:tcPr>
          <w:p w14:paraId="5F732A7A" w14:textId="77777777" w:rsidR="00D30F1D" w:rsidRPr="0058247A" w:rsidRDefault="00D30F1D" w:rsidP="003B3112">
            <w:pPr>
              <w:pStyle w:val="TableText0"/>
              <w:jc w:val="center"/>
              <w:rPr>
                <w:rFonts w:eastAsia="Calibri" w:cs="Calibri"/>
                <w:lang w:eastAsia="en-US"/>
              </w:rPr>
            </w:pPr>
            <w:r w:rsidRPr="0058247A">
              <w:t>0.2 (0.08, 0.32)</w:t>
            </w:r>
          </w:p>
        </w:tc>
      </w:tr>
      <w:tr w:rsidR="00D30F1D" w:rsidRPr="0058247A" w14:paraId="4EF3000E" w14:textId="77777777" w:rsidTr="003B3112">
        <w:trPr>
          <w:trHeight w:val="241"/>
        </w:trPr>
        <w:tc>
          <w:tcPr>
            <w:tcW w:w="1570" w:type="pct"/>
            <w:shd w:val="clear" w:color="auto" w:fill="auto"/>
            <w:noWrap/>
          </w:tcPr>
          <w:p w14:paraId="62802331" w14:textId="77777777" w:rsidR="00D30F1D" w:rsidRPr="0058247A" w:rsidRDefault="00D30F1D" w:rsidP="00A25B4A">
            <w:pPr>
              <w:pStyle w:val="TableText0"/>
              <w:rPr>
                <w:rFonts w:eastAsia="Calibri" w:cs="Calibri"/>
                <w:lang w:eastAsia="en-US"/>
              </w:rPr>
            </w:pPr>
            <w:r w:rsidRPr="0058247A">
              <w:t>Musculoskeletal or soft tissue</w:t>
            </w:r>
          </w:p>
        </w:tc>
        <w:tc>
          <w:tcPr>
            <w:tcW w:w="866" w:type="pct"/>
            <w:shd w:val="clear" w:color="auto" w:fill="auto"/>
            <w:noWrap/>
            <w:vAlign w:val="center"/>
          </w:tcPr>
          <w:p w14:paraId="68D309D5" w14:textId="77777777" w:rsidR="00D30F1D" w:rsidRPr="0058247A" w:rsidRDefault="00D30F1D" w:rsidP="003B3112">
            <w:pPr>
              <w:pStyle w:val="TableText0"/>
              <w:jc w:val="center"/>
              <w:rPr>
                <w:rFonts w:eastAsia="Calibri" w:cs="Calibri"/>
                <w:lang w:eastAsia="en-US"/>
              </w:rPr>
            </w:pPr>
            <w:r w:rsidRPr="0058247A">
              <w:t>24 (26)</w:t>
            </w:r>
          </w:p>
        </w:tc>
        <w:tc>
          <w:tcPr>
            <w:tcW w:w="863" w:type="pct"/>
            <w:shd w:val="clear" w:color="auto" w:fill="auto"/>
            <w:vAlign w:val="center"/>
          </w:tcPr>
          <w:p w14:paraId="032D13F6" w14:textId="77777777" w:rsidR="00D30F1D" w:rsidRPr="0058247A" w:rsidRDefault="00D30F1D" w:rsidP="003B3112">
            <w:pPr>
              <w:pStyle w:val="TableText0"/>
              <w:jc w:val="center"/>
              <w:rPr>
                <w:rFonts w:eastAsia="Calibri" w:cs="Calibri"/>
                <w:lang w:eastAsia="en-US"/>
              </w:rPr>
            </w:pPr>
            <w:r w:rsidRPr="0058247A">
              <w:t>15 (14)</w:t>
            </w:r>
          </w:p>
        </w:tc>
        <w:tc>
          <w:tcPr>
            <w:tcW w:w="850" w:type="pct"/>
            <w:shd w:val="clear" w:color="auto" w:fill="auto"/>
            <w:vAlign w:val="center"/>
          </w:tcPr>
          <w:p w14:paraId="73638733" w14:textId="77777777" w:rsidR="00D30F1D" w:rsidRPr="0058247A" w:rsidRDefault="00D30F1D" w:rsidP="003B3112">
            <w:pPr>
              <w:pStyle w:val="TableText0"/>
              <w:jc w:val="center"/>
              <w:rPr>
                <w:rFonts w:eastAsia="Calibri" w:cs="Calibri"/>
                <w:lang w:eastAsia="en-US"/>
              </w:rPr>
            </w:pPr>
            <w:r w:rsidRPr="0058247A">
              <w:t>1.86 (1.04, 3.33)</w:t>
            </w:r>
          </w:p>
        </w:tc>
        <w:tc>
          <w:tcPr>
            <w:tcW w:w="851" w:type="pct"/>
            <w:shd w:val="clear" w:color="auto" w:fill="auto"/>
            <w:vAlign w:val="center"/>
          </w:tcPr>
          <w:p w14:paraId="4C46B0A1" w14:textId="77777777" w:rsidR="00D30F1D" w:rsidRPr="0058247A" w:rsidRDefault="00D30F1D" w:rsidP="003B3112">
            <w:pPr>
              <w:pStyle w:val="TableText0"/>
              <w:jc w:val="center"/>
              <w:rPr>
                <w:rFonts w:eastAsia="Calibri" w:cs="Calibri"/>
                <w:lang w:eastAsia="en-US"/>
              </w:rPr>
            </w:pPr>
            <w:r w:rsidRPr="0058247A">
              <w:t>0.12 (0.01, 0.23)</w:t>
            </w:r>
          </w:p>
        </w:tc>
      </w:tr>
      <w:tr w:rsidR="00D30F1D" w:rsidRPr="0058247A" w14:paraId="5B18B71C" w14:textId="77777777" w:rsidTr="003B3112">
        <w:trPr>
          <w:trHeight w:val="241"/>
        </w:trPr>
        <w:tc>
          <w:tcPr>
            <w:tcW w:w="1570" w:type="pct"/>
            <w:shd w:val="clear" w:color="auto" w:fill="auto"/>
            <w:noWrap/>
          </w:tcPr>
          <w:p w14:paraId="5B5604AE" w14:textId="77777777" w:rsidR="00D30F1D" w:rsidRPr="0058247A" w:rsidRDefault="00D30F1D" w:rsidP="00A25B4A">
            <w:pPr>
              <w:pStyle w:val="TableText0"/>
              <w:rPr>
                <w:rFonts w:eastAsia="Calibri" w:cs="Calibri"/>
                <w:lang w:eastAsia="en-US"/>
              </w:rPr>
            </w:pPr>
            <w:r w:rsidRPr="0058247A">
              <w:t>Renal or genitourinary</w:t>
            </w:r>
          </w:p>
        </w:tc>
        <w:tc>
          <w:tcPr>
            <w:tcW w:w="866" w:type="pct"/>
            <w:shd w:val="clear" w:color="auto" w:fill="auto"/>
            <w:noWrap/>
            <w:vAlign w:val="center"/>
          </w:tcPr>
          <w:p w14:paraId="0DFE811F" w14:textId="77777777" w:rsidR="00D30F1D" w:rsidRPr="0058247A" w:rsidRDefault="00D30F1D" w:rsidP="003B3112">
            <w:pPr>
              <w:pStyle w:val="TableText0"/>
              <w:jc w:val="center"/>
              <w:rPr>
                <w:rFonts w:eastAsia="Calibri" w:cs="Calibri"/>
                <w:lang w:eastAsia="en-US"/>
              </w:rPr>
            </w:pPr>
            <w:r w:rsidRPr="0058247A">
              <w:t>3 (3)</w:t>
            </w:r>
          </w:p>
        </w:tc>
        <w:tc>
          <w:tcPr>
            <w:tcW w:w="863" w:type="pct"/>
            <w:shd w:val="clear" w:color="auto" w:fill="auto"/>
            <w:vAlign w:val="center"/>
          </w:tcPr>
          <w:p w14:paraId="77AC4A0A" w14:textId="77777777" w:rsidR="00D30F1D" w:rsidRPr="0058247A" w:rsidRDefault="00D30F1D" w:rsidP="003B3112">
            <w:pPr>
              <w:pStyle w:val="TableText0"/>
              <w:jc w:val="center"/>
              <w:rPr>
                <w:rFonts w:eastAsia="Calibri" w:cs="Calibri"/>
                <w:lang w:eastAsia="en-US"/>
              </w:rPr>
            </w:pPr>
            <w:r w:rsidRPr="0058247A">
              <w:t>14 (13)</w:t>
            </w:r>
          </w:p>
        </w:tc>
        <w:tc>
          <w:tcPr>
            <w:tcW w:w="850" w:type="pct"/>
            <w:shd w:val="clear" w:color="auto" w:fill="auto"/>
            <w:vAlign w:val="center"/>
          </w:tcPr>
          <w:p w14:paraId="27A16249" w14:textId="77777777" w:rsidR="00D30F1D" w:rsidRPr="0058247A" w:rsidRDefault="00D30F1D" w:rsidP="003B3112">
            <w:pPr>
              <w:pStyle w:val="TableText0"/>
              <w:jc w:val="center"/>
              <w:rPr>
                <w:rFonts w:eastAsia="Calibri" w:cs="Calibri"/>
                <w:lang w:eastAsia="en-US"/>
              </w:rPr>
            </w:pPr>
            <w:r w:rsidRPr="0058247A">
              <w:t>0.25 (0.07, 0.84)</w:t>
            </w:r>
          </w:p>
        </w:tc>
        <w:tc>
          <w:tcPr>
            <w:tcW w:w="851" w:type="pct"/>
            <w:shd w:val="clear" w:color="auto" w:fill="auto"/>
            <w:vAlign w:val="center"/>
          </w:tcPr>
          <w:p w14:paraId="75445FB6" w14:textId="77777777" w:rsidR="00D30F1D" w:rsidRPr="0058247A" w:rsidRDefault="00D30F1D" w:rsidP="003B3112">
            <w:pPr>
              <w:pStyle w:val="TableText0"/>
              <w:jc w:val="center"/>
              <w:rPr>
                <w:rFonts w:eastAsia="Calibri" w:cs="Calibri"/>
                <w:lang w:eastAsia="en-US"/>
              </w:rPr>
            </w:pPr>
            <w:r w:rsidRPr="0058247A">
              <w:t>-0.1 (-0.17, -0.02)</w:t>
            </w:r>
          </w:p>
        </w:tc>
      </w:tr>
      <w:tr w:rsidR="00D30F1D" w:rsidRPr="0058247A" w14:paraId="4FB8EBB8" w14:textId="77777777" w:rsidTr="003B3112">
        <w:trPr>
          <w:trHeight w:val="241"/>
        </w:trPr>
        <w:tc>
          <w:tcPr>
            <w:tcW w:w="1570" w:type="pct"/>
            <w:shd w:val="clear" w:color="auto" w:fill="auto"/>
            <w:noWrap/>
          </w:tcPr>
          <w:p w14:paraId="5E359FE3" w14:textId="77777777" w:rsidR="00D30F1D" w:rsidRPr="0058247A" w:rsidRDefault="00D30F1D" w:rsidP="00A25B4A">
            <w:pPr>
              <w:pStyle w:val="TableText0"/>
              <w:rPr>
                <w:rFonts w:eastAsia="Calibri" w:cs="Calibri"/>
                <w:lang w:eastAsia="en-US"/>
              </w:rPr>
            </w:pPr>
            <w:r w:rsidRPr="0058247A">
              <w:t>Treatment discontinuation - toxicity</w:t>
            </w:r>
          </w:p>
        </w:tc>
        <w:tc>
          <w:tcPr>
            <w:tcW w:w="866" w:type="pct"/>
            <w:shd w:val="clear" w:color="auto" w:fill="auto"/>
            <w:noWrap/>
            <w:vAlign w:val="center"/>
          </w:tcPr>
          <w:p w14:paraId="4A43A4D3" w14:textId="77777777" w:rsidR="00D30F1D" w:rsidRPr="0058247A" w:rsidRDefault="00D30F1D" w:rsidP="003B3112">
            <w:pPr>
              <w:pStyle w:val="TableText0"/>
              <w:jc w:val="center"/>
              <w:rPr>
                <w:rFonts w:eastAsia="Calibri" w:cs="Calibri"/>
                <w:lang w:eastAsia="en-US"/>
              </w:rPr>
            </w:pPr>
            <w:r w:rsidRPr="0058247A">
              <w:t>43 (47)</w:t>
            </w:r>
          </w:p>
        </w:tc>
        <w:tc>
          <w:tcPr>
            <w:tcW w:w="863" w:type="pct"/>
            <w:shd w:val="clear" w:color="auto" w:fill="auto"/>
            <w:vAlign w:val="center"/>
          </w:tcPr>
          <w:p w14:paraId="201718EF" w14:textId="77777777" w:rsidR="00D30F1D" w:rsidRPr="0058247A" w:rsidRDefault="00D30F1D" w:rsidP="003B3112">
            <w:pPr>
              <w:pStyle w:val="TableText0"/>
              <w:jc w:val="center"/>
              <w:rPr>
                <w:rFonts w:eastAsia="Calibri" w:cs="Calibri"/>
                <w:lang w:eastAsia="en-US"/>
              </w:rPr>
            </w:pPr>
            <w:r w:rsidRPr="0058247A">
              <w:t>28 (26)</w:t>
            </w:r>
          </w:p>
        </w:tc>
        <w:tc>
          <w:tcPr>
            <w:tcW w:w="850" w:type="pct"/>
            <w:shd w:val="clear" w:color="auto" w:fill="auto"/>
            <w:vAlign w:val="center"/>
          </w:tcPr>
          <w:p w14:paraId="312439FA" w14:textId="77777777" w:rsidR="00D30F1D" w:rsidRPr="0058247A" w:rsidRDefault="00D30F1D" w:rsidP="003B3112">
            <w:pPr>
              <w:pStyle w:val="TableText0"/>
              <w:jc w:val="center"/>
              <w:rPr>
                <w:rFonts w:eastAsia="Calibri" w:cs="Calibri"/>
                <w:lang w:eastAsia="en-US"/>
              </w:rPr>
            </w:pPr>
            <w:r w:rsidRPr="0058247A">
              <w:t>1.79 (1.22, 2.63)</w:t>
            </w:r>
          </w:p>
        </w:tc>
        <w:tc>
          <w:tcPr>
            <w:tcW w:w="851" w:type="pct"/>
            <w:shd w:val="clear" w:color="auto" w:fill="auto"/>
            <w:vAlign w:val="center"/>
          </w:tcPr>
          <w:p w14:paraId="55D10BA7" w14:textId="77777777" w:rsidR="00D30F1D" w:rsidRPr="0058247A" w:rsidRDefault="00D30F1D" w:rsidP="003B3112">
            <w:pPr>
              <w:pStyle w:val="TableText0"/>
              <w:jc w:val="center"/>
              <w:rPr>
                <w:rFonts w:eastAsia="Calibri" w:cs="Calibri"/>
                <w:lang w:eastAsia="en-US"/>
              </w:rPr>
            </w:pPr>
            <w:r w:rsidRPr="0058247A">
              <w:t>0.21 (0.07, 0.34)</w:t>
            </w:r>
          </w:p>
        </w:tc>
      </w:tr>
    </w:tbl>
    <w:p w14:paraId="0437DAD2" w14:textId="77777777" w:rsidR="00D30F1D" w:rsidRPr="0058247A" w:rsidRDefault="00D30F1D" w:rsidP="00D30F1D">
      <w:pPr>
        <w:pStyle w:val="FooterTableFigure"/>
      </w:pPr>
      <w:r w:rsidRPr="0058247A">
        <w:t>Source: Table 2.52, p191 of the submission.</w:t>
      </w:r>
    </w:p>
    <w:p w14:paraId="6DD2701F" w14:textId="77777777" w:rsidR="00D30F1D" w:rsidRPr="0058247A" w:rsidRDefault="00D30F1D" w:rsidP="00D30F1D">
      <w:pPr>
        <w:pStyle w:val="FooterTableFigure"/>
      </w:pPr>
      <w:r w:rsidRPr="0058247A">
        <w:t xml:space="preserve">BLd= bortezomib, lenalidomide, </w:t>
      </w:r>
      <w:r w:rsidRPr="0058247A" w:rsidDel="00AC146E">
        <w:t>dexamethason</w:t>
      </w:r>
      <w:r w:rsidRPr="0058247A" w:rsidDel="00771862">
        <w:t>e</w:t>
      </w:r>
      <w:r w:rsidRPr="0058247A">
        <w:t xml:space="preserve">; CTC= common terminology criteria; Ld= lenalidomide, dexamethasone; NA= not applicable; RD= risk difference; RR= risk ratio; TEAE= treatment emergent adverse event. </w:t>
      </w:r>
    </w:p>
    <w:p w14:paraId="31D9370E" w14:textId="1EB263C8" w:rsidR="00D30F1D" w:rsidRPr="0058247A" w:rsidRDefault="00D30F1D" w:rsidP="0015148F">
      <w:pPr>
        <w:pStyle w:val="FooterTableFigure"/>
        <w:spacing w:after="0"/>
      </w:pPr>
      <w:r w:rsidRPr="0058247A">
        <w:rPr>
          <w:vertAlign w:val="superscript"/>
        </w:rPr>
        <w:t>a</w:t>
      </w:r>
      <w:r w:rsidRPr="0058247A">
        <w:t xml:space="preserve"> </w:t>
      </w:r>
      <w:r w:rsidR="0035626A" w:rsidRPr="0058247A">
        <w:t xml:space="preserve">Calculated during the evaluation. </w:t>
      </w:r>
      <w:r w:rsidRPr="0058247A">
        <w:t>This analysis was not powered to detect statistical differences in the occurrence of safety events; apparent differences shown in relative measures of effect are exploratory only.</w:t>
      </w:r>
    </w:p>
    <w:p w14:paraId="7521D1F9" w14:textId="77777777" w:rsidR="00D30F1D" w:rsidRPr="0058247A" w:rsidRDefault="00D30F1D" w:rsidP="00D30F1D">
      <w:pPr>
        <w:pStyle w:val="4-SubsectionHeading"/>
      </w:pPr>
      <w:bookmarkStart w:id="71" w:name="_Toc121741815"/>
      <w:bookmarkStart w:id="72" w:name="_Toc124878975"/>
      <w:r w:rsidRPr="0058247A">
        <w:t>Benefits/harms</w:t>
      </w:r>
      <w:bookmarkEnd w:id="69"/>
      <w:bookmarkEnd w:id="71"/>
      <w:bookmarkEnd w:id="72"/>
    </w:p>
    <w:p w14:paraId="2D813F02" w14:textId="1DF8556B" w:rsidR="00D30F1D" w:rsidRPr="0058247A" w:rsidRDefault="00D30F1D" w:rsidP="00D30F1D">
      <w:pPr>
        <w:pStyle w:val="3-BodyText"/>
        <w:rPr>
          <w:rFonts w:ascii="Arial Narrow" w:hAnsi="Arial Narrow"/>
          <w:b/>
          <w:color w:val="0066FF"/>
          <w:sz w:val="20"/>
          <w:szCs w:val="16"/>
        </w:rPr>
      </w:pPr>
      <w:r w:rsidRPr="0058247A">
        <w:t xml:space="preserve">A summary of the comparative benefits and harms for DLd versus Ld, based on data from the MAIA trial, is presented in </w:t>
      </w:r>
      <w:r w:rsidRPr="0058247A">
        <w:fldChar w:fldCharType="begin"/>
      </w:r>
      <w:r w:rsidRPr="0058247A">
        <w:instrText xml:space="preserve"> REF _Ref121405229 \h </w:instrText>
      </w:r>
      <w:r w:rsidRPr="0058247A">
        <w:fldChar w:fldCharType="separate"/>
      </w:r>
      <w:r w:rsidR="008D65C7" w:rsidRPr="0058247A">
        <w:t xml:space="preserve">Table </w:t>
      </w:r>
      <w:r w:rsidR="008D65C7">
        <w:rPr>
          <w:noProof/>
        </w:rPr>
        <w:t>12</w:t>
      </w:r>
      <w:r w:rsidRPr="0058247A">
        <w:fldChar w:fldCharType="end"/>
      </w:r>
      <w:r w:rsidRPr="0058247A">
        <w:t>.</w:t>
      </w:r>
    </w:p>
    <w:p w14:paraId="525B0BD0" w14:textId="4727B938" w:rsidR="00D30F1D" w:rsidRPr="0058247A" w:rsidRDefault="00D30F1D" w:rsidP="00D30F1D">
      <w:pPr>
        <w:pStyle w:val="Caption"/>
      </w:pPr>
      <w:bookmarkStart w:id="73" w:name="_Ref121405229"/>
      <w:r w:rsidRPr="0058247A">
        <w:lastRenderedPageBreak/>
        <w:t xml:space="preserve">Table </w:t>
      </w:r>
      <w:fldSimple w:instr=" SEQ Table \* ARABIC ">
        <w:r w:rsidR="008D65C7">
          <w:rPr>
            <w:noProof/>
          </w:rPr>
          <w:t>12</w:t>
        </w:r>
      </w:fldSimple>
      <w:bookmarkEnd w:id="73"/>
      <w:r w:rsidRPr="0058247A">
        <w:t>: Summary of comparative benefits and harms for DLd and Ld.</w:t>
      </w:r>
    </w:p>
    <w:tbl>
      <w:tblPr>
        <w:tblStyle w:val="TableGrid"/>
        <w:tblW w:w="5028" w:type="pct"/>
        <w:tblLayout w:type="fixed"/>
        <w:tblCellMar>
          <w:left w:w="28" w:type="dxa"/>
          <w:right w:w="28" w:type="dxa"/>
        </w:tblCellMar>
        <w:tblLook w:val="04A0" w:firstRow="1" w:lastRow="0" w:firstColumn="1" w:lastColumn="0" w:noHBand="0" w:noVBand="1"/>
      </w:tblPr>
      <w:tblGrid>
        <w:gridCol w:w="3113"/>
        <w:gridCol w:w="1683"/>
        <w:gridCol w:w="1560"/>
        <w:gridCol w:w="1097"/>
        <w:gridCol w:w="1614"/>
      </w:tblGrid>
      <w:tr w:rsidR="00E93FF7" w:rsidRPr="0058247A" w14:paraId="2C3120D8" w14:textId="77777777" w:rsidTr="00A25B4A">
        <w:trPr>
          <w:trHeight w:val="22"/>
        </w:trPr>
        <w:tc>
          <w:tcPr>
            <w:tcW w:w="5000" w:type="pct"/>
            <w:gridSpan w:val="5"/>
            <w:shd w:val="clear" w:color="auto" w:fill="auto"/>
          </w:tcPr>
          <w:p w14:paraId="0BC1FDC5" w14:textId="5DF8F0A5" w:rsidR="00E93FF7" w:rsidRPr="0058247A" w:rsidRDefault="00E93FF7" w:rsidP="00A25B4A">
            <w:pPr>
              <w:pStyle w:val="In-tableHeading"/>
              <w:rPr>
                <w:lang w:val="en-AU"/>
              </w:rPr>
            </w:pPr>
            <w:r w:rsidRPr="0058247A">
              <w:rPr>
                <w:lang w:val="en-AU"/>
              </w:rPr>
              <w:t>Benefits</w:t>
            </w:r>
          </w:p>
        </w:tc>
      </w:tr>
      <w:tr w:rsidR="00D30F1D" w:rsidRPr="0058247A" w14:paraId="56F9B225" w14:textId="77777777" w:rsidTr="00A25B4A">
        <w:trPr>
          <w:trHeight w:val="22"/>
        </w:trPr>
        <w:tc>
          <w:tcPr>
            <w:tcW w:w="5000" w:type="pct"/>
            <w:gridSpan w:val="5"/>
            <w:shd w:val="clear" w:color="auto" w:fill="auto"/>
          </w:tcPr>
          <w:p w14:paraId="22E21984" w14:textId="77777777" w:rsidR="00D30F1D" w:rsidRPr="0058247A" w:rsidRDefault="00D30F1D" w:rsidP="00A25B4A">
            <w:pPr>
              <w:pStyle w:val="In-tableHeading"/>
              <w:rPr>
                <w:lang w:val="en-AU"/>
              </w:rPr>
            </w:pPr>
            <w:r w:rsidRPr="0058247A">
              <w:rPr>
                <w:lang w:val="en-AU"/>
              </w:rPr>
              <w:t>Progression free survival (median duration of follow-up 64.5 months)</w:t>
            </w:r>
          </w:p>
        </w:tc>
      </w:tr>
      <w:tr w:rsidR="00D30F1D" w:rsidRPr="0058247A" w14:paraId="7B2B53F4" w14:textId="77777777" w:rsidTr="00E93FF7">
        <w:trPr>
          <w:trHeight w:val="22"/>
        </w:trPr>
        <w:tc>
          <w:tcPr>
            <w:tcW w:w="1717" w:type="pct"/>
            <w:tcBorders>
              <w:bottom w:val="single" w:sz="4" w:space="0" w:color="auto"/>
            </w:tcBorders>
            <w:shd w:val="clear" w:color="auto" w:fill="auto"/>
          </w:tcPr>
          <w:p w14:paraId="44342370" w14:textId="77777777" w:rsidR="00D30F1D" w:rsidRPr="0058247A" w:rsidRDefault="00D30F1D" w:rsidP="00A25B4A">
            <w:pPr>
              <w:pStyle w:val="In-tableHeading"/>
              <w:rPr>
                <w:lang w:val="en-AU"/>
              </w:rPr>
            </w:pPr>
            <w:r w:rsidRPr="0058247A">
              <w:rPr>
                <w:lang w:val="en-AU"/>
              </w:rPr>
              <w:t>Event</w:t>
            </w:r>
          </w:p>
        </w:tc>
        <w:tc>
          <w:tcPr>
            <w:tcW w:w="928" w:type="pct"/>
            <w:tcBorders>
              <w:bottom w:val="single" w:sz="4" w:space="0" w:color="auto"/>
            </w:tcBorders>
            <w:shd w:val="clear" w:color="auto" w:fill="auto"/>
          </w:tcPr>
          <w:p w14:paraId="1F404C0B" w14:textId="77777777" w:rsidR="00D30F1D" w:rsidRPr="0058247A" w:rsidRDefault="00D30F1D" w:rsidP="00A25B4A">
            <w:pPr>
              <w:pStyle w:val="In-tableHeading"/>
              <w:jc w:val="center"/>
              <w:rPr>
                <w:lang w:val="en-AU"/>
              </w:rPr>
            </w:pPr>
            <w:r w:rsidRPr="0058247A">
              <w:rPr>
                <w:lang w:val="en-AU"/>
              </w:rPr>
              <w:t>DLd</w:t>
            </w:r>
          </w:p>
        </w:tc>
        <w:tc>
          <w:tcPr>
            <w:tcW w:w="860" w:type="pct"/>
            <w:tcBorders>
              <w:bottom w:val="single" w:sz="4" w:space="0" w:color="auto"/>
            </w:tcBorders>
            <w:shd w:val="clear" w:color="auto" w:fill="auto"/>
          </w:tcPr>
          <w:p w14:paraId="00B1F8FF" w14:textId="77777777" w:rsidR="00D30F1D" w:rsidRPr="0058247A" w:rsidRDefault="00D30F1D" w:rsidP="00A25B4A">
            <w:pPr>
              <w:pStyle w:val="In-tableHeading"/>
              <w:jc w:val="center"/>
              <w:rPr>
                <w:lang w:val="en-AU"/>
              </w:rPr>
            </w:pPr>
            <w:r w:rsidRPr="0058247A">
              <w:rPr>
                <w:lang w:val="en-AU"/>
              </w:rPr>
              <w:t>Ld</w:t>
            </w:r>
          </w:p>
        </w:tc>
        <w:tc>
          <w:tcPr>
            <w:tcW w:w="605" w:type="pct"/>
            <w:tcBorders>
              <w:bottom w:val="single" w:sz="4" w:space="0" w:color="auto"/>
            </w:tcBorders>
            <w:shd w:val="clear" w:color="auto" w:fill="auto"/>
          </w:tcPr>
          <w:p w14:paraId="46AA0E8D" w14:textId="77777777" w:rsidR="00D30F1D" w:rsidRPr="0058247A" w:rsidRDefault="00D30F1D" w:rsidP="00A25B4A">
            <w:pPr>
              <w:pStyle w:val="In-tableHeading"/>
              <w:jc w:val="center"/>
              <w:rPr>
                <w:rFonts w:asciiTheme="minorHAnsi" w:hAnsiTheme="minorHAnsi"/>
                <w:lang w:val="en-AU"/>
              </w:rPr>
            </w:pPr>
            <w:r w:rsidRPr="0058247A">
              <w:rPr>
                <w:lang w:val="en-AU"/>
              </w:rPr>
              <w:t>Absolute Difference</w:t>
            </w:r>
          </w:p>
        </w:tc>
        <w:tc>
          <w:tcPr>
            <w:tcW w:w="890" w:type="pct"/>
            <w:tcBorders>
              <w:bottom w:val="single" w:sz="4" w:space="0" w:color="auto"/>
            </w:tcBorders>
            <w:shd w:val="clear" w:color="auto" w:fill="auto"/>
          </w:tcPr>
          <w:p w14:paraId="04FD0EBE" w14:textId="77777777" w:rsidR="00D30F1D" w:rsidRPr="0058247A" w:rsidRDefault="00D30F1D" w:rsidP="00A25B4A">
            <w:pPr>
              <w:pStyle w:val="In-tableHeading"/>
              <w:jc w:val="center"/>
              <w:rPr>
                <w:lang w:val="en-AU"/>
              </w:rPr>
            </w:pPr>
            <w:r w:rsidRPr="0058247A">
              <w:rPr>
                <w:lang w:val="en-AU"/>
              </w:rPr>
              <w:t>HR (95% CI)</w:t>
            </w:r>
          </w:p>
        </w:tc>
      </w:tr>
      <w:tr w:rsidR="00D30F1D" w:rsidRPr="0058247A" w14:paraId="2E45684D" w14:textId="77777777" w:rsidTr="00E93FF7">
        <w:trPr>
          <w:trHeight w:val="22"/>
        </w:trPr>
        <w:tc>
          <w:tcPr>
            <w:tcW w:w="1717" w:type="pct"/>
            <w:tcBorders>
              <w:bottom w:val="single" w:sz="4" w:space="0" w:color="auto"/>
              <w:right w:val="single" w:sz="4" w:space="0" w:color="auto"/>
            </w:tcBorders>
            <w:shd w:val="clear" w:color="auto" w:fill="auto"/>
          </w:tcPr>
          <w:p w14:paraId="4840BC0A" w14:textId="77777777" w:rsidR="00D30F1D" w:rsidRPr="0058247A" w:rsidRDefault="00D30F1D" w:rsidP="00A25B4A">
            <w:pPr>
              <w:pStyle w:val="TableText0"/>
              <w:keepLines/>
              <w:widowControl w:val="0"/>
            </w:pPr>
            <w:r w:rsidRPr="0058247A">
              <w:t>Progressed, n (%)</w:t>
            </w:r>
          </w:p>
        </w:tc>
        <w:tc>
          <w:tcPr>
            <w:tcW w:w="928" w:type="pct"/>
            <w:tcBorders>
              <w:left w:val="single" w:sz="4" w:space="0" w:color="auto"/>
              <w:bottom w:val="single" w:sz="4" w:space="0" w:color="auto"/>
              <w:right w:val="single" w:sz="4" w:space="0" w:color="auto"/>
            </w:tcBorders>
            <w:shd w:val="clear" w:color="auto" w:fill="auto"/>
            <w:vAlign w:val="center"/>
          </w:tcPr>
          <w:p w14:paraId="767AA3F8" w14:textId="77777777" w:rsidR="00D30F1D" w:rsidRPr="0058247A" w:rsidRDefault="00D30F1D" w:rsidP="00A25B4A">
            <w:pPr>
              <w:pStyle w:val="TableText0"/>
              <w:keepLines/>
              <w:widowControl w:val="0"/>
              <w:jc w:val="center"/>
            </w:pPr>
            <w:r w:rsidRPr="0058247A">
              <w:rPr>
                <w:rFonts w:cs="Calibri"/>
                <w:color w:val="000000"/>
                <w:szCs w:val="20"/>
              </w:rPr>
              <w:t>176 (47.8%)</w:t>
            </w:r>
          </w:p>
        </w:tc>
        <w:tc>
          <w:tcPr>
            <w:tcW w:w="860" w:type="pct"/>
            <w:tcBorders>
              <w:left w:val="single" w:sz="4" w:space="0" w:color="auto"/>
              <w:bottom w:val="single" w:sz="4" w:space="0" w:color="auto"/>
              <w:right w:val="single" w:sz="4" w:space="0" w:color="auto"/>
            </w:tcBorders>
            <w:shd w:val="clear" w:color="auto" w:fill="auto"/>
            <w:vAlign w:val="center"/>
          </w:tcPr>
          <w:p w14:paraId="59F16737" w14:textId="77777777" w:rsidR="00D30F1D" w:rsidRPr="0058247A" w:rsidRDefault="00D30F1D" w:rsidP="00A25B4A">
            <w:pPr>
              <w:pStyle w:val="TableText0"/>
              <w:keepLines/>
              <w:widowControl w:val="0"/>
              <w:jc w:val="center"/>
            </w:pPr>
            <w:r w:rsidRPr="0058247A">
              <w:rPr>
                <w:rFonts w:cs="Calibri"/>
                <w:color w:val="000000"/>
                <w:szCs w:val="20"/>
              </w:rPr>
              <w:t>228 (61.8%)</w:t>
            </w:r>
          </w:p>
        </w:tc>
        <w:tc>
          <w:tcPr>
            <w:tcW w:w="605" w:type="pct"/>
            <w:tcBorders>
              <w:left w:val="single" w:sz="4" w:space="0" w:color="auto"/>
              <w:bottom w:val="single" w:sz="4" w:space="0" w:color="auto"/>
              <w:right w:val="single" w:sz="4" w:space="0" w:color="auto"/>
            </w:tcBorders>
            <w:shd w:val="clear" w:color="auto" w:fill="auto"/>
          </w:tcPr>
          <w:p w14:paraId="1D118837" w14:textId="5C7F29CB" w:rsidR="00D30F1D" w:rsidRPr="0058247A" w:rsidRDefault="00CA3CDB" w:rsidP="00A25B4A">
            <w:pPr>
              <w:pStyle w:val="TableText0"/>
              <w:keepLines/>
              <w:widowControl w:val="0"/>
              <w:jc w:val="center"/>
              <w:rPr>
                <w:color w:val="0070C0"/>
              </w:rPr>
            </w:pPr>
            <w:r w:rsidRPr="0058247A">
              <w:t>-</w:t>
            </w:r>
          </w:p>
        </w:tc>
        <w:tc>
          <w:tcPr>
            <w:tcW w:w="890" w:type="pct"/>
            <w:vMerge w:val="restart"/>
            <w:tcBorders>
              <w:left w:val="single" w:sz="4" w:space="0" w:color="auto"/>
            </w:tcBorders>
            <w:shd w:val="clear" w:color="auto" w:fill="auto"/>
            <w:vAlign w:val="center"/>
          </w:tcPr>
          <w:p w14:paraId="44A37AA6" w14:textId="77777777" w:rsidR="00D30F1D" w:rsidRPr="0058247A" w:rsidRDefault="00D30F1D" w:rsidP="00A25B4A">
            <w:pPr>
              <w:pStyle w:val="TableText0"/>
              <w:keepLines/>
              <w:widowControl w:val="0"/>
              <w:jc w:val="center"/>
              <w:rPr>
                <w:b/>
                <w:bCs w:val="0"/>
                <w:szCs w:val="20"/>
              </w:rPr>
            </w:pPr>
            <w:r w:rsidRPr="0058247A">
              <w:rPr>
                <w:b/>
                <w:bCs w:val="0"/>
                <w:szCs w:val="20"/>
              </w:rPr>
              <w:t>0.55 (0.45, 0.67)</w:t>
            </w:r>
          </w:p>
          <w:p w14:paraId="4EA515E2" w14:textId="5ED5549F" w:rsidR="00D30F1D" w:rsidRPr="0058247A" w:rsidRDefault="00D30F1D" w:rsidP="00A25B4A">
            <w:pPr>
              <w:pStyle w:val="TableText0"/>
              <w:keepLines/>
              <w:widowControl w:val="0"/>
              <w:jc w:val="center"/>
            </w:pPr>
            <w:r w:rsidRPr="0058247A">
              <w:rPr>
                <w:b/>
                <w:bCs w:val="0"/>
                <w:szCs w:val="20"/>
              </w:rPr>
              <w:t>P</w:t>
            </w:r>
            <w:r w:rsidR="003B3112">
              <w:rPr>
                <w:b/>
                <w:bCs w:val="0"/>
                <w:szCs w:val="20"/>
              </w:rPr>
              <w:t xml:space="preserve"> </w:t>
            </w:r>
            <w:r w:rsidRPr="0058247A">
              <w:rPr>
                <w:b/>
                <w:bCs w:val="0"/>
                <w:szCs w:val="20"/>
              </w:rPr>
              <w:t>= 0.0001</w:t>
            </w:r>
          </w:p>
        </w:tc>
      </w:tr>
      <w:tr w:rsidR="00D30F1D" w:rsidRPr="0058247A" w14:paraId="59AF6771" w14:textId="77777777" w:rsidTr="00E93FF7">
        <w:trPr>
          <w:trHeight w:val="22"/>
        </w:trPr>
        <w:tc>
          <w:tcPr>
            <w:tcW w:w="1717" w:type="pct"/>
            <w:tcBorders>
              <w:bottom w:val="single" w:sz="4" w:space="0" w:color="auto"/>
              <w:right w:val="single" w:sz="4" w:space="0" w:color="auto"/>
            </w:tcBorders>
            <w:shd w:val="clear" w:color="auto" w:fill="auto"/>
          </w:tcPr>
          <w:p w14:paraId="37BF2CB6" w14:textId="77777777" w:rsidR="00D30F1D" w:rsidRPr="0058247A" w:rsidRDefault="00D30F1D" w:rsidP="00A25B4A">
            <w:pPr>
              <w:pStyle w:val="TableText0"/>
              <w:keepLines/>
              <w:widowControl w:val="0"/>
            </w:pPr>
            <w:r w:rsidRPr="0058247A">
              <w:t>Median PFS, months (95% CI)</w:t>
            </w:r>
          </w:p>
        </w:tc>
        <w:tc>
          <w:tcPr>
            <w:tcW w:w="928" w:type="pct"/>
            <w:tcBorders>
              <w:left w:val="single" w:sz="4" w:space="0" w:color="auto"/>
              <w:bottom w:val="single" w:sz="4" w:space="0" w:color="auto"/>
              <w:right w:val="single" w:sz="4" w:space="0" w:color="auto"/>
            </w:tcBorders>
            <w:shd w:val="clear" w:color="auto" w:fill="auto"/>
          </w:tcPr>
          <w:p w14:paraId="3C231AAF" w14:textId="77777777" w:rsidR="00D30F1D" w:rsidRPr="0058247A" w:rsidRDefault="00D30F1D" w:rsidP="00A25B4A">
            <w:pPr>
              <w:pStyle w:val="TableText0"/>
              <w:keepLines/>
              <w:widowControl w:val="0"/>
              <w:jc w:val="center"/>
              <w:rPr>
                <w:rFonts w:cs="Times New Roman"/>
                <w:szCs w:val="20"/>
              </w:rPr>
            </w:pPr>
            <w:r w:rsidRPr="0058247A">
              <w:t xml:space="preserve">61.9 </w:t>
            </w:r>
            <w:r w:rsidRPr="0058247A">
              <w:rPr>
                <w:rFonts w:cs="Times New Roman"/>
                <w:szCs w:val="20"/>
              </w:rPr>
              <w:t>(54.8, NE)</w:t>
            </w:r>
          </w:p>
        </w:tc>
        <w:tc>
          <w:tcPr>
            <w:tcW w:w="860" w:type="pct"/>
            <w:tcBorders>
              <w:left w:val="single" w:sz="4" w:space="0" w:color="auto"/>
              <w:bottom w:val="single" w:sz="4" w:space="0" w:color="auto"/>
              <w:right w:val="single" w:sz="4" w:space="0" w:color="auto"/>
            </w:tcBorders>
            <w:shd w:val="clear" w:color="auto" w:fill="auto"/>
          </w:tcPr>
          <w:p w14:paraId="29C379E0" w14:textId="77777777" w:rsidR="00D30F1D" w:rsidRPr="0058247A" w:rsidRDefault="00D30F1D" w:rsidP="00A25B4A">
            <w:pPr>
              <w:pStyle w:val="TableText0"/>
              <w:keepLines/>
              <w:widowControl w:val="0"/>
              <w:jc w:val="center"/>
              <w:rPr>
                <w:rFonts w:cs="Times New Roman"/>
                <w:szCs w:val="20"/>
              </w:rPr>
            </w:pPr>
            <w:r w:rsidRPr="0058247A">
              <w:t>34.4 (29.6, 39.2)</w:t>
            </w:r>
          </w:p>
        </w:tc>
        <w:tc>
          <w:tcPr>
            <w:tcW w:w="605" w:type="pct"/>
            <w:tcBorders>
              <w:left w:val="single" w:sz="4" w:space="0" w:color="auto"/>
              <w:bottom w:val="single" w:sz="4" w:space="0" w:color="auto"/>
              <w:right w:val="single" w:sz="4" w:space="0" w:color="auto"/>
            </w:tcBorders>
            <w:shd w:val="clear" w:color="auto" w:fill="auto"/>
          </w:tcPr>
          <w:p w14:paraId="4B275918" w14:textId="77777777" w:rsidR="00D30F1D" w:rsidRPr="0058247A" w:rsidRDefault="00D30F1D" w:rsidP="00A25B4A">
            <w:pPr>
              <w:pStyle w:val="TableText0"/>
              <w:keepLines/>
              <w:widowControl w:val="0"/>
              <w:jc w:val="center"/>
            </w:pPr>
            <w:r w:rsidRPr="0058247A">
              <w:t>27.5</w:t>
            </w:r>
          </w:p>
        </w:tc>
        <w:tc>
          <w:tcPr>
            <w:tcW w:w="890" w:type="pct"/>
            <w:vMerge/>
            <w:tcBorders>
              <w:left w:val="single" w:sz="4" w:space="0" w:color="auto"/>
            </w:tcBorders>
            <w:shd w:val="clear" w:color="auto" w:fill="auto"/>
          </w:tcPr>
          <w:p w14:paraId="3F91DBF0" w14:textId="77777777" w:rsidR="00D30F1D" w:rsidRPr="0058247A" w:rsidRDefault="00D30F1D" w:rsidP="00A25B4A">
            <w:pPr>
              <w:pStyle w:val="TableText0"/>
              <w:keepLines/>
              <w:widowControl w:val="0"/>
              <w:jc w:val="center"/>
              <w:rPr>
                <w:szCs w:val="20"/>
              </w:rPr>
            </w:pPr>
          </w:p>
        </w:tc>
      </w:tr>
      <w:tr w:rsidR="00D30F1D" w:rsidRPr="0058247A" w14:paraId="7CA26838" w14:textId="77777777" w:rsidTr="00E93FF7">
        <w:trPr>
          <w:trHeight w:val="22"/>
        </w:trPr>
        <w:tc>
          <w:tcPr>
            <w:tcW w:w="1717" w:type="pct"/>
            <w:tcBorders>
              <w:top w:val="single" w:sz="4" w:space="0" w:color="auto"/>
              <w:bottom w:val="single" w:sz="4" w:space="0" w:color="auto"/>
              <w:right w:val="single" w:sz="4" w:space="0" w:color="auto"/>
            </w:tcBorders>
            <w:shd w:val="clear" w:color="auto" w:fill="auto"/>
          </w:tcPr>
          <w:p w14:paraId="3920516A" w14:textId="2CB8017F" w:rsidR="00D30F1D" w:rsidRPr="0058247A" w:rsidRDefault="00D30F1D" w:rsidP="00A25B4A">
            <w:pPr>
              <w:pStyle w:val="TableText0"/>
              <w:keepLines/>
              <w:widowControl w:val="0"/>
            </w:pPr>
            <w:r w:rsidRPr="0058247A">
              <w:t xml:space="preserve">% </w:t>
            </w:r>
            <w:r w:rsidR="00697CEA" w:rsidRPr="0058247A">
              <w:t xml:space="preserve">progression free </w:t>
            </w:r>
            <w:r w:rsidRPr="0058247A">
              <w:t xml:space="preserve">at 12-month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7E0108C" w14:textId="5DCC221E" w:rsidR="00D30F1D" w:rsidRPr="0058247A" w:rsidRDefault="00D30F1D" w:rsidP="00A25B4A">
            <w:pPr>
              <w:pStyle w:val="TableText0"/>
              <w:keepLines/>
              <w:widowControl w:val="0"/>
              <w:jc w:val="center"/>
            </w:pPr>
            <w:r w:rsidRPr="0058247A">
              <w:t>86.5 (82.5, 89.6)</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59E797CF" w14:textId="7B45CF6F" w:rsidR="00D30F1D" w:rsidRPr="0058247A" w:rsidRDefault="00D30F1D" w:rsidP="00A25B4A">
            <w:pPr>
              <w:pStyle w:val="TableText0"/>
              <w:keepLines/>
              <w:widowControl w:val="0"/>
              <w:jc w:val="center"/>
              <w:rPr>
                <w:szCs w:val="20"/>
              </w:rPr>
            </w:pPr>
            <w:r w:rsidRPr="0058247A">
              <w:t xml:space="preserve">78.1 (73.3, 82.1)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24B7CEF2" w14:textId="4033BCCD" w:rsidR="00D30F1D" w:rsidRPr="0058247A" w:rsidRDefault="00D30F1D" w:rsidP="00A25B4A">
            <w:pPr>
              <w:pStyle w:val="TableText0"/>
              <w:keepLines/>
              <w:widowControl w:val="0"/>
              <w:jc w:val="center"/>
            </w:pPr>
            <w:r w:rsidRPr="0058247A">
              <w:t>8.4</w:t>
            </w:r>
          </w:p>
        </w:tc>
        <w:tc>
          <w:tcPr>
            <w:tcW w:w="890" w:type="pct"/>
            <w:vMerge/>
            <w:tcBorders>
              <w:left w:val="single" w:sz="4" w:space="0" w:color="auto"/>
            </w:tcBorders>
            <w:shd w:val="clear" w:color="auto" w:fill="auto"/>
          </w:tcPr>
          <w:p w14:paraId="3A8ADF39" w14:textId="77777777" w:rsidR="00D30F1D" w:rsidRPr="0058247A" w:rsidRDefault="00D30F1D" w:rsidP="00A25B4A">
            <w:pPr>
              <w:pStyle w:val="TableText0"/>
              <w:keepLines/>
              <w:widowControl w:val="0"/>
              <w:jc w:val="center"/>
            </w:pPr>
          </w:p>
        </w:tc>
      </w:tr>
      <w:tr w:rsidR="00D30F1D" w:rsidRPr="0058247A" w14:paraId="737B37C4" w14:textId="77777777" w:rsidTr="00E93FF7">
        <w:trPr>
          <w:trHeight w:val="22"/>
        </w:trPr>
        <w:tc>
          <w:tcPr>
            <w:tcW w:w="1717" w:type="pct"/>
            <w:tcBorders>
              <w:top w:val="single" w:sz="4" w:space="0" w:color="auto"/>
              <w:bottom w:val="single" w:sz="4" w:space="0" w:color="auto"/>
              <w:right w:val="single" w:sz="4" w:space="0" w:color="auto"/>
            </w:tcBorders>
            <w:shd w:val="clear" w:color="auto" w:fill="auto"/>
          </w:tcPr>
          <w:p w14:paraId="7D85165D" w14:textId="78C4071E" w:rsidR="00D30F1D" w:rsidRPr="0058247A" w:rsidRDefault="00D30F1D" w:rsidP="00A25B4A">
            <w:pPr>
              <w:pStyle w:val="TableText0"/>
              <w:keepLines/>
              <w:widowControl w:val="0"/>
            </w:pPr>
            <w:r w:rsidRPr="0058247A">
              <w:t xml:space="preserve">% </w:t>
            </w:r>
            <w:r w:rsidR="00697CEA" w:rsidRPr="0058247A">
              <w:t>progression free</w:t>
            </w:r>
            <w:r w:rsidRPr="0058247A">
              <w:t xml:space="preserve"> at 24-month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75B7EEE2" w14:textId="1BDED878" w:rsidR="00D30F1D" w:rsidRPr="0058247A" w:rsidRDefault="00D30F1D" w:rsidP="00A25B4A">
            <w:pPr>
              <w:pStyle w:val="TableText0"/>
              <w:keepLines/>
              <w:widowControl w:val="0"/>
              <w:jc w:val="center"/>
              <w:rPr>
                <w:szCs w:val="20"/>
              </w:rPr>
            </w:pPr>
            <w:r w:rsidRPr="0058247A">
              <w:t>76.3 (71.5, 80.4)</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C54531B" w14:textId="4F233ED2" w:rsidR="00D30F1D" w:rsidRPr="0058247A" w:rsidRDefault="00D30F1D" w:rsidP="00A25B4A">
            <w:pPr>
              <w:pStyle w:val="TableText0"/>
              <w:keepLines/>
              <w:widowControl w:val="0"/>
              <w:jc w:val="center"/>
              <w:rPr>
                <w:szCs w:val="20"/>
              </w:rPr>
            </w:pPr>
            <w:r w:rsidRPr="0058247A">
              <w:t xml:space="preserve">61.1 (55.6, 66.1)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3A050827" w14:textId="162DE638" w:rsidR="00D30F1D" w:rsidRPr="0058247A" w:rsidRDefault="00D30F1D" w:rsidP="00A25B4A">
            <w:pPr>
              <w:pStyle w:val="TableText0"/>
              <w:keepLines/>
              <w:widowControl w:val="0"/>
              <w:jc w:val="center"/>
              <w:rPr>
                <w:rFonts w:cs="Times New Roman"/>
                <w:szCs w:val="20"/>
              </w:rPr>
            </w:pPr>
            <w:r w:rsidRPr="0058247A">
              <w:t>15.2</w:t>
            </w:r>
          </w:p>
        </w:tc>
        <w:tc>
          <w:tcPr>
            <w:tcW w:w="890" w:type="pct"/>
            <w:vMerge/>
            <w:tcBorders>
              <w:left w:val="single" w:sz="4" w:space="0" w:color="auto"/>
            </w:tcBorders>
            <w:shd w:val="clear" w:color="auto" w:fill="auto"/>
          </w:tcPr>
          <w:p w14:paraId="6E1695BC" w14:textId="77777777" w:rsidR="00D30F1D" w:rsidRPr="0058247A" w:rsidRDefault="00D30F1D" w:rsidP="00A25B4A">
            <w:pPr>
              <w:pStyle w:val="TableText0"/>
              <w:keepLines/>
              <w:widowControl w:val="0"/>
              <w:jc w:val="center"/>
            </w:pPr>
          </w:p>
        </w:tc>
      </w:tr>
      <w:tr w:rsidR="00D30F1D" w:rsidRPr="0058247A" w14:paraId="46DDE719" w14:textId="77777777" w:rsidTr="00E93FF7">
        <w:trPr>
          <w:trHeight w:val="22"/>
        </w:trPr>
        <w:tc>
          <w:tcPr>
            <w:tcW w:w="1717" w:type="pct"/>
            <w:tcBorders>
              <w:top w:val="single" w:sz="4" w:space="0" w:color="auto"/>
              <w:bottom w:val="single" w:sz="4" w:space="0" w:color="auto"/>
              <w:right w:val="single" w:sz="4" w:space="0" w:color="auto"/>
            </w:tcBorders>
            <w:shd w:val="clear" w:color="auto" w:fill="auto"/>
          </w:tcPr>
          <w:p w14:paraId="59175EC0" w14:textId="2C897572" w:rsidR="00D30F1D" w:rsidRPr="0058247A" w:rsidRDefault="00D30F1D" w:rsidP="00A25B4A">
            <w:pPr>
              <w:pStyle w:val="TableText0"/>
              <w:keepLines/>
              <w:widowControl w:val="0"/>
            </w:pPr>
            <w:r w:rsidRPr="0058247A">
              <w:t xml:space="preserve">% </w:t>
            </w:r>
            <w:r w:rsidR="00697CEA" w:rsidRPr="0058247A">
              <w:t>progression free</w:t>
            </w:r>
            <w:r w:rsidRPr="0058247A">
              <w:t xml:space="preserve"> at 36-month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709AD206" w14:textId="312A2271" w:rsidR="00D30F1D" w:rsidRPr="0058247A" w:rsidRDefault="00D30F1D" w:rsidP="00A25B4A">
            <w:pPr>
              <w:pStyle w:val="TableText0"/>
              <w:keepLines/>
              <w:widowControl w:val="0"/>
              <w:jc w:val="center"/>
              <w:rPr>
                <w:szCs w:val="20"/>
              </w:rPr>
            </w:pPr>
            <w:r w:rsidRPr="0058247A">
              <w:t>67.4 (62.2, 72.0)</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E782E0E" w14:textId="387811F5" w:rsidR="00D30F1D" w:rsidRPr="0058247A" w:rsidRDefault="00D30F1D" w:rsidP="00A25B4A">
            <w:pPr>
              <w:pStyle w:val="TableText0"/>
              <w:keepLines/>
              <w:widowControl w:val="0"/>
              <w:jc w:val="center"/>
              <w:rPr>
                <w:szCs w:val="20"/>
              </w:rPr>
            </w:pPr>
            <w:r w:rsidRPr="0058247A">
              <w:t xml:space="preserve">47.2 (41.6, 52.5)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638BD548" w14:textId="7155B3BA" w:rsidR="00D30F1D" w:rsidRPr="0058247A" w:rsidRDefault="00D30F1D" w:rsidP="00A25B4A">
            <w:pPr>
              <w:pStyle w:val="TableText0"/>
              <w:keepLines/>
              <w:widowControl w:val="0"/>
              <w:jc w:val="center"/>
              <w:rPr>
                <w:rFonts w:cs="Times New Roman"/>
                <w:szCs w:val="20"/>
              </w:rPr>
            </w:pPr>
            <w:r w:rsidRPr="0058247A">
              <w:t>20.2</w:t>
            </w:r>
          </w:p>
        </w:tc>
        <w:tc>
          <w:tcPr>
            <w:tcW w:w="890" w:type="pct"/>
            <w:vMerge/>
            <w:tcBorders>
              <w:left w:val="single" w:sz="4" w:space="0" w:color="auto"/>
            </w:tcBorders>
            <w:shd w:val="clear" w:color="auto" w:fill="auto"/>
          </w:tcPr>
          <w:p w14:paraId="0682114A" w14:textId="77777777" w:rsidR="00D30F1D" w:rsidRPr="0058247A" w:rsidRDefault="00D30F1D" w:rsidP="00A25B4A">
            <w:pPr>
              <w:pStyle w:val="TableText0"/>
              <w:keepLines/>
              <w:widowControl w:val="0"/>
              <w:jc w:val="center"/>
            </w:pPr>
          </w:p>
        </w:tc>
      </w:tr>
      <w:tr w:rsidR="00D30F1D" w:rsidRPr="0058247A" w14:paraId="6EB00EB6" w14:textId="77777777" w:rsidTr="00E93FF7">
        <w:trPr>
          <w:trHeight w:val="22"/>
        </w:trPr>
        <w:tc>
          <w:tcPr>
            <w:tcW w:w="1717" w:type="pct"/>
            <w:tcBorders>
              <w:top w:val="single" w:sz="4" w:space="0" w:color="auto"/>
              <w:bottom w:val="single" w:sz="4" w:space="0" w:color="auto"/>
              <w:right w:val="single" w:sz="4" w:space="0" w:color="auto"/>
            </w:tcBorders>
            <w:shd w:val="clear" w:color="auto" w:fill="auto"/>
          </w:tcPr>
          <w:p w14:paraId="49F79228" w14:textId="15E04269" w:rsidR="00D30F1D" w:rsidRPr="0058247A" w:rsidRDefault="00D30F1D" w:rsidP="00A25B4A">
            <w:pPr>
              <w:pStyle w:val="TableText0"/>
              <w:keepLines/>
              <w:widowControl w:val="0"/>
            </w:pPr>
            <w:r w:rsidRPr="0058247A">
              <w:t xml:space="preserve">% </w:t>
            </w:r>
            <w:r w:rsidR="00697CEA" w:rsidRPr="0058247A">
              <w:t xml:space="preserve">progression free </w:t>
            </w:r>
            <w:r w:rsidRPr="0058247A">
              <w:t xml:space="preserve">at 48-month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9AEEDD6" w14:textId="7FDCCA99" w:rsidR="00D30F1D" w:rsidRPr="0058247A" w:rsidRDefault="00D30F1D" w:rsidP="00A25B4A">
            <w:pPr>
              <w:pStyle w:val="TableText0"/>
              <w:keepLines/>
              <w:widowControl w:val="0"/>
              <w:jc w:val="center"/>
              <w:rPr>
                <w:szCs w:val="20"/>
              </w:rPr>
            </w:pPr>
            <w:r w:rsidRPr="0058247A">
              <w:t>59.4 (54.1, 64.4)</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6E6F467" w14:textId="54553C4D" w:rsidR="00D30F1D" w:rsidRPr="0058247A" w:rsidRDefault="00D30F1D" w:rsidP="00A25B4A">
            <w:pPr>
              <w:pStyle w:val="TableText0"/>
              <w:keepLines/>
              <w:widowControl w:val="0"/>
              <w:jc w:val="center"/>
              <w:rPr>
                <w:szCs w:val="20"/>
              </w:rPr>
            </w:pPr>
            <w:r w:rsidRPr="0058247A">
              <w:t xml:space="preserve">36.3 (31.0, 41.6)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653AB5BC" w14:textId="64F74564" w:rsidR="00D30F1D" w:rsidRPr="0058247A" w:rsidRDefault="00D30F1D" w:rsidP="00A25B4A">
            <w:pPr>
              <w:pStyle w:val="TableText0"/>
              <w:keepLines/>
              <w:widowControl w:val="0"/>
              <w:jc w:val="center"/>
              <w:rPr>
                <w:rFonts w:cs="Times New Roman"/>
                <w:szCs w:val="20"/>
              </w:rPr>
            </w:pPr>
            <w:r w:rsidRPr="0058247A">
              <w:t>23.1</w:t>
            </w:r>
          </w:p>
        </w:tc>
        <w:tc>
          <w:tcPr>
            <w:tcW w:w="890" w:type="pct"/>
            <w:vMerge/>
            <w:tcBorders>
              <w:left w:val="single" w:sz="4" w:space="0" w:color="auto"/>
            </w:tcBorders>
            <w:shd w:val="clear" w:color="auto" w:fill="auto"/>
          </w:tcPr>
          <w:p w14:paraId="185ACE7B" w14:textId="77777777" w:rsidR="00D30F1D" w:rsidRPr="0058247A" w:rsidRDefault="00D30F1D" w:rsidP="00A25B4A">
            <w:pPr>
              <w:pStyle w:val="TableText0"/>
              <w:keepLines/>
              <w:widowControl w:val="0"/>
              <w:jc w:val="center"/>
            </w:pPr>
          </w:p>
        </w:tc>
      </w:tr>
      <w:tr w:rsidR="00D30F1D" w:rsidRPr="0058247A" w14:paraId="4F43AA63" w14:textId="77777777" w:rsidTr="00E93FF7">
        <w:trPr>
          <w:trHeight w:val="22"/>
        </w:trPr>
        <w:tc>
          <w:tcPr>
            <w:tcW w:w="1717" w:type="pct"/>
            <w:tcBorders>
              <w:top w:val="single" w:sz="4" w:space="0" w:color="auto"/>
              <w:bottom w:val="single" w:sz="4" w:space="0" w:color="auto"/>
              <w:right w:val="single" w:sz="4" w:space="0" w:color="auto"/>
            </w:tcBorders>
            <w:shd w:val="clear" w:color="auto" w:fill="auto"/>
          </w:tcPr>
          <w:p w14:paraId="733147A3" w14:textId="2BC8E784" w:rsidR="00D30F1D" w:rsidRPr="0058247A" w:rsidRDefault="00D30F1D" w:rsidP="00A25B4A">
            <w:pPr>
              <w:pStyle w:val="TableText0"/>
              <w:keepLines/>
              <w:widowControl w:val="0"/>
            </w:pPr>
            <w:r w:rsidRPr="0058247A">
              <w:t xml:space="preserve">% </w:t>
            </w:r>
            <w:r w:rsidR="00697CEA" w:rsidRPr="0058247A">
              <w:t xml:space="preserve">progression free </w:t>
            </w:r>
            <w:r w:rsidRPr="0058247A">
              <w:t>at 60-month (95% CI)</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44962B3B" w14:textId="7D2DEAFC" w:rsidR="00D30F1D" w:rsidRPr="0058247A" w:rsidRDefault="00D30F1D" w:rsidP="00A25B4A">
            <w:pPr>
              <w:pStyle w:val="TableText0"/>
              <w:keepLines/>
              <w:widowControl w:val="0"/>
              <w:jc w:val="center"/>
              <w:rPr>
                <w:szCs w:val="20"/>
              </w:rPr>
            </w:pPr>
            <w:r w:rsidRPr="0058247A">
              <w:t>51.8 (46.3, 57.0)</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50054961" w14:textId="659CC7B2" w:rsidR="00D30F1D" w:rsidRPr="0058247A" w:rsidRDefault="00D30F1D" w:rsidP="00A25B4A">
            <w:pPr>
              <w:pStyle w:val="TableText0"/>
              <w:keepLines/>
              <w:widowControl w:val="0"/>
              <w:jc w:val="center"/>
              <w:rPr>
                <w:szCs w:val="20"/>
              </w:rPr>
            </w:pPr>
            <w:r w:rsidRPr="0058247A">
              <w:t xml:space="preserve">28.0 (23.0, 33.1) </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75DCEAFF" w14:textId="4AA5E522" w:rsidR="00D30F1D" w:rsidRPr="0058247A" w:rsidRDefault="00D30F1D" w:rsidP="00A25B4A">
            <w:pPr>
              <w:pStyle w:val="TableText0"/>
              <w:keepLines/>
              <w:widowControl w:val="0"/>
              <w:jc w:val="center"/>
              <w:rPr>
                <w:rFonts w:cs="Times New Roman"/>
                <w:szCs w:val="20"/>
              </w:rPr>
            </w:pPr>
            <w:r w:rsidRPr="0058247A">
              <w:t>23.8</w:t>
            </w:r>
          </w:p>
        </w:tc>
        <w:tc>
          <w:tcPr>
            <w:tcW w:w="890" w:type="pct"/>
            <w:vMerge/>
            <w:tcBorders>
              <w:left w:val="single" w:sz="4" w:space="0" w:color="auto"/>
              <w:bottom w:val="single" w:sz="4" w:space="0" w:color="auto"/>
            </w:tcBorders>
            <w:shd w:val="clear" w:color="auto" w:fill="auto"/>
          </w:tcPr>
          <w:p w14:paraId="373033E5" w14:textId="77777777" w:rsidR="00D30F1D" w:rsidRPr="0058247A" w:rsidRDefault="00D30F1D" w:rsidP="00A25B4A">
            <w:pPr>
              <w:pStyle w:val="TableText0"/>
              <w:keepLines/>
              <w:widowControl w:val="0"/>
              <w:jc w:val="center"/>
            </w:pPr>
          </w:p>
        </w:tc>
      </w:tr>
      <w:tr w:rsidR="00D30F1D" w:rsidRPr="0058247A" w14:paraId="18550C4F" w14:textId="77777777" w:rsidTr="00A25B4A">
        <w:trPr>
          <w:trHeight w:val="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1EC7BC4" w14:textId="77777777" w:rsidR="00D30F1D" w:rsidRPr="0058247A" w:rsidRDefault="00D30F1D" w:rsidP="00A25B4A">
            <w:pPr>
              <w:pStyle w:val="In-tableHeading"/>
              <w:rPr>
                <w:lang w:val="en-AU"/>
              </w:rPr>
            </w:pPr>
            <w:r w:rsidRPr="0058247A">
              <w:rPr>
                <w:lang w:val="en-AU"/>
              </w:rPr>
              <w:t>Overall survival (median duration of follow-up 64.5 months)</w:t>
            </w:r>
          </w:p>
        </w:tc>
      </w:tr>
      <w:tr w:rsidR="00D30F1D" w:rsidRPr="0058247A" w14:paraId="3D069A73"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11C60127" w14:textId="77777777" w:rsidR="00D30F1D" w:rsidRPr="0058247A" w:rsidRDefault="00D30F1D" w:rsidP="00A25B4A">
            <w:pPr>
              <w:pStyle w:val="TableText0"/>
              <w:keepLines/>
              <w:widowControl w:val="0"/>
            </w:pPr>
            <w:r w:rsidRPr="0058247A">
              <w:t xml:space="preserve">Deaths, n/N (%) </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426EF76" w14:textId="77777777" w:rsidR="00D30F1D" w:rsidRPr="0058247A" w:rsidRDefault="00D30F1D" w:rsidP="00A25B4A">
            <w:pPr>
              <w:pStyle w:val="TableText0"/>
              <w:keepLines/>
              <w:widowControl w:val="0"/>
              <w:jc w:val="center"/>
            </w:pPr>
            <w:r w:rsidRPr="0058247A">
              <w:t>132 (35.9%)</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14BD67D9" w14:textId="77777777" w:rsidR="00D30F1D" w:rsidRPr="0058247A" w:rsidRDefault="00D30F1D" w:rsidP="00A25B4A">
            <w:pPr>
              <w:pStyle w:val="TableText0"/>
              <w:keepLines/>
              <w:widowControl w:val="0"/>
              <w:jc w:val="center"/>
            </w:pPr>
            <w:r w:rsidRPr="0058247A">
              <w:t xml:space="preserve">176 (47.7%)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145AB8D" w14:textId="157337C7" w:rsidR="00D30F1D" w:rsidRPr="0058247A" w:rsidRDefault="00CA3CDB" w:rsidP="00A25B4A">
            <w:pPr>
              <w:pStyle w:val="TableText0"/>
              <w:keepLines/>
              <w:widowControl w:val="0"/>
              <w:jc w:val="center"/>
            </w:pPr>
            <w:r w:rsidRPr="0058247A">
              <w:t>-</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28D31126" w14:textId="77777777" w:rsidR="00D30F1D" w:rsidRPr="0058247A" w:rsidRDefault="00D30F1D" w:rsidP="00A25B4A">
            <w:pPr>
              <w:pStyle w:val="TableText0"/>
              <w:keepLines/>
              <w:widowControl w:val="0"/>
              <w:jc w:val="center"/>
              <w:rPr>
                <w:b/>
                <w:bCs w:val="0"/>
                <w:szCs w:val="20"/>
              </w:rPr>
            </w:pPr>
            <w:r w:rsidRPr="0058247A">
              <w:rPr>
                <w:b/>
                <w:bCs w:val="0"/>
                <w:szCs w:val="20"/>
              </w:rPr>
              <w:t>0.66 (0.53, 0.83)</w:t>
            </w:r>
          </w:p>
          <w:p w14:paraId="444598E0" w14:textId="391C3F2A" w:rsidR="00D30F1D" w:rsidRPr="0058247A" w:rsidRDefault="00D30F1D" w:rsidP="00A25B4A">
            <w:pPr>
              <w:pStyle w:val="TableText0"/>
              <w:keepLines/>
              <w:widowControl w:val="0"/>
              <w:jc w:val="center"/>
              <w:rPr>
                <w:b/>
              </w:rPr>
            </w:pPr>
            <w:r w:rsidRPr="0058247A">
              <w:rPr>
                <w:b/>
                <w:bCs w:val="0"/>
                <w:szCs w:val="20"/>
              </w:rPr>
              <w:t>P</w:t>
            </w:r>
            <w:r w:rsidR="003B3112">
              <w:rPr>
                <w:b/>
                <w:bCs w:val="0"/>
                <w:szCs w:val="20"/>
              </w:rPr>
              <w:t xml:space="preserve"> </w:t>
            </w:r>
            <w:r w:rsidRPr="0058247A">
              <w:rPr>
                <w:b/>
                <w:bCs w:val="0"/>
                <w:szCs w:val="20"/>
              </w:rPr>
              <w:t>= 0.0003</w:t>
            </w:r>
          </w:p>
        </w:tc>
      </w:tr>
      <w:tr w:rsidR="00D30F1D" w:rsidRPr="0058247A" w14:paraId="652CD68B"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415FF5C9" w14:textId="77777777" w:rsidR="00D30F1D" w:rsidRPr="0058247A" w:rsidRDefault="00D30F1D" w:rsidP="00A25B4A">
            <w:pPr>
              <w:pStyle w:val="TableText0"/>
              <w:keepLines/>
              <w:widowControl w:val="0"/>
            </w:pPr>
            <w:r w:rsidRPr="0058247A">
              <w:t>Median OS, months (95% CI)</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1964E8DA" w14:textId="77777777" w:rsidR="00D30F1D" w:rsidRPr="0058247A" w:rsidRDefault="00D30F1D" w:rsidP="00A25B4A">
            <w:pPr>
              <w:pStyle w:val="TableText0"/>
              <w:keepLines/>
              <w:widowControl w:val="0"/>
              <w:jc w:val="center"/>
              <w:rPr>
                <w:rFonts w:cs="Times New Roman"/>
                <w:szCs w:val="20"/>
              </w:rPr>
            </w:pPr>
            <w:r w:rsidRPr="0058247A">
              <w:t>NE (73.72, NE)</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F45BBF3" w14:textId="77777777" w:rsidR="00D30F1D" w:rsidRPr="0058247A" w:rsidRDefault="00D30F1D" w:rsidP="00A25B4A">
            <w:pPr>
              <w:pStyle w:val="TableText0"/>
              <w:keepLines/>
              <w:widowControl w:val="0"/>
              <w:jc w:val="center"/>
              <w:rPr>
                <w:rFonts w:cs="Times New Roman"/>
                <w:szCs w:val="20"/>
              </w:rPr>
            </w:pPr>
            <w:r w:rsidRPr="0058247A">
              <w:t xml:space="preserve">65.54 (55.98, 75.66)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148416E" w14:textId="77777777" w:rsidR="00D30F1D" w:rsidRPr="0058247A" w:rsidRDefault="00D30F1D" w:rsidP="00A25B4A">
            <w:pPr>
              <w:pStyle w:val="TableText0"/>
              <w:keepLines/>
              <w:widowControl w:val="0"/>
              <w:jc w:val="center"/>
            </w:pPr>
            <w:r w:rsidRPr="0058247A">
              <w:t>NE</w:t>
            </w:r>
          </w:p>
        </w:tc>
        <w:tc>
          <w:tcPr>
            <w:tcW w:w="890" w:type="pct"/>
            <w:vMerge/>
            <w:tcBorders>
              <w:left w:val="single" w:sz="4" w:space="0" w:color="auto"/>
              <w:right w:val="single" w:sz="4" w:space="0" w:color="auto"/>
            </w:tcBorders>
            <w:shd w:val="clear" w:color="auto" w:fill="auto"/>
          </w:tcPr>
          <w:p w14:paraId="0C02DEDF" w14:textId="77777777" w:rsidR="00D30F1D" w:rsidRPr="0058247A" w:rsidRDefault="00D30F1D" w:rsidP="00A25B4A">
            <w:pPr>
              <w:pStyle w:val="TableText0"/>
              <w:keepLines/>
              <w:widowControl w:val="0"/>
              <w:jc w:val="center"/>
              <w:rPr>
                <w:szCs w:val="20"/>
              </w:rPr>
            </w:pPr>
          </w:p>
        </w:tc>
      </w:tr>
      <w:tr w:rsidR="00D30F1D" w:rsidRPr="0058247A" w14:paraId="7C51ADAD"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042F81EB" w14:textId="77777777" w:rsidR="00D30F1D" w:rsidRPr="0058247A" w:rsidRDefault="00D30F1D" w:rsidP="00A25B4A">
            <w:pPr>
              <w:pStyle w:val="TableText0"/>
              <w:keepLines/>
              <w:widowControl w:val="0"/>
            </w:pPr>
            <w:r w:rsidRPr="0058247A">
              <w:t xml:space="preserve">% Alive at 12-month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2D97CBAB" w14:textId="77777777" w:rsidR="00D30F1D" w:rsidRPr="0058247A" w:rsidRDefault="00D30F1D" w:rsidP="00A25B4A">
            <w:pPr>
              <w:pStyle w:val="TableText0"/>
              <w:keepLines/>
              <w:widowControl w:val="0"/>
              <w:jc w:val="center"/>
            </w:pPr>
            <w:r w:rsidRPr="0058247A">
              <w:t>92.6 (89.4, 94.9)</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36D3AE9" w14:textId="77777777" w:rsidR="00D30F1D" w:rsidRPr="0058247A" w:rsidRDefault="00D30F1D" w:rsidP="00A25B4A">
            <w:pPr>
              <w:pStyle w:val="TableText0"/>
              <w:keepLines/>
              <w:widowControl w:val="0"/>
              <w:jc w:val="center"/>
              <w:rPr>
                <w:szCs w:val="20"/>
              </w:rPr>
            </w:pPr>
            <w:r w:rsidRPr="0058247A">
              <w:t xml:space="preserve">91.3 (87.9, 93.8)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0079C3AE" w14:textId="77777777" w:rsidR="00D30F1D" w:rsidRPr="0058247A" w:rsidRDefault="00D30F1D" w:rsidP="00A25B4A">
            <w:pPr>
              <w:pStyle w:val="TableText0"/>
              <w:keepLines/>
              <w:widowControl w:val="0"/>
              <w:jc w:val="center"/>
            </w:pPr>
            <w:r w:rsidRPr="0058247A">
              <w:t>1.3</w:t>
            </w:r>
          </w:p>
        </w:tc>
        <w:tc>
          <w:tcPr>
            <w:tcW w:w="890" w:type="pct"/>
            <w:vMerge/>
            <w:tcBorders>
              <w:left w:val="single" w:sz="4" w:space="0" w:color="auto"/>
              <w:right w:val="single" w:sz="4" w:space="0" w:color="auto"/>
            </w:tcBorders>
            <w:shd w:val="clear" w:color="auto" w:fill="auto"/>
          </w:tcPr>
          <w:p w14:paraId="5A54A52E" w14:textId="77777777" w:rsidR="00D30F1D" w:rsidRPr="0058247A" w:rsidRDefault="00D30F1D" w:rsidP="00A25B4A">
            <w:pPr>
              <w:pStyle w:val="TableText0"/>
              <w:keepLines/>
              <w:widowControl w:val="0"/>
              <w:jc w:val="center"/>
            </w:pPr>
          </w:p>
        </w:tc>
      </w:tr>
      <w:tr w:rsidR="00D30F1D" w:rsidRPr="0058247A" w14:paraId="0C0C8474"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6480B497" w14:textId="77777777" w:rsidR="00D30F1D" w:rsidRPr="0058247A" w:rsidRDefault="00D30F1D" w:rsidP="00A25B4A">
            <w:pPr>
              <w:pStyle w:val="TableText0"/>
              <w:keepLines/>
              <w:widowControl w:val="0"/>
            </w:pPr>
            <w:r w:rsidRPr="0058247A">
              <w:t xml:space="preserve">% Alive at 24-month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389CF0AE" w14:textId="77777777" w:rsidR="00D30F1D" w:rsidRPr="0058247A" w:rsidRDefault="00D30F1D" w:rsidP="00A25B4A">
            <w:pPr>
              <w:pStyle w:val="TableText0"/>
              <w:keepLines/>
              <w:widowControl w:val="0"/>
              <w:jc w:val="center"/>
              <w:rPr>
                <w:szCs w:val="20"/>
              </w:rPr>
            </w:pPr>
            <w:r w:rsidRPr="0058247A">
              <w:t>84.3 (80.2, 87.7)</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7CA054B" w14:textId="77777777" w:rsidR="00D30F1D" w:rsidRPr="0058247A" w:rsidRDefault="00D30F1D" w:rsidP="00A25B4A">
            <w:pPr>
              <w:pStyle w:val="TableText0"/>
              <w:keepLines/>
              <w:widowControl w:val="0"/>
              <w:jc w:val="center"/>
              <w:rPr>
                <w:szCs w:val="20"/>
              </w:rPr>
            </w:pPr>
            <w:r w:rsidRPr="0058247A">
              <w:t xml:space="preserve">83.4 (79.1, 86.9)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1C3A1665" w14:textId="77777777" w:rsidR="00D30F1D" w:rsidRPr="0058247A" w:rsidRDefault="00D30F1D" w:rsidP="00A25B4A">
            <w:pPr>
              <w:pStyle w:val="TableText0"/>
              <w:keepLines/>
              <w:widowControl w:val="0"/>
              <w:jc w:val="center"/>
            </w:pPr>
            <w:r w:rsidRPr="0058247A">
              <w:t>0.9</w:t>
            </w:r>
          </w:p>
        </w:tc>
        <w:tc>
          <w:tcPr>
            <w:tcW w:w="890" w:type="pct"/>
            <w:vMerge/>
            <w:tcBorders>
              <w:left w:val="single" w:sz="4" w:space="0" w:color="auto"/>
              <w:right w:val="single" w:sz="4" w:space="0" w:color="auto"/>
            </w:tcBorders>
            <w:shd w:val="clear" w:color="auto" w:fill="auto"/>
          </w:tcPr>
          <w:p w14:paraId="7B79D5D0" w14:textId="77777777" w:rsidR="00D30F1D" w:rsidRPr="0058247A" w:rsidRDefault="00D30F1D" w:rsidP="00A25B4A">
            <w:pPr>
              <w:pStyle w:val="TableText0"/>
              <w:keepLines/>
              <w:widowControl w:val="0"/>
              <w:jc w:val="center"/>
            </w:pPr>
          </w:p>
        </w:tc>
      </w:tr>
      <w:tr w:rsidR="00D30F1D" w:rsidRPr="0058247A" w14:paraId="7F40B650"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5741FB3B" w14:textId="77777777" w:rsidR="00D30F1D" w:rsidRPr="0058247A" w:rsidRDefault="00D30F1D" w:rsidP="00A25B4A">
            <w:pPr>
              <w:pStyle w:val="TableText0"/>
              <w:keepLines/>
              <w:widowControl w:val="0"/>
            </w:pPr>
            <w:r w:rsidRPr="0058247A">
              <w:t xml:space="preserve">% Alive at 36-month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194FDCE7" w14:textId="77777777" w:rsidR="00D30F1D" w:rsidRPr="0058247A" w:rsidRDefault="00D30F1D" w:rsidP="00A25B4A">
            <w:pPr>
              <w:pStyle w:val="TableText0"/>
              <w:keepLines/>
              <w:widowControl w:val="0"/>
              <w:jc w:val="center"/>
              <w:rPr>
                <w:szCs w:val="20"/>
              </w:rPr>
            </w:pPr>
            <w:r w:rsidRPr="0058247A">
              <w:t>78.2 (73.6, 82.1)</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27DA54EC" w14:textId="77777777" w:rsidR="00D30F1D" w:rsidRPr="0058247A" w:rsidRDefault="00D30F1D" w:rsidP="00A25B4A">
            <w:pPr>
              <w:pStyle w:val="TableText0"/>
              <w:keepLines/>
              <w:widowControl w:val="0"/>
              <w:jc w:val="center"/>
              <w:rPr>
                <w:szCs w:val="20"/>
              </w:rPr>
            </w:pPr>
            <w:r w:rsidRPr="0058247A">
              <w:t xml:space="preserve">72.3 (67.3, 76.6)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7DF8B4C0" w14:textId="77777777" w:rsidR="00D30F1D" w:rsidRPr="0058247A" w:rsidRDefault="00D30F1D" w:rsidP="00A25B4A">
            <w:pPr>
              <w:pStyle w:val="TableText0"/>
              <w:keepLines/>
              <w:widowControl w:val="0"/>
              <w:jc w:val="center"/>
            </w:pPr>
            <w:r w:rsidRPr="0058247A">
              <w:t>5.9</w:t>
            </w:r>
          </w:p>
        </w:tc>
        <w:tc>
          <w:tcPr>
            <w:tcW w:w="890" w:type="pct"/>
            <w:vMerge/>
            <w:tcBorders>
              <w:left w:val="single" w:sz="4" w:space="0" w:color="auto"/>
              <w:right w:val="single" w:sz="4" w:space="0" w:color="auto"/>
            </w:tcBorders>
            <w:shd w:val="clear" w:color="auto" w:fill="auto"/>
          </w:tcPr>
          <w:p w14:paraId="493B33D8" w14:textId="77777777" w:rsidR="00D30F1D" w:rsidRPr="0058247A" w:rsidRDefault="00D30F1D" w:rsidP="00A25B4A">
            <w:pPr>
              <w:pStyle w:val="TableText0"/>
              <w:keepLines/>
              <w:widowControl w:val="0"/>
              <w:jc w:val="center"/>
            </w:pPr>
          </w:p>
        </w:tc>
      </w:tr>
      <w:tr w:rsidR="00D30F1D" w:rsidRPr="0058247A" w14:paraId="6B74D35D"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709F1AE3" w14:textId="77777777" w:rsidR="00D30F1D" w:rsidRPr="0058247A" w:rsidRDefault="00D30F1D" w:rsidP="00A25B4A">
            <w:pPr>
              <w:pStyle w:val="TableText0"/>
              <w:keepLines/>
              <w:widowControl w:val="0"/>
            </w:pPr>
            <w:r w:rsidRPr="0058247A">
              <w:t xml:space="preserve">% Alive at 48-month (95% CI) </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22D7722C" w14:textId="77777777" w:rsidR="00D30F1D" w:rsidRPr="0058247A" w:rsidRDefault="00D30F1D" w:rsidP="00A25B4A">
            <w:pPr>
              <w:pStyle w:val="TableText0"/>
              <w:keepLines/>
              <w:widowControl w:val="0"/>
              <w:jc w:val="center"/>
              <w:rPr>
                <w:szCs w:val="20"/>
              </w:rPr>
            </w:pPr>
            <w:r w:rsidRPr="0058247A">
              <w:t>69.8 (64.8, 74.3)</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E43D7A1" w14:textId="77777777" w:rsidR="00D30F1D" w:rsidRPr="0058247A" w:rsidRDefault="00D30F1D" w:rsidP="00A25B4A">
            <w:pPr>
              <w:pStyle w:val="TableText0"/>
              <w:keepLines/>
              <w:widowControl w:val="0"/>
              <w:jc w:val="center"/>
              <w:rPr>
                <w:szCs w:val="20"/>
              </w:rPr>
            </w:pPr>
            <w:r w:rsidRPr="0058247A">
              <w:t xml:space="preserve">62.4 (57.1, 67.3)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BB40691" w14:textId="77777777" w:rsidR="00D30F1D" w:rsidRPr="0058247A" w:rsidRDefault="00D30F1D" w:rsidP="00A25B4A">
            <w:pPr>
              <w:pStyle w:val="TableText0"/>
              <w:keepLines/>
              <w:widowControl w:val="0"/>
              <w:jc w:val="center"/>
            </w:pPr>
            <w:r w:rsidRPr="0058247A">
              <w:t>7.4</w:t>
            </w:r>
          </w:p>
        </w:tc>
        <w:tc>
          <w:tcPr>
            <w:tcW w:w="890" w:type="pct"/>
            <w:vMerge/>
            <w:tcBorders>
              <w:left w:val="single" w:sz="4" w:space="0" w:color="auto"/>
              <w:right w:val="single" w:sz="4" w:space="0" w:color="auto"/>
            </w:tcBorders>
            <w:shd w:val="clear" w:color="auto" w:fill="auto"/>
          </w:tcPr>
          <w:p w14:paraId="546CC2AA" w14:textId="77777777" w:rsidR="00D30F1D" w:rsidRPr="0058247A" w:rsidRDefault="00D30F1D" w:rsidP="00A25B4A">
            <w:pPr>
              <w:pStyle w:val="TableText0"/>
              <w:keepLines/>
              <w:widowControl w:val="0"/>
              <w:jc w:val="center"/>
            </w:pPr>
          </w:p>
        </w:tc>
      </w:tr>
      <w:tr w:rsidR="00D30F1D" w:rsidRPr="0058247A" w14:paraId="4B35C98B" w14:textId="77777777" w:rsidTr="00E93FF7">
        <w:trPr>
          <w:trHeight w:val="22"/>
        </w:trPr>
        <w:tc>
          <w:tcPr>
            <w:tcW w:w="1717" w:type="pct"/>
            <w:tcBorders>
              <w:top w:val="single" w:sz="4" w:space="0" w:color="auto"/>
              <w:left w:val="single" w:sz="4" w:space="0" w:color="auto"/>
              <w:bottom w:val="single" w:sz="4" w:space="0" w:color="auto"/>
              <w:right w:val="single" w:sz="4" w:space="0" w:color="auto"/>
            </w:tcBorders>
            <w:shd w:val="clear" w:color="auto" w:fill="auto"/>
          </w:tcPr>
          <w:p w14:paraId="7BDD8E4B" w14:textId="77777777" w:rsidR="00D30F1D" w:rsidRPr="0058247A" w:rsidRDefault="00D30F1D" w:rsidP="00A25B4A">
            <w:pPr>
              <w:pStyle w:val="TableText0"/>
              <w:keepLines/>
              <w:widowControl w:val="0"/>
            </w:pPr>
            <w:r w:rsidRPr="0058247A">
              <w:t>% Alive at 60-month (95% CI)</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DA8C8A8" w14:textId="77777777" w:rsidR="00D30F1D" w:rsidRPr="0058247A" w:rsidRDefault="00D30F1D" w:rsidP="00A25B4A">
            <w:pPr>
              <w:pStyle w:val="TableText0"/>
              <w:keepLines/>
              <w:widowControl w:val="0"/>
              <w:jc w:val="center"/>
              <w:rPr>
                <w:szCs w:val="20"/>
              </w:rPr>
            </w:pPr>
            <w:r w:rsidRPr="0058247A">
              <w:t>66.6 (61.5, 71.2)</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F26C725" w14:textId="77777777" w:rsidR="00D30F1D" w:rsidRPr="0058247A" w:rsidRDefault="00D30F1D" w:rsidP="00A25B4A">
            <w:pPr>
              <w:pStyle w:val="TableText0"/>
              <w:keepLines/>
              <w:widowControl w:val="0"/>
              <w:jc w:val="center"/>
              <w:rPr>
                <w:szCs w:val="20"/>
              </w:rPr>
            </w:pPr>
            <w:r w:rsidRPr="0058247A">
              <w:t xml:space="preserve">53.6 (48.2, 58.7) </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1DB2C8DC" w14:textId="77777777" w:rsidR="00D30F1D" w:rsidRPr="0058247A" w:rsidRDefault="00D30F1D" w:rsidP="00A25B4A">
            <w:pPr>
              <w:pStyle w:val="TableText0"/>
              <w:keepLines/>
              <w:widowControl w:val="0"/>
              <w:jc w:val="center"/>
            </w:pPr>
            <w:r w:rsidRPr="0058247A">
              <w:t>13</w:t>
            </w:r>
          </w:p>
        </w:tc>
        <w:tc>
          <w:tcPr>
            <w:tcW w:w="890" w:type="pct"/>
            <w:vMerge/>
            <w:tcBorders>
              <w:left w:val="single" w:sz="4" w:space="0" w:color="auto"/>
              <w:right w:val="single" w:sz="4" w:space="0" w:color="auto"/>
            </w:tcBorders>
            <w:shd w:val="clear" w:color="auto" w:fill="auto"/>
          </w:tcPr>
          <w:p w14:paraId="6ED06168" w14:textId="77777777" w:rsidR="00D30F1D" w:rsidRPr="0058247A" w:rsidRDefault="00D30F1D" w:rsidP="00A25B4A">
            <w:pPr>
              <w:pStyle w:val="TableText0"/>
              <w:keepLines/>
              <w:widowControl w:val="0"/>
              <w:jc w:val="center"/>
            </w:pPr>
          </w:p>
        </w:tc>
      </w:tr>
    </w:tbl>
    <w:tbl>
      <w:tblPr>
        <w:tblW w:w="5028" w:type="pct"/>
        <w:tblLayout w:type="fixed"/>
        <w:tblCellMar>
          <w:left w:w="28" w:type="dxa"/>
          <w:right w:w="28" w:type="dxa"/>
        </w:tblCellMar>
        <w:tblLook w:val="04A0" w:firstRow="1" w:lastRow="0" w:firstColumn="1" w:lastColumn="0" w:noHBand="0" w:noVBand="1"/>
      </w:tblPr>
      <w:tblGrid>
        <w:gridCol w:w="704"/>
        <w:gridCol w:w="852"/>
        <w:gridCol w:w="1275"/>
        <w:gridCol w:w="1485"/>
        <w:gridCol w:w="1351"/>
        <w:gridCol w:w="1278"/>
        <w:gridCol w:w="2122"/>
      </w:tblGrid>
      <w:tr w:rsidR="00D30F1D" w:rsidRPr="0058247A" w14:paraId="2F3A0262" w14:textId="77777777" w:rsidTr="00E93FF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981AF96" w14:textId="7A3E35C8" w:rsidR="00D30F1D" w:rsidRPr="0058247A" w:rsidRDefault="00D30F1D" w:rsidP="00E93FF7">
            <w:pPr>
              <w:pStyle w:val="In-tableHeading"/>
              <w:rPr>
                <w:lang w:val="en-AU"/>
              </w:rPr>
            </w:pPr>
            <w:r w:rsidRPr="0058247A">
              <w:rPr>
                <w:lang w:val="en-AU"/>
              </w:rPr>
              <w:t>Harms</w:t>
            </w:r>
          </w:p>
        </w:tc>
      </w:tr>
      <w:tr w:rsidR="00D30F1D" w:rsidRPr="0058247A" w14:paraId="772ADA17" w14:textId="77777777" w:rsidTr="00E93FF7">
        <w:trPr>
          <w:trHeight w:val="20"/>
        </w:trPr>
        <w:tc>
          <w:tcPr>
            <w:tcW w:w="388" w:type="pct"/>
            <w:tcBorders>
              <w:top w:val="single" w:sz="4" w:space="0" w:color="auto"/>
              <w:left w:val="single" w:sz="4" w:space="0" w:color="auto"/>
              <w:bottom w:val="single" w:sz="4" w:space="0" w:color="auto"/>
              <w:right w:val="single" w:sz="4" w:space="0" w:color="auto"/>
            </w:tcBorders>
            <w:shd w:val="clear" w:color="auto" w:fill="auto"/>
          </w:tcPr>
          <w:p w14:paraId="5F7A2ADD" w14:textId="77777777" w:rsidR="00D30F1D" w:rsidRPr="0058247A" w:rsidRDefault="00D30F1D" w:rsidP="00E93FF7">
            <w:pPr>
              <w:pStyle w:val="In-tableHeading"/>
              <w:rPr>
                <w:lang w:val="en-AU"/>
              </w:rPr>
            </w:pPr>
          </w:p>
        </w:tc>
        <w:tc>
          <w:tcPr>
            <w:tcW w:w="470" w:type="pct"/>
            <w:tcBorders>
              <w:top w:val="single" w:sz="4" w:space="0" w:color="auto"/>
              <w:left w:val="single" w:sz="4" w:space="0" w:color="auto"/>
              <w:bottom w:val="single" w:sz="4" w:space="0" w:color="auto"/>
              <w:right w:val="single" w:sz="4" w:space="0" w:color="auto"/>
            </w:tcBorders>
          </w:tcPr>
          <w:p w14:paraId="6CCB4224" w14:textId="77777777" w:rsidR="00D30F1D" w:rsidRPr="0058247A" w:rsidRDefault="00D30F1D" w:rsidP="00E93FF7">
            <w:pPr>
              <w:pStyle w:val="In-tableHeading"/>
              <w:jc w:val="center"/>
              <w:rPr>
                <w:lang w:val="en-AU"/>
              </w:rPr>
            </w:pPr>
            <w:r w:rsidRPr="0058247A">
              <w:rPr>
                <w:lang w:val="en-AU"/>
              </w:rPr>
              <w:t>DLd</w:t>
            </w:r>
          </w:p>
          <w:p w14:paraId="4CB54175" w14:textId="77777777" w:rsidR="00D30F1D" w:rsidRPr="0058247A" w:rsidRDefault="00D30F1D" w:rsidP="00E93FF7">
            <w:pPr>
              <w:pStyle w:val="In-tableHeading"/>
              <w:jc w:val="center"/>
              <w:rPr>
                <w:lang w:val="en-AU"/>
              </w:rPr>
            </w:pPr>
            <w:r w:rsidRPr="0058247A">
              <w:rPr>
                <w:lang w:val="en-AU"/>
              </w:rPr>
              <w:t>n/N</w:t>
            </w:r>
          </w:p>
        </w:tc>
        <w:tc>
          <w:tcPr>
            <w:tcW w:w="703" w:type="pct"/>
            <w:tcBorders>
              <w:top w:val="single" w:sz="4" w:space="0" w:color="auto"/>
              <w:left w:val="single" w:sz="4" w:space="0" w:color="auto"/>
              <w:bottom w:val="single" w:sz="4" w:space="0" w:color="auto"/>
              <w:right w:val="single" w:sz="4" w:space="0" w:color="auto"/>
            </w:tcBorders>
          </w:tcPr>
          <w:p w14:paraId="609D1260" w14:textId="77777777" w:rsidR="00D30F1D" w:rsidRPr="0058247A" w:rsidRDefault="00D30F1D" w:rsidP="00E93FF7">
            <w:pPr>
              <w:pStyle w:val="In-tableHeading"/>
              <w:jc w:val="center"/>
              <w:rPr>
                <w:lang w:val="en-AU"/>
              </w:rPr>
            </w:pPr>
            <w:r w:rsidRPr="0058247A">
              <w:rPr>
                <w:lang w:val="en-AU"/>
              </w:rPr>
              <w:t>Ld</w:t>
            </w:r>
          </w:p>
          <w:p w14:paraId="04D6C3CC" w14:textId="77777777" w:rsidR="00D30F1D" w:rsidRPr="0058247A" w:rsidRDefault="00D30F1D" w:rsidP="00E93FF7">
            <w:pPr>
              <w:pStyle w:val="In-tableHeading"/>
              <w:jc w:val="center"/>
              <w:rPr>
                <w:lang w:val="en-AU"/>
              </w:rPr>
            </w:pPr>
            <w:r w:rsidRPr="0058247A">
              <w:rPr>
                <w:lang w:val="en-AU"/>
              </w:rPr>
              <w:t>n/N</w:t>
            </w:r>
          </w:p>
        </w:tc>
        <w:tc>
          <w:tcPr>
            <w:tcW w:w="819" w:type="pct"/>
            <w:tcBorders>
              <w:top w:val="single" w:sz="4" w:space="0" w:color="auto"/>
              <w:left w:val="single" w:sz="4" w:space="0" w:color="auto"/>
              <w:bottom w:val="single" w:sz="4" w:space="0" w:color="auto"/>
              <w:right w:val="single" w:sz="4" w:space="0" w:color="auto"/>
            </w:tcBorders>
          </w:tcPr>
          <w:p w14:paraId="3E221132" w14:textId="298CA823" w:rsidR="00D30F1D" w:rsidRPr="003B3112" w:rsidRDefault="00D30F1D" w:rsidP="00E93FF7">
            <w:pPr>
              <w:pStyle w:val="In-tableHeading"/>
              <w:jc w:val="center"/>
              <w:rPr>
                <w:lang w:val="en-AU"/>
              </w:rPr>
            </w:pPr>
            <w:r w:rsidRPr="003B3112">
              <w:rPr>
                <w:lang w:val="en-AU"/>
              </w:rPr>
              <w:t>RR (95% CI)</w:t>
            </w:r>
            <w:r w:rsidR="00697CEA" w:rsidRPr="003B3112">
              <w:rPr>
                <w:lang w:val="en-AU"/>
              </w:rPr>
              <w:t xml:space="preserve"> </w:t>
            </w:r>
            <w:r w:rsidR="00501686" w:rsidRPr="003B3112">
              <w:rPr>
                <w:b w:val="0"/>
                <w:bCs/>
                <w:vertAlign w:val="superscript"/>
                <w:lang w:val="en-AU"/>
              </w:rPr>
              <w:t>a</w:t>
            </w:r>
          </w:p>
        </w:tc>
        <w:tc>
          <w:tcPr>
            <w:tcW w:w="745" w:type="pct"/>
            <w:tcBorders>
              <w:top w:val="single" w:sz="4" w:space="0" w:color="auto"/>
              <w:left w:val="single" w:sz="4" w:space="0" w:color="auto"/>
              <w:bottom w:val="single" w:sz="4" w:space="0" w:color="auto"/>
              <w:right w:val="single" w:sz="4" w:space="0" w:color="auto"/>
            </w:tcBorders>
          </w:tcPr>
          <w:p w14:paraId="3BFA8BD2" w14:textId="77777777" w:rsidR="00D30F1D" w:rsidRPr="0058247A" w:rsidRDefault="00D30F1D" w:rsidP="00E93FF7">
            <w:pPr>
              <w:pStyle w:val="In-tableHeading"/>
              <w:jc w:val="center"/>
              <w:rPr>
                <w:lang w:val="en-AU"/>
              </w:rPr>
            </w:pPr>
            <w:r w:rsidRPr="0058247A">
              <w:rPr>
                <w:lang w:val="en-AU"/>
              </w:rPr>
              <w:t>Event rate/100 patients (DLd)</w:t>
            </w:r>
          </w:p>
        </w:tc>
        <w:tc>
          <w:tcPr>
            <w:tcW w:w="705" w:type="pct"/>
            <w:tcBorders>
              <w:top w:val="single" w:sz="4" w:space="0" w:color="auto"/>
              <w:left w:val="single" w:sz="4" w:space="0" w:color="auto"/>
              <w:bottom w:val="single" w:sz="4" w:space="0" w:color="auto"/>
              <w:right w:val="single" w:sz="4" w:space="0" w:color="auto"/>
            </w:tcBorders>
          </w:tcPr>
          <w:p w14:paraId="15D2DD45" w14:textId="77777777" w:rsidR="00D30F1D" w:rsidRPr="0058247A" w:rsidRDefault="00D30F1D" w:rsidP="00E93FF7">
            <w:pPr>
              <w:pStyle w:val="In-tableHeading"/>
              <w:jc w:val="center"/>
              <w:rPr>
                <w:lang w:val="en-AU"/>
              </w:rPr>
            </w:pPr>
            <w:r w:rsidRPr="0058247A">
              <w:rPr>
                <w:lang w:val="en-AU"/>
              </w:rPr>
              <w:t>Event rate/100 patients</w:t>
            </w:r>
            <w:r w:rsidRPr="0058247A">
              <w:rPr>
                <w:vertAlign w:val="superscript"/>
                <w:lang w:val="en-AU"/>
              </w:rPr>
              <w:t xml:space="preserve"> </w:t>
            </w:r>
            <w:r w:rsidRPr="0058247A">
              <w:rPr>
                <w:lang w:val="en-AU"/>
              </w:rPr>
              <w:t>(Ld)</w:t>
            </w:r>
          </w:p>
        </w:tc>
        <w:tc>
          <w:tcPr>
            <w:tcW w:w="1170" w:type="pct"/>
            <w:tcBorders>
              <w:top w:val="single" w:sz="4" w:space="0" w:color="auto"/>
              <w:left w:val="single" w:sz="4" w:space="0" w:color="auto"/>
              <w:bottom w:val="single" w:sz="4" w:space="0" w:color="auto"/>
              <w:right w:val="single" w:sz="4" w:space="0" w:color="auto"/>
            </w:tcBorders>
          </w:tcPr>
          <w:p w14:paraId="557F5BB5" w14:textId="77777777" w:rsidR="00D30F1D" w:rsidRPr="003B3112" w:rsidRDefault="00D30F1D" w:rsidP="00E93FF7">
            <w:pPr>
              <w:pStyle w:val="In-tableHeading"/>
              <w:jc w:val="center"/>
              <w:rPr>
                <w:lang w:val="en-AU"/>
              </w:rPr>
            </w:pPr>
            <w:r w:rsidRPr="003B3112">
              <w:rPr>
                <w:lang w:val="en-AU"/>
              </w:rPr>
              <w:t>RD</w:t>
            </w:r>
          </w:p>
          <w:p w14:paraId="11EE1F13" w14:textId="46E75A47" w:rsidR="00D30F1D" w:rsidRPr="0058247A" w:rsidRDefault="00D30F1D" w:rsidP="00E93FF7">
            <w:pPr>
              <w:pStyle w:val="In-tableHeading"/>
              <w:jc w:val="center"/>
              <w:rPr>
                <w:i/>
                <w:iCs/>
                <w:lang w:val="en-AU"/>
              </w:rPr>
            </w:pPr>
            <w:r w:rsidRPr="003B3112">
              <w:rPr>
                <w:lang w:val="en-AU"/>
              </w:rPr>
              <w:t>(95% CI)</w:t>
            </w:r>
            <w:r w:rsidR="00501686" w:rsidRPr="003B3112">
              <w:rPr>
                <w:b w:val="0"/>
                <w:bCs/>
                <w:vertAlign w:val="superscript"/>
                <w:lang w:val="en-AU"/>
              </w:rPr>
              <w:t xml:space="preserve"> a</w:t>
            </w:r>
          </w:p>
        </w:tc>
      </w:tr>
      <w:tr w:rsidR="00D30F1D" w:rsidRPr="0058247A" w14:paraId="39402379"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14:paraId="41FD9B6B" w14:textId="77777777" w:rsidR="00D30F1D" w:rsidRPr="0058247A" w:rsidRDefault="00D30F1D" w:rsidP="00E93FF7">
            <w:pPr>
              <w:rPr>
                <w:rFonts w:ascii="Arial Narrow" w:hAnsi="Arial Narrow" w:cs="Calibri"/>
                <w:b/>
                <w:bCs/>
                <w:color w:val="000000"/>
                <w:sz w:val="20"/>
                <w:szCs w:val="20"/>
                <w:lang w:eastAsia="en-US"/>
              </w:rPr>
            </w:pPr>
            <w:r w:rsidRPr="0058247A">
              <w:rPr>
                <w:rFonts w:ascii="Arial Narrow" w:hAnsi="Arial Narrow" w:cs="Calibri"/>
                <w:b/>
                <w:bCs/>
                <w:color w:val="000000"/>
                <w:sz w:val="20"/>
                <w:szCs w:val="20"/>
                <w:lang w:eastAsia="en-US"/>
              </w:rPr>
              <w:t>Any TEAE at least one related</w:t>
            </w:r>
          </w:p>
        </w:tc>
      </w:tr>
      <w:tr w:rsidR="00D30F1D" w:rsidRPr="0058247A" w14:paraId="25B62493" w14:textId="77777777" w:rsidTr="00E93FF7">
        <w:tblPrEx>
          <w:tblCellMar>
            <w:left w:w="108" w:type="dxa"/>
            <w:right w:w="108" w:type="dxa"/>
          </w:tblCellMar>
        </w:tblPrEx>
        <w:trPr>
          <w:trHeight w:val="20"/>
        </w:trPr>
        <w:tc>
          <w:tcPr>
            <w:tcW w:w="388" w:type="pct"/>
            <w:tcBorders>
              <w:top w:val="single" w:sz="8" w:space="0" w:color="auto"/>
              <w:left w:val="single" w:sz="8" w:space="0" w:color="auto"/>
              <w:bottom w:val="single" w:sz="8" w:space="0" w:color="000000"/>
              <w:right w:val="single" w:sz="8" w:space="0" w:color="000000"/>
            </w:tcBorders>
            <w:shd w:val="clear" w:color="auto" w:fill="auto"/>
            <w:hideMark/>
          </w:tcPr>
          <w:p w14:paraId="6C9DBD5C" w14:textId="77777777" w:rsidR="00D30F1D" w:rsidRPr="0058247A" w:rsidRDefault="00D30F1D" w:rsidP="00E93FF7">
            <w:pPr>
              <w:jc w:val="left"/>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8" w:space="0" w:color="auto"/>
              <w:bottom w:val="single" w:sz="8" w:space="0" w:color="000000"/>
              <w:right w:val="single" w:sz="8" w:space="0" w:color="auto"/>
            </w:tcBorders>
            <w:shd w:val="clear" w:color="auto" w:fill="auto"/>
            <w:hideMark/>
          </w:tcPr>
          <w:p w14:paraId="7A765B8B"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362/364</w:t>
            </w:r>
          </w:p>
        </w:tc>
        <w:tc>
          <w:tcPr>
            <w:tcW w:w="703" w:type="pct"/>
            <w:tcBorders>
              <w:top w:val="nil"/>
              <w:left w:val="single" w:sz="8" w:space="0" w:color="auto"/>
              <w:bottom w:val="single" w:sz="8" w:space="0" w:color="000000"/>
              <w:right w:val="single" w:sz="8" w:space="0" w:color="auto"/>
            </w:tcBorders>
            <w:shd w:val="clear" w:color="auto" w:fill="auto"/>
            <w:hideMark/>
          </w:tcPr>
          <w:p w14:paraId="29A2DDB5"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347/365</w:t>
            </w:r>
          </w:p>
        </w:tc>
        <w:tc>
          <w:tcPr>
            <w:tcW w:w="819" w:type="pct"/>
            <w:tcBorders>
              <w:top w:val="nil"/>
              <w:left w:val="nil"/>
              <w:bottom w:val="nil"/>
              <w:right w:val="single" w:sz="8" w:space="0" w:color="auto"/>
            </w:tcBorders>
            <w:shd w:val="clear" w:color="auto" w:fill="auto"/>
            <w:hideMark/>
          </w:tcPr>
          <w:p w14:paraId="6820261E"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1.05 (1.02, 1.08)</w:t>
            </w:r>
          </w:p>
        </w:tc>
        <w:tc>
          <w:tcPr>
            <w:tcW w:w="745" w:type="pct"/>
            <w:tcBorders>
              <w:top w:val="nil"/>
              <w:left w:val="single" w:sz="8" w:space="0" w:color="auto"/>
              <w:bottom w:val="single" w:sz="8" w:space="0" w:color="000000"/>
              <w:right w:val="single" w:sz="8" w:space="0" w:color="auto"/>
            </w:tcBorders>
            <w:shd w:val="clear" w:color="auto" w:fill="auto"/>
            <w:hideMark/>
          </w:tcPr>
          <w:p w14:paraId="34634409"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99</w:t>
            </w:r>
          </w:p>
        </w:tc>
        <w:tc>
          <w:tcPr>
            <w:tcW w:w="705" w:type="pct"/>
            <w:tcBorders>
              <w:top w:val="nil"/>
              <w:left w:val="single" w:sz="8" w:space="0" w:color="auto"/>
              <w:bottom w:val="single" w:sz="8" w:space="0" w:color="000000"/>
              <w:right w:val="single" w:sz="8" w:space="0" w:color="auto"/>
            </w:tcBorders>
            <w:shd w:val="clear" w:color="auto" w:fill="auto"/>
            <w:hideMark/>
          </w:tcPr>
          <w:p w14:paraId="5F35DFC4"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95</w:t>
            </w:r>
          </w:p>
        </w:tc>
        <w:tc>
          <w:tcPr>
            <w:tcW w:w="1170" w:type="pct"/>
            <w:tcBorders>
              <w:top w:val="nil"/>
              <w:left w:val="nil"/>
              <w:bottom w:val="nil"/>
              <w:right w:val="single" w:sz="8" w:space="0" w:color="auto"/>
            </w:tcBorders>
            <w:shd w:val="clear" w:color="auto" w:fill="auto"/>
            <w:hideMark/>
          </w:tcPr>
          <w:p w14:paraId="30D63B85"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0.04 (0.02, 0.07)</w:t>
            </w:r>
          </w:p>
        </w:tc>
      </w:tr>
      <w:tr w:rsidR="00D30F1D" w:rsidRPr="0058247A" w14:paraId="133FCE66"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14:paraId="57A5EB46" w14:textId="77777777" w:rsidR="00D30F1D" w:rsidRPr="0058247A" w:rsidRDefault="00D30F1D" w:rsidP="00E93FF7">
            <w:pPr>
              <w:rPr>
                <w:rFonts w:ascii="Arial Narrow" w:hAnsi="Arial Narrow" w:cs="Calibri"/>
                <w:b/>
                <w:bCs/>
                <w:color w:val="000000"/>
                <w:sz w:val="20"/>
                <w:szCs w:val="20"/>
                <w:lang w:eastAsia="en-US"/>
              </w:rPr>
            </w:pPr>
            <w:r w:rsidRPr="0058247A">
              <w:rPr>
                <w:rFonts w:ascii="Arial Narrow" w:hAnsi="Arial Narrow" w:cs="Calibri"/>
                <w:b/>
                <w:bCs/>
                <w:color w:val="000000"/>
                <w:sz w:val="20"/>
                <w:szCs w:val="20"/>
                <w:lang w:eastAsia="en-US"/>
              </w:rPr>
              <w:t xml:space="preserve">Any serious TEAE </w:t>
            </w:r>
          </w:p>
        </w:tc>
      </w:tr>
      <w:tr w:rsidR="00D30F1D" w:rsidRPr="0058247A" w14:paraId="28BF8898" w14:textId="77777777" w:rsidTr="00E93FF7">
        <w:trPr>
          <w:trHeight w:val="20"/>
        </w:trPr>
        <w:tc>
          <w:tcPr>
            <w:tcW w:w="388" w:type="pct"/>
            <w:tcBorders>
              <w:top w:val="single" w:sz="8" w:space="0" w:color="auto"/>
              <w:left w:val="single" w:sz="8" w:space="0" w:color="auto"/>
              <w:bottom w:val="single" w:sz="8" w:space="0" w:color="000000"/>
              <w:right w:val="single" w:sz="8" w:space="0" w:color="000000"/>
            </w:tcBorders>
            <w:shd w:val="clear" w:color="auto" w:fill="auto"/>
            <w:hideMark/>
          </w:tcPr>
          <w:p w14:paraId="11DDDD19"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8" w:space="0" w:color="auto"/>
              <w:bottom w:val="single" w:sz="8" w:space="0" w:color="000000"/>
              <w:right w:val="single" w:sz="8" w:space="0" w:color="auto"/>
            </w:tcBorders>
            <w:shd w:val="clear" w:color="auto" w:fill="auto"/>
            <w:hideMark/>
          </w:tcPr>
          <w:p w14:paraId="0777CAD9" w14:textId="77777777" w:rsidR="00D30F1D" w:rsidRPr="0058247A" w:rsidRDefault="00D30F1D" w:rsidP="00E93FF7">
            <w:pPr>
              <w:pStyle w:val="TableText0"/>
              <w:jc w:val="center"/>
              <w:rPr>
                <w:rFonts w:cs="Calibri"/>
                <w:color w:val="000000"/>
                <w:szCs w:val="20"/>
                <w:lang w:eastAsia="en-US"/>
              </w:rPr>
            </w:pPr>
            <w:r w:rsidRPr="0058247A">
              <w:t>287/364</w:t>
            </w:r>
          </w:p>
        </w:tc>
        <w:tc>
          <w:tcPr>
            <w:tcW w:w="703" w:type="pct"/>
            <w:tcBorders>
              <w:top w:val="nil"/>
              <w:left w:val="single" w:sz="8" w:space="0" w:color="auto"/>
              <w:bottom w:val="single" w:sz="8" w:space="0" w:color="000000"/>
              <w:right w:val="single" w:sz="8" w:space="0" w:color="auto"/>
            </w:tcBorders>
            <w:shd w:val="clear" w:color="auto" w:fill="auto"/>
            <w:hideMark/>
          </w:tcPr>
          <w:p w14:paraId="19AD943E" w14:textId="77777777" w:rsidR="00D30F1D" w:rsidRPr="0058247A" w:rsidRDefault="00D30F1D" w:rsidP="00E93FF7">
            <w:pPr>
              <w:pStyle w:val="TableText0"/>
              <w:jc w:val="center"/>
              <w:rPr>
                <w:rFonts w:cs="Calibri"/>
                <w:color w:val="000000"/>
                <w:szCs w:val="20"/>
                <w:lang w:eastAsia="en-US"/>
              </w:rPr>
            </w:pPr>
            <w:r w:rsidRPr="0058247A">
              <w:t>259/365</w:t>
            </w:r>
          </w:p>
        </w:tc>
        <w:tc>
          <w:tcPr>
            <w:tcW w:w="819" w:type="pct"/>
            <w:tcBorders>
              <w:top w:val="nil"/>
              <w:left w:val="nil"/>
              <w:bottom w:val="nil"/>
              <w:right w:val="single" w:sz="8" w:space="0" w:color="auto"/>
            </w:tcBorders>
            <w:shd w:val="clear" w:color="auto" w:fill="auto"/>
            <w:hideMark/>
          </w:tcPr>
          <w:p w14:paraId="331CC4D9"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rPr>
              <w:t>1.11 (1.02, 1.21</w:t>
            </w:r>
            <w:r w:rsidRPr="0058247A">
              <w:rPr>
                <w:rFonts w:ascii="Arial Narrow" w:hAnsi="Arial Narrow" w:cs="Calibri"/>
                <w:color w:val="000000"/>
                <w:sz w:val="20"/>
                <w:szCs w:val="20"/>
                <w:lang w:eastAsia="en-US"/>
              </w:rPr>
              <w:t>)</w:t>
            </w:r>
          </w:p>
        </w:tc>
        <w:tc>
          <w:tcPr>
            <w:tcW w:w="745" w:type="pct"/>
            <w:tcBorders>
              <w:top w:val="nil"/>
              <w:left w:val="single" w:sz="8" w:space="0" w:color="auto"/>
              <w:bottom w:val="single" w:sz="8" w:space="0" w:color="000000"/>
              <w:right w:val="single" w:sz="8" w:space="0" w:color="auto"/>
            </w:tcBorders>
            <w:shd w:val="clear" w:color="auto" w:fill="auto"/>
            <w:hideMark/>
          </w:tcPr>
          <w:p w14:paraId="71B886C1"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79</w:t>
            </w:r>
          </w:p>
        </w:tc>
        <w:tc>
          <w:tcPr>
            <w:tcW w:w="705" w:type="pct"/>
            <w:tcBorders>
              <w:top w:val="nil"/>
              <w:left w:val="single" w:sz="8" w:space="0" w:color="auto"/>
              <w:bottom w:val="single" w:sz="8" w:space="0" w:color="000000"/>
              <w:right w:val="single" w:sz="8" w:space="0" w:color="auto"/>
            </w:tcBorders>
            <w:shd w:val="clear" w:color="auto" w:fill="auto"/>
            <w:hideMark/>
          </w:tcPr>
          <w:p w14:paraId="4F1696B8"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71</w:t>
            </w:r>
          </w:p>
        </w:tc>
        <w:tc>
          <w:tcPr>
            <w:tcW w:w="1170" w:type="pct"/>
            <w:tcBorders>
              <w:top w:val="nil"/>
              <w:left w:val="nil"/>
              <w:bottom w:val="nil"/>
              <w:right w:val="single" w:sz="8" w:space="0" w:color="auto"/>
            </w:tcBorders>
            <w:shd w:val="clear" w:color="auto" w:fill="auto"/>
            <w:hideMark/>
          </w:tcPr>
          <w:p w14:paraId="30A0ED62"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0.08 (0.02, 0.14)</w:t>
            </w:r>
          </w:p>
        </w:tc>
      </w:tr>
      <w:tr w:rsidR="00D30F1D" w:rsidRPr="0058247A" w14:paraId="19A2D052"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14:paraId="56E7E757" w14:textId="77777777" w:rsidR="00D30F1D" w:rsidRPr="0058247A" w:rsidRDefault="00D30F1D" w:rsidP="00E93FF7">
            <w:pPr>
              <w:jc w:val="left"/>
              <w:rPr>
                <w:rFonts w:ascii="Arial Narrow" w:hAnsi="Arial Narrow" w:cs="Calibri"/>
                <w:b/>
                <w:bCs/>
                <w:color w:val="000000"/>
                <w:sz w:val="20"/>
                <w:szCs w:val="20"/>
                <w:lang w:eastAsia="en-US"/>
              </w:rPr>
            </w:pPr>
            <w:r w:rsidRPr="0058247A">
              <w:rPr>
                <w:rFonts w:ascii="Arial Narrow" w:hAnsi="Arial Narrow" w:cs="Calibri"/>
                <w:b/>
                <w:bCs/>
                <w:color w:val="000000"/>
                <w:sz w:val="20"/>
                <w:szCs w:val="20"/>
                <w:lang w:eastAsia="en-US"/>
              </w:rPr>
              <w:t>TEAE leading to discontinuation of study treatment</w:t>
            </w:r>
          </w:p>
        </w:tc>
      </w:tr>
      <w:tr w:rsidR="00D30F1D" w:rsidRPr="0058247A" w14:paraId="4E9C84D3" w14:textId="77777777" w:rsidTr="00E93FF7">
        <w:tblPrEx>
          <w:tblCellMar>
            <w:left w:w="108" w:type="dxa"/>
            <w:right w:w="108" w:type="dxa"/>
          </w:tblCellMar>
        </w:tblPrEx>
        <w:trPr>
          <w:trHeight w:val="20"/>
        </w:trPr>
        <w:tc>
          <w:tcPr>
            <w:tcW w:w="388" w:type="pct"/>
            <w:tcBorders>
              <w:top w:val="single" w:sz="8" w:space="0" w:color="auto"/>
              <w:left w:val="single" w:sz="8" w:space="0" w:color="auto"/>
              <w:bottom w:val="single" w:sz="8" w:space="0" w:color="000000"/>
              <w:right w:val="single" w:sz="4" w:space="0" w:color="auto"/>
            </w:tcBorders>
            <w:shd w:val="clear" w:color="auto" w:fill="auto"/>
            <w:hideMark/>
          </w:tcPr>
          <w:p w14:paraId="161E99DB"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4" w:space="0" w:color="auto"/>
              <w:bottom w:val="single" w:sz="8" w:space="0" w:color="000000"/>
              <w:right w:val="single" w:sz="8" w:space="0" w:color="auto"/>
            </w:tcBorders>
            <w:shd w:val="clear" w:color="auto" w:fill="auto"/>
            <w:hideMark/>
          </w:tcPr>
          <w:p w14:paraId="2F0125A6"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53/364</w:t>
            </w:r>
          </w:p>
        </w:tc>
        <w:tc>
          <w:tcPr>
            <w:tcW w:w="703" w:type="pct"/>
            <w:tcBorders>
              <w:top w:val="nil"/>
              <w:left w:val="single" w:sz="8" w:space="0" w:color="auto"/>
              <w:bottom w:val="single" w:sz="8" w:space="0" w:color="000000"/>
              <w:right w:val="single" w:sz="8" w:space="0" w:color="auto"/>
            </w:tcBorders>
            <w:shd w:val="clear" w:color="auto" w:fill="auto"/>
            <w:hideMark/>
          </w:tcPr>
          <w:p w14:paraId="5A0E28E5"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87/365</w:t>
            </w:r>
          </w:p>
        </w:tc>
        <w:tc>
          <w:tcPr>
            <w:tcW w:w="819" w:type="pct"/>
            <w:tcBorders>
              <w:top w:val="nil"/>
              <w:left w:val="nil"/>
              <w:bottom w:val="nil"/>
              <w:right w:val="single" w:sz="8" w:space="0" w:color="auto"/>
            </w:tcBorders>
            <w:shd w:val="clear" w:color="auto" w:fill="auto"/>
            <w:hideMark/>
          </w:tcPr>
          <w:p w14:paraId="6C43BFFE" w14:textId="77777777" w:rsidR="00D30F1D" w:rsidRPr="0058247A" w:rsidRDefault="00D30F1D" w:rsidP="00E93FF7">
            <w:pP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0.61 (0.45, 0.83)</w:t>
            </w:r>
          </w:p>
        </w:tc>
        <w:tc>
          <w:tcPr>
            <w:tcW w:w="745" w:type="pct"/>
            <w:tcBorders>
              <w:top w:val="nil"/>
              <w:left w:val="single" w:sz="8" w:space="0" w:color="auto"/>
              <w:bottom w:val="single" w:sz="8" w:space="0" w:color="000000"/>
              <w:right w:val="single" w:sz="8" w:space="0" w:color="auto"/>
            </w:tcBorders>
            <w:shd w:val="clear" w:color="auto" w:fill="auto"/>
            <w:hideMark/>
          </w:tcPr>
          <w:p w14:paraId="7E295534"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15</w:t>
            </w:r>
          </w:p>
        </w:tc>
        <w:tc>
          <w:tcPr>
            <w:tcW w:w="705" w:type="pct"/>
            <w:tcBorders>
              <w:top w:val="nil"/>
              <w:left w:val="single" w:sz="8" w:space="0" w:color="auto"/>
              <w:bottom w:val="single" w:sz="8" w:space="0" w:color="000000"/>
              <w:right w:val="single" w:sz="8" w:space="0" w:color="auto"/>
            </w:tcBorders>
            <w:shd w:val="clear" w:color="auto" w:fill="auto"/>
            <w:hideMark/>
          </w:tcPr>
          <w:p w14:paraId="12B69551"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24</w:t>
            </w:r>
          </w:p>
        </w:tc>
        <w:tc>
          <w:tcPr>
            <w:tcW w:w="1170" w:type="pct"/>
            <w:tcBorders>
              <w:top w:val="nil"/>
              <w:left w:val="nil"/>
              <w:bottom w:val="nil"/>
              <w:right w:val="single" w:sz="8" w:space="0" w:color="auto"/>
            </w:tcBorders>
            <w:shd w:val="clear" w:color="auto" w:fill="auto"/>
            <w:hideMark/>
          </w:tcPr>
          <w:p w14:paraId="018B0DC9"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-0.09 (-0.15, -0.04)</w:t>
            </w:r>
          </w:p>
        </w:tc>
      </w:tr>
      <w:tr w:rsidR="00D30F1D" w:rsidRPr="0058247A" w14:paraId="5A0111C8"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tcPr>
          <w:p w14:paraId="65A08451" w14:textId="77777777" w:rsidR="00D30F1D" w:rsidRPr="0058247A" w:rsidRDefault="00D30F1D" w:rsidP="00E93FF7">
            <w:pPr>
              <w:rPr>
                <w:rFonts w:ascii="Arial Narrow" w:hAnsi="Arial Narrow" w:cs="Calibri"/>
                <w:b/>
                <w:bCs/>
                <w:color w:val="000000"/>
                <w:sz w:val="20"/>
                <w:szCs w:val="20"/>
                <w:lang w:eastAsia="en-US"/>
              </w:rPr>
            </w:pPr>
            <w:r w:rsidRPr="0058247A">
              <w:rPr>
                <w:rFonts w:ascii="Arial Narrow" w:hAnsi="Arial Narrow" w:cs="Calibri"/>
                <w:b/>
                <w:bCs/>
                <w:color w:val="000000"/>
                <w:sz w:val="20"/>
                <w:szCs w:val="20"/>
                <w:lang w:eastAsia="en-US"/>
              </w:rPr>
              <w:t>Patient with &gt;1 TESAEs</w:t>
            </w:r>
          </w:p>
        </w:tc>
      </w:tr>
      <w:tr w:rsidR="00D30F1D" w:rsidRPr="0058247A" w14:paraId="10A8DEEE" w14:textId="77777777" w:rsidTr="00E93FF7">
        <w:tblPrEx>
          <w:tblCellMar>
            <w:left w:w="108" w:type="dxa"/>
            <w:right w:w="108" w:type="dxa"/>
          </w:tblCellMar>
        </w:tblPrEx>
        <w:trPr>
          <w:trHeight w:val="20"/>
        </w:trPr>
        <w:tc>
          <w:tcPr>
            <w:tcW w:w="388" w:type="pct"/>
            <w:tcBorders>
              <w:top w:val="single" w:sz="8" w:space="0" w:color="auto"/>
              <w:left w:val="single" w:sz="8" w:space="0" w:color="auto"/>
              <w:bottom w:val="single" w:sz="8" w:space="0" w:color="000000"/>
              <w:right w:val="single" w:sz="8" w:space="0" w:color="000000"/>
            </w:tcBorders>
            <w:shd w:val="clear" w:color="auto" w:fill="auto"/>
            <w:hideMark/>
          </w:tcPr>
          <w:p w14:paraId="7614173F" w14:textId="77777777" w:rsidR="00D30F1D" w:rsidRPr="0058247A" w:rsidRDefault="00D30F1D" w:rsidP="00E93FF7">
            <w:pPr>
              <w:jc w:val="left"/>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8" w:space="0" w:color="auto"/>
              <w:bottom w:val="single" w:sz="8" w:space="0" w:color="000000"/>
              <w:right w:val="single" w:sz="8" w:space="0" w:color="auto"/>
            </w:tcBorders>
            <w:shd w:val="clear" w:color="auto" w:fill="auto"/>
            <w:hideMark/>
          </w:tcPr>
          <w:p w14:paraId="7BCCB3CF"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287/364</w:t>
            </w:r>
          </w:p>
        </w:tc>
        <w:tc>
          <w:tcPr>
            <w:tcW w:w="703" w:type="pct"/>
            <w:tcBorders>
              <w:top w:val="nil"/>
              <w:left w:val="single" w:sz="8" w:space="0" w:color="auto"/>
              <w:bottom w:val="single" w:sz="8" w:space="0" w:color="000000"/>
              <w:right w:val="single" w:sz="8" w:space="0" w:color="auto"/>
            </w:tcBorders>
            <w:shd w:val="clear" w:color="auto" w:fill="auto"/>
            <w:hideMark/>
          </w:tcPr>
          <w:p w14:paraId="771B0A00"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259/365</w:t>
            </w:r>
          </w:p>
        </w:tc>
        <w:tc>
          <w:tcPr>
            <w:tcW w:w="819" w:type="pct"/>
            <w:tcBorders>
              <w:top w:val="nil"/>
              <w:left w:val="nil"/>
              <w:bottom w:val="single" w:sz="4" w:space="0" w:color="auto"/>
              <w:right w:val="single" w:sz="8" w:space="0" w:color="auto"/>
            </w:tcBorders>
            <w:shd w:val="clear" w:color="auto" w:fill="auto"/>
            <w:hideMark/>
          </w:tcPr>
          <w:p w14:paraId="635BA14D"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1.11 (1.02, 1.21)</w:t>
            </w:r>
          </w:p>
        </w:tc>
        <w:tc>
          <w:tcPr>
            <w:tcW w:w="745" w:type="pct"/>
            <w:tcBorders>
              <w:top w:val="nil"/>
              <w:left w:val="single" w:sz="8" w:space="0" w:color="auto"/>
              <w:bottom w:val="single" w:sz="4" w:space="0" w:color="auto"/>
              <w:right w:val="single" w:sz="8" w:space="0" w:color="auto"/>
            </w:tcBorders>
            <w:shd w:val="clear" w:color="auto" w:fill="auto"/>
            <w:hideMark/>
          </w:tcPr>
          <w:p w14:paraId="4D47F830"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79</w:t>
            </w:r>
          </w:p>
        </w:tc>
        <w:tc>
          <w:tcPr>
            <w:tcW w:w="705" w:type="pct"/>
            <w:tcBorders>
              <w:top w:val="nil"/>
              <w:left w:val="single" w:sz="8" w:space="0" w:color="auto"/>
              <w:bottom w:val="single" w:sz="4" w:space="0" w:color="auto"/>
              <w:right w:val="single" w:sz="8" w:space="0" w:color="auto"/>
            </w:tcBorders>
            <w:shd w:val="clear" w:color="auto" w:fill="auto"/>
            <w:hideMark/>
          </w:tcPr>
          <w:p w14:paraId="5D0934E2"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71</w:t>
            </w:r>
          </w:p>
        </w:tc>
        <w:tc>
          <w:tcPr>
            <w:tcW w:w="1170" w:type="pct"/>
            <w:tcBorders>
              <w:top w:val="nil"/>
              <w:left w:val="nil"/>
              <w:bottom w:val="single" w:sz="4" w:space="0" w:color="auto"/>
              <w:right w:val="single" w:sz="8" w:space="0" w:color="auto"/>
            </w:tcBorders>
            <w:shd w:val="clear" w:color="auto" w:fill="auto"/>
            <w:hideMark/>
          </w:tcPr>
          <w:p w14:paraId="453EAE13"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0.08 (0.02, 0.14)</w:t>
            </w:r>
          </w:p>
        </w:tc>
      </w:tr>
      <w:tr w:rsidR="00D30F1D" w:rsidRPr="0058247A" w14:paraId="0C016061"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000000"/>
              <w:right w:val="single" w:sz="8" w:space="0" w:color="auto"/>
            </w:tcBorders>
            <w:shd w:val="clear" w:color="auto" w:fill="auto"/>
          </w:tcPr>
          <w:p w14:paraId="397D03A3" w14:textId="77777777" w:rsidR="00D30F1D" w:rsidRPr="0058247A" w:rsidRDefault="00D30F1D" w:rsidP="00E93FF7">
            <w:pPr>
              <w:jc w:val="left"/>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Pneumonia</w:t>
            </w:r>
          </w:p>
        </w:tc>
      </w:tr>
      <w:tr w:rsidR="00D30F1D" w:rsidRPr="0058247A" w14:paraId="7A608EF5" w14:textId="77777777" w:rsidTr="00E93FF7">
        <w:trPr>
          <w:trHeight w:val="20"/>
        </w:trPr>
        <w:tc>
          <w:tcPr>
            <w:tcW w:w="388" w:type="pct"/>
            <w:tcBorders>
              <w:top w:val="single" w:sz="8" w:space="0" w:color="auto"/>
              <w:left w:val="single" w:sz="8" w:space="0" w:color="auto"/>
              <w:bottom w:val="single" w:sz="8" w:space="0" w:color="000000"/>
              <w:right w:val="single" w:sz="8" w:space="0" w:color="000000"/>
            </w:tcBorders>
            <w:shd w:val="clear" w:color="auto" w:fill="auto"/>
          </w:tcPr>
          <w:p w14:paraId="2BDB2CC0"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8" w:space="0" w:color="auto"/>
              <w:bottom w:val="single" w:sz="8" w:space="0" w:color="000000"/>
              <w:right w:val="single" w:sz="8" w:space="0" w:color="auto"/>
            </w:tcBorders>
            <w:shd w:val="clear" w:color="auto" w:fill="auto"/>
          </w:tcPr>
          <w:p w14:paraId="12508E7B"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68/364</w:t>
            </w:r>
          </w:p>
        </w:tc>
        <w:tc>
          <w:tcPr>
            <w:tcW w:w="703" w:type="pct"/>
            <w:tcBorders>
              <w:top w:val="nil"/>
              <w:left w:val="single" w:sz="8" w:space="0" w:color="auto"/>
              <w:bottom w:val="single" w:sz="8" w:space="0" w:color="000000"/>
              <w:right w:val="single" w:sz="8" w:space="0" w:color="auto"/>
            </w:tcBorders>
            <w:shd w:val="clear" w:color="auto" w:fill="auto"/>
          </w:tcPr>
          <w:p w14:paraId="3776B829"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39/365</w:t>
            </w:r>
          </w:p>
        </w:tc>
        <w:tc>
          <w:tcPr>
            <w:tcW w:w="819" w:type="pct"/>
            <w:tcBorders>
              <w:top w:val="nil"/>
              <w:left w:val="nil"/>
              <w:bottom w:val="single" w:sz="4" w:space="0" w:color="auto"/>
              <w:right w:val="single" w:sz="8" w:space="0" w:color="auto"/>
            </w:tcBorders>
            <w:shd w:val="clear" w:color="auto" w:fill="auto"/>
          </w:tcPr>
          <w:p w14:paraId="6083CE91"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1.75 (1.21, 2.52)</w:t>
            </w:r>
          </w:p>
        </w:tc>
        <w:tc>
          <w:tcPr>
            <w:tcW w:w="745" w:type="pct"/>
            <w:tcBorders>
              <w:top w:val="nil"/>
              <w:left w:val="single" w:sz="8" w:space="0" w:color="auto"/>
              <w:bottom w:val="single" w:sz="4" w:space="0" w:color="auto"/>
              <w:right w:val="single" w:sz="8" w:space="0" w:color="auto"/>
            </w:tcBorders>
            <w:shd w:val="clear" w:color="auto" w:fill="auto"/>
          </w:tcPr>
          <w:p w14:paraId="3B986A11"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19</w:t>
            </w:r>
          </w:p>
        </w:tc>
        <w:tc>
          <w:tcPr>
            <w:tcW w:w="705" w:type="pct"/>
            <w:tcBorders>
              <w:top w:val="nil"/>
              <w:left w:val="single" w:sz="8" w:space="0" w:color="auto"/>
              <w:bottom w:val="single" w:sz="4" w:space="0" w:color="auto"/>
              <w:right w:val="single" w:sz="8" w:space="0" w:color="auto"/>
            </w:tcBorders>
            <w:shd w:val="clear" w:color="auto" w:fill="auto"/>
          </w:tcPr>
          <w:p w14:paraId="6129DC66"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11</w:t>
            </w:r>
          </w:p>
        </w:tc>
        <w:tc>
          <w:tcPr>
            <w:tcW w:w="1170" w:type="pct"/>
            <w:tcBorders>
              <w:top w:val="nil"/>
              <w:left w:val="nil"/>
              <w:bottom w:val="single" w:sz="4" w:space="0" w:color="auto"/>
              <w:right w:val="single" w:sz="8" w:space="0" w:color="auto"/>
            </w:tcBorders>
            <w:shd w:val="clear" w:color="auto" w:fill="auto"/>
          </w:tcPr>
          <w:p w14:paraId="1DF9272C"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0.08 (0.03, 0.13)</w:t>
            </w:r>
          </w:p>
        </w:tc>
      </w:tr>
      <w:tr w:rsidR="00D30F1D" w:rsidRPr="0058247A" w14:paraId="2F01EFD8"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000000"/>
              <w:right w:val="single" w:sz="8" w:space="0" w:color="auto"/>
            </w:tcBorders>
            <w:shd w:val="clear" w:color="auto" w:fill="auto"/>
          </w:tcPr>
          <w:p w14:paraId="6559543F" w14:textId="77777777" w:rsidR="00D30F1D" w:rsidRPr="0058247A" w:rsidRDefault="00D30F1D" w:rsidP="00E93FF7">
            <w:pPr>
              <w:jc w:val="left"/>
              <w:rPr>
                <w:rFonts w:ascii="Arial Narrow" w:hAnsi="Arial Narrow" w:cs="Calibri"/>
                <w:color w:val="000000"/>
                <w:sz w:val="20"/>
                <w:szCs w:val="20"/>
                <w:lang w:eastAsia="en-US"/>
              </w:rPr>
            </w:pPr>
            <w:r w:rsidRPr="0058247A">
              <w:rPr>
                <w:rFonts w:ascii="Arial Narrow" w:hAnsi="Arial Narrow" w:cs="Calibri"/>
                <w:b/>
                <w:bCs/>
                <w:color w:val="000000"/>
                <w:sz w:val="20"/>
                <w:szCs w:val="20"/>
                <w:lang w:eastAsia="en-US"/>
              </w:rPr>
              <w:t>Patients with toxicity grade 3 or 4 TEAEs</w:t>
            </w:r>
          </w:p>
        </w:tc>
      </w:tr>
      <w:tr w:rsidR="00D30F1D" w:rsidRPr="0058247A" w14:paraId="48A85D5A" w14:textId="77777777" w:rsidTr="00E93FF7">
        <w:tblPrEx>
          <w:tblCellMar>
            <w:left w:w="108" w:type="dxa"/>
            <w:right w:w="108" w:type="dxa"/>
          </w:tblCellMar>
        </w:tblPrEx>
        <w:trPr>
          <w:trHeight w:val="20"/>
        </w:trPr>
        <w:tc>
          <w:tcPr>
            <w:tcW w:w="388" w:type="pct"/>
            <w:tcBorders>
              <w:top w:val="single" w:sz="8" w:space="0" w:color="auto"/>
              <w:left w:val="single" w:sz="8" w:space="0" w:color="auto"/>
              <w:bottom w:val="single" w:sz="8" w:space="0" w:color="000000"/>
              <w:right w:val="single" w:sz="8" w:space="0" w:color="000000"/>
            </w:tcBorders>
            <w:shd w:val="clear" w:color="auto" w:fill="auto"/>
          </w:tcPr>
          <w:p w14:paraId="785B0E14" w14:textId="77777777" w:rsidR="00D30F1D" w:rsidRPr="0058247A" w:rsidRDefault="00D30F1D" w:rsidP="00E93FF7">
            <w:pPr>
              <w:jc w:val="left"/>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8" w:space="0" w:color="auto"/>
              <w:bottom w:val="single" w:sz="8" w:space="0" w:color="000000"/>
              <w:right w:val="single" w:sz="8" w:space="0" w:color="auto"/>
            </w:tcBorders>
            <w:shd w:val="clear" w:color="auto" w:fill="auto"/>
          </w:tcPr>
          <w:p w14:paraId="58380296"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349/364</w:t>
            </w:r>
          </w:p>
        </w:tc>
        <w:tc>
          <w:tcPr>
            <w:tcW w:w="703" w:type="pct"/>
            <w:tcBorders>
              <w:top w:val="nil"/>
              <w:left w:val="single" w:sz="8" w:space="0" w:color="auto"/>
              <w:bottom w:val="single" w:sz="8" w:space="0" w:color="000000"/>
              <w:right w:val="single" w:sz="8" w:space="0" w:color="auto"/>
            </w:tcBorders>
            <w:shd w:val="clear" w:color="auto" w:fill="auto"/>
          </w:tcPr>
          <w:p w14:paraId="77C80EED"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324/365</w:t>
            </w:r>
          </w:p>
        </w:tc>
        <w:tc>
          <w:tcPr>
            <w:tcW w:w="819" w:type="pct"/>
            <w:tcBorders>
              <w:top w:val="nil"/>
              <w:left w:val="nil"/>
              <w:bottom w:val="single" w:sz="4" w:space="0" w:color="auto"/>
              <w:right w:val="single" w:sz="8" w:space="0" w:color="auto"/>
            </w:tcBorders>
            <w:shd w:val="clear" w:color="auto" w:fill="auto"/>
          </w:tcPr>
          <w:p w14:paraId="50F1A384"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1.08 (1.04, 1.13)</w:t>
            </w:r>
          </w:p>
        </w:tc>
        <w:tc>
          <w:tcPr>
            <w:tcW w:w="745" w:type="pct"/>
            <w:tcBorders>
              <w:top w:val="nil"/>
              <w:left w:val="single" w:sz="8" w:space="0" w:color="auto"/>
              <w:bottom w:val="single" w:sz="4" w:space="0" w:color="auto"/>
              <w:right w:val="single" w:sz="8" w:space="0" w:color="auto"/>
            </w:tcBorders>
            <w:shd w:val="clear" w:color="auto" w:fill="auto"/>
          </w:tcPr>
          <w:p w14:paraId="611ADDE3"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96</w:t>
            </w:r>
          </w:p>
        </w:tc>
        <w:tc>
          <w:tcPr>
            <w:tcW w:w="705" w:type="pct"/>
            <w:tcBorders>
              <w:top w:val="nil"/>
              <w:left w:val="single" w:sz="8" w:space="0" w:color="auto"/>
              <w:bottom w:val="single" w:sz="4" w:space="0" w:color="auto"/>
              <w:right w:val="single" w:sz="8" w:space="0" w:color="auto"/>
            </w:tcBorders>
            <w:shd w:val="clear" w:color="auto" w:fill="auto"/>
          </w:tcPr>
          <w:p w14:paraId="5EBF2C9F"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89</w:t>
            </w:r>
          </w:p>
        </w:tc>
        <w:tc>
          <w:tcPr>
            <w:tcW w:w="1170" w:type="pct"/>
            <w:tcBorders>
              <w:top w:val="nil"/>
              <w:left w:val="nil"/>
              <w:bottom w:val="single" w:sz="4" w:space="0" w:color="auto"/>
              <w:right w:val="single" w:sz="8" w:space="0" w:color="auto"/>
            </w:tcBorders>
            <w:shd w:val="clear" w:color="auto" w:fill="auto"/>
          </w:tcPr>
          <w:p w14:paraId="671FC3D3"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0.07 (0.03, 0.11)</w:t>
            </w:r>
          </w:p>
        </w:tc>
      </w:tr>
      <w:tr w:rsidR="00D30F1D" w:rsidRPr="0058247A" w14:paraId="1A8F8294" w14:textId="77777777" w:rsidTr="00E93FF7">
        <w:tblPrEx>
          <w:tblCellMar>
            <w:left w:w="108" w:type="dxa"/>
            <w:right w:w="108" w:type="dxa"/>
          </w:tblCellMar>
        </w:tblPrEx>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14:paraId="7E122E84" w14:textId="77777777" w:rsidR="00D30F1D" w:rsidRPr="0058247A" w:rsidRDefault="00D30F1D" w:rsidP="00E93FF7">
            <w:pP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Leukopenia</w:t>
            </w:r>
          </w:p>
        </w:tc>
      </w:tr>
      <w:tr w:rsidR="00D30F1D" w:rsidRPr="0058247A" w14:paraId="26185313" w14:textId="77777777" w:rsidTr="00E93FF7">
        <w:tblPrEx>
          <w:tblCellMar>
            <w:left w:w="108" w:type="dxa"/>
            <w:right w:w="108" w:type="dxa"/>
          </w:tblCellMar>
        </w:tblPrEx>
        <w:trPr>
          <w:trHeight w:val="20"/>
        </w:trPr>
        <w:tc>
          <w:tcPr>
            <w:tcW w:w="388" w:type="pct"/>
            <w:tcBorders>
              <w:top w:val="single" w:sz="8" w:space="0" w:color="auto"/>
              <w:left w:val="single" w:sz="8" w:space="0" w:color="auto"/>
              <w:bottom w:val="single" w:sz="8" w:space="0" w:color="000000"/>
              <w:right w:val="single" w:sz="8" w:space="0" w:color="000000"/>
            </w:tcBorders>
            <w:shd w:val="clear" w:color="auto" w:fill="auto"/>
            <w:hideMark/>
          </w:tcPr>
          <w:p w14:paraId="0E912EBA" w14:textId="77777777" w:rsidR="00D30F1D" w:rsidRPr="0058247A" w:rsidRDefault="00D30F1D" w:rsidP="00E93FF7">
            <w:pPr>
              <w:jc w:val="left"/>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MAIA</w:t>
            </w:r>
          </w:p>
        </w:tc>
        <w:tc>
          <w:tcPr>
            <w:tcW w:w="470" w:type="pct"/>
            <w:tcBorders>
              <w:top w:val="nil"/>
              <w:left w:val="single" w:sz="8" w:space="0" w:color="auto"/>
              <w:bottom w:val="single" w:sz="8" w:space="0" w:color="000000"/>
              <w:right w:val="single" w:sz="8" w:space="0" w:color="auto"/>
            </w:tcBorders>
            <w:shd w:val="clear" w:color="auto" w:fill="auto"/>
            <w:hideMark/>
          </w:tcPr>
          <w:p w14:paraId="72BA4991"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42/364</w:t>
            </w:r>
          </w:p>
        </w:tc>
        <w:tc>
          <w:tcPr>
            <w:tcW w:w="703" w:type="pct"/>
            <w:tcBorders>
              <w:top w:val="nil"/>
              <w:left w:val="single" w:sz="8" w:space="0" w:color="auto"/>
              <w:bottom w:val="single" w:sz="4" w:space="0" w:color="auto"/>
              <w:right w:val="single" w:sz="8" w:space="0" w:color="auto"/>
            </w:tcBorders>
            <w:shd w:val="clear" w:color="auto" w:fill="auto"/>
            <w:hideMark/>
          </w:tcPr>
          <w:p w14:paraId="6FA54220"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23/365</w:t>
            </w:r>
          </w:p>
        </w:tc>
        <w:tc>
          <w:tcPr>
            <w:tcW w:w="819" w:type="pct"/>
            <w:tcBorders>
              <w:top w:val="nil"/>
              <w:left w:val="nil"/>
              <w:bottom w:val="single" w:sz="4" w:space="0" w:color="auto"/>
              <w:right w:val="single" w:sz="8" w:space="0" w:color="auto"/>
            </w:tcBorders>
            <w:shd w:val="clear" w:color="auto" w:fill="auto"/>
            <w:hideMark/>
          </w:tcPr>
          <w:p w14:paraId="31E6A89B"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1.83 (1.12, 2.98)</w:t>
            </w:r>
          </w:p>
        </w:tc>
        <w:tc>
          <w:tcPr>
            <w:tcW w:w="745" w:type="pct"/>
            <w:tcBorders>
              <w:top w:val="nil"/>
              <w:left w:val="single" w:sz="8" w:space="0" w:color="auto"/>
              <w:bottom w:val="single" w:sz="4" w:space="0" w:color="auto"/>
              <w:right w:val="single" w:sz="8" w:space="0" w:color="auto"/>
            </w:tcBorders>
            <w:shd w:val="clear" w:color="auto" w:fill="auto"/>
            <w:hideMark/>
          </w:tcPr>
          <w:p w14:paraId="78DF1A32"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12</w:t>
            </w:r>
          </w:p>
        </w:tc>
        <w:tc>
          <w:tcPr>
            <w:tcW w:w="705" w:type="pct"/>
            <w:tcBorders>
              <w:top w:val="nil"/>
              <w:left w:val="single" w:sz="8" w:space="0" w:color="auto"/>
              <w:bottom w:val="single" w:sz="4" w:space="0" w:color="auto"/>
              <w:right w:val="single" w:sz="8" w:space="0" w:color="auto"/>
            </w:tcBorders>
            <w:shd w:val="clear" w:color="auto" w:fill="auto"/>
            <w:hideMark/>
          </w:tcPr>
          <w:p w14:paraId="21FCF2D7"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6</w:t>
            </w:r>
          </w:p>
        </w:tc>
        <w:tc>
          <w:tcPr>
            <w:tcW w:w="1170" w:type="pct"/>
            <w:tcBorders>
              <w:top w:val="nil"/>
              <w:left w:val="nil"/>
              <w:bottom w:val="single" w:sz="4" w:space="0" w:color="auto"/>
              <w:right w:val="single" w:sz="8" w:space="0" w:color="auto"/>
            </w:tcBorders>
            <w:shd w:val="clear" w:color="auto" w:fill="auto"/>
            <w:hideMark/>
          </w:tcPr>
          <w:p w14:paraId="7FFCF38D" w14:textId="77777777" w:rsidR="00D30F1D" w:rsidRPr="0058247A" w:rsidRDefault="00D30F1D" w:rsidP="00E93FF7">
            <w:pPr>
              <w:jc w:val="center"/>
              <w:rPr>
                <w:rFonts w:ascii="Arial Narrow" w:hAnsi="Arial Narrow" w:cs="Calibri"/>
                <w:color w:val="000000"/>
                <w:sz w:val="20"/>
                <w:szCs w:val="20"/>
                <w:lang w:eastAsia="en-US"/>
              </w:rPr>
            </w:pPr>
            <w:r w:rsidRPr="0058247A">
              <w:rPr>
                <w:rFonts w:ascii="Arial Narrow" w:hAnsi="Arial Narrow" w:cs="Calibri"/>
                <w:color w:val="000000"/>
                <w:sz w:val="20"/>
                <w:szCs w:val="20"/>
                <w:lang w:eastAsia="en-US"/>
              </w:rPr>
              <w:t>0.05 (0.01, 0.09)</w:t>
            </w:r>
          </w:p>
        </w:tc>
      </w:tr>
    </w:tbl>
    <w:p w14:paraId="0E37B448" w14:textId="77777777" w:rsidR="00D30F1D" w:rsidRPr="0058247A" w:rsidRDefault="00D30F1D" w:rsidP="00D30F1D">
      <w:pPr>
        <w:pStyle w:val="FooterTableFigure"/>
        <w:rPr>
          <w:sz w:val="20"/>
        </w:rPr>
      </w:pPr>
      <w:r w:rsidRPr="0058247A">
        <w:t>Source: Table 2.26, p144, Table 2.27, p146, Table 2.45, p174 and Table 2.44, p173 of the submission.</w:t>
      </w:r>
    </w:p>
    <w:p w14:paraId="0A0BE05D" w14:textId="4CC995C3" w:rsidR="00D30F1D" w:rsidRPr="0058247A" w:rsidRDefault="00D30F1D" w:rsidP="00D30F1D">
      <w:pPr>
        <w:pStyle w:val="FooterTableFigure"/>
      </w:pPr>
      <w:r w:rsidRPr="0058247A">
        <w:rPr>
          <w:rFonts w:eastAsia="Calibri"/>
        </w:rPr>
        <w:t xml:space="preserve">CI= confidence interval; </w:t>
      </w:r>
      <w:r w:rsidRPr="0058247A">
        <w:t xml:space="preserve">DLd= daratumumab, lenalidomide, dexamethasone; Ld= lenalidomide, dexamethasone; </w:t>
      </w:r>
      <w:r w:rsidRPr="0058247A">
        <w:rPr>
          <w:rFonts w:eastAsia="Calibri"/>
        </w:rPr>
        <w:t>n= number of participants reporting data; N= total participants in group; NE= not estimable; OS= overall survival; PFS= progression free survival; RD= risk difference; RR= relative risk;</w:t>
      </w:r>
      <w:r w:rsidRPr="0058247A">
        <w:t xml:space="preserve"> SAE= serious adverse event; TEAE= treatment-emergent adverse event; TESAE= treatment-emergent serious adverse event.</w:t>
      </w:r>
    </w:p>
    <w:p w14:paraId="123F2954" w14:textId="4C3C7A0F" w:rsidR="0015148F" w:rsidRPr="0058247A" w:rsidRDefault="00501686" w:rsidP="00A8529D">
      <w:pPr>
        <w:pStyle w:val="FooterTableFigure"/>
      </w:pPr>
      <w:r w:rsidRPr="0058247A">
        <w:rPr>
          <w:vertAlign w:val="superscript"/>
        </w:rPr>
        <w:t>a</w:t>
      </w:r>
      <w:r w:rsidRPr="0058247A">
        <w:t xml:space="preserve"> Calculated during the evaluation. This analysis was not powered to detect statistical differences in the occurrence of safety events; apparent differences shown in relative measures of effect are exploratory only.</w:t>
      </w:r>
    </w:p>
    <w:p w14:paraId="04AAF7BA" w14:textId="77777777" w:rsidR="00D30F1D" w:rsidRPr="0058247A" w:rsidRDefault="00D30F1D" w:rsidP="00D30F1D">
      <w:pPr>
        <w:pStyle w:val="3-BodyText"/>
      </w:pPr>
      <w:r w:rsidRPr="0058247A">
        <w:t>On the basis of direct evidence presented by the submission, for every 100 patients treated with DLd in comparison with Ld, after 48 months:</w:t>
      </w:r>
    </w:p>
    <w:p w14:paraId="2DEE46EE" w14:textId="595431A7" w:rsidR="00D30F1D" w:rsidRPr="0058247A" w:rsidRDefault="00D30F1D" w:rsidP="00661C42">
      <w:pPr>
        <w:pStyle w:val="ListParagraph"/>
        <w:numPr>
          <w:ilvl w:val="0"/>
          <w:numId w:val="11"/>
        </w:numPr>
        <w:ind w:left="1134"/>
      </w:pPr>
      <w:r w:rsidRPr="0058247A">
        <w:t>Approximately 2</w:t>
      </w:r>
      <w:r w:rsidR="00786ECA" w:rsidRPr="0058247A">
        <w:t>3</w:t>
      </w:r>
      <w:r w:rsidRPr="0058247A">
        <w:t xml:space="preserve"> additional patients will remain progression-free. </w:t>
      </w:r>
    </w:p>
    <w:p w14:paraId="2923E052" w14:textId="77777777" w:rsidR="00D30F1D" w:rsidRPr="0058247A" w:rsidRDefault="00D30F1D" w:rsidP="00661C42">
      <w:pPr>
        <w:pStyle w:val="ListParagraph"/>
        <w:numPr>
          <w:ilvl w:val="0"/>
          <w:numId w:val="11"/>
        </w:numPr>
        <w:ind w:left="1134"/>
      </w:pPr>
      <w:r w:rsidRPr="0058247A">
        <w:t>Approximately 7 additional patients will remain alive.</w:t>
      </w:r>
    </w:p>
    <w:p w14:paraId="606164AE" w14:textId="77777777" w:rsidR="00D30F1D" w:rsidRPr="0058247A" w:rsidRDefault="00D30F1D" w:rsidP="00661C42">
      <w:pPr>
        <w:pStyle w:val="ListParagraph"/>
        <w:numPr>
          <w:ilvl w:val="0"/>
          <w:numId w:val="11"/>
        </w:numPr>
        <w:ind w:left="1134"/>
      </w:pPr>
      <w:r w:rsidRPr="0058247A">
        <w:t xml:space="preserve">Approximately 4 additional patients would have a treatment emergent adverse event. </w:t>
      </w:r>
    </w:p>
    <w:p w14:paraId="13605E93" w14:textId="77777777" w:rsidR="00D30F1D" w:rsidRPr="0058247A" w:rsidRDefault="00D30F1D" w:rsidP="00661C42">
      <w:pPr>
        <w:pStyle w:val="ListParagraph"/>
        <w:numPr>
          <w:ilvl w:val="0"/>
          <w:numId w:val="11"/>
        </w:numPr>
        <w:ind w:left="1134"/>
      </w:pPr>
      <w:r w:rsidRPr="0058247A">
        <w:lastRenderedPageBreak/>
        <w:t xml:space="preserve">Approximately 8 additional patients would have a serious treatment emergent adverse event. </w:t>
      </w:r>
    </w:p>
    <w:p w14:paraId="7318EE70" w14:textId="703932DC" w:rsidR="00D30F1D" w:rsidRPr="0058247A" w:rsidRDefault="00D30F1D" w:rsidP="00661C42">
      <w:pPr>
        <w:pStyle w:val="ListParagraph"/>
        <w:numPr>
          <w:ilvl w:val="0"/>
          <w:numId w:val="11"/>
        </w:numPr>
        <w:ind w:left="1134"/>
      </w:pPr>
      <w:r w:rsidRPr="0058247A">
        <w:t>Approximately 9 fewer patients would discontinue study treatment due treatment emergent adverse event over.</w:t>
      </w:r>
    </w:p>
    <w:p w14:paraId="1E803201" w14:textId="77777777" w:rsidR="00D30F1D" w:rsidRPr="0058247A" w:rsidRDefault="00D30F1D" w:rsidP="00661C42">
      <w:pPr>
        <w:pStyle w:val="ListParagraph"/>
        <w:numPr>
          <w:ilvl w:val="0"/>
          <w:numId w:val="11"/>
        </w:numPr>
        <w:ind w:left="1134"/>
      </w:pPr>
      <w:r w:rsidRPr="0058247A">
        <w:t>Approximately 8 additional patients would have more than one treatment emergent serious adverse event.</w:t>
      </w:r>
    </w:p>
    <w:p w14:paraId="370B18D2" w14:textId="77777777" w:rsidR="00D30F1D" w:rsidRPr="0058247A" w:rsidRDefault="00D30F1D" w:rsidP="00661C42">
      <w:pPr>
        <w:pStyle w:val="ListParagraph"/>
        <w:numPr>
          <w:ilvl w:val="0"/>
          <w:numId w:val="11"/>
        </w:numPr>
        <w:ind w:left="1134"/>
      </w:pPr>
      <w:r w:rsidRPr="0058247A">
        <w:t>Approximately 8 additional patients would be diagnosed with pneumonia (an infection of the lungs) rated as serious.</w:t>
      </w:r>
    </w:p>
    <w:p w14:paraId="3FC3FC91" w14:textId="77777777" w:rsidR="00D30F1D" w:rsidRPr="0058247A" w:rsidRDefault="00D30F1D" w:rsidP="00661C42">
      <w:pPr>
        <w:pStyle w:val="ListParagraph"/>
        <w:numPr>
          <w:ilvl w:val="0"/>
          <w:numId w:val="11"/>
        </w:numPr>
        <w:ind w:left="1134"/>
      </w:pPr>
      <w:r w:rsidRPr="0058247A">
        <w:t>Approximately 7 additional patients would have a grade 3 or 4 toxicity treatment emergent adverse event.</w:t>
      </w:r>
    </w:p>
    <w:p w14:paraId="5CBD1D11" w14:textId="0E01A784" w:rsidR="00D30F1D" w:rsidRPr="0058247A" w:rsidRDefault="00D30F1D" w:rsidP="00661C42">
      <w:pPr>
        <w:pStyle w:val="ListParagraph"/>
        <w:numPr>
          <w:ilvl w:val="0"/>
          <w:numId w:val="11"/>
        </w:numPr>
        <w:ind w:left="1134"/>
      </w:pPr>
      <w:r w:rsidRPr="0058247A">
        <w:t>Approximately 5 additional patients would be diagnosed with leukopenia (a decrease in the white blood cell count) grade 3 or 4.</w:t>
      </w:r>
    </w:p>
    <w:p w14:paraId="5E10FF93" w14:textId="77777777" w:rsidR="00D30F1D" w:rsidRPr="0058247A" w:rsidRDefault="00D30F1D" w:rsidP="00D30F1D">
      <w:pPr>
        <w:pStyle w:val="4-SubsectionHeading"/>
      </w:pPr>
      <w:bookmarkStart w:id="74" w:name="_Toc22897644"/>
      <w:bookmarkStart w:id="75" w:name="_Toc121741816"/>
      <w:bookmarkStart w:id="76" w:name="_Toc124878976"/>
      <w:r w:rsidRPr="0058247A">
        <w:t>Clinical claim</w:t>
      </w:r>
      <w:bookmarkEnd w:id="74"/>
      <w:bookmarkEnd w:id="75"/>
      <w:bookmarkEnd w:id="76"/>
    </w:p>
    <w:p w14:paraId="00B3DEC5" w14:textId="214F05ED" w:rsidR="005339B3" w:rsidRPr="0015148F" w:rsidRDefault="00D30F1D" w:rsidP="00D30F1D">
      <w:pPr>
        <w:pStyle w:val="3-BodyText"/>
        <w:rPr>
          <w:rFonts w:eastAsia="Calibri"/>
        </w:rPr>
      </w:pPr>
      <w:r w:rsidRPr="006154DA">
        <w:rPr>
          <w:rFonts w:eastAsia="Calibri"/>
        </w:rPr>
        <w:t xml:space="preserve">The submission described DLd as superior in terms of effectiveness </w:t>
      </w:r>
      <w:r w:rsidR="005339B3" w:rsidRPr="006154DA">
        <w:rPr>
          <w:rFonts w:eastAsia="Calibri"/>
        </w:rPr>
        <w:t xml:space="preserve">and inferior in </w:t>
      </w:r>
      <w:r w:rsidR="005339B3" w:rsidRPr="0015148F">
        <w:rPr>
          <w:rFonts w:eastAsia="Calibri"/>
        </w:rPr>
        <w:t xml:space="preserve">terms of safety </w:t>
      </w:r>
      <w:r w:rsidRPr="0015148F">
        <w:rPr>
          <w:rFonts w:eastAsia="Calibri"/>
        </w:rPr>
        <w:t>compared to Ld. T</w:t>
      </w:r>
      <w:r w:rsidR="005339B3" w:rsidRPr="0015148F">
        <w:rPr>
          <w:rFonts w:eastAsia="Calibri"/>
        </w:rPr>
        <w:t xml:space="preserve">he </w:t>
      </w:r>
      <w:r w:rsidR="00551781" w:rsidRPr="0015148F">
        <w:rPr>
          <w:rFonts w:eastAsia="Calibri"/>
        </w:rPr>
        <w:t xml:space="preserve">PBAC agreed with </w:t>
      </w:r>
      <w:r w:rsidR="005339B3" w:rsidRPr="0015148F">
        <w:rPr>
          <w:rFonts w:eastAsia="Calibri"/>
        </w:rPr>
        <w:t xml:space="preserve">ESC </w:t>
      </w:r>
      <w:r w:rsidR="00551781" w:rsidRPr="0015148F">
        <w:rPr>
          <w:rFonts w:eastAsia="Calibri"/>
        </w:rPr>
        <w:t xml:space="preserve">and </w:t>
      </w:r>
      <w:r w:rsidR="005339B3" w:rsidRPr="0015148F">
        <w:rPr>
          <w:rFonts w:eastAsia="Calibri"/>
        </w:rPr>
        <w:t>considered that t</w:t>
      </w:r>
      <w:r w:rsidRPr="0015148F">
        <w:rPr>
          <w:rFonts w:eastAsia="Calibri"/>
        </w:rPr>
        <w:t>h</w:t>
      </w:r>
      <w:r w:rsidR="005339B3" w:rsidRPr="0015148F">
        <w:rPr>
          <w:rFonts w:eastAsia="Calibri"/>
        </w:rPr>
        <w:t>ese</w:t>
      </w:r>
      <w:r w:rsidRPr="0015148F">
        <w:rPr>
          <w:rFonts w:eastAsia="Calibri"/>
        </w:rPr>
        <w:t xml:space="preserve"> claim</w:t>
      </w:r>
      <w:r w:rsidR="005339B3" w:rsidRPr="0015148F">
        <w:rPr>
          <w:rFonts w:eastAsia="Calibri"/>
        </w:rPr>
        <w:t>s</w:t>
      </w:r>
      <w:r w:rsidRPr="0015148F">
        <w:rPr>
          <w:rFonts w:eastAsia="Calibri"/>
        </w:rPr>
        <w:t xml:space="preserve"> </w:t>
      </w:r>
      <w:r w:rsidR="005339B3" w:rsidRPr="0015148F">
        <w:rPr>
          <w:rFonts w:eastAsia="Calibri"/>
        </w:rPr>
        <w:t>were</w:t>
      </w:r>
      <w:r w:rsidRPr="0015148F">
        <w:rPr>
          <w:rFonts w:eastAsia="Calibri"/>
        </w:rPr>
        <w:t xml:space="preserve"> adequately supported</w:t>
      </w:r>
      <w:r w:rsidR="005339B3" w:rsidRPr="0015148F">
        <w:rPr>
          <w:rFonts w:eastAsia="Calibri"/>
        </w:rPr>
        <w:t>.</w:t>
      </w:r>
    </w:p>
    <w:p w14:paraId="586A4DAC" w14:textId="3AA70A74" w:rsidR="006154DA" w:rsidRPr="0015148F" w:rsidRDefault="005339B3" w:rsidP="00551781">
      <w:pPr>
        <w:pStyle w:val="3-BodyText"/>
        <w:rPr>
          <w:szCs w:val="20"/>
        </w:rPr>
      </w:pPr>
      <w:r w:rsidRPr="0015148F">
        <w:rPr>
          <w:rFonts w:eastAsia="Calibri"/>
        </w:rPr>
        <w:t xml:space="preserve">The submission described DLd as superior in terms of effectiveness and at worst non-inferior in terms of safety compared to BLd. The ESC considered that the claim of superior efficacy </w:t>
      </w:r>
      <w:r w:rsidR="00D30F1D" w:rsidRPr="0015148F">
        <w:rPr>
          <w:rFonts w:eastAsia="Calibri"/>
        </w:rPr>
        <w:t xml:space="preserve">was not supported as </w:t>
      </w:r>
      <w:r w:rsidR="00DF36A5" w:rsidRPr="0015148F">
        <w:rPr>
          <w:rFonts w:eastAsia="Calibri"/>
        </w:rPr>
        <w:t>this relied on</w:t>
      </w:r>
      <w:r w:rsidR="00D30F1D" w:rsidRPr="0015148F">
        <w:rPr>
          <w:rFonts w:eastAsia="Calibri"/>
        </w:rPr>
        <w:t xml:space="preserve"> the treatment effects of</w:t>
      </w:r>
      <w:r w:rsidR="003940CA" w:rsidRPr="0015148F">
        <w:rPr>
          <w:rFonts w:eastAsia="Calibri"/>
        </w:rPr>
        <w:t xml:space="preserve"> </w:t>
      </w:r>
      <w:r w:rsidR="00D30F1D" w:rsidRPr="0015148F">
        <w:rPr>
          <w:rFonts w:eastAsia="Calibri"/>
        </w:rPr>
        <w:t xml:space="preserve">Ld </w:t>
      </w:r>
      <w:r w:rsidR="003940CA" w:rsidRPr="0015148F">
        <w:rPr>
          <w:rFonts w:eastAsia="Calibri"/>
        </w:rPr>
        <w:t>being non-inferior to BLd w</w:t>
      </w:r>
      <w:r w:rsidR="00DF36A5" w:rsidRPr="0015148F">
        <w:rPr>
          <w:rFonts w:eastAsia="Calibri"/>
        </w:rPr>
        <w:t xml:space="preserve">hich </w:t>
      </w:r>
      <w:r w:rsidR="00D30F1D" w:rsidRPr="0015148F">
        <w:rPr>
          <w:rFonts w:eastAsia="Calibri"/>
        </w:rPr>
        <w:t xml:space="preserve">was not supported by the evidence provided. </w:t>
      </w:r>
      <w:r w:rsidR="003940CA" w:rsidRPr="0015148F">
        <w:rPr>
          <w:rFonts w:eastAsia="Calibri"/>
        </w:rPr>
        <w:t xml:space="preserve">The ESC considered that this justification was unreasonable as the absence of a statistically significant difference does not establish equivalent efficacy of BLd and Ld. The ESC noted that the PBAC has previously concluded that BLd is superior to Ld (paragraph 7.5, lenalidomide PSD, August 2019). </w:t>
      </w:r>
      <w:r w:rsidRPr="0015148F">
        <w:rPr>
          <w:rFonts w:eastAsia="Calibri"/>
        </w:rPr>
        <w:t>In addition, r</w:t>
      </w:r>
      <w:r w:rsidR="00D30F1D" w:rsidRPr="0015148F">
        <w:rPr>
          <w:rFonts w:eastAsia="Calibri"/>
        </w:rPr>
        <w:t xml:space="preserve">esults from an </w:t>
      </w:r>
      <w:r w:rsidR="00C9628C" w:rsidRPr="0015148F">
        <w:rPr>
          <w:rFonts w:eastAsia="Calibri"/>
        </w:rPr>
        <w:t xml:space="preserve">unadjusted, anchored </w:t>
      </w:r>
      <w:r w:rsidR="00D30F1D" w:rsidRPr="0015148F">
        <w:rPr>
          <w:rFonts w:eastAsia="Calibri"/>
        </w:rPr>
        <w:t xml:space="preserve">ITC conducted during the evaluation </w:t>
      </w:r>
      <w:r w:rsidR="00B26270" w:rsidRPr="0015148F">
        <w:rPr>
          <w:rFonts w:eastAsia="Calibri"/>
        </w:rPr>
        <w:t xml:space="preserve">did not demonstrate a statistically significant </w:t>
      </w:r>
      <w:r w:rsidR="00D30F1D" w:rsidRPr="0015148F">
        <w:rPr>
          <w:rFonts w:eastAsia="Calibri"/>
        </w:rPr>
        <w:t>difference between DLd and BLd for the relevant ITT analyses or nominated subgroup comparisons.</w:t>
      </w:r>
      <w:r w:rsidRPr="0015148F">
        <w:rPr>
          <w:rFonts w:eastAsia="Calibri"/>
        </w:rPr>
        <w:t xml:space="preserve"> </w:t>
      </w:r>
      <w:r w:rsidR="000A5449" w:rsidRPr="0015148F">
        <w:rPr>
          <w:rFonts w:eastAsia="Calibri"/>
        </w:rPr>
        <w:t>The PBAC considered that the claims of that DLd was superior in terms of efficacy and non-inferior in terms of safety compared to BLd were not adequately supported by the data.</w:t>
      </w:r>
    </w:p>
    <w:p w14:paraId="5EDE61CB" w14:textId="6D3BD788" w:rsidR="001D7ABE" w:rsidRPr="0015148F" w:rsidRDefault="001D7ABE" w:rsidP="001D7ABE">
      <w:pPr>
        <w:pStyle w:val="4-SubsectionHeading"/>
      </w:pPr>
      <w:bookmarkStart w:id="77" w:name="_Toc124878977"/>
      <w:r w:rsidRPr="0015148F">
        <w:t>Economic analysis</w:t>
      </w:r>
      <w:bookmarkEnd w:id="4"/>
      <w:bookmarkEnd w:id="77"/>
      <w:r w:rsidRPr="0015148F">
        <w:t xml:space="preserve"> </w:t>
      </w:r>
    </w:p>
    <w:p w14:paraId="42BCA866" w14:textId="04A06733" w:rsidR="001F0076" w:rsidRPr="0058247A" w:rsidRDefault="001D7ABE" w:rsidP="00720D59">
      <w:pPr>
        <w:pStyle w:val="3-BodyText"/>
      </w:pPr>
      <w:r w:rsidRPr="0015148F">
        <w:t>The submission</w:t>
      </w:r>
      <w:r w:rsidRPr="0058247A">
        <w:t xml:space="preserve"> presented a stepped economic evaluation, including a cost-utility analysis (CUA) based on the results from MAIA. A summary of the key components of the economic evaluation is presented in </w:t>
      </w:r>
      <w:r w:rsidRPr="0058247A">
        <w:fldChar w:fldCharType="begin"/>
      </w:r>
      <w:r w:rsidRPr="0058247A">
        <w:instrText xml:space="preserve"> REF _Ref121493934 \h </w:instrText>
      </w:r>
      <w:r w:rsidR="00720D59" w:rsidRPr="0058247A">
        <w:instrText xml:space="preserve"> \* MERGEFORMAT </w:instrText>
      </w:r>
      <w:r w:rsidRPr="0058247A">
        <w:fldChar w:fldCharType="separate"/>
      </w:r>
      <w:r w:rsidR="008D65C7" w:rsidRPr="0058247A">
        <w:t xml:space="preserve">Table </w:t>
      </w:r>
      <w:r w:rsidR="008D65C7">
        <w:t>13</w:t>
      </w:r>
      <w:r w:rsidRPr="0058247A">
        <w:fldChar w:fldCharType="end"/>
      </w:r>
      <w:r w:rsidRPr="0058247A">
        <w:t>.</w:t>
      </w:r>
    </w:p>
    <w:p w14:paraId="70D1B4D5" w14:textId="1BD2EC39" w:rsidR="001D7ABE" w:rsidRPr="0058247A" w:rsidRDefault="001D7ABE" w:rsidP="001F0076">
      <w:pPr>
        <w:pStyle w:val="TableFigureHeading"/>
        <w:pageBreakBefore/>
        <w:rPr>
          <w:rStyle w:val="CommentReference"/>
          <w:b/>
          <w:szCs w:val="24"/>
        </w:rPr>
      </w:pPr>
      <w:bookmarkStart w:id="78" w:name="_Ref121493934"/>
      <w:r w:rsidRPr="0058247A">
        <w:lastRenderedPageBreak/>
        <w:t xml:space="preserve">Table </w:t>
      </w:r>
      <w:fldSimple w:instr=" SEQ Table \* ARABIC ">
        <w:r w:rsidR="008D65C7">
          <w:rPr>
            <w:noProof/>
          </w:rPr>
          <w:t>13</w:t>
        </w:r>
      </w:fldSimple>
      <w:bookmarkEnd w:id="78"/>
      <w:r w:rsidR="00DB5136" w:rsidRPr="0058247A">
        <w:rPr>
          <w:rStyle w:val="CommentReference"/>
          <w:b/>
          <w:szCs w:val="24"/>
        </w:rPr>
        <w:t>:</w:t>
      </w:r>
      <w:r w:rsidRPr="0058247A">
        <w:rPr>
          <w:rStyle w:val="CommentReference"/>
          <w:b/>
          <w:szCs w:val="24"/>
        </w:rPr>
        <w:t xml:space="preserve"> Key components of the economic evaluation</w:t>
      </w:r>
    </w:p>
    <w:tbl>
      <w:tblPr>
        <w:tblStyle w:val="TableGrid"/>
        <w:tblW w:w="5000" w:type="pct"/>
        <w:tblLook w:val="0020" w:firstRow="1" w:lastRow="0" w:firstColumn="0" w:lastColumn="0" w:noHBand="0" w:noVBand="0"/>
      </w:tblPr>
      <w:tblGrid>
        <w:gridCol w:w="2678"/>
        <w:gridCol w:w="6339"/>
      </w:tblGrid>
      <w:tr w:rsidR="001D7ABE" w:rsidRPr="0058247A" w14:paraId="4EB6E079" w14:textId="77777777" w:rsidTr="00041E66">
        <w:trPr>
          <w:trHeight w:val="93"/>
        </w:trPr>
        <w:tc>
          <w:tcPr>
            <w:tcW w:w="1485" w:type="pct"/>
          </w:tcPr>
          <w:p w14:paraId="38133FFF" w14:textId="77777777" w:rsidR="001D7ABE" w:rsidRPr="0058247A" w:rsidRDefault="001D7ABE">
            <w:pPr>
              <w:autoSpaceDE w:val="0"/>
              <w:autoSpaceDN w:val="0"/>
              <w:adjustRightInd w:val="0"/>
              <w:rPr>
                <w:rFonts w:ascii="Arial Narrow" w:hAnsi="Arial Narrow"/>
                <w:b/>
                <w:bCs/>
                <w:sz w:val="20"/>
                <w:szCs w:val="20"/>
              </w:rPr>
            </w:pPr>
            <w:r w:rsidRPr="0058247A">
              <w:rPr>
                <w:rFonts w:ascii="Arial Narrow" w:hAnsi="Arial Narrow"/>
                <w:b/>
                <w:bCs/>
                <w:sz w:val="20"/>
                <w:szCs w:val="20"/>
              </w:rPr>
              <w:t xml:space="preserve">Component </w:t>
            </w:r>
          </w:p>
        </w:tc>
        <w:tc>
          <w:tcPr>
            <w:tcW w:w="3515" w:type="pct"/>
          </w:tcPr>
          <w:p w14:paraId="558AF3C6" w14:textId="77777777" w:rsidR="001D7ABE" w:rsidRPr="0058247A" w:rsidRDefault="001D7ABE">
            <w:pPr>
              <w:autoSpaceDE w:val="0"/>
              <w:autoSpaceDN w:val="0"/>
              <w:adjustRightInd w:val="0"/>
              <w:rPr>
                <w:rFonts w:ascii="Arial Narrow" w:hAnsi="Arial Narrow"/>
                <w:b/>
                <w:bCs/>
                <w:sz w:val="20"/>
                <w:szCs w:val="20"/>
              </w:rPr>
            </w:pPr>
            <w:r w:rsidRPr="0058247A">
              <w:rPr>
                <w:rFonts w:ascii="Arial Narrow" w:hAnsi="Arial Narrow"/>
                <w:b/>
                <w:bCs/>
                <w:sz w:val="20"/>
                <w:szCs w:val="20"/>
              </w:rPr>
              <w:t>Description</w:t>
            </w:r>
          </w:p>
        </w:tc>
      </w:tr>
      <w:tr w:rsidR="001D7ABE" w:rsidRPr="0058247A" w14:paraId="157E88C7" w14:textId="77777777" w:rsidTr="00041E66">
        <w:trPr>
          <w:trHeight w:val="93"/>
        </w:trPr>
        <w:tc>
          <w:tcPr>
            <w:tcW w:w="1485" w:type="pct"/>
          </w:tcPr>
          <w:p w14:paraId="58CE7139"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Population</w:t>
            </w:r>
          </w:p>
        </w:tc>
        <w:tc>
          <w:tcPr>
            <w:tcW w:w="3515" w:type="pct"/>
          </w:tcPr>
          <w:p w14:paraId="02DA8DCC"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Patients with TI NDMM</w:t>
            </w:r>
          </w:p>
        </w:tc>
      </w:tr>
      <w:tr w:rsidR="001D7ABE" w:rsidRPr="0058247A" w14:paraId="3629F867" w14:textId="77777777" w:rsidTr="00041E66">
        <w:trPr>
          <w:trHeight w:val="93"/>
        </w:trPr>
        <w:tc>
          <w:tcPr>
            <w:tcW w:w="1485" w:type="pct"/>
          </w:tcPr>
          <w:p w14:paraId="32520094"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Intervention</w:t>
            </w:r>
          </w:p>
        </w:tc>
        <w:tc>
          <w:tcPr>
            <w:tcW w:w="3515" w:type="pct"/>
          </w:tcPr>
          <w:p w14:paraId="0EED06C9"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DLd (administered until disease progression or unacceptable toxicity)</w:t>
            </w:r>
          </w:p>
        </w:tc>
      </w:tr>
      <w:tr w:rsidR="001D7ABE" w:rsidRPr="0058247A" w14:paraId="2DDDA030" w14:textId="77777777" w:rsidTr="00041E66">
        <w:trPr>
          <w:trHeight w:val="93"/>
        </w:trPr>
        <w:tc>
          <w:tcPr>
            <w:tcW w:w="1485" w:type="pct"/>
          </w:tcPr>
          <w:p w14:paraId="032B67C8"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Comparator</w:t>
            </w:r>
          </w:p>
        </w:tc>
        <w:tc>
          <w:tcPr>
            <w:tcW w:w="3515" w:type="pct"/>
          </w:tcPr>
          <w:p w14:paraId="33390766"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SoC, involving administration of an Ld or BLd regimen (Ld is administered until disease progression or unacceptable toxicity but bortezomib in BLd is administered for up to 8 x 21-day cycles)</w:t>
            </w:r>
          </w:p>
        </w:tc>
      </w:tr>
      <w:tr w:rsidR="001D7ABE" w:rsidRPr="0058247A" w14:paraId="5DFF3066" w14:textId="77777777" w:rsidTr="00041E66">
        <w:trPr>
          <w:trHeight w:val="93"/>
        </w:trPr>
        <w:tc>
          <w:tcPr>
            <w:tcW w:w="1485" w:type="pct"/>
          </w:tcPr>
          <w:p w14:paraId="2A570A89"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 xml:space="preserve">Type of analysis </w:t>
            </w:r>
          </w:p>
        </w:tc>
        <w:tc>
          <w:tcPr>
            <w:tcW w:w="3515" w:type="pct"/>
          </w:tcPr>
          <w:p w14:paraId="683BECFA"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Cost-utility analysis, cost-effectiveness analysis</w:t>
            </w:r>
          </w:p>
        </w:tc>
      </w:tr>
      <w:tr w:rsidR="001D7ABE" w:rsidRPr="0058247A" w14:paraId="16F6EEAF" w14:textId="77777777" w:rsidTr="00041E66">
        <w:trPr>
          <w:trHeight w:val="93"/>
        </w:trPr>
        <w:tc>
          <w:tcPr>
            <w:tcW w:w="1485" w:type="pct"/>
          </w:tcPr>
          <w:p w14:paraId="21F0A361"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 xml:space="preserve">Outcomes </w:t>
            </w:r>
          </w:p>
        </w:tc>
        <w:tc>
          <w:tcPr>
            <w:tcW w:w="3515" w:type="pct"/>
          </w:tcPr>
          <w:p w14:paraId="27B8906A"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Quality-adjusted life-years gained</w:t>
            </w:r>
          </w:p>
          <w:p w14:paraId="6E88F39E"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Life-years gained</w:t>
            </w:r>
          </w:p>
        </w:tc>
      </w:tr>
      <w:tr w:rsidR="001D7ABE" w:rsidRPr="0058247A" w14:paraId="06799298" w14:textId="77777777" w:rsidTr="00041E66">
        <w:trPr>
          <w:trHeight w:val="217"/>
        </w:trPr>
        <w:tc>
          <w:tcPr>
            <w:tcW w:w="1485" w:type="pct"/>
          </w:tcPr>
          <w:p w14:paraId="1A2F73D6"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 xml:space="preserve">Time horizon </w:t>
            </w:r>
          </w:p>
        </w:tc>
        <w:tc>
          <w:tcPr>
            <w:tcW w:w="3515" w:type="pct"/>
          </w:tcPr>
          <w:p w14:paraId="297B9E6D"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20 years</w:t>
            </w:r>
          </w:p>
        </w:tc>
      </w:tr>
      <w:tr w:rsidR="001D7ABE" w:rsidRPr="0058247A" w14:paraId="6148BF15" w14:textId="77777777" w:rsidTr="00041E66">
        <w:trPr>
          <w:trHeight w:val="122"/>
        </w:trPr>
        <w:tc>
          <w:tcPr>
            <w:tcW w:w="1485" w:type="pct"/>
          </w:tcPr>
          <w:p w14:paraId="00F98047"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Discounting</w:t>
            </w:r>
          </w:p>
        </w:tc>
        <w:tc>
          <w:tcPr>
            <w:tcW w:w="3515" w:type="pct"/>
          </w:tcPr>
          <w:p w14:paraId="7EBAD9F6"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5% per annum (applied to both costs and outcomes)</w:t>
            </w:r>
          </w:p>
        </w:tc>
      </w:tr>
      <w:tr w:rsidR="001D7ABE" w:rsidRPr="0058247A" w14:paraId="0B94CD7B" w14:textId="77777777" w:rsidTr="00041E66">
        <w:trPr>
          <w:trHeight w:val="168"/>
        </w:trPr>
        <w:tc>
          <w:tcPr>
            <w:tcW w:w="1485" w:type="pct"/>
          </w:tcPr>
          <w:p w14:paraId="3ED772A7"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Perspective</w:t>
            </w:r>
          </w:p>
        </w:tc>
        <w:tc>
          <w:tcPr>
            <w:tcW w:w="3515" w:type="pct"/>
          </w:tcPr>
          <w:p w14:paraId="6A564B54"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Health care system perspective</w:t>
            </w:r>
          </w:p>
        </w:tc>
      </w:tr>
      <w:tr w:rsidR="001D7ABE" w:rsidRPr="0058247A" w14:paraId="32EAB1E4" w14:textId="77777777" w:rsidTr="00041E66">
        <w:trPr>
          <w:trHeight w:val="93"/>
        </w:trPr>
        <w:tc>
          <w:tcPr>
            <w:tcW w:w="1485" w:type="pct"/>
          </w:tcPr>
          <w:p w14:paraId="669B93BD"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 xml:space="preserve">Method used to generate results </w:t>
            </w:r>
          </w:p>
        </w:tc>
        <w:tc>
          <w:tcPr>
            <w:tcW w:w="3515" w:type="pct"/>
          </w:tcPr>
          <w:p w14:paraId="797FB25E"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Partitioned survival analysis model</w:t>
            </w:r>
          </w:p>
        </w:tc>
      </w:tr>
      <w:tr w:rsidR="001D7ABE" w:rsidRPr="0058247A" w14:paraId="548B3971" w14:textId="77777777" w:rsidTr="00041E66">
        <w:trPr>
          <w:trHeight w:val="93"/>
        </w:trPr>
        <w:tc>
          <w:tcPr>
            <w:tcW w:w="1485" w:type="pct"/>
          </w:tcPr>
          <w:p w14:paraId="70B74779"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 xml:space="preserve">Health states </w:t>
            </w:r>
          </w:p>
        </w:tc>
        <w:tc>
          <w:tcPr>
            <w:tcW w:w="3515" w:type="pct"/>
          </w:tcPr>
          <w:p w14:paraId="54FB901B" w14:textId="0E455C9D" w:rsidR="001D7ABE" w:rsidRPr="0058247A" w:rsidRDefault="001D7ABE">
            <w:pPr>
              <w:autoSpaceDE w:val="0"/>
              <w:autoSpaceDN w:val="0"/>
              <w:adjustRightInd w:val="0"/>
              <w:contextualSpacing/>
              <w:jc w:val="left"/>
              <w:rPr>
                <w:rFonts w:ascii="Arial Narrow" w:hAnsi="Arial Narrow"/>
                <w:i/>
                <w:iCs/>
                <w:sz w:val="20"/>
                <w:szCs w:val="20"/>
              </w:rPr>
            </w:pPr>
            <w:r w:rsidRPr="0058247A">
              <w:rPr>
                <w:rFonts w:ascii="Arial Narrow" w:hAnsi="Arial Narrow"/>
                <w:sz w:val="20"/>
                <w:szCs w:val="20"/>
              </w:rPr>
              <w:t>Progression-free survival; Progressed disease; Time-to-treatment discontinuation</w:t>
            </w:r>
            <w:r w:rsidR="00951457" w:rsidRPr="0058247A">
              <w:rPr>
                <w:rFonts w:ascii="Arial Narrow" w:hAnsi="Arial Narrow"/>
                <w:sz w:val="20"/>
                <w:szCs w:val="20"/>
                <w:vertAlign w:val="superscript"/>
              </w:rPr>
              <w:t>a</w:t>
            </w:r>
          </w:p>
          <w:p w14:paraId="51D431E7" w14:textId="77777777" w:rsidR="001D7ABE" w:rsidRPr="0058247A" w:rsidRDefault="001D7ABE">
            <w:pPr>
              <w:autoSpaceDE w:val="0"/>
              <w:autoSpaceDN w:val="0"/>
              <w:adjustRightInd w:val="0"/>
              <w:contextualSpacing/>
              <w:jc w:val="left"/>
              <w:rPr>
                <w:rFonts w:ascii="Arial Narrow" w:hAnsi="Arial Narrow"/>
                <w:sz w:val="20"/>
                <w:szCs w:val="20"/>
              </w:rPr>
            </w:pPr>
            <w:r w:rsidRPr="0058247A">
              <w:rPr>
                <w:rFonts w:ascii="Arial Narrow" w:hAnsi="Arial Narrow"/>
                <w:sz w:val="20"/>
                <w:szCs w:val="20"/>
              </w:rPr>
              <w:t>Dead</w:t>
            </w:r>
          </w:p>
        </w:tc>
      </w:tr>
      <w:tr w:rsidR="001D7ABE" w:rsidRPr="0058247A" w14:paraId="1C7FD4EC" w14:textId="77777777" w:rsidTr="00041E66">
        <w:trPr>
          <w:trHeight w:val="93"/>
        </w:trPr>
        <w:tc>
          <w:tcPr>
            <w:tcW w:w="1485" w:type="pct"/>
          </w:tcPr>
          <w:p w14:paraId="7C278BAC"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Cycle length</w:t>
            </w:r>
          </w:p>
        </w:tc>
        <w:tc>
          <w:tcPr>
            <w:tcW w:w="3515" w:type="pct"/>
          </w:tcPr>
          <w:p w14:paraId="14264DB5"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One month</w:t>
            </w:r>
          </w:p>
        </w:tc>
      </w:tr>
      <w:tr w:rsidR="001D7ABE" w:rsidRPr="0058247A" w14:paraId="536FA859" w14:textId="77777777" w:rsidTr="00041E66">
        <w:trPr>
          <w:trHeight w:val="93"/>
        </w:trPr>
        <w:tc>
          <w:tcPr>
            <w:tcW w:w="1485" w:type="pct"/>
          </w:tcPr>
          <w:p w14:paraId="6F18361A"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Source of effectiveness inputs</w:t>
            </w:r>
          </w:p>
        </w:tc>
        <w:tc>
          <w:tcPr>
            <w:tcW w:w="3515" w:type="pct"/>
          </w:tcPr>
          <w:p w14:paraId="0EE07185"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MAIA clinical trial data (&amp; extrapolations of these data)</w:t>
            </w:r>
          </w:p>
        </w:tc>
      </w:tr>
      <w:tr w:rsidR="001D7ABE" w:rsidRPr="0058247A" w14:paraId="31984C34" w14:textId="77777777" w:rsidTr="00041E66">
        <w:trPr>
          <w:trHeight w:val="93"/>
        </w:trPr>
        <w:tc>
          <w:tcPr>
            <w:tcW w:w="1485" w:type="pct"/>
          </w:tcPr>
          <w:p w14:paraId="7D9A3E89"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Resource use and costs</w:t>
            </w:r>
          </w:p>
        </w:tc>
        <w:tc>
          <w:tcPr>
            <w:tcW w:w="3515" w:type="pct"/>
          </w:tcPr>
          <w:p w14:paraId="215E16AA"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Where possible, unit costs have been sourced in accordance with the recommendations of the PBAC Manual of Resource Items and their Associated Costs</w:t>
            </w:r>
          </w:p>
        </w:tc>
      </w:tr>
      <w:tr w:rsidR="001D7ABE" w:rsidRPr="0058247A" w14:paraId="4D8ACCFD" w14:textId="77777777" w:rsidTr="00041E66">
        <w:trPr>
          <w:trHeight w:val="93"/>
        </w:trPr>
        <w:tc>
          <w:tcPr>
            <w:tcW w:w="1485" w:type="pct"/>
          </w:tcPr>
          <w:p w14:paraId="3AB03591" w14:textId="77777777" w:rsidR="001D7ABE" w:rsidRPr="0058247A" w:rsidRDefault="001D7ABE">
            <w:pPr>
              <w:autoSpaceDE w:val="0"/>
              <w:autoSpaceDN w:val="0"/>
              <w:adjustRightInd w:val="0"/>
              <w:rPr>
                <w:rFonts w:ascii="Arial Narrow" w:hAnsi="Arial Narrow"/>
                <w:bCs/>
                <w:sz w:val="20"/>
                <w:szCs w:val="20"/>
              </w:rPr>
            </w:pPr>
            <w:r w:rsidRPr="0058247A">
              <w:rPr>
                <w:rFonts w:ascii="Arial Narrow" w:hAnsi="Arial Narrow"/>
                <w:bCs/>
                <w:sz w:val="20"/>
                <w:szCs w:val="20"/>
              </w:rPr>
              <w:t>Software</w:t>
            </w:r>
          </w:p>
        </w:tc>
        <w:tc>
          <w:tcPr>
            <w:tcW w:w="3515" w:type="pct"/>
          </w:tcPr>
          <w:p w14:paraId="1503CAE1" w14:textId="77777777" w:rsidR="001D7ABE" w:rsidRPr="0058247A" w:rsidRDefault="001D7ABE">
            <w:pPr>
              <w:autoSpaceDE w:val="0"/>
              <w:autoSpaceDN w:val="0"/>
              <w:adjustRightInd w:val="0"/>
              <w:rPr>
                <w:rFonts w:ascii="Arial Narrow" w:hAnsi="Arial Narrow"/>
                <w:sz w:val="20"/>
                <w:szCs w:val="20"/>
              </w:rPr>
            </w:pPr>
            <w:r w:rsidRPr="0058247A">
              <w:rPr>
                <w:rFonts w:ascii="Arial Narrow" w:hAnsi="Arial Narrow"/>
                <w:sz w:val="20"/>
                <w:szCs w:val="20"/>
              </w:rPr>
              <w:t>Microsoft Office 365 Excel</w:t>
            </w:r>
          </w:p>
        </w:tc>
      </w:tr>
    </w:tbl>
    <w:p w14:paraId="60E6E90A" w14:textId="77777777" w:rsidR="001D7ABE" w:rsidRPr="0058247A" w:rsidRDefault="001D7ABE" w:rsidP="001D7ABE">
      <w:pPr>
        <w:pStyle w:val="FooterTableFigure"/>
      </w:pPr>
      <w:r w:rsidRPr="0058247A">
        <w:t xml:space="preserve">Source: Table 3.1, p20 of the submission. </w:t>
      </w:r>
    </w:p>
    <w:p w14:paraId="15870A63" w14:textId="15FEA132" w:rsidR="001D7ABE" w:rsidRPr="0058247A" w:rsidRDefault="001D7ABE" w:rsidP="001D7ABE">
      <w:pPr>
        <w:pStyle w:val="FooterTableFigure"/>
      </w:pPr>
      <w:r w:rsidRPr="0058247A">
        <w:t>BLd = bortezomib, lenalidomide and dexamethasone; DLd = daratumumab, lenalidomide and dexamethasone; Ld = lenalidomide and dexamethasone; NDMM = newly diagnosed multiple myeloma; PBAC = Pharmaceutical Benefits Advisory Committee; SoC = standard of care; TI = transplant ineligible</w:t>
      </w:r>
    </w:p>
    <w:p w14:paraId="647AAA71" w14:textId="42E1E9F5" w:rsidR="00951457" w:rsidRPr="0058247A" w:rsidRDefault="00951457" w:rsidP="001D7ABE">
      <w:pPr>
        <w:pStyle w:val="FooterTableFigure"/>
        <w:rPr>
          <w:sz w:val="20"/>
        </w:rPr>
      </w:pPr>
      <w:r w:rsidRPr="0058247A">
        <w:t>a. Noted during evaluation.</w:t>
      </w:r>
    </w:p>
    <w:p w14:paraId="5DAF45D3" w14:textId="600671CE" w:rsidR="00807939" w:rsidRPr="00260CD4" w:rsidRDefault="009C2300" w:rsidP="00EA6244">
      <w:pPr>
        <w:pStyle w:val="3-BodyText"/>
      </w:pPr>
      <w:bookmarkStart w:id="79" w:name="_Ref127019657"/>
      <w:r w:rsidRPr="00260CD4">
        <w:t>D</w:t>
      </w:r>
      <w:r w:rsidR="00891108" w:rsidRPr="00260CD4">
        <w:t>aratumumab (in DLd)</w:t>
      </w:r>
      <w:r w:rsidRPr="00260CD4">
        <w:t xml:space="preserve"> in the model </w:t>
      </w:r>
      <w:r w:rsidR="00794FA4" w:rsidRPr="00260CD4">
        <w:t xml:space="preserve">comprised use </w:t>
      </w:r>
      <w:r w:rsidR="00891108" w:rsidRPr="00260CD4">
        <w:t xml:space="preserve">of </w:t>
      </w:r>
      <w:r w:rsidR="005D2BC9" w:rsidRPr="00260CD4">
        <w:t xml:space="preserve">both </w:t>
      </w:r>
      <w:r w:rsidR="00794FA4" w:rsidRPr="00260CD4">
        <w:t xml:space="preserve">the </w:t>
      </w:r>
      <w:r w:rsidR="00891108" w:rsidRPr="00260CD4">
        <w:t xml:space="preserve">IV and SC </w:t>
      </w:r>
      <w:r w:rsidR="00794FA4" w:rsidRPr="00260CD4">
        <w:t xml:space="preserve">formulations given that the submission </w:t>
      </w:r>
      <w:r w:rsidR="00891108" w:rsidRPr="00260CD4">
        <w:t xml:space="preserve">requests </w:t>
      </w:r>
      <w:r w:rsidR="00794FA4" w:rsidRPr="00260CD4">
        <w:t xml:space="preserve">listing </w:t>
      </w:r>
      <w:r w:rsidR="00891108" w:rsidRPr="00260CD4">
        <w:t xml:space="preserve">of </w:t>
      </w:r>
      <w:r w:rsidR="00794FA4" w:rsidRPr="00260CD4">
        <w:t xml:space="preserve">both the </w:t>
      </w:r>
      <w:r w:rsidR="00891108" w:rsidRPr="00260CD4">
        <w:t>IV and SC</w:t>
      </w:r>
      <w:r w:rsidR="00794FA4" w:rsidRPr="00260CD4">
        <w:t xml:space="preserve"> forms</w:t>
      </w:r>
      <w:r w:rsidR="00891108" w:rsidRPr="00260CD4">
        <w:t xml:space="preserve">. </w:t>
      </w:r>
      <w:r w:rsidR="00EA6244" w:rsidRPr="00260CD4">
        <w:t>The submission stated that t</w:t>
      </w:r>
      <w:r w:rsidR="0016667F" w:rsidRPr="00260CD4">
        <w:t xml:space="preserve">he </w:t>
      </w:r>
      <w:r w:rsidR="00911389" w:rsidRPr="00260CD4">
        <w:t xml:space="preserve">price of </w:t>
      </w:r>
      <w:r w:rsidR="00794FA4" w:rsidRPr="00260CD4">
        <w:t xml:space="preserve">the </w:t>
      </w:r>
      <w:r w:rsidR="00911389" w:rsidRPr="00260CD4">
        <w:t xml:space="preserve">IV and SC </w:t>
      </w:r>
      <w:r w:rsidR="00794FA4" w:rsidRPr="00260CD4">
        <w:t xml:space="preserve">formulations of </w:t>
      </w:r>
      <w:r w:rsidR="00911389" w:rsidRPr="00260CD4">
        <w:t>daratumumab</w:t>
      </w:r>
      <w:r w:rsidR="00680922" w:rsidRPr="00260CD4">
        <w:t xml:space="preserve"> in the model</w:t>
      </w:r>
      <w:r w:rsidR="00911389" w:rsidRPr="00260CD4">
        <w:t xml:space="preserve"> was the same as</w:t>
      </w:r>
      <w:r w:rsidR="004A664F" w:rsidRPr="00260CD4">
        <w:t xml:space="preserve"> the</w:t>
      </w:r>
      <w:r w:rsidR="00794FA4" w:rsidRPr="00260CD4">
        <w:t>ir</w:t>
      </w:r>
      <w:r w:rsidR="004A664F" w:rsidRPr="00260CD4">
        <w:t xml:space="preserve"> price</w:t>
      </w:r>
      <w:r w:rsidR="00794FA4" w:rsidRPr="00260CD4">
        <w:t>s</w:t>
      </w:r>
      <w:r w:rsidR="004A664F" w:rsidRPr="00260CD4">
        <w:t xml:space="preserve"> for treatment of</w:t>
      </w:r>
      <w:r w:rsidR="00911389" w:rsidRPr="00260CD4">
        <w:t xml:space="preserve"> RRMM (</w:t>
      </w:r>
      <w:r w:rsidR="006F0B54" w:rsidRPr="00260CD4">
        <w:t xml:space="preserve">in </w:t>
      </w:r>
      <w:r w:rsidR="00911389" w:rsidRPr="00260CD4">
        <w:t>DBd)</w:t>
      </w:r>
      <w:r w:rsidR="005D2BC9" w:rsidRPr="00260CD4">
        <w:t>.</w:t>
      </w:r>
      <w:r w:rsidR="00AC7D99" w:rsidRPr="00260CD4">
        <w:t xml:space="preserve"> </w:t>
      </w:r>
      <w:r w:rsidR="00EA6244" w:rsidRPr="00260CD4">
        <w:t>However, the ESC noted that the submission</w:t>
      </w:r>
      <w:r w:rsidR="00DF36A5" w:rsidRPr="00260CD4">
        <w:t>’s</w:t>
      </w:r>
      <w:r w:rsidR="00EA6244" w:rsidRPr="00260CD4">
        <w:t xml:space="preserve"> economic model assumed the net cost of daratumumab to be </w:t>
      </w:r>
      <w:r w:rsidR="006E73CD" w:rsidRPr="00E93FF7">
        <w:rPr>
          <w:color w:val="000000"/>
          <w:w w:val="24"/>
          <w:shd w:val="solid" w:color="000000" w:fill="000000"/>
          <w:fitText w:val="80" w:id="-1236536823"/>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823"/>
          <w14:textFill>
            <w14:solidFill>
              <w14:srgbClr w14:val="000000">
                <w14:alpha w14:val="100000"/>
              </w14:srgbClr>
            </w14:solidFill>
          </w14:textFill>
        </w:rPr>
        <w:t>|</w:t>
      </w:r>
      <w:r w:rsidR="00EA6244" w:rsidRPr="00260CD4">
        <w:t>% lower than the effective</w:t>
      </w:r>
      <w:r w:rsidR="00DF36A5" w:rsidRPr="00260CD4">
        <w:t xml:space="preserve"> price</w:t>
      </w:r>
      <w:r w:rsidR="00EA6244" w:rsidRPr="00260CD4">
        <w:t xml:space="preserve"> when daratumumab was used in the post-progression health state (consistent with the agreed RSA), but did not assume the same when daratumumab was used in the proposed first line population (nil reduction was assumed). As such, the submission </w:t>
      </w:r>
      <w:r w:rsidR="00DF36A5" w:rsidRPr="00260CD4">
        <w:t>applied</w:t>
      </w:r>
      <w:r w:rsidR="00EA6244" w:rsidRPr="00260CD4">
        <w:t xml:space="preserve"> a higher price for daratumumab in the </w:t>
      </w:r>
      <w:r w:rsidR="00807939" w:rsidRPr="00260CD4">
        <w:t xml:space="preserve">proposed </w:t>
      </w:r>
      <w:r w:rsidR="00DF36A5" w:rsidRPr="00260CD4">
        <w:t>first line setting</w:t>
      </w:r>
      <w:r w:rsidR="00807939" w:rsidRPr="00260CD4">
        <w:t xml:space="preserve"> compared with that considered</w:t>
      </w:r>
      <w:r w:rsidR="00DF36A5" w:rsidRPr="00260CD4">
        <w:t xml:space="preserve"> by the PBAC</w:t>
      </w:r>
      <w:r w:rsidR="00807939" w:rsidRPr="00260CD4">
        <w:t xml:space="preserve"> to be cost</w:t>
      </w:r>
      <w:r w:rsidR="00807939" w:rsidRPr="00260CD4">
        <w:noBreakHyphen/>
        <w:t xml:space="preserve">effective for daratumumab in RRMM (see paragraph </w:t>
      </w:r>
      <w:r w:rsidR="00807939" w:rsidRPr="00260CD4">
        <w:fldChar w:fldCharType="begin"/>
      </w:r>
      <w:r w:rsidR="00807939" w:rsidRPr="00260CD4">
        <w:instrText xml:space="preserve"> REF _Ref127019635 \r \h </w:instrText>
      </w:r>
      <w:r w:rsidR="006154DA" w:rsidRPr="00260CD4">
        <w:instrText xml:space="preserve"> \* MERGEFORMAT </w:instrText>
      </w:r>
      <w:r w:rsidR="00807939" w:rsidRPr="00260CD4">
        <w:fldChar w:fldCharType="separate"/>
      </w:r>
      <w:r w:rsidR="008D65C7">
        <w:t>3.1</w:t>
      </w:r>
      <w:r w:rsidR="00807939" w:rsidRPr="00260CD4">
        <w:fldChar w:fldCharType="end"/>
      </w:r>
      <w:r w:rsidR="00807939" w:rsidRPr="00260CD4">
        <w:t>).</w:t>
      </w:r>
      <w:bookmarkEnd w:id="79"/>
    </w:p>
    <w:p w14:paraId="653698F9" w14:textId="4ABB2522" w:rsidR="005A685A" w:rsidRPr="006154DA" w:rsidRDefault="005D2BC9" w:rsidP="00A25B4A">
      <w:pPr>
        <w:pStyle w:val="3-BodyText"/>
      </w:pPr>
      <w:r w:rsidRPr="006154DA">
        <w:t>T</w:t>
      </w:r>
      <w:r w:rsidR="002A1916" w:rsidRPr="006154DA">
        <w:t xml:space="preserve">he price of SC daratumumab was </w:t>
      </w:r>
      <w:r w:rsidRPr="006154DA">
        <w:t xml:space="preserve">derived from a </w:t>
      </w:r>
      <w:r w:rsidR="002A1916" w:rsidRPr="006154DA">
        <w:t>cost-minimis</w:t>
      </w:r>
      <w:r w:rsidRPr="006154DA">
        <w:t>ation approach</w:t>
      </w:r>
      <w:r w:rsidR="002A1916" w:rsidRPr="006154DA">
        <w:t xml:space="preserve"> with the IV formulation at the recommended equi-effective doses </w:t>
      </w:r>
      <w:r w:rsidR="00794FA4" w:rsidRPr="006154DA">
        <w:t>of</w:t>
      </w:r>
      <w:r w:rsidR="002A1916" w:rsidRPr="006154DA">
        <w:t xml:space="preserve"> 1,</w:t>
      </w:r>
      <w:r w:rsidR="001C58FE" w:rsidRPr="006154DA">
        <w:t>800</w:t>
      </w:r>
      <w:r w:rsidR="001C58FE">
        <w:t> </w:t>
      </w:r>
      <w:r w:rsidR="002A1916" w:rsidRPr="006154DA">
        <w:t xml:space="preserve">mg daratumumab SC </w:t>
      </w:r>
      <w:r w:rsidR="00794FA4" w:rsidRPr="006154DA">
        <w:t>to</w:t>
      </w:r>
      <w:r w:rsidR="002A1916" w:rsidRPr="006154DA">
        <w:t xml:space="preserve"> 1,</w:t>
      </w:r>
      <w:r w:rsidR="001C58FE" w:rsidRPr="006154DA">
        <w:t>200</w:t>
      </w:r>
      <w:r w:rsidR="001C58FE">
        <w:t> </w:t>
      </w:r>
      <w:r w:rsidR="002A1916" w:rsidRPr="006154DA">
        <w:t>mg daratumumab IV (para</w:t>
      </w:r>
      <w:r w:rsidR="005303CF" w:rsidRPr="006154DA">
        <w:t>graph</w:t>
      </w:r>
      <w:r w:rsidR="002A1916" w:rsidRPr="006154DA">
        <w:t xml:space="preserve"> 7.3, daratumumab</w:t>
      </w:r>
      <w:r w:rsidR="005303CF" w:rsidRPr="006154DA">
        <w:t xml:space="preserve"> PSD</w:t>
      </w:r>
      <w:r w:rsidR="002A1916" w:rsidRPr="006154DA">
        <w:t>, July 2021 PBAC meeting).</w:t>
      </w:r>
      <w:r w:rsidR="00AC7D99" w:rsidRPr="006154DA">
        <w:t xml:space="preserve"> In the model, t</w:t>
      </w:r>
      <w:r w:rsidR="0067014A" w:rsidRPr="006154DA">
        <w:t xml:space="preserve">he estimate of cost per dose of IV daratumumab was based on the distribution of patient weight in the DLd arm of MAIA </w:t>
      </w:r>
      <w:r w:rsidR="00287EF1" w:rsidRPr="006154DA">
        <w:t xml:space="preserve">resulting </w:t>
      </w:r>
      <w:r w:rsidR="00794FA4" w:rsidRPr="006154DA">
        <w:t xml:space="preserve">in use </w:t>
      </w:r>
      <w:r w:rsidR="0067014A" w:rsidRPr="006154DA">
        <w:t>of 1,</w:t>
      </w:r>
      <w:r w:rsidR="001C58FE" w:rsidRPr="006154DA">
        <w:t>250</w:t>
      </w:r>
      <w:r w:rsidR="001C58FE">
        <w:t> </w:t>
      </w:r>
      <w:r w:rsidR="0067014A" w:rsidRPr="006154DA">
        <w:t xml:space="preserve">mg per </w:t>
      </w:r>
      <w:r w:rsidR="00217C79" w:rsidRPr="006154DA">
        <w:t xml:space="preserve">IV </w:t>
      </w:r>
      <w:r w:rsidR="0067014A" w:rsidRPr="006154DA">
        <w:t>administration.</w:t>
      </w:r>
      <w:r w:rsidR="0016667F" w:rsidRPr="006154DA">
        <w:t xml:space="preserve"> </w:t>
      </w:r>
      <w:r w:rsidR="008B502A" w:rsidRPr="006154DA">
        <w:t xml:space="preserve">Based on the </w:t>
      </w:r>
      <w:r w:rsidR="0038586B" w:rsidRPr="006154DA">
        <w:t xml:space="preserve">this the </w:t>
      </w:r>
      <w:r w:rsidR="008B502A" w:rsidRPr="006154DA">
        <w:t xml:space="preserve">submission </w:t>
      </w:r>
      <w:r w:rsidR="00020C91" w:rsidRPr="006154DA">
        <w:t>estimated</w:t>
      </w:r>
      <w:r w:rsidR="0067014A" w:rsidRPr="006154DA">
        <w:t xml:space="preserve"> the use of 1.49 x </w:t>
      </w:r>
      <w:r w:rsidR="001C58FE" w:rsidRPr="006154DA">
        <w:t>100</w:t>
      </w:r>
      <w:r w:rsidR="001C58FE">
        <w:t> </w:t>
      </w:r>
      <w:r w:rsidR="0067014A" w:rsidRPr="006154DA">
        <w:t xml:space="preserve">mg vials and 2.75 x </w:t>
      </w:r>
      <w:r w:rsidR="001C58FE" w:rsidRPr="006154DA">
        <w:t>400</w:t>
      </w:r>
      <w:r w:rsidR="001C58FE">
        <w:t> </w:t>
      </w:r>
      <w:r w:rsidR="0067014A" w:rsidRPr="006154DA">
        <w:t>mg vials</w:t>
      </w:r>
      <w:r w:rsidR="008B502A" w:rsidRPr="006154DA">
        <w:t xml:space="preserve"> to achieve the dose of 1,</w:t>
      </w:r>
      <w:r w:rsidR="001C58FE" w:rsidRPr="006154DA">
        <w:t>250</w:t>
      </w:r>
      <w:r w:rsidR="001C58FE">
        <w:t> </w:t>
      </w:r>
      <w:r w:rsidR="008B502A" w:rsidRPr="006154DA">
        <w:t xml:space="preserve">mg per </w:t>
      </w:r>
      <w:r w:rsidR="000B009D" w:rsidRPr="006154DA">
        <w:t xml:space="preserve">IV </w:t>
      </w:r>
      <w:r w:rsidR="008B502A" w:rsidRPr="006154DA">
        <w:t>administration. For SC</w:t>
      </w:r>
      <w:r w:rsidR="001B519B" w:rsidRPr="006154DA">
        <w:t xml:space="preserve"> daratumumab</w:t>
      </w:r>
      <w:r w:rsidR="008B502A" w:rsidRPr="006154DA">
        <w:t>, a flat-dose as use</w:t>
      </w:r>
      <w:r w:rsidR="004A664F" w:rsidRPr="006154DA">
        <w:t>d</w:t>
      </w:r>
      <w:r w:rsidR="008B502A" w:rsidRPr="006154DA">
        <w:t xml:space="preserve"> in MAIA of 1,800</w:t>
      </w:r>
      <w:r w:rsidR="001C58FE">
        <w:t> </w:t>
      </w:r>
      <w:r w:rsidR="008B502A" w:rsidRPr="006154DA">
        <w:t xml:space="preserve">mg per administration irrespective of weight was </w:t>
      </w:r>
      <w:r w:rsidR="00D23CA7" w:rsidRPr="006154DA">
        <w:t>used in the model</w:t>
      </w:r>
      <w:r w:rsidR="008B502A" w:rsidRPr="006154DA">
        <w:t>.</w:t>
      </w:r>
      <w:r w:rsidR="00D560F7" w:rsidRPr="006154DA">
        <w:t xml:space="preserve"> </w:t>
      </w:r>
      <w:r w:rsidR="000B009D" w:rsidRPr="006154DA">
        <w:t>The dose of 1,250</w:t>
      </w:r>
      <w:r w:rsidR="001C58FE">
        <w:t> </w:t>
      </w:r>
      <w:r w:rsidR="005B6698" w:rsidRPr="006154DA">
        <w:t xml:space="preserve">mg </w:t>
      </w:r>
      <w:r w:rsidR="000B009D" w:rsidRPr="006154DA">
        <w:t xml:space="preserve">estimated for IV administration in this submission was slightly higher than of IV </w:t>
      </w:r>
      <w:r w:rsidR="00DC73A2" w:rsidRPr="006154DA">
        <w:t>daratumumab</w:t>
      </w:r>
      <w:r w:rsidR="000B009D" w:rsidRPr="006154DA">
        <w:t xml:space="preserve"> in RRMM of 1,200</w:t>
      </w:r>
      <w:r w:rsidR="001C58FE">
        <w:t> </w:t>
      </w:r>
      <w:r w:rsidR="005B6698" w:rsidRPr="006154DA">
        <w:t xml:space="preserve">mg. This results in </w:t>
      </w:r>
      <w:r w:rsidR="007210CF" w:rsidRPr="006154DA">
        <w:t xml:space="preserve">a </w:t>
      </w:r>
      <w:r w:rsidR="005B6698" w:rsidRPr="006154DA">
        <w:t xml:space="preserve">cost per administration of </w:t>
      </w:r>
      <w:r w:rsidR="005B6698" w:rsidRPr="006154DA">
        <w:lastRenderedPageBreak/>
        <w:t>IV that is higher than SC</w:t>
      </w:r>
      <w:r w:rsidR="00794FA4" w:rsidRPr="006154DA">
        <w:t>; the submission has not proposed a new price for the SC formulation based on the increased use of the IV formulation in this setting (i.e.</w:t>
      </w:r>
      <w:r w:rsidR="009F6DF9" w:rsidRPr="006154DA">
        <w:t>,</w:t>
      </w:r>
      <w:r w:rsidR="00794FA4" w:rsidRPr="006154DA">
        <w:t xml:space="preserve"> it is maintaining the established relativity of 1,800</w:t>
      </w:r>
      <w:r w:rsidR="001C58FE">
        <w:t> </w:t>
      </w:r>
      <w:r w:rsidR="00794FA4" w:rsidRPr="006154DA">
        <w:t>mg SC = 1,200</w:t>
      </w:r>
      <w:r w:rsidR="001C58FE">
        <w:t> </w:t>
      </w:r>
      <w:r w:rsidR="00794FA4" w:rsidRPr="006154DA">
        <w:t>mg IV)</w:t>
      </w:r>
      <w:r w:rsidR="005B6698" w:rsidRPr="006154DA">
        <w:t xml:space="preserve">. </w:t>
      </w:r>
    </w:p>
    <w:p w14:paraId="7CF893F0" w14:textId="49A7C223" w:rsidR="007106A2" w:rsidRPr="006154DA" w:rsidRDefault="001D7ABE" w:rsidP="007106A2">
      <w:pPr>
        <w:pStyle w:val="3-BodyText"/>
      </w:pPr>
      <w:bookmarkStart w:id="80" w:name="_Ref126945579"/>
      <w:r w:rsidRPr="006154DA">
        <w:t xml:space="preserve">SoC in the model comprised BLd and Ld, weighted according to </w:t>
      </w:r>
      <w:r w:rsidR="001F0076" w:rsidRPr="006154DA">
        <w:t xml:space="preserve">the </w:t>
      </w:r>
      <w:r w:rsidRPr="006154DA">
        <w:t xml:space="preserve">proportion of </w:t>
      </w:r>
      <w:r w:rsidR="001F0076" w:rsidRPr="006154DA">
        <w:t xml:space="preserve">use of </w:t>
      </w:r>
      <w:r w:rsidRPr="006154DA">
        <w:t xml:space="preserve">each regimen in patients with TI NDMM in the MRDR, of 68% for BLd and 32% for Ld. </w:t>
      </w:r>
      <w:r w:rsidR="00844AEB" w:rsidRPr="006154DA">
        <w:t>Efficac</w:t>
      </w:r>
      <w:r w:rsidR="0038586B" w:rsidRPr="006154DA">
        <w:t>y</w:t>
      </w:r>
      <w:r w:rsidR="00BA4E1C" w:rsidRPr="006154DA">
        <w:t xml:space="preserve"> </w:t>
      </w:r>
      <w:r w:rsidR="00F65F2B" w:rsidRPr="006154DA">
        <w:t xml:space="preserve">for SoC </w:t>
      </w:r>
      <w:r w:rsidR="0038586B" w:rsidRPr="006154DA">
        <w:t xml:space="preserve">was </w:t>
      </w:r>
      <w:r w:rsidR="00F65F2B" w:rsidRPr="006154DA">
        <w:t>informed by</w:t>
      </w:r>
      <w:r w:rsidR="0038586B" w:rsidRPr="006154DA">
        <w:t xml:space="preserve"> the</w:t>
      </w:r>
      <w:r w:rsidR="00F65F2B" w:rsidRPr="006154DA">
        <w:t xml:space="preserve"> Ld arm in MAIA. </w:t>
      </w:r>
      <w:r w:rsidRPr="006154DA">
        <w:t xml:space="preserve">As noted in </w:t>
      </w:r>
      <w:r w:rsidR="00C86795" w:rsidRPr="006154DA">
        <w:t>the clinical claim</w:t>
      </w:r>
      <w:r w:rsidR="0038586B" w:rsidRPr="006154DA">
        <w:t xml:space="preserve"> section</w:t>
      </w:r>
      <w:r w:rsidRPr="006154DA">
        <w:t>, while the clinical evidence support</w:t>
      </w:r>
      <w:r w:rsidR="00794FA4" w:rsidRPr="006154DA">
        <w:t>ed</w:t>
      </w:r>
      <w:r w:rsidRPr="006154DA">
        <w:t xml:space="preserve"> the claim of superiority for DLd compared with Ld - and hence a cost-effectiveness analysis for th</w:t>
      </w:r>
      <w:r w:rsidR="002A3A5C" w:rsidRPr="006154DA">
        <w:t>is</w:t>
      </w:r>
      <w:r w:rsidRPr="006154DA">
        <w:t xml:space="preserve"> comparison - </w:t>
      </w:r>
      <w:r w:rsidR="00952E28" w:rsidRPr="006154DA">
        <w:t>it does</w:t>
      </w:r>
      <w:r w:rsidRPr="006154DA">
        <w:t xml:space="preserve"> not support the superiority of DLd </w:t>
      </w:r>
      <w:r w:rsidR="002A3A5C" w:rsidRPr="006154DA">
        <w:t>compared with</w:t>
      </w:r>
      <w:r w:rsidRPr="006154DA">
        <w:t xml:space="preserve"> BLd.</w:t>
      </w:r>
      <w:r w:rsidR="00120A49" w:rsidRPr="006154DA">
        <w:t xml:space="preserve"> </w:t>
      </w:r>
      <w:r w:rsidR="00381984" w:rsidRPr="006154DA">
        <w:t>The model assumed that Ld was a proxy for BLd and did not include any BLd specific efficacy data, relying solely on the efficacy data from the Ld arm of MAIA to inform the outcomes for SoC. Th</w:t>
      </w:r>
      <w:r w:rsidR="005303CF" w:rsidRPr="006154DA">
        <w:t>e ESC considered that th</w:t>
      </w:r>
      <w:r w:rsidR="00381984" w:rsidRPr="006154DA">
        <w:t xml:space="preserve">is was not appropriate. </w:t>
      </w:r>
      <w:r w:rsidR="00120A49" w:rsidRPr="006154DA">
        <w:t>In addition, BLd was listed on the PBS on the basis of a CUA compared to Ld, where the PBAC noted that BLd is clinically superior to Ld (para</w:t>
      </w:r>
      <w:r w:rsidR="005303CF" w:rsidRPr="006154DA">
        <w:t>graph</w:t>
      </w:r>
      <w:r w:rsidR="00120A49" w:rsidRPr="006154DA">
        <w:t xml:space="preserve"> 7.5, lenalidomide</w:t>
      </w:r>
      <w:r w:rsidR="005303CF" w:rsidRPr="006154DA">
        <w:t xml:space="preserve"> PSD</w:t>
      </w:r>
      <w:r w:rsidR="00120A49" w:rsidRPr="006154DA">
        <w:t>, August 2019 PBAC meeting).</w:t>
      </w:r>
      <w:r w:rsidR="0096090A" w:rsidRPr="006154DA">
        <w:t xml:space="preserve"> </w:t>
      </w:r>
      <w:r w:rsidR="001222D9" w:rsidRPr="006154DA">
        <w:t xml:space="preserve">In contrast, the costs applied included those associated with Ld, and the more expensive costs of BLd. </w:t>
      </w:r>
      <w:r w:rsidR="00224134" w:rsidRPr="006154DA">
        <w:t xml:space="preserve">The combined effect of including outcomes for Ld only, but costs for both Ld and BLd </w:t>
      </w:r>
      <w:r w:rsidR="001222D9" w:rsidRPr="006154DA">
        <w:t xml:space="preserve">biased the </w:t>
      </w:r>
      <w:r w:rsidR="007210CF" w:rsidRPr="006154DA">
        <w:t xml:space="preserve">comparative </w:t>
      </w:r>
      <w:r w:rsidR="00494180" w:rsidRPr="006154DA">
        <w:t xml:space="preserve">economic </w:t>
      </w:r>
      <w:r w:rsidR="001222D9" w:rsidRPr="006154DA">
        <w:t>analysis in favour of DLd.</w:t>
      </w:r>
      <w:bookmarkEnd w:id="80"/>
      <w:r w:rsidR="0080670B" w:rsidRPr="006154DA">
        <w:t xml:space="preserve"> </w:t>
      </w:r>
    </w:p>
    <w:p w14:paraId="78A64510" w14:textId="31639A54" w:rsidR="001D7ABE" w:rsidRPr="006154DA" w:rsidRDefault="00616946" w:rsidP="00720D59">
      <w:pPr>
        <w:pStyle w:val="3-BodyText"/>
      </w:pPr>
      <w:bookmarkStart w:id="81" w:name="_Ref126835192"/>
      <w:r w:rsidRPr="006154DA">
        <w:t>At its July 2021 meeting the PBAC considered an application for selinexor in RRMM which presented a weighted economic evaluation, comprising a cost-utility analysis (comparing selinexor plus bortezomib and dexamethasone with bortezomib and dexamethasone) and cost-minimisation analysis (comparing selinexor plus bortezomib and dexamethasone with carfilzomib and dexamethasone). In making its recommendation, "the PBAC considered that the weighted approach was not appropriate in the absence of a defined patient population receiving either comparator" (para</w:t>
      </w:r>
      <w:r w:rsidR="00494180" w:rsidRPr="006154DA">
        <w:t>graph</w:t>
      </w:r>
      <w:r w:rsidRPr="006154DA">
        <w:t xml:space="preserve"> 7.12, </w:t>
      </w:r>
      <w:r w:rsidR="00027714" w:rsidRPr="006154DA">
        <w:t>selinexor</w:t>
      </w:r>
      <w:r w:rsidR="00494180" w:rsidRPr="006154DA">
        <w:t xml:space="preserve"> PSD</w:t>
      </w:r>
      <w:r w:rsidRPr="006154DA">
        <w:t xml:space="preserve">, July 2021 PBAC meeting). </w:t>
      </w:r>
      <w:r w:rsidR="00794FA4" w:rsidRPr="006154DA">
        <w:t xml:space="preserve">In this case, </w:t>
      </w:r>
      <w:r w:rsidR="00494180" w:rsidRPr="006154DA">
        <w:t xml:space="preserve">the ESC considered that </w:t>
      </w:r>
      <w:r w:rsidRPr="006154DA">
        <w:t>a weighted approach to estimating the cost-effectiveness of DLd in TI NDMM</w:t>
      </w:r>
      <w:r w:rsidR="00794FA4" w:rsidRPr="006154DA">
        <w:t xml:space="preserve">, may be applicable given that </w:t>
      </w:r>
      <w:r w:rsidR="00415530" w:rsidRPr="006154DA">
        <w:t xml:space="preserve">it may be reasonable to define patient populations based </w:t>
      </w:r>
      <w:r w:rsidR="00494180" w:rsidRPr="006154DA">
        <w:t>of the proportions that receive</w:t>
      </w:r>
      <w:r w:rsidR="00794FA4" w:rsidRPr="006154DA">
        <w:t xml:space="preserve"> triplet (</w:t>
      </w:r>
      <w:r w:rsidR="00494180" w:rsidRPr="006154DA">
        <w:t>i.e.</w:t>
      </w:r>
      <w:r w:rsidR="00794FA4" w:rsidRPr="006154DA">
        <w:t xml:space="preserve">, BLd) or doublet </w:t>
      </w:r>
      <w:r w:rsidR="00494180" w:rsidRPr="006154DA">
        <w:t xml:space="preserve">(i.e., Ld) </w:t>
      </w:r>
      <w:r w:rsidR="00794FA4" w:rsidRPr="006154DA">
        <w:t>regimen</w:t>
      </w:r>
      <w:r w:rsidR="008E2DB3" w:rsidRPr="006154DA">
        <w:t>s</w:t>
      </w:r>
      <w:r w:rsidRPr="006154DA">
        <w:t>.</w:t>
      </w:r>
      <w:r w:rsidR="001C24D0" w:rsidRPr="006154DA">
        <w:t xml:space="preserve"> The </w:t>
      </w:r>
      <w:r w:rsidR="00455AB2" w:rsidRPr="006154DA">
        <w:t xml:space="preserve">ESC noted that the </w:t>
      </w:r>
      <w:r w:rsidR="001C24D0" w:rsidRPr="006154DA">
        <w:t xml:space="preserve">available clinical evidence may support a combined analysis approach comprising a cost-effectiveness analysis for the comparison of DLd with Ld and a cost-minimisation </w:t>
      </w:r>
      <w:r w:rsidR="00455AB2" w:rsidRPr="006154DA">
        <w:t xml:space="preserve">approach </w:t>
      </w:r>
      <w:r w:rsidR="001C24D0" w:rsidRPr="006154DA">
        <w:t>for the comparison of DLd with BLd.</w:t>
      </w:r>
      <w:bookmarkEnd w:id="81"/>
    </w:p>
    <w:p w14:paraId="2EBF8C34" w14:textId="4C55AC1B" w:rsidR="001D7ABE" w:rsidRPr="006154DA" w:rsidRDefault="001D7ABE" w:rsidP="00720D59">
      <w:pPr>
        <w:pStyle w:val="3-BodyText"/>
      </w:pPr>
      <w:r w:rsidRPr="006154DA">
        <w:t xml:space="preserve">The </w:t>
      </w:r>
      <w:r w:rsidR="00455AB2" w:rsidRPr="006154DA">
        <w:t xml:space="preserve">ESC considered that the </w:t>
      </w:r>
      <w:r w:rsidRPr="006154DA">
        <w:t xml:space="preserve">time horizon of 20 years </w:t>
      </w:r>
      <w:r w:rsidR="00455AB2" w:rsidRPr="006154DA">
        <w:t>was</w:t>
      </w:r>
      <w:r w:rsidRPr="006154DA">
        <w:t xml:space="preserve"> overly long given the population </w:t>
      </w:r>
      <w:r w:rsidR="00455AB2" w:rsidRPr="006154DA">
        <w:t xml:space="preserve">entering </w:t>
      </w:r>
      <w:r w:rsidRPr="006154DA">
        <w:t>the model had an average age of 74 years. In its consideration of BLd for treatment of TI NDMM, the PBAC preferred a time horizon of 15 years (para</w:t>
      </w:r>
      <w:r w:rsidR="00455AB2" w:rsidRPr="006154DA">
        <w:t>graph</w:t>
      </w:r>
      <w:r w:rsidRPr="006154DA">
        <w:t xml:space="preserve"> 7.9, lenalidomide</w:t>
      </w:r>
      <w:r w:rsidR="00455AB2" w:rsidRPr="006154DA">
        <w:t xml:space="preserve"> PSD</w:t>
      </w:r>
      <w:r w:rsidRPr="006154DA">
        <w:t xml:space="preserve">, August 2019 PBAC meeting). </w:t>
      </w:r>
      <w:r w:rsidR="005C0D7B" w:rsidRPr="006154DA">
        <w:t>Further</w:t>
      </w:r>
      <w:r w:rsidR="00415530" w:rsidRPr="006154DA">
        <w:t>more</w:t>
      </w:r>
      <w:r w:rsidRPr="006154DA">
        <w:t xml:space="preserve">, patients </w:t>
      </w:r>
      <w:r w:rsidR="00455AB2" w:rsidRPr="006154DA">
        <w:t xml:space="preserve">entering </w:t>
      </w:r>
      <w:r w:rsidRPr="006154DA">
        <w:t>th</w:t>
      </w:r>
      <w:r w:rsidR="005C0D7B" w:rsidRPr="006154DA">
        <w:t>e</w:t>
      </w:r>
      <w:r w:rsidRPr="006154DA">
        <w:t xml:space="preserve"> </w:t>
      </w:r>
      <w:r w:rsidR="00AE7433" w:rsidRPr="006154DA">
        <w:t xml:space="preserve">BLd </w:t>
      </w:r>
      <w:r w:rsidRPr="006154DA">
        <w:t xml:space="preserve">economic model </w:t>
      </w:r>
      <w:r w:rsidR="005C0D7B" w:rsidRPr="006154DA">
        <w:t xml:space="preserve">were </w:t>
      </w:r>
      <w:r w:rsidRPr="006154DA">
        <w:t xml:space="preserve">younger than the population </w:t>
      </w:r>
      <w:r w:rsidR="00455AB2" w:rsidRPr="006154DA">
        <w:t xml:space="preserve">entering </w:t>
      </w:r>
      <w:r w:rsidRPr="006154DA">
        <w:t>the DLd model</w:t>
      </w:r>
      <w:r w:rsidR="00FE3A20" w:rsidRPr="006154DA">
        <w:t xml:space="preserve"> (63 years vs 74 years respectively)</w:t>
      </w:r>
      <w:r w:rsidRPr="006154DA">
        <w:t xml:space="preserve">. A summary of </w:t>
      </w:r>
      <w:r w:rsidR="007210CF" w:rsidRPr="006154DA">
        <w:t xml:space="preserve">the </w:t>
      </w:r>
      <w:r w:rsidRPr="006154DA">
        <w:t xml:space="preserve">ICER per QALY gained </w:t>
      </w:r>
      <w:r w:rsidR="007210CF" w:rsidRPr="006154DA">
        <w:t xml:space="preserve">when the </w:t>
      </w:r>
      <w:r w:rsidRPr="006154DA">
        <w:t xml:space="preserve">time horizon </w:t>
      </w:r>
      <w:r w:rsidR="007210CF" w:rsidRPr="006154DA">
        <w:t xml:space="preserve">was varied </w:t>
      </w:r>
      <w:r w:rsidRPr="006154DA">
        <w:t xml:space="preserve">is presented in </w:t>
      </w:r>
      <w:r w:rsidRPr="006154DA">
        <w:fldChar w:fldCharType="begin"/>
      </w:r>
      <w:r w:rsidRPr="006154DA">
        <w:instrText xml:space="preserve"> REF _Ref111445300 \h  \* MERGEFORMAT </w:instrText>
      </w:r>
      <w:r w:rsidRPr="006154DA">
        <w:fldChar w:fldCharType="separate"/>
      </w:r>
      <w:r w:rsidR="008D65C7" w:rsidRPr="0058247A">
        <w:t xml:space="preserve">Figure </w:t>
      </w:r>
      <w:r w:rsidR="008D65C7">
        <w:t>7</w:t>
      </w:r>
      <w:r w:rsidRPr="006154DA">
        <w:fldChar w:fldCharType="end"/>
      </w:r>
      <w:r w:rsidRPr="006154DA">
        <w:t>.</w:t>
      </w:r>
      <w:r w:rsidR="00732BAC" w:rsidRPr="006154DA">
        <w:t xml:space="preserve"> The PSCR </w:t>
      </w:r>
      <w:r w:rsidR="00455AB2" w:rsidRPr="006154DA">
        <w:t>noted</w:t>
      </w:r>
      <w:r w:rsidR="00732BAC" w:rsidRPr="006154DA">
        <w:t xml:space="preserve"> that </w:t>
      </w:r>
      <w:r w:rsidR="00455AB2" w:rsidRPr="006154DA">
        <w:t xml:space="preserve">as </w:t>
      </w:r>
      <w:r w:rsidR="00732BAC" w:rsidRPr="006154DA">
        <w:t xml:space="preserve">a 15 year time horizon was accepted by the PBAC for DBd in the second line setting, it </w:t>
      </w:r>
      <w:r w:rsidR="00455AB2" w:rsidRPr="006154DA">
        <w:t>would be</w:t>
      </w:r>
      <w:r w:rsidR="00732BAC" w:rsidRPr="006154DA">
        <w:t xml:space="preserve"> reasonable to expect a longer time horizon in the first line setting, </w:t>
      </w:r>
      <w:r w:rsidR="00455AB2" w:rsidRPr="006154DA">
        <w:t xml:space="preserve">and </w:t>
      </w:r>
      <w:r w:rsidR="00732BAC" w:rsidRPr="006154DA">
        <w:t>thus, a time horizon of 20 years was appropriate.</w:t>
      </w:r>
      <w:r w:rsidR="003D267E" w:rsidRPr="006154DA">
        <w:t xml:space="preserve"> The ESC noted </w:t>
      </w:r>
      <w:r w:rsidR="00455AB2" w:rsidRPr="006154DA">
        <w:t xml:space="preserve">however, </w:t>
      </w:r>
      <w:r w:rsidR="003D267E" w:rsidRPr="006154DA">
        <w:t xml:space="preserve">that the average age of patients </w:t>
      </w:r>
      <w:r w:rsidR="00455AB2" w:rsidRPr="006154DA">
        <w:t>entering the DBd model was 63.5 years</w:t>
      </w:r>
      <w:r w:rsidR="00686EC6" w:rsidRPr="006154DA">
        <w:t xml:space="preserve"> (paragraph 6.37, </w:t>
      </w:r>
      <w:r w:rsidR="00686EC6" w:rsidRPr="006154DA">
        <w:lastRenderedPageBreak/>
        <w:t>Daratumumab PSD, November 2019 PBAC meeting) compared to 74 years in the DLd model</w:t>
      </w:r>
      <w:r w:rsidR="00455AB2" w:rsidRPr="006154DA">
        <w:t>. The ESC considered that a 15 year time horizon would be reasonable for the TI NDMM Australian population</w:t>
      </w:r>
      <w:r w:rsidR="003D267E" w:rsidRPr="006154DA">
        <w:t>.</w:t>
      </w:r>
      <w:r w:rsidR="0078569D">
        <w:t xml:space="preserve"> The pre-PBAC response stated that DLd resulted in significant improvements in OS and that a 20 year time horizon was required to appropriately capture the expected survival of patients treated with DLd, noting that approximately 15% of patients were modelled to remain alive at 15 years.</w:t>
      </w:r>
    </w:p>
    <w:p w14:paraId="5D340B6A" w14:textId="2627099B" w:rsidR="0099520C" w:rsidRDefault="001D7ABE" w:rsidP="001D7ABE">
      <w:pPr>
        <w:pStyle w:val="Caption"/>
      </w:pPr>
      <w:bookmarkStart w:id="82" w:name="_Ref111445300"/>
      <w:r w:rsidRPr="0058247A">
        <w:t xml:space="preserve">Figure </w:t>
      </w:r>
      <w:fldSimple w:instr=" SEQ Figure \* ARABIC ">
        <w:r w:rsidR="008D65C7">
          <w:rPr>
            <w:noProof/>
          </w:rPr>
          <w:t>7</w:t>
        </w:r>
      </w:fldSimple>
      <w:bookmarkEnd w:id="82"/>
      <w:r w:rsidRPr="0058247A">
        <w:t>: Incremental cost effectiveness ratio by time horizon</w:t>
      </w:r>
    </w:p>
    <w:p w14:paraId="05728228" w14:textId="0776374C" w:rsidR="001D7ABE" w:rsidRPr="0058247A" w:rsidRDefault="0099520C" w:rsidP="0099520C">
      <w:pPr>
        <w:pStyle w:val="Caption"/>
        <w:jc w:val="center"/>
        <w:rPr>
          <w:i/>
          <w:iCs/>
        </w:rPr>
      </w:pPr>
      <w:r>
        <w:rPr>
          <w:noProof/>
        </w:rPr>
        <w:drawing>
          <wp:inline distT="0" distB="0" distL="0" distR="0" wp14:anchorId="41A4C8F5" wp14:editId="0C915480">
            <wp:extent cx="3792220" cy="2377440"/>
            <wp:effectExtent l="0" t="0" r="0" b="3810"/>
            <wp:docPr id="1" name="Picture 1" descr="Figure 7: Incremental cost effectiveness ratio by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7: Incremental cost effectiveness ratio by time horizon"/>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792220" cy="2377440"/>
                    </a:xfrm>
                    <a:prstGeom prst="rect">
                      <a:avLst/>
                    </a:prstGeom>
                    <a:noFill/>
                  </pic:spPr>
                </pic:pic>
              </a:graphicData>
            </a:graphic>
          </wp:inline>
        </w:drawing>
      </w:r>
    </w:p>
    <w:p w14:paraId="77450747" w14:textId="47236C0A" w:rsidR="001F0076" w:rsidRPr="0058247A" w:rsidRDefault="001D7ABE" w:rsidP="00A8529D">
      <w:pPr>
        <w:pStyle w:val="3-BodyText"/>
        <w:numPr>
          <w:ilvl w:val="0"/>
          <w:numId w:val="0"/>
        </w:numPr>
        <w:ind w:left="720" w:hanging="720"/>
        <w:rPr>
          <w:rFonts w:ascii="Arial Narrow" w:hAnsi="Arial Narrow"/>
          <w:sz w:val="18"/>
          <w:szCs w:val="18"/>
        </w:rPr>
      </w:pPr>
      <w:r w:rsidRPr="0058247A">
        <w:rPr>
          <w:rFonts w:ascii="Arial Narrow" w:hAnsi="Arial Narrow"/>
          <w:sz w:val="18"/>
          <w:szCs w:val="18"/>
        </w:rPr>
        <w:t>Source: Compiled during the evaluation using the information from the economic model of the submission.</w:t>
      </w:r>
    </w:p>
    <w:p w14:paraId="372DE601" w14:textId="417A6419" w:rsidR="00F11D74" w:rsidRPr="0058247A" w:rsidRDefault="00077EE3" w:rsidP="00A25B4A">
      <w:pPr>
        <w:pStyle w:val="3-BodyText"/>
      </w:pPr>
      <w:r w:rsidRPr="0058247A">
        <w:t xml:space="preserve">The </w:t>
      </w:r>
      <w:r w:rsidR="007210CF" w:rsidRPr="0058247A">
        <w:t>KM</w:t>
      </w:r>
      <w:r w:rsidRPr="0058247A">
        <w:t xml:space="preserve"> data</w:t>
      </w:r>
      <w:r w:rsidR="00621A2D" w:rsidRPr="0058247A">
        <w:t xml:space="preserve"> </w:t>
      </w:r>
      <w:r w:rsidRPr="0058247A">
        <w:t>from MAIA were applied in the model for OS, PFS, and TTD of DLd and SoC up to the time point representing median follow-up (approximately 66 months). The submission</w:t>
      </w:r>
      <w:r w:rsidR="003A0C19" w:rsidRPr="0058247A">
        <w:t xml:space="preserve"> then</w:t>
      </w:r>
      <w:r w:rsidRPr="0058247A">
        <w:t xml:space="preserve"> applied parametric functions </w:t>
      </w:r>
      <w:r w:rsidR="00455AB2" w:rsidRPr="0058247A">
        <w:t xml:space="preserve">to </w:t>
      </w:r>
      <w:r w:rsidRPr="0058247A">
        <w:t>these outcomes after the period</w:t>
      </w:r>
      <w:r w:rsidR="00AD2B83" w:rsidRPr="0058247A">
        <w:t xml:space="preserve"> for which </w:t>
      </w:r>
      <w:r w:rsidR="007210CF" w:rsidRPr="0058247A">
        <w:t>KM</w:t>
      </w:r>
      <w:r w:rsidR="00AD2B83" w:rsidRPr="0058247A">
        <w:t xml:space="preserve"> data were available (post 66 months)</w:t>
      </w:r>
      <w:r w:rsidRPr="0058247A">
        <w:t xml:space="preserve">. </w:t>
      </w:r>
      <w:r w:rsidR="00AD2B83" w:rsidRPr="0058247A">
        <w:t xml:space="preserve">Based on visual inspection of the plot of the Schoenfeld residuals and log-log plot hazards, </w:t>
      </w:r>
      <w:r w:rsidR="003274EB" w:rsidRPr="0058247A">
        <w:t xml:space="preserve">the submission </w:t>
      </w:r>
      <w:r w:rsidR="00AD2B83" w:rsidRPr="0058247A">
        <w:t xml:space="preserve">found </w:t>
      </w:r>
      <w:r w:rsidRPr="0058247A">
        <w:t>the proportional hazards assumption</w:t>
      </w:r>
      <w:r w:rsidR="007A2D33" w:rsidRPr="0058247A">
        <w:t xml:space="preserve"> </w:t>
      </w:r>
      <w:r w:rsidR="00AD2B83" w:rsidRPr="0058247A">
        <w:t>for</w:t>
      </w:r>
      <w:r w:rsidR="007A2D33" w:rsidRPr="0058247A">
        <w:t xml:space="preserve"> OS between DLd and SoC (Ld) </w:t>
      </w:r>
      <w:r w:rsidR="00E359EE" w:rsidRPr="0058247A">
        <w:t>to be</w:t>
      </w:r>
      <w:r w:rsidR="007A2D33" w:rsidRPr="0058247A">
        <w:t xml:space="preserve"> violated</w:t>
      </w:r>
      <w:r w:rsidR="00AD2B83" w:rsidRPr="0058247A">
        <w:t>, which it claimed supported the use of independent parametric functions for OS</w:t>
      </w:r>
      <w:r w:rsidRPr="0058247A">
        <w:t>.</w:t>
      </w:r>
      <w:r w:rsidR="00DB19CF" w:rsidRPr="0058247A">
        <w:t xml:space="preserve"> </w:t>
      </w:r>
      <w:r w:rsidR="00921D4E" w:rsidRPr="0058247A">
        <w:t>The submission stated that the Akaike information criterion (AIC) and the Bayesian information criterion (BIC) were used to decide which distribution models best fit the data</w:t>
      </w:r>
      <w:r w:rsidR="00D93F51" w:rsidRPr="0058247A">
        <w:t xml:space="preserve"> for the purposes of extrapolation beyond 66 months (out to month 240)</w:t>
      </w:r>
      <w:r w:rsidR="00921D4E" w:rsidRPr="0058247A">
        <w:t>. This result</w:t>
      </w:r>
      <w:r w:rsidR="00D93F51" w:rsidRPr="0058247A">
        <w:t>ed</w:t>
      </w:r>
      <w:r w:rsidR="00921D4E" w:rsidRPr="0058247A">
        <w:t xml:space="preserve"> in the </w:t>
      </w:r>
      <w:r w:rsidR="00AC26EC" w:rsidRPr="0058247A">
        <w:t xml:space="preserve">application </w:t>
      </w:r>
      <w:r w:rsidR="00921D4E" w:rsidRPr="0058247A">
        <w:t xml:space="preserve">of the exponential function </w:t>
      </w:r>
      <w:r w:rsidR="00AC26EC" w:rsidRPr="0058247A">
        <w:t xml:space="preserve">to the </w:t>
      </w:r>
      <w:r w:rsidR="00921D4E" w:rsidRPr="0058247A">
        <w:t xml:space="preserve">OS </w:t>
      </w:r>
      <w:r w:rsidR="00AC26EC" w:rsidRPr="0058247A">
        <w:t xml:space="preserve">curve in the </w:t>
      </w:r>
      <w:r w:rsidR="00921D4E" w:rsidRPr="0058247A">
        <w:t>DLd</w:t>
      </w:r>
      <w:r w:rsidR="00AC26EC" w:rsidRPr="0058247A">
        <w:t xml:space="preserve"> arm and the Gompertz function to the OS curve in the SoC arm. The exponential function was applied to the </w:t>
      </w:r>
      <w:r w:rsidR="00921D4E" w:rsidRPr="0058247A">
        <w:t>PF</w:t>
      </w:r>
      <w:r w:rsidR="00D93F51" w:rsidRPr="0058247A">
        <w:t>S</w:t>
      </w:r>
      <w:r w:rsidR="00921D4E" w:rsidRPr="0058247A">
        <w:t xml:space="preserve"> and TTD </w:t>
      </w:r>
      <w:r w:rsidR="00AC26EC" w:rsidRPr="0058247A">
        <w:t xml:space="preserve">curves </w:t>
      </w:r>
      <w:r w:rsidR="00921D4E" w:rsidRPr="0058247A">
        <w:t xml:space="preserve">for both </w:t>
      </w:r>
      <w:r w:rsidR="00AC26EC" w:rsidRPr="0058247A">
        <w:t xml:space="preserve">the </w:t>
      </w:r>
      <w:r w:rsidR="00921D4E" w:rsidRPr="0058247A">
        <w:t>DLd and SoC</w:t>
      </w:r>
      <w:r w:rsidR="00AC26EC" w:rsidRPr="0058247A">
        <w:t xml:space="preserve"> arms</w:t>
      </w:r>
      <w:r w:rsidR="00921D4E" w:rsidRPr="0058247A">
        <w:t>.</w:t>
      </w:r>
      <w:r w:rsidR="00F11D74" w:rsidRPr="0058247A">
        <w:t xml:space="preserve"> </w:t>
      </w:r>
      <w:r w:rsidR="00AB34C9" w:rsidRPr="00C60B33">
        <w:t xml:space="preserve">The </w:t>
      </w:r>
      <w:r w:rsidR="00AC26EC" w:rsidRPr="00C60B33">
        <w:t>ESC considered that</w:t>
      </w:r>
      <w:r w:rsidR="00AC26EC" w:rsidRPr="0058247A">
        <w:t xml:space="preserve"> the application </w:t>
      </w:r>
      <w:r w:rsidR="00AB34C9" w:rsidRPr="0058247A">
        <w:t xml:space="preserve">of the exponential function </w:t>
      </w:r>
      <w:r w:rsidR="00AC26EC" w:rsidRPr="0058247A">
        <w:t>to the</w:t>
      </w:r>
      <w:r w:rsidR="00AB34C9" w:rsidRPr="0058247A">
        <w:t xml:space="preserve"> PFS and TTD </w:t>
      </w:r>
      <w:r w:rsidR="00AC26EC" w:rsidRPr="0058247A">
        <w:t xml:space="preserve">curves in </w:t>
      </w:r>
      <w:r w:rsidR="00AB34C9" w:rsidRPr="0058247A">
        <w:t xml:space="preserve">both </w:t>
      </w:r>
      <w:r w:rsidR="00AC26EC" w:rsidRPr="0058247A">
        <w:t xml:space="preserve">the </w:t>
      </w:r>
      <w:r w:rsidR="00AB34C9" w:rsidRPr="0058247A">
        <w:t xml:space="preserve">DLd and SoC </w:t>
      </w:r>
      <w:r w:rsidR="00AC26EC" w:rsidRPr="0058247A">
        <w:t xml:space="preserve">arms </w:t>
      </w:r>
      <w:r w:rsidR="00AB34C9" w:rsidRPr="0058247A">
        <w:t>appear</w:t>
      </w:r>
      <w:r w:rsidR="00AC26EC" w:rsidRPr="0058247A">
        <w:t>ed</w:t>
      </w:r>
      <w:r w:rsidR="00AB34C9" w:rsidRPr="0058247A">
        <w:t xml:space="preserve"> reasonable.</w:t>
      </w:r>
    </w:p>
    <w:p w14:paraId="428FE0CA" w14:textId="4F5E25E4" w:rsidR="004D74FC" w:rsidRPr="006154DA" w:rsidRDefault="004D74FC" w:rsidP="0021164A">
      <w:pPr>
        <w:pStyle w:val="3-BodyText"/>
      </w:pPr>
      <w:bookmarkStart w:id="83" w:name="_Ref127532655"/>
      <w:r w:rsidRPr="0058247A">
        <w:t xml:space="preserve">The </w:t>
      </w:r>
      <w:bookmarkStart w:id="84" w:name="_Ref127023293"/>
      <w:r w:rsidR="00AC26EC" w:rsidRPr="0058247A">
        <w:t xml:space="preserve">application </w:t>
      </w:r>
      <w:r w:rsidR="00F11D74" w:rsidRPr="0058247A">
        <w:t xml:space="preserve">of </w:t>
      </w:r>
      <w:r w:rsidR="002A685C" w:rsidRPr="0058247A">
        <w:t>the</w:t>
      </w:r>
      <w:r w:rsidR="00F11D74" w:rsidRPr="0058247A">
        <w:t xml:space="preserve"> Gompertz function </w:t>
      </w:r>
      <w:r w:rsidR="00AC26EC" w:rsidRPr="0058247A">
        <w:t xml:space="preserve">to the OS curve in the SOC arm </w:t>
      </w:r>
      <w:r w:rsidR="00F11D74" w:rsidRPr="0058247A">
        <w:t>result</w:t>
      </w:r>
      <w:r w:rsidR="00AC26EC" w:rsidRPr="0058247A">
        <w:t>ed</w:t>
      </w:r>
      <w:r w:rsidR="00F11D74" w:rsidRPr="0058247A">
        <w:t xml:space="preserve"> in the most pessimistic estimate of survival for SoC. Compared to </w:t>
      </w:r>
      <w:r w:rsidR="00AC26EC" w:rsidRPr="0058247A">
        <w:t xml:space="preserve">the </w:t>
      </w:r>
      <w:r w:rsidR="00F11D74" w:rsidRPr="0058247A">
        <w:t>DLd</w:t>
      </w:r>
      <w:r w:rsidR="00AC26EC" w:rsidRPr="0058247A">
        <w:t xml:space="preserve"> arm</w:t>
      </w:r>
      <w:r w:rsidR="00AC0360" w:rsidRPr="0058247A">
        <w:t xml:space="preserve"> </w:t>
      </w:r>
      <w:r w:rsidR="00CB0081" w:rsidRPr="0058247A">
        <w:t>(exponential function)</w:t>
      </w:r>
      <w:r w:rsidR="00F11D74" w:rsidRPr="0058247A">
        <w:t xml:space="preserve">, the </w:t>
      </w:r>
      <w:r w:rsidR="00AC26EC" w:rsidRPr="0058247A">
        <w:t xml:space="preserve">ESC noted that the </w:t>
      </w:r>
      <w:r w:rsidR="00F11D74" w:rsidRPr="0058247A">
        <w:t xml:space="preserve">decline in OS </w:t>
      </w:r>
      <w:r w:rsidR="00AC26EC" w:rsidRPr="0058247A">
        <w:t xml:space="preserve">in the </w:t>
      </w:r>
      <w:r w:rsidR="00F11D74" w:rsidRPr="0058247A">
        <w:t xml:space="preserve">Ld </w:t>
      </w:r>
      <w:r w:rsidR="00AC26EC" w:rsidRPr="0058247A">
        <w:t>arm over</w:t>
      </w:r>
      <w:r w:rsidR="00F11D74" w:rsidRPr="0058247A">
        <w:t xml:space="preserve"> the extrapolation period (i.e., beyond the median point of follow-up in MAIA, 66 months) appear</w:t>
      </w:r>
      <w:r w:rsidR="00AC26EC" w:rsidRPr="0058247A">
        <w:t>ed</w:t>
      </w:r>
      <w:r w:rsidR="00F11D74" w:rsidRPr="0058247A">
        <w:t xml:space="preserve"> to occur at an accelerated rate, converging to zero at </w:t>
      </w:r>
      <w:r w:rsidR="00AC26EC" w:rsidRPr="0058247A">
        <w:t xml:space="preserve">approximately </w:t>
      </w:r>
      <w:r w:rsidR="00F11D74" w:rsidRPr="0058247A">
        <w:t xml:space="preserve">month </w:t>
      </w:r>
      <w:r w:rsidR="00F11D74" w:rsidRPr="006154DA">
        <w:t>180</w:t>
      </w:r>
      <w:r w:rsidR="00AA1A77" w:rsidRPr="006154DA">
        <w:t xml:space="preserve"> (s</w:t>
      </w:r>
      <w:r w:rsidR="0063388D" w:rsidRPr="006154DA">
        <w:t xml:space="preserve">ee </w:t>
      </w:r>
      <w:r w:rsidR="0063388D" w:rsidRPr="006154DA">
        <w:fldChar w:fldCharType="begin"/>
      </w:r>
      <w:r w:rsidR="0063388D" w:rsidRPr="006154DA">
        <w:instrText xml:space="preserve"> REF _Ref127546095 \h </w:instrText>
      </w:r>
      <w:r w:rsidR="006154DA" w:rsidRPr="006154DA">
        <w:instrText xml:space="preserve"> \* MERGEFORMAT </w:instrText>
      </w:r>
      <w:r w:rsidR="0063388D" w:rsidRPr="006154DA">
        <w:fldChar w:fldCharType="separate"/>
      </w:r>
      <w:r w:rsidR="008D65C7" w:rsidRPr="0058247A">
        <w:t xml:space="preserve">Figure </w:t>
      </w:r>
      <w:r w:rsidR="008D65C7">
        <w:t>8</w:t>
      </w:r>
      <w:r w:rsidR="0063388D" w:rsidRPr="006154DA">
        <w:fldChar w:fldCharType="end"/>
      </w:r>
      <w:r w:rsidR="00AA1A77" w:rsidRPr="006154DA">
        <w:t>)</w:t>
      </w:r>
      <w:r w:rsidR="00F11D74" w:rsidRPr="006154DA">
        <w:t xml:space="preserve">. </w:t>
      </w:r>
      <w:r w:rsidR="00AA1A77" w:rsidRPr="006154DA">
        <w:t>In addition, t</w:t>
      </w:r>
      <w:r w:rsidR="00F11D74" w:rsidRPr="006154DA">
        <w:t xml:space="preserve">his rapid rate of decline in OS </w:t>
      </w:r>
      <w:r w:rsidR="007210CF" w:rsidRPr="006154DA">
        <w:t>during</w:t>
      </w:r>
      <w:r w:rsidR="00F11D74" w:rsidRPr="006154DA">
        <w:t xml:space="preserve"> the extrapolation period for </w:t>
      </w:r>
      <w:r w:rsidR="00AA1A77" w:rsidRPr="006154DA">
        <w:t xml:space="preserve">the </w:t>
      </w:r>
      <w:r w:rsidR="00F11D74" w:rsidRPr="006154DA">
        <w:t>Ld</w:t>
      </w:r>
      <w:r w:rsidR="00AA1A77" w:rsidRPr="006154DA">
        <w:t xml:space="preserve"> arm</w:t>
      </w:r>
      <w:r w:rsidR="00F11D74" w:rsidRPr="006154DA">
        <w:t xml:space="preserve"> </w:t>
      </w:r>
      <w:r w:rsidR="00AA1A77" w:rsidRPr="006154DA">
        <w:t>results in the OS curve converging with the PFS curve</w:t>
      </w:r>
      <w:r w:rsidR="008A71BF" w:rsidRPr="006154DA">
        <w:t xml:space="preserve"> </w:t>
      </w:r>
      <w:r w:rsidR="00F11D74" w:rsidRPr="006154DA">
        <w:t xml:space="preserve">at </w:t>
      </w:r>
      <w:r w:rsidR="00AA1A77" w:rsidRPr="006154DA">
        <w:lastRenderedPageBreak/>
        <w:t xml:space="preserve">approximately 144 </w:t>
      </w:r>
      <w:r w:rsidR="00F11D74" w:rsidRPr="006154DA">
        <w:t>month</w:t>
      </w:r>
      <w:r w:rsidR="00AA1A77" w:rsidRPr="006154DA">
        <w:t>s</w:t>
      </w:r>
      <w:r w:rsidR="00F11D74" w:rsidRPr="006154DA">
        <w:t xml:space="preserve"> </w:t>
      </w:r>
      <w:r w:rsidR="00B90264" w:rsidRPr="006154DA">
        <w:t xml:space="preserve">(see </w:t>
      </w:r>
      <w:r w:rsidR="00B90264" w:rsidRPr="006154DA">
        <w:fldChar w:fldCharType="begin"/>
      </w:r>
      <w:r w:rsidR="00B90264" w:rsidRPr="006154DA">
        <w:instrText xml:space="preserve"> REF _Ref121410220 \h  \* MERGEFORMAT </w:instrText>
      </w:r>
      <w:r w:rsidR="00B90264" w:rsidRPr="006154DA">
        <w:fldChar w:fldCharType="separate"/>
      </w:r>
      <w:r w:rsidR="008D65C7" w:rsidRPr="0058247A">
        <w:t xml:space="preserve">Figure </w:t>
      </w:r>
      <w:r w:rsidR="008D65C7">
        <w:t>9</w:t>
      </w:r>
      <w:r w:rsidR="00B90264" w:rsidRPr="006154DA">
        <w:fldChar w:fldCharType="end"/>
      </w:r>
      <w:r w:rsidR="00B90264" w:rsidRPr="006154DA">
        <w:t>)</w:t>
      </w:r>
      <w:r w:rsidR="00AA1A77" w:rsidRPr="006154DA">
        <w:t xml:space="preserve"> which was not </w:t>
      </w:r>
      <w:r w:rsidR="00F11D74" w:rsidRPr="006154DA">
        <w:t xml:space="preserve">adequately justified by the submission. The </w:t>
      </w:r>
      <w:r w:rsidR="0063388D" w:rsidRPr="006154DA">
        <w:t xml:space="preserve">application </w:t>
      </w:r>
      <w:r w:rsidR="00AA1A77" w:rsidRPr="006154DA">
        <w:t xml:space="preserve">of the </w:t>
      </w:r>
      <w:r w:rsidR="00F11D74" w:rsidRPr="006154DA">
        <w:t xml:space="preserve">Weibull function </w:t>
      </w:r>
      <w:r w:rsidR="00AA1A77" w:rsidRPr="006154DA">
        <w:t>(see</w:t>
      </w:r>
      <w:r w:rsidR="00D71956" w:rsidRPr="006154DA">
        <w:t xml:space="preserve"> </w:t>
      </w:r>
      <w:r w:rsidR="0063388D" w:rsidRPr="006154DA">
        <w:fldChar w:fldCharType="begin"/>
      </w:r>
      <w:r w:rsidR="0063388D" w:rsidRPr="006154DA">
        <w:instrText xml:space="preserve"> REF _Ref127546095 \h </w:instrText>
      </w:r>
      <w:r w:rsidR="006154DA" w:rsidRPr="006154DA">
        <w:instrText xml:space="preserve"> \* MERGEFORMAT </w:instrText>
      </w:r>
      <w:r w:rsidR="0063388D" w:rsidRPr="006154DA">
        <w:fldChar w:fldCharType="separate"/>
      </w:r>
      <w:r w:rsidR="008D65C7" w:rsidRPr="0058247A">
        <w:t xml:space="preserve">Figure </w:t>
      </w:r>
      <w:r w:rsidR="008D65C7">
        <w:t>8</w:t>
      </w:r>
      <w:r w:rsidR="0063388D" w:rsidRPr="006154DA">
        <w:fldChar w:fldCharType="end"/>
      </w:r>
      <w:r w:rsidR="0063388D" w:rsidRPr="006154DA">
        <w:t xml:space="preserve"> </w:t>
      </w:r>
      <w:r w:rsidR="00AA1A77" w:rsidRPr="006154DA">
        <w:t xml:space="preserve">; next best fit in terms of AIC and BIC) </w:t>
      </w:r>
      <w:r w:rsidR="00F11D74" w:rsidRPr="006154DA">
        <w:t>appear</w:t>
      </w:r>
      <w:r w:rsidR="00AA1A77" w:rsidRPr="006154DA">
        <w:t>ed</w:t>
      </w:r>
      <w:r w:rsidR="00F11D74" w:rsidRPr="006154DA">
        <w:t xml:space="preserve"> to provide a more consistent rate of decline in OS between the </w:t>
      </w:r>
      <w:r w:rsidR="00AA1A77" w:rsidRPr="006154DA">
        <w:t xml:space="preserve">Kaplan Meier </w:t>
      </w:r>
      <w:r w:rsidR="00F11D74" w:rsidRPr="006154DA">
        <w:t>data and the extrapolat</w:t>
      </w:r>
      <w:r w:rsidR="00AA1A77" w:rsidRPr="006154DA">
        <w:t>ed</w:t>
      </w:r>
      <w:r w:rsidR="00F11D74" w:rsidRPr="006154DA">
        <w:t xml:space="preserve"> portion. </w:t>
      </w:r>
      <w:r w:rsidR="00AA1A77" w:rsidRPr="006154DA">
        <w:t xml:space="preserve">The PSCR reiterated that the Gompertz function was the best statistical fit to the Ld Kaplan Meier data. The ESC noted that although the use of </w:t>
      </w:r>
      <w:r w:rsidR="00270AAB" w:rsidRPr="006154DA">
        <w:t>fit statistics</w:t>
      </w:r>
      <w:r w:rsidR="00AA1A77" w:rsidRPr="006154DA">
        <w:t xml:space="preserve"> helped to inform the choice of appropriate parametric curves to fit the data </w:t>
      </w:r>
      <w:r w:rsidR="0021164A" w:rsidRPr="006154DA">
        <w:t xml:space="preserve">during </w:t>
      </w:r>
      <w:r w:rsidR="00AA1A77" w:rsidRPr="006154DA">
        <w:t>the trial time, it does not necessarily indicate that the curves are appropriate beyond the trial duration.</w:t>
      </w:r>
      <w:r w:rsidR="00E524DE" w:rsidRPr="006154DA">
        <w:t xml:space="preserve"> In addition, there was very little difference in the fit statistics for the Gompertz function (AIC: 829.21; BIC</w:t>
      </w:r>
      <w:r w:rsidR="0099520C" w:rsidRPr="006154DA">
        <w:t>:</w:t>
      </w:r>
      <w:r w:rsidR="0099520C">
        <w:t> </w:t>
      </w:r>
      <w:r w:rsidR="00E524DE" w:rsidRPr="006154DA">
        <w:t xml:space="preserve">837.03) as compared with the Weibull function (AIC: 830.92; BIC: 838.74), and the </w:t>
      </w:r>
      <w:r w:rsidR="00DF2B25" w:rsidRPr="006154DA">
        <w:t xml:space="preserve">selection </w:t>
      </w:r>
      <w:r w:rsidR="00E524DE" w:rsidRPr="006154DA">
        <w:t xml:space="preserve">of the Gompertz </w:t>
      </w:r>
      <w:r w:rsidR="00DF2B25" w:rsidRPr="006154DA">
        <w:t xml:space="preserve">function </w:t>
      </w:r>
      <w:r w:rsidR="00B9483A" w:rsidRPr="006154DA">
        <w:t xml:space="preserve">could not be </w:t>
      </w:r>
      <w:r w:rsidR="00E524DE" w:rsidRPr="006154DA">
        <w:t>justified</w:t>
      </w:r>
      <w:r w:rsidR="00B9483A" w:rsidRPr="006154DA">
        <w:t xml:space="preserve"> on this basis alone</w:t>
      </w:r>
      <w:r w:rsidR="00E524DE" w:rsidRPr="006154DA">
        <w:t>.</w:t>
      </w:r>
      <w:bookmarkEnd w:id="83"/>
      <w:bookmarkEnd w:id="84"/>
      <w:r w:rsidR="00F1110F" w:rsidRPr="006154DA">
        <w:t xml:space="preserve"> </w:t>
      </w:r>
      <w:bookmarkStart w:id="85" w:name="_Ref126826368"/>
      <w:r w:rsidR="005844B1" w:rsidRPr="006154DA">
        <w:t>The corresponding fit statistics for the Exponential function were (AIC: 837.05; BIC: 840.96)</w:t>
      </w:r>
      <w:r w:rsidR="0063388D" w:rsidRPr="006154DA">
        <w:t>.</w:t>
      </w:r>
      <w:r w:rsidR="001100B1" w:rsidRPr="006154DA">
        <w:t xml:space="preserve"> The ESC noted the sensitivity of the ICER to changing the extrapolation assumptions (see </w:t>
      </w:r>
      <w:r w:rsidR="001100B1" w:rsidRPr="006154DA">
        <w:fldChar w:fldCharType="begin"/>
      </w:r>
      <w:r w:rsidR="001100B1" w:rsidRPr="006154DA">
        <w:instrText xml:space="preserve"> REF _Ref104804865 \h  \* MERGEFORMAT </w:instrText>
      </w:r>
      <w:r w:rsidR="001100B1" w:rsidRPr="006154DA">
        <w:fldChar w:fldCharType="separate"/>
      </w:r>
      <w:r w:rsidR="008D65C7" w:rsidRPr="0058247A">
        <w:t xml:space="preserve">Table </w:t>
      </w:r>
      <w:r w:rsidR="008D65C7">
        <w:t>18</w:t>
      </w:r>
      <w:r w:rsidR="001100B1" w:rsidRPr="006154DA">
        <w:fldChar w:fldCharType="end"/>
      </w:r>
      <w:r w:rsidR="001100B1" w:rsidRPr="006154DA">
        <w:t>).</w:t>
      </w:r>
    </w:p>
    <w:p w14:paraId="05830660" w14:textId="1136268A" w:rsidR="00AB34C9" w:rsidRPr="0058247A" w:rsidRDefault="0063388D" w:rsidP="00AB34C9">
      <w:pPr>
        <w:pStyle w:val="Caption"/>
      </w:pPr>
      <w:bookmarkStart w:id="86" w:name="_Ref127546095"/>
      <w:bookmarkEnd w:id="85"/>
      <w:r w:rsidRPr="0058247A">
        <w:t xml:space="preserve">Figure </w:t>
      </w:r>
      <w:fldSimple w:instr=" SEQ Figure \* ARABIC ">
        <w:r w:rsidR="008D65C7">
          <w:rPr>
            <w:noProof/>
          </w:rPr>
          <w:t>8</w:t>
        </w:r>
      </w:fldSimple>
      <w:bookmarkEnd w:id="86"/>
      <w:r w:rsidRPr="0058247A">
        <w:t xml:space="preserve">: </w:t>
      </w:r>
      <w:r w:rsidR="00AB34C9" w:rsidRPr="0058247A">
        <w:t>OS curve</w:t>
      </w:r>
      <w:r w:rsidR="003F6BC8" w:rsidRPr="0058247A">
        <w:t>s</w:t>
      </w:r>
      <w:r w:rsidR="00AB34C9" w:rsidRPr="0058247A">
        <w:t xml:space="preserve"> of SoC using Gompertz (base case) compared with the Weibull</w:t>
      </w:r>
      <w:r w:rsidR="003F6BC8" w:rsidRPr="0058247A">
        <w:t xml:space="preserve"> versus </w:t>
      </w:r>
      <w:r w:rsidR="000602F1" w:rsidRPr="0058247A">
        <w:t>OS curve of DLd</w:t>
      </w:r>
    </w:p>
    <w:p w14:paraId="0E984242" w14:textId="422EC3B9" w:rsidR="00AB34C9" w:rsidRPr="0058247A" w:rsidRDefault="0099520C" w:rsidP="00AB34C9">
      <w:pPr>
        <w:spacing w:line="259" w:lineRule="auto"/>
        <w:jc w:val="center"/>
        <w:rPr>
          <w:rFonts w:ascii="Arial Narrow" w:hAnsi="Arial Narrow"/>
          <w:sz w:val="18"/>
          <w:szCs w:val="20"/>
        </w:rPr>
      </w:pPr>
      <w:r>
        <w:rPr>
          <w:rFonts w:ascii="Arial Narrow" w:hAnsi="Arial Narrow"/>
          <w:noProof/>
          <w:sz w:val="18"/>
          <w:szCs w:val="20"/>
        </w:rPr>
        <w:drawing>
          <wp:inline distT="0" distB="0" distL="0" distR="0" wp14:anchorId="6318858C" wp14:editId="3E635857">
            <wp:extent cx="4023995" cy="2585085"/>
            <wp:effectExtent l="0" t="0" r="0" b="5715"/>
            <wp:docPr id="2" name="Picture 2" descr="Figure 8: OS curves of SoC using Gompertz (base case) compared with the Weibull versus OS curve of D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8: OS curves of SoC using Gompertz (base case) compared with the Weibull versus OS curve of DLd&#10;"/>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4023995" cy="2585085"/>
                    </a:xfrm>
                    <a:prstGeom prst="rect">
                      <a:avLst/>
                    </a:prstGeom>
                    <a:noFill/>
                  </pic:spPr>
                </pic:pic>
              </a:graphicData>
            </a:graphic>
          </wp:inline>
        </w:drawing>
      </w:r>
    </w:p>
    <w:p w14:paraId="023285FE" w14:textId="77777777" w:rsidR="00AB34C9" w:rsidRPr="0058247A" w:rsidRDefault="00AB34C9" w:rsidP="00AB34C9">
      <w:pPr>
        <w:spacing w:line="259" w:lineRule="auto"/>
        <w:rPr>
          <w:rFonts w:ascii="Arial Narrow" w:hAnsi="Arial Narrow"/>
          <w:sz w:val="18"/>
          <w:szCs w:val="20"/>
        </w:rPr>
      </w:pPr>
      <w:r w:rsidRPr="0058247A">
        <w:rPr>
          <w:rFonts w:ascii="Arial Narrow" w:hAnsi="Arial Narrow"/>
          <w:sz w:val="18"/>
          <w:szCs w:val="20"/>
        </w:rPr>
        <w:t>Source:</w:t>
      </w:r>
      <w:r w:rsidRPr="0058247A">
        <w:rPr>
          <w:rFonts w:ascii="Arial Narrow" w:hAnsi="Arial Narrow"/>
          <w:sz w:val="18"/>
          <w:szCs w:val="18"/>
        </w:rPr>
        <w:t xml:space="preserve"> Compiled during the evaluation using the information from the economic model of the submission</w:t>
      </w:r>
      <w:r w:rsidRPr="0058247A">
        <w:rPr>
          <w:rFonts w:ascii="Arial Narrow" w:hAnsi="Arial Narrow"/>
          <w:sz w:val="18"/>
          <w:szCs w:val="20"/>
        </w:rPr>
        <w:t xml:space="preserve">. </w:t>
      </w:r>
    </w:p>
    <w:p w14:paraId="674B1499" w14:textId="4899CFA9" w:rsidR="00AB34C9" w:rsidRPr="0058247A" w:rsidRDefault="00AB34C9" w:rsidP="0088759C">
      <w:pPr>
        <w:spacing w:after="120" w:line="259" w:lineRule="auto"/>
        <w:rPr>
          <w:rFonts w:ascii="Arial Narrow" w:hAnsi="Arial Narrow"/>
          <w:sz w:val="18"/>
          <w:szCs w:val="20"/>
        </w:rPr>
      </w:pPr>
      <w:r w:rsidRPr="0058247A">
        <w:rPr>
          <w:rFonts w:ascii="Arial Narrow" w:hAnsi="Arial Narrow"/>
          <w:sz w:val="18"/>
          <w:szCs w:val="18"/>
        </w:rPr>
        <w:t xml:space="preserve">DLd = daratumumab, lenalidomide and dexamethasone; </w:t>
      </w:r>
      <w:r w:rsidR="00663913" w:rsidRPr="0058247A">
        <w:rPr>
          <w:rFonts w:ascii="Arial Narrow" w:hAnsi="Arial Narrow"/>
          <w:sz w:val="18"/>
          <w:szCs w:val="18"/>
        </w:rPr>
        <w:t xml:space="preserve">KM = Kaplan Meier; </w:t>
      </w:r>
      <w:r w:rsidRPr="0058247A">
        <w:rPr>
          <w:rFonts w:ascii="Arial Narrow" w:hAnsi="Arial Narrow"/>
          <w:sz w:val="18"/>
          <w:szCs w:val="18"/>
        </w:rPr>
        <w:t>PFS = progression free survival; OS = overall survival; SoC = standard of care; TTD = time-to-treatment discontinuation</w:t>
      </w:r>
      <w:r w:rsidRPr="0058247A" w:rsidDel="00C50973">
        <w:rPr>
          <w:rFonts w:ascii="Arial Narrow" w:hAnsi="Arial Narrow"/>
          <w:sz w:val="18"/>
          <w:szCs w:val="20"/>
        </w:rPr>
        <w:t xml:space="preserve"> </w:t>
      </w:r>
    </w:p>
    <w:p w14:paraId="1F6AA061" w14:textId="250F6F7F" w:rsidR="001D7ABE" w:rsidRPr="006154DA" w:rsidRDefault="00AA1A77" w:rsidP="0088759C">
      <w:pPr>
        <w:pStyle w:val="3-BodyText"/>
        <w:spacing w:before="120"/>
      </w:pPr>
      <w:bookmarkStart w:id="87" w:name="_Ref127532657"/>
      <w:r w:rsidRPr="006154DA">
        <w:t>Traces for</w:t>
      </w:r>
      <w:r w:rsidR="001D7ABE" w:rsidRPr="006154DA">
        <w:t xml:space="preserve"> the predicted time to event outcomes of OS</w:t>
      </w:r>
      <w:r w:rsidRPr="006154DA">
        <w:t>, PFS and TTD</w:t>
      </w:r>
      <w:r w:rsidR="001D7ABE" w:rsidRPr="006154DA">
        <w:t xml:space="preserve"> for </w:t>
      </w:r>
      <w:r w:rsidRPr="006154DA">
        <w:t xml:space="preserve">the </w:t>
      </w:r>
      <w:r w:rsidR="001D7ABE" w:rsidRPr="006154DA">
        <w:t>DLd and SoC</w:t>
      </w:r>
      <w:r w:rsidRPr="006154DA">
        <w:t xml:space="preserve"> arms are presented in </w:t>
      </w:r>
      <w:r w:rsidR="007720C5" w:rsidRPr="006154DA">
        <w:fldChar w:fldCharType="begin"/>
      </w:r>
      <w:r w:rsidR="007720C5" w:rsidRPr="006154DA">
        <w:instrText xml:space="preserve"> REF _Ref121410220 \h </w:instrText>
      </w:r>
      <w:r w:rsidR="006A6407" w:rsidRPr="006154DA">
        <w:instrText xml:space="preserve"> \* MERGEFORMAT </w:instrText>
      </w:r>
      <w:r w:rsidR="007720C5" w:rsidRPr="006154DA">
        <w:fldChar w:fldCharType="separate"/>
      </w:r>
      <w:r w:rsidR="008D65C7" w:rsidRPr="0058247A">
        <w:t xml:space="preserve">Figure </w:t>
      </w:r>
      <w:r w:rsidR="008D65C7">
        <w:t>9</w:t>
      </w:r>
      <w:r w:rsidR="007720C5" w:rsidRPr="006154DA">
        <w:fldChar w:fldCharType="end"/>
      </w:r>
      <w:r w:rsidR="001D7ABE" w:rsidRPr="006154DA">
        <w:t>. The OS curves include</w:t>
      </w:r>
      <w:r w:rsidRPr="006154DA">
        <w:t>d</w:t>
      </w:r>
      <w:r w:rsidR="001D7ABE" w:rsidRPr="006154DA">
        <w:t xml:space="preserve"> background mortalities from the Australian population. No external data were used in the validation of the predicted outcomes from the model</w:t>
      </w:r>
      <w:r w:rsidRPr="006154DA">
        <w:t xml:space="preserve">. </w:t>
      </w:r>
      <w:r w:rsidR="00D37B11" w:rsidRPr="006154DA">
        <w:t xml:space="preserve">The ESC noted that the application of the exponential function to OS in the DLd arm resulted in 4.4% of patients predicted to be alive at the end of the 20 year time horizon. Noting the age of patients entering the model (74 years), </w:t>
      </w:r>
      <w:r w:rsidR="00CA21A5" w:rsidRPr="006154DA">
        <w:t xml:space="preserve">whereas all patients in the SOC arm had died by approximately </w:t>
      </w:r>
      <w:r w:rsidR="0099520C" w:rsidRPr="006154DA">
        <w:t>15</w:t>
      </w:r>
      <w:r w:rsidR="0099520C">
        <w:t> </w:t>
      </w:r>
      <w:r w:rsidR="00CA21A5" w:rsidRPr="006154DA">
        <w:t>years</w:t>
      </w:r>
      <w:r w:rsidR="00D37B11" w:rsidRPr="006154DA">
        <w:t xml:space="preserve">. </w:t>
      </w:r>
      <w:r w:rsidR="00B310A8" w:rsidRPr="006154DA">
        <w:t>Overall, t</w:t>
      </w:r>
      <w:r w:rsidRPr="006154DA">
        <w:t xml:space="preserve">he </w:t>
      </w:r>
      <w:r w:rsidR="004A15A0" w:rsidRPr="006154DA">
        <w:t xml:space="preserve">ESC </w:t>
      </w:r>
      <w:r w:rsidRPr="006154DA">
        <w:t xml:space="preserve">considered that the application of independent parametric functions to </w:t>
      </w:r>
      <w:r w:rsidR="00A13C92">
        <w:t xml:space="preserve">model </w:t>
      </w:r>
      <w:r w:rsidR="00B102C5">
        <w:t xml:space="preserve">OS </w:t>
      </w:r>
      <w:r w:rsidRPr="006154DA">
        <w:t xml:space="preserve">resulted in the extrapolated curves </w:t>
      </w:r>
      <w:r w:rsidR="004A15A0" w:rsidRPr="006154DA">
        <w:t>diverg</w:t>
      </w:r>
      <w:r w:rsidRPr="006154DA">
        <w:t>ing</w:t>
      </w:r>
      <w:r w:rsidR="004A15A0" w:rsidRPr="006154DA">
        <w:t xml:space="preserve"> at an unreasonably accelerated rate</w:t>
      </w:r>
      <w:r w:rsidR="00A7296F" w:rsidRPr="006154DA">
        <w:t xml:space="preserve"> for the SOC arm in comparison with the DLd arm (</w:t>
      </w:r>
      <w:r w:rsidR="00A7296F" w:rsidRPr="006154DA">
        <w:fldChar w:fldCharType="begin"/>
      </w:r>
      <w:r w:rsidR="00A7296F" w:rsidRPr="006154DA">
        <w:instrText xml:space="preserve"> REF _Ref121410220 \h  \* MERGEFORMAT </w:instrText>
      </w:r>
      <w:r w:rsidR="00A7296F" w:rsidRPr="006154DA">
        <w:fldChar w:fldCharType="separate"/>
      </w:r>
      <w:r w:rsidR="008D65C7" w:rsidRPr="0058247A">
        <w:t xml:space="preserve">Figure </w:t>
      </w:r>
      <w:r w:rsidR="008D65C7">
        <w:t>9</w:t>
      </w:r>
      <w:r w:rsidR="00A7296F" w:rsidRPr="006154DA">
        <w:fldChar w:fldCharType="end"/>
      </w:r>
      <w:r w:rsidR="00A7296F" w:rsidRPr="006154DA">
        <w:t>)</w:t>
      </w:r>
      <w:r w:rsidR="001D7ABE" w:rsidRPr="006154DA">
        <w:t>.</w:t>
      </w:r>
      <w:bookmarkEnd w:id="87"/>
      <w:r w:rsidR="001D7ABE" w:rsidRPr="006154DA">
        <w:t xml:space="preserve"> </w:t>
      </w:r>
    </w:p>
    <w:p w14:paraId="58976D59" w14:textId="365ACB77" w:rsidR="001D7ABE" w:rsidRPr="0058247A" w:rsidRDefault="001D7ABE" w:rsidP="001D7ABE">
      <w:pPr>
        <w:pStyle w:val="Caption"/>
      </w:pPr>
      <w:bookmarkStart w:id="88" w:name="_Ref121410220"/>
      <w:r w:rsidRPr="0058247A">
        <w:lastRenderedPageBreak/>
        <w:t xml:space="preserve">Figure </w:t>
      </w:r>
      <w:fldSimple w:instr=" SEQ Figure \* ARABIC ">
        <w:r w:rsidR="008D65C7">
          <w:rPr>
            <w:noProof/>
          </w:rPr>
          <w:t>9</w:t>
        </w:r>
      </w:fldSimple>
      <w:bookmarkEnd w:id="88"/>
      <w:r w:rsidRPr="0058247A">
        <w:t>: Partitioned survival analysis health state trace</w:t>
      </w:r>
      <w:r w:rsidR="00AA1A77" w:rsidRPr="0058247A">
        <w:t>s</w:t>
      </w:r>
      <w:r w:rsidRPr="0058247A">
        <w:t xml:space="preserve"> for the duration of the economic model </w:t>
      </w:r>
    </w:p>
    <w:p w14:paraId="082ABF96" w14:textId="25ACCE1F" w:rsidR="001D7ABE" w:rsidRPr="0058247A" w:rsidRDefault="0099520C" w:rsidP="0099520C">
      <w:pPr>
        <w:jc w:val="center"/>
        <w:rPr>
          <w:rFonts w:ascii="Arial Narrow" w:hAnsi="Arial Narrow"/>
          <w:sz w:val="18"/>
          <w:szCs w:val="20"/>
        </w:rPr>
      </w:pPr>
      <w:r>
        <w:rPr>
          <w:noProof/>
        </w:rPr>
        <w:drawing>
          <wp:inline distT="0" distB="0" distL="0" distR="0" wp14:anchorId="55C9A043" wp14:editId="0440D109">
            <wp:extent cx="4145915" cy="2646045"/>
            <wp:effectExtent l="0" t="0" r="6985" b="1905"/>
            <wp:docPr id="4" name="Picture 4" descr="Figure 9: Partitioned survival analysis health state traces for the duration of the economic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9: Partitioned survival analysis health state traces for the duration of the economic model "/>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4145915" cy="2646045"/>
                    </a:xfrm>
                    <a:prstGeom prst="rect">
                      <a:avLst/>
                    </a:prstGeom>
                    <a:noFill/>
                  </pic:spPr>
                </pic:pic>
              </a:graphicData>
            </a:graphic>
          </wp:inline>
        </w:drawing>
      </w:r>
    </w:p>
    <w:p w14:paraId="6B048C9F" w14:textId="77777777" w:rsidR="001D7ABE" w:rsidRPr="0058247A" w:rsidRDefault="001D7ABE" w:rsidP="001D7ABE">
      <w:pPr>
        <w:spacing w:line="259" w:lineRule="auto"/>
        <w:rPr>
          <w:rFonts w:ascii="Arial Narrow" w:hAnsi="Arial Narrow"/>
          <w:sz w:val="18"/>
          <w:szCs w:val="20"/>
        </w:rPr>
      </w:pPr>
      <w:r w:rsidRPr="0058247A">
        <w:rPr>
          <w:rFonts w:ascii="Arial Narrow" w:hAnsi="Arial Narrow"/>
          <w:sz w:val="18"/>
          <w:szCs w:val="20"/>
        </w:rPr>
        <w:t>Source:</w:t>
      </w:r>
      <w:r w:rsidRPr="0058247A">
        <w:rPr>
          <w:rFonts w:ascii="Arial Narrow" w:hAnsi="Arial Narrow"/>
          <w:sz w:val="18"/>
          <w:szCs w:val="18"/>
        </w:rPr>
        <w:t xml:space="preserve"> Compiled during the evaluation using the information from the economic model of the submission</w:t>
      </w:r>
      <w:r w:rsidRPr="0058247A">
        <w:rPr>
          <w:rFonts w:ascii="Arial Narrow" w:hAnsi="Arial Narrow"/>
          <w:sz w:val="18"/>
          <w:szCs w:val="20"/>
        </w:rPr>
        <w:t xml:space="preserve">. </w:t>
      </w:r>
    </w:p>
    <w:p w14:paraId="27ED7209" w14:textId="34F491BA" w:rsidR="001F0076" w:rsidRPr="0058247A" w:rsidRDefault="001D7ABE" w:rsidP="00A8529D">
      <w:pPr>
        <w:spacing w:after="120" w:line="259" w:lineRule="auto"/>
        <w:rPr>
          <w:rFonts w:ascii="Arial Narrow" w:hAnsi="Arial Narrow"/>
          <w:sz w:val="18"/>
          <w:szCs w:val="20"/>
        </w:rPr>
      </w:pPr>
      <w:r w:rsidRPr="0058247A">
        <w:rPr>
          <w:rFonts w:ascii="Arial Narrow" w:hAnsi="Arial Narrow"/>
          <w:sz w:val="18"/>
          <w:szCs w:val="18"/>
        </w:rPr>
        <w:t>DLd = daratumumab, lenalidomide and dexamethasone; PFS = progression free survival; OS = overall survival; SoC = standard of care; TTD = time-to-treatment discontinuation</w:t>
      </w:r>
      <w:r w:rsidRPr="0058247A" w:rsidDel="00C50973">
        <w:rPr>
          <w:rFonts w:ascii="Arial Narrow" w:hAnsi="Arial Narrow"/>
          <w:sz w:val="18"/>
          <w:szCs w:val="20"/>
        </w:rPr>
        <w:t xml:space="preserve"> </w:t>
      </w:r>
    </w:p>
    <w:p w14:paraId="3CF9AF3D" w14:textId="697A8851" w:rsidR="00F7582D" w:rsidRPr="006154DA" w:rsidRDefault="00732BAC" w:rsidP="00720D59">
      <w:pPr>
        <w:pStyle w:val="3-BodyText"/>
      </w:pPr>
      <w:r w:rsidRPr="006154DA">
        <w:t>When considering BLd, the PBAC stated a preference for convergence of the PFS and OS curves from Year 10 to 15 (para</w:t>
      </w:r>
      <w:r w:rsidR="00AA1A77" w:rsidRPr="006154DA">
        <w:t>graph</w:t>
      </w:r>
      <w:r w:rsidRPr="006154DA">
        <w:t xml:space="preserve"> 7.9, lenalidomide</w:t>
      </w:r>
      <w:r w:rsidR="00AA1A77" w:rsidRPr="006154DA">
        <w:t xml:space="preserve"> PSD</w:t>
      </w:r>
      <w:r w:rsidRPr="006154DA">
        <w:t xml:space="preserve">, </w:t>
      </w:r>
      <w:r w:rsidR="0099520C" w:rsidRPr="006154DA">
        <w:t>August</w:t>
      </w:r>
      <w:r w:rsidR="0099520C">
        <w:t> </w:t>
      </w:r>
      <w:r w:rsidRPr="006154DA">
        <w:t xml:space="preserve">2019 PBAC meeting). No convergence was applied in the proposed </w:t>
      </w:r>
      <w:r w:rsidR="00AA1A77" w:rsidRPr="006154DA">
        <w:t xml:space="preserve">DLd </w:t>
      </w:r>
      <w:r w:rsidRPr="006154DA">
        <w:t xml:space="preserve">model. The PSCR presented </w:t>
      </w:r>
      <w:r w:rsidR="00AF6CD5" w:rsidRPr="006154DA">
        <w:fldChar w:fldCharType="begin"/>
      </w:r>
      <w:r w:rsidR="00AF6CD5" w:rsidRPr="006154DA">
        <w:instrText xml:space="preserve"> REF _Ref127533355 \h  \* MERGEFORMAT </w:instrText>
      </w:r>
      <w:r w:rsidR="00AF6CD5" w:rsidRPr="006154DA">
        <w:fldChar w:fldCharType="separate"/>
      </w:r>
      <w:r w:rsidR="008D65C7" w:rsidRPr="0058247A">
        <w:t xml:space="preserve">Figure </w:t>
      </w:r>
      <w:r w:rsidR="008D65C7">
        <w:t>10</w:t>
      </w:r>
      <w:r w:rsidR="00AF6CD5" w:rsidRPr="006154DA">
        <w:fldChar w:fldCharType="end"/>
      </w:r>
      <w:r w:rsidR="00AF6CD5" w:rsidRPr="006154DA">
        <w:t xml:space="preserve"> </w:t>
      </w:r>
      <w:r w:rsidRPr="006154DA">
        <w:t>below</w:t>
      </w:r>
      <w:r w:rsidR="00F7582D" w:rsidRPr="006154DA">
        <w:t xml:space="preserve"> which demonstrated that the hazards for mortality were not showing signs of convergence. Therefore, the PSCR stated that there was no evidence to support a forced convergence of the OS curves.</w:t>
      </w:r>
      <w:r w:rsidR="003D267E" w:rsidRPr="006154DA">
        <w:t xml:space="preserve"> </w:t>
      </w:r>
      <w:r w:rsidR="00B073E5" w:rsidRPr="006154DA">
        <w:t>The ESC considered that given that (i) the hazards for mortality beyond the trial period were unknown, and (ii</w:t>
      </w:r>
      <w:r w:rsidR="0099520C" w:rsidRPr="006154DA">
        <w:t>)</w:t>
      </w:r>
      <w:r w:rsidR="0099520C">
        <w:t> </w:t>
      </w:r>
      <w:r w:rsidR="00B073E5" w:rsidRPr="006154DA">
        <w:t>the length of the extrapolated period (up to 20 years) relative to the trial data (</w:t>
      </w:r>
      <w:r w:rsidR="0099520C" w:rsidRPr="006154DA">
        <w:t>66</w:t>
      </w:r>
      <w:r w:rsidR="0099520C">
        <w:t> </w:t>
      </w:r>
      <w:r w:rsidR="00B073E5" w:rsidRPr="006154DA">
        <w:t>months), the application of conservative modelling approaches would be reasonable.</w:t>
      </w:r>
      <w:r w:rsidR="0078569D">
        <w:t xml:space="preserve"> The pre-PBAC response maintained that a forced convergence of the OS curves would not be appropriate.</w:t>
      </w:r>
    </w:p>
    <w:p w14:paraId="10A3CDDA" w14:textId="6DFF9AF8" w:rsidR="00B073E5" w:rsidRPr="0058247A" w:rsidRDefault="00AF6CD5" w:rsidP="0063284E">
      <w:pPr>
        <w:pStyle w:val="TableFigureHeading"/>
      </w:pPr>
      <w:bookmarkStart w:id="89" w:name="_Ref127533355"/>
      <w:r w:rsidRPr="0058247A">
        <w:lastRenderedPageBreak/>
        <w:t xml:space="preserve">Figure </w:t>
      </w:r>
      <w:fldSimple w:instr=" SEQ Figure \* ARABIC ">
        <w:r w:rsidR="008D65C7">
          <w:rPr>
            <w:noProof/>
          </w:rPr>
          <w:t>10</w:t>
        </w:r>
      </w:fldSimple>
      <w:bookmarkEnd w:id="89"/>
      <w:r w:rsidRPr="0058247A">
        <w:t xml:space="preserve">: </w:t>
      </w:r>
      <w:r w:rsidR="00B073E5" w:rsidRPr="0058247A">
        <w:t xml:space="preserve">Comparison of </w:t>
      </w:r>
      <w:r w:rsidR="0063284E" w:rsidRPr="0058247A">
        <w:t>OS hazards for DLd and Ld from the MAIA tri</w:t>
      </w:r>
      <w:r w:rsidR="00A7296F" w:rsidRPr="0058247A">
        <w:t>a</w:t>
      </w:r>
      <w:r w:rsidR="0063284E" w:rsidRPr="0058247A">
        <w:t>l</w:t>
      </w:r>
    </w:p>
    <w:p w14:paraId="165753E9" w14:textId="6AE2B2A0" w:rsidR="00F7582D" w:rsidRPr="0058247A" w:rsidRDefault="00F7582D" w:rsidP="00A8529D">
      <w:pPr>
        <w:pStyle w:val="3-BodyText"/>
        <w:numPr>
          <w:ilvl w:val="0"/>
          <w:numId w:val="0"/>
        </w:numPr>
        <w:spacing w:after="0"/>
      </w:pPr>
      <w:r w:rsidRPr="0058247A">
        <w:rPr>
          <w:noProof/>
        </w:rPr>
        <w:drawing>
          <wp:inline distT="0" distB="0" distL="0" distR="0" wp14:anchorId="7E48EFAB" wp14:editId="259FCF2A">
            <wp:extent cx="3784821" cy="2621092"/>
            <wp:effectExtent l="0" t="0" r="6350" b="8255"/>
            <wp:docPr id="3" name="Picture 3" descr="Figure 10: Comparison of OS hazards for DLd and Ld from the MAIA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0: Comparison of OS hazards for DLd and Ld from the MAIA trial"/>
                    <pic:cNvPicPr>
                      <a:picLocks noChangeAspect="1" noChangeArrowheads="1"/>
                    </pic:cNvPicPr>
                  </pic:nvPicPr>
                  <pic:blipFill rotWithShape="1">
                    <a:blip r:embed="rId17" cstate="print">
                      <a:extLst>
                        <a:ext uri="{28A0092B-C50C-407E-A947-70E740481C1C}">
                          <a14:useLocalDpi xmlns:a14="http://schemas.microsoft.com/office/drawing/2010/main"/>
                        </a:ext>
                      </a:extLst>
                    </a:blip>
                    <a:srcRect t="1937" b="2841"/>
                    <a:stretch/>
                  </pic:blipFill>
                  <pic:spPr bwMode="auto">
                    <a:xfrm>
                      <a:off x="0" y="0"/>
                      <a:ext cx="3820457" cy="2645771"/>
                    </a:xfrm>
                    <a:prstGeom prst="rect">
                      <a:avLst/>
                    </a:prstGeom>
                    <a:noFill/>
                    <a:ln>
                      <a:noFill/>
                    </a:ln>
                    <a:extLst>
                      <a:ext uri="{53640926-AAD7-44D8-BBD7-CCE9431645EC}">
                        <a14:shadowObscured xmlns:a14="http://schemas.microsoft.com/office/drawing/2010/main"/>
                      </a:ext>
                    </a:extLst>
                  </pic:spPr>
                </pic:pic>
              </a:graphicData>
            </a:graphic>
          </wp:inline>
        </w:drawing>
      </w:r>
      <w:r w:rsidR="00732BAC" w:rsidRPr="0058247A">
        <w:t xml:space="preserve"> </w:t>
      </w:r>
    </w:p>
    <w:p w14:paraId="15EBA348" w14:textId="50F474D3" w:rsidR="0063284E" w:rsidRPr="0058247A" w:rsidRDefault="0063284E" w:rsidP="0063284E">
      <w:pPr>
        <w:pStyle w:val="FooterTableFigure"/>
      </w:pPr>
      <w:r w:rsidRPr="0058247A">
        <w:t>Source: Figure 4, p6 of the PSCR</w:t>
      </w:r>
    </w:p>
    <w:p w14:paraId="13CDB1BC" w14:textId="58857D9A" w:rsidR="0063284E" w:rsidRPr="0058247A" w:rsidRDefault="0063284E" w:rsidP="0063284E">
      <w:pPr>
        <w:pStyle w:val="FooterTableFigure"/>
        <w:rPr>
          <w:rFonts w:asciiTheme="minorHAnsi" w:hAnsiTheme="minorHAnsi"/>
          <w:sz w:val="24"/>
          <w:szCs w:val="24"/>
        </w:rPr>
      </w:pPr>
      <w:r w:rsidRPr="0058247A">
        <w:rPr>
          <w:szCs w:val="18"/>
        </w:rPr>
        <w:t>DLd = daratumumab, lenalidomide and dexamethasone; Ld = lenalidomide and dexamethasone; OS = overall survival</w:t>
      </w:r>
    </w:p>
    <w:p w14:paraId="3100FF38" w14:textId="047899F4" w:rsidR="00732BAC" w:rsidRPr="006154DA" w:rsidRDefault="00732BAC" w:rsidP="00720D59">
      <w:pPr>
        <w:pStyle w:val="3-BodyText"/>
      </w:pPr>
      <w:r w:rsidRPr="006154DA">
        <w:t xml:space="preserve">Overall, the </w:t>
      </w:r>
      <w:r w:rsidR="00B073E5" w:rsidRPr="006154DA">
        <w:t xml:space="preserve">ESC considered that the </w:t>
      </w:r>
      <w:r w:rsidRPr="006154DA">
        <w:t>predicted outcomes for OS in the model were not adequately justified</w:t>
      </w:r>
      <w:r w:rsidR="00B073E5" w:rsidRPr="006154DA">
        <w:t xml:space="preserve">. The ESC noted the </w:t>
      </w:r>
      <w:r w:rsidRPr="006154DA">
        <w:t>sensitivity of the ICER to the optimistic assumptions used in the submission</w:t>
      </w:r>
      <w:r w:rsidR="00B073E5" w:rsidRPr="006154DA">
        <w:t xml:space="preserve"> and considered that a more conservative approach </w:t>
      </w:r>
      <w:r w:rsidR="0063284E" w:rsidRPr="006154DA">
        <w:t xml:space="preserve">to modelling OS </w:t>
      </w:r>
      <w:r w:rsidR="00B073E5" w:rsidRPr="006154DA">
        <w:t>would be reasonable</w:t>
      </w:r>
      <w:r w:rsidRPr="006154DA">
        <w:t>.</w:t>
      </w:r>
    </w:p>
    <w:p w14:paraId="0150C7C6" w14:textId="1D31282B" w:rsidR="000F0DCD" w:rsidRPr="006154DA" w:rsidRDefault="001D7ABE" w:rsidP="00720D59">
      <w:pPr>
        <w:pStyle w:val="3-BodyText"/>
      </w:pPr>
      <w:r w:rsidRPr="006154DA">
        <w:t xml:space="preserve">The submission assumed that </w:t>
      </w:r>
      <w:r w:rsidR="002A3A5C" w:rsidRPr="006154DA">
        <w:t xml:space="preserve">the </w:t>
      </w:r>
      <w:r w:rsidRPr="006154DA">
        <w:t xml:space="preserve">post-progression treatments </w:t>
      </w:r>
      <w:r w:rsidR="00DC666B" w:rsidRPr="006154DA">
        <w:t xml:space="preserve">following </w:t>
      </w:r>
      <w:r w:rsidRPr="006154DA">
        <w:t xml:space="preserve">DLd </w:t>
      </w:r>
      <w:r w:rsidR="00DC666B" w:rsidRPr="006154DA">
        <w:t xml:space="preserve">and </w:t>
      </w:r>
      <w:r w:rsidRPr="006154DA">
        <w:t xml:space="preserve">SoC </w:t>
      </w:r>
      <w:r w:rsidR="00DC666B" w:rsidRPr="006154DA">
        <w:t xml:space="preserve">would be </w:t>
      </w:r>
      <w:r w:rsidRPr="006154DA">
        <w:t xml:space="preserve">Bd and DBd, respectively. This </w:t>
      </w:r>
      <w:r w:rsidR="00DC666B" w:rsidRPr="006154DA">
        <w:t>wa</w:t>
      </w:r>
      <w:r w:rsidRPr="006154DA">
        <w:t xml:space="preserve">s not consistent with </w:t>
      </w:r>
      <w:r w:rsidR="0063284E" w:rsidRPr="006154DA">
        <w:t xml:space="preserve">the variety of </w:t>
      </w:r>
      <w:r w:rsidRPr="006154DA">
        <w:t xml:space="preserve">post-progression treatments used in MAIA </w:t>
      </w:r>
      <w:r w:rsidR="0063284E" w:rsidRPr="006154DA">
        <w:t xml:space="preserve">(see </w:t>
      </w:r>
      <w:r w:rsidR="000F0DCD" w:rsidRPr="006154DA">
        <w:fldChar w:fldCharType="begin"/>
      </w:r>
      <w:r w:rsidR="000F0DCD" w:rsidRPr="006154DA">
        <w:instrText xml:space="preserve"> REF _Ref126828924 \h </w:instrText>
      </w:r>
      <w:r w:rsidR="006154DA" w:rsidRPr="006154DA">
        <w:instrText xml:space="preserve"> \* MERGEFORMAT </w:instrText>
      </w:r>
      <w:r w:rsidR="000F0DCD" w:rsidRPr="006154DA">
        <w:fldChar w:fldCharType="separate"/>
      </w:r>
      <w:r w:rsidR="008D65C7" w:rsidRPr="0058247A">
        <w:t xml:space="preserve">Table </w:t>
      </w:r>
      <w:r w:rsidR="008D65C7">
        <w:t>14</w:t>
      </w:r>
      <w:r w:rsidR="000F0DCD" w:rsidRPr="006154DA">
        <w:fldChar w:fldCharType="end"/>
      </w:r>
      <w:r w:rsidR="0063284E" w:rsidRPr="006154DA">
        <w:t>)</w:t>
      </w:r>
      <w:r w:rsidR="006154DA">
        <w:t>.</w:t>
      </w:r>
    </w:p>
    <w:p w14:paraId="41695CA2" w14:textId="383C9528" w:rsidR="000F0DCD" w:rsidRPr="0058247A" w:rsidRDefault="000F0DCD" w:rsidP="000F0DCD">
      <w:pPr>
        <w:pStyle w:val="TableFigureHeading"/>
      </w:pPr>
      <w:bookmarkStart w:id="90" w:name="_Ref126828924"/>
      <w:r w:rsidRPr="0058247A">
        <w:t xml:space="preserve">Table </w:t>
      </w:r>
      <w:fldSimple w:instr=" SEQ Table \* ARABIC ">
        <w:r w:rsidR="008D65C7">
          <w:rPr>
            <w:noProof/>
          </w:rPr>
          <w:t>14</w:t>
        </w:r>
      </w:fldSimple>
      <w:bookmarkEnd w:id="90"/>
      <w:r w:rsidRPr="0058247A">
        <w:t>: Use of subsequent therapies in each arm of the MAIA trial*</w:t>
      </w:r>
    </w:p>
    <w:tbl>
      <w:tblPr>
        <w:tblStyle w:val="TableGrid"/>
        <w:tblW w:w="0" w:type="auto"/>
        <w:tblLook w:val="04A0" w:firstRow="1" w:lastRow="0" w:firstColumn="1" w:lastColumn="0" w:noHBand="0" w:noVBand="1"/>
      </w:tblPr>
      <w:tblGrid>
        <w:gridCol w:w="3115"/>
        <w:gridCol w:w="3000"/>
        <w:gridCol w:w="2902"/>
      </w:tblGrid>
      <w:tr w:rsidR="000F0DCD" w:rsidRPr="0058247A" w14:paraId="4695C776" w14:textId="77777777" w:rsidTr="00686EC6">
        <w:tc>
          <w:tcPr>
            <w:tcW w:w="3115" w:type="dxa"/>
            <w:tcBorders>
              <w:top w:val="single" w:sz="4" w:space="0" w:color="auto"/>
              <w:left w:val="single" w:sz="4" w:space="0" w:color="auto"/>
              <w:bottom w:val="single" w:sz="4" w:space="0" w:color="auto"/>
              <w:right w:val="single" w:sz="4" w:space="0" w:color="auto"/>
            </w:tcBorders>
            <w:hideMark/>
          </w:tcPr>
          <w:p w14:paraId="0213978F" w14:textId="77777777" w:rsidR="000F0DCD" w:rsidRPr="0058247A" w:rsidRDefault="000F0DCD" w:rsidP="0021164A">
            <w:pPr>
              <w:rPr>
                <w:rFonts w:ascii="Arial Narrow" w:hAnsi="Arial Narrow"/>
                <w:b/>
                <w:bCs/>
                <w:sz w:val="20"/>
                <w:szCs w:val="20"/>
              </w:rPr>
            </w:pPr>
            <w:r w:rsidRPr="0058247A">
              <w:rPr>
                <w:rFonts w:ascii="Arial Narrow" w:hAnsi="Arial Narrow"/>
                <w:b/>
                <w:bCs/>
                <w:sz w:val="20"/>
                <w:szCs w:val="20"/>
              </w:rPr>
              <w:t>Drug</w:t>
            </w:r>
          </w:p>
        </w:tc>
        <w:tc>
          <w:tcPr>
            <w:tcW w:w="3000" w:type="dxa"/>
            <w:tcBorders>
              <w:top w:val="single" w:sz="4" w:space="0" w:color="auto"/>
              <w:left w:val="single" w:sz="4" w:space="0" w:color="auto"/>
              <w:bottom w:val="single" w:sz="4" w:space="0" w:color="auto"/>
              <w:right w:val="single" w:sz="4" w:space="0" w:color="auto"/>
            </w:tcBorders>
            <w:hideMark/>
          </w:tcPr>
          <w:p w14:paraId="44AA0138" w14:textId="77777777" w:rsidR="000F0DCD" w:rsidRPr="0058247A" w:rsidRDefault="000F0DCD" w:rsidP="0021164A">
            <w:pPr>
              <w:jc w:val="center"/>
              <w:rPr>
                <w:rFonts w:ascii="Arial Narrow" w:hAnsi="Arial Narrow"/>
                <w:b/>
                <w:bCs/>
                <w:sz w:val="20"/>
                <w:szCs w:val="20"/>
              </w:rPr>
            </w:pPr>
            <w:r w:rsidRPr="0058247A">
              <w:rPr>
                <w:rFonts w:ascii="Arial Narrow" w:hAnsi="Arial Narrow"/>
                <w:b/>
                <w:bCs/>
                <w:sz w:val="20"/>
                <w:szCs w:val="20"/>
              </w:rPr>
              <w:t>DLd (N=128)</w:t>
            </w:r>
          </w:p>
        </w:tc>
        <w:tc>
          <w:tcPr>
            <w:tcW w:w="2902" w:type="dxa"/>
            <w:tcBorders>
              <w:top w:val="single" w:sz="4" w:space="0" w:color="auto"/>
              <w:left w:val="single" w:sz="4" w:space="0" w:color="auto"/>
              <w:bottom w:val="single" w:sz="4" w:space="0" w:color="auto"/>
              <w:right w:val="single" w:sz="4" w:space="0" w:color="auto"/>
            </w:tcBorders>
            <w:hideMark/>
          </w:tcPr>
          <w:p w14:paraId="48FDAAFF" w14:textId="77777777" w:rsidR="000F0DCD" w:rsidRPr="0058247A" w:rsidRDefault="000F0DCD" w:rsidP="0021164A">
            <w:pPr>
              <w:jc w:val="center"/>
              <w:rPr>
                <w:rFonts w:ascii="Arial Narrow" w:hAnsi="Arial Narrow"/>
                <w:b/>
                <w:bCs/>
                <w:sz w:val="20"/>
                <w:szCs w:val="20"/>
              </w:rPr>
            </w:pPr>
            <w:r w:rsidRPr="0058247A">
              <w:rPr>
                <w:rFonts w:ascii="Arial Narrow" w:hAnsi="Arial Narrow"/>
                <w:b/>
                <w:bCs/>
                <w:sz w:val="20"/>
                <w:szCs w:val="20"/>
              </w:rPr>
              <w:t>Ld (N=194)</w:t>
            </w:r>
          </w:p>
        </w:tc>
      </w:tr>
      <w:tr w:rsidR="000F0DCD" w:rsidRPr="0058247A" w14:paraId="363E4EE0" w14:textId="77777777" w:rsidTr="00686EC6">
        <w:tc>
          <w:tcPr>
            <w:tcW w:w="3115" w:type="dxa"/>
            <w:tcBorders>
              <w:top w:val="single" w:sz="4" w:space="0" w:color="auto"/>
              <w:left w:val="single" w:sz="4" w:space="0" w:color="auto"/>
              <w:bottom w:val="single" w:sz="4" w:space="0" w:color="auto"/>
              <w:right w:val="single" w:sz="4" w:space="0" w:color="auto"/>
            </w:tcBorders>
            <w:hideMark/>
          </w:tcPr>
          <w:p w14:paraId="7B11D700" w14:textId="77777777" w:rsidR="000F0DCD" w:rsidRPr="0058247A" w:rsidRDefault="000F0DCD" w:rsidP="0021164A">
            <w:pPr>
              <w:rPr>
                <w:rFonts w:ascii="Arial Narrow" w:hAnsi="Arial Narrow"/>
                <w:sz w:val="20"/>
                <w:szCs w:val="20"/>
              </w:rPr>
            </w:pPr>
            <w:r w:rsidRPr="0058247A">
              <w:rPr>
                <w:rFonts w:ascii="Arial Narrow" w:hAnsi="Arial Narrow"/>
                <w:sz w:val="20"/>
                <w:szCs w:val="20"/>
              </w:rPr>
              <w:t>Bortezomib</w:t>
            </w:r>
          </w:p>
        </w:tc>
        <w:tc>
          <w:tcPr>
            <w:tcW w:w="3000" w:type="dxa"/>
            <w:tcBorders>
              <w:top w:val="single" w:sz="4" w:space="0" w:color="auto"/>
              <w:left w:val="single" w:sz="4" w:space="0" w:color="auto"/>
              <w:bottom w:val="single" w:sz="4" w:space="0" w:color="auto"/>
              <w:right w:val="single" w:sz="4" w:space="0" w:color="auto"/>
            </w:tcBorders>
            <w:hideMark/>
          </w:tcPr>
          <w:p w14:paraId="767212BC"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71.1%</w:t>
            </w:r>
          </w:p>
        </w:tc>
        <w:tc>
          <w:tcPr>
            <w:tcW w:w="2902" w:type="dxa"/>
            <w:tcBorders>
              <w:top w:val="single" w:sz="4" w:space="0" w:color="auto"/>
              <w:left w:val="single" w:sz="4" w:space="0" w:color="auto"/>
              <w:bottom w:val="single" w:sz="4" w:space="0" w:color="auto"/>
              <w:right w:val="single" w:sz="4" w:space="0" w:color="auto"/>
            </w:tcBorders>
            <w:hideMark/>
          </w:tcPr>
          <w:p w14:paraId="11459A54"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76.3%</w:t>
            </w:r>
          </w:p>
        </w:tc>
      </w:tr>
      <w:tr w:rsidR="000F0DCD" w:rsidRPr="0058247A" w14:paraId="485A7C0D" w14:textId="77777777" w:rsidTr="00686EC6">
        <w:tc>
          <w:tcPr>
            <w:tcW w:w="3115" w:type="dxa"/>
            <w:tcBorders>
              <w:top w:val="single" w:sz="4" w:space="0" w:color="auto"/>
              <w:left w:val="single" w:sz="4" w:space="0" w:color="auto"/>
              <w:bottom w:val="single" w:sz="4" w:space="0" w:color="auto"/>
              <w:right w:val="single" w:sz="4" w:space="0" w:color="auto"/>
            </w:tcBorders>
            <w:hideMark/>
          </w:tcPr>
          <w:p w14:paraId="0F64B05C" w14:textId="77777777" w:rsidR="000F0DCD" w:rsidRPr="0058247A" w:rsidRDefault="000F0DCD" w:rsidP="0021164A">
            <w:pPr>
              <w:rPr>
                <w:rFonts w:ascii="Arial Narrow" w:hAnsi="Arial Narrow"/>
                <w:sz w:val="20"/>
                <w:szCs w:val="20"/>
              </w:rPr>
            </w:pPr>
            <w:r w:rsidRPr="0058247A">
              <w:rPr>
                <w:rFonts w:ascii="Arial Narrow" w:hAnsi="Arial Narrow"/>
                <w:sz w:val="20"/>
                <w:szCs w:val="20"/>
              </w:rPr>
              <w:t>Daratumumab</w:t>
            </w:r>
          </w:p>
        </w:tc>
        <w:tc>
          <w:tcPr>
            <w:tcW w:w="3000" w:type="dxa"/>
            <w:tcBorders>
              <w:top w:val="single" w:sz="4" w:space="0" w:color="auto"/>
              <w:left w:val="single" w:sz="4" w:space="0" w:color="auto"/>
              <w:bottom w:val="single" w:sz="4" w:space="0" w:color="auto"/>
              <w:right w:val="single" w:sz="4" w:space="0" w:color="auto"/>
            </w:tcBorders>
            <w:hideMark/>
          </w:tcPr>
          <w:p w14:paraId="24CE69C1"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14.1%</w:t>
            </w:r>
          </w:p>
        </w:tc>
        <w:tc>
          <w:tcPr>
            <w:tcW w:w="2902" w:type="dxa"/>
            <w:tcBorders>
              <w:top w:val="single" w:sz="4" w:space="0" w:color="auto"/>
              <w:left w:val="single" w:sz="4" w:space="0" w:color="auto"/>
              <w:bottom w:val="single" w:sz="4" w:space="0" w:color="auto"/>
              <w:right w:val="single" w:sz="4" w:space="0" w:color="auto"/>
            </w:tcBorders>
            <w:hideMark/>
          </w:tcPr>
          <w:p w14:paraId="1DBBCAA9"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48.5%</w:t>
            </w:r>
          </w:p>
        </w:tc>
      </w:tr>
      <w:tr w:rsidR="000F0DCD" w:rsidRPr="0058247A" w14:paraId="268D0439" w14:textId="77777777" w:rsidTr="00686EC6">
        <w:tc>
          <w:tcPr>
            <w:tcW w:w="3115" w:type="dxa"/>
            <w:tcBorders>
              <w:top w:val="single" w:sz="4" w:space="0" w:color="auto"/>
              <w:left w:val="single" w:sz="4" w:space="0" w:color="auto"/>
              <w:bottom w:val="single" w:sz="4" w:space="0" w:color="auto"/>
              <w:right w:val="single" w:sz="4" w:space="0" w:color="auto"/>
            </w:tcBorders>
            <w:hideMark/>
          </w:tcPr>
          <w:p w14:paraId="5255E393" w14:textId="77777777" w:rsidR="000F0DCD" w:rsidRPr="0058247A" w:rsidRDefault="000F0DCD" w:rsidP="0021164A">
            <w:pPr>
              <w:rPr>
                <w:rFonts w:ascii="Arial Narrow" w:hAnsi="Arial Narrow"/>
                <w:sz w:val="20"/>
                <w:szCs w:val="20"/>
              </w:rPr>
            </w:pPr>
            <w:r w:rsidRPr="0058247A">
              <w:rPr>
                <w:rFonts w:ascii="Arial Narrow" w:hAnsi="Arial Narrow"/>
                <w:sz w:val="20"/>
                <w:szCs w:val="20"/>
              </w:rPr>
              <w:t>Carfilzomib</w:t>
            </w:r>
          </w:p>
        </w:tc>
        <w:tc>
          <w:tcPr>
            <w:tcW w:w="3000" w:type="dxa"/>
            <w:tcBorders>
              <w:top w:val="single" w:sz="4" w:space="0" w:color="auto"/>
              <w:left w:val="single" w:sz="4" w:space="0" w:color="auto"/>
              <w:bottom w:val="single" w:sz="4" w:space="0" w:color="auto"/>
              <w:right w:val="single" w:sz="4" w:space="0" w:color="auto"/>
            </w:tcBorders>
            <w:hideMark/>
          </w:tcPr>
          <w:p w14:paraId="44086AF9"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17.2%</w:t>
            </w:r>
          </w:p>
        </w:tc>
        <w:tc>
          <w:tcPr>
            <w:tcW w:w="2902" w:type="dxa"/>
            <w:tcBorders>
              <w:top w:val="single" w:sz="4" w:space="0" w:color="auto"/>
              <w:left w:val="single" w:sz="4" w:space="0" w:color="auto"/>
              <w:bottom w:val="single" w:sz="4" w:space="0" w:color="auto"/>
              <w:right w:val="single" w:sz="4" w:space="0" w:color="auto"/>
            </w:tcBorders>
            <w:hideMark/>
          </w:tcPr>
          <w:p w14:paraId="11FCB3DE"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21.1%</w:t>
            </w:r>
          </w:p>
        </w:tc>
      </w:tr>
      <w:tr w:rsidR="000F0DCD" w:rsidRPr="0058247A" w14:paraId="0ACFACEB" w14:textId="77777777" w:rsidTr="00686EC6">
        <w:tc>
          <w:tcPr>
            <w:tcW w:w="3115" w:type="dxa"/>
            <w:tcBorders>
              <w:top w:val="single" w:sz="4" w:space="0" w:color="auto"/>
              <w:left w:val="single" w:sz="4" w:space="0" w:color="auto"/>
              <w:bottom w:val="single" w:sz="4" w:space="0" w:color="auto"/>
              <w:right w:val="single" w:sz="4" w:space="0" w:color="auto"/>
            </w:tcBorders>
            <w:hideMark/>
          </w:tcPr>
          <w:p w14:paraId="0AE7B782" w14:textId="77777777" w:rsidR="000F0DCD" w:rsidRPr="0058247A" w:rsidRDefault="000F0DCD" w:rsidP="0021164A">
            <w:pPr>
              <w:rPr>
                <w:rFonts w:ascii="Arial Narrow" w:hAnsi="Arial Narrow"/>
                <w:sz w:val="20"/>
                <w:szCs w:val="20"/>
              </w:rPr>
            </w:pPr>
            <w:r w:rsidRPr="0058247A">
              <w:rPr>
                <w:rFonts w:ascii="Arial Narrow" w:hAnsi="Arial Narrow"/>
                <w:sz w:val="20"/>
                <w:szCs w:val="20"/>
              </w:rPr>
              <w:t>Pomalidomide</w:t>
            </w:r>
          </w:p>
        </w:tc>
        <w:tc>
          <w:tcPr>
            <w:tcW w:w="3000" w:type="dxa"/>
            <w:tcBorders>
              <w:top w:val="single" w:sz="4" w:space="0" w:color="auto"/>
              <w:left w:val="single" w:sz="4" w:space="0" w:color="auto"/>
              <w:bottom w:val="single" w:sz="4" w:space="0" w:color="auto"/>
              <w:right w:val="single" w:sz="4" w:space="0" w:color="auto"/>
            </w:tcBorders>
            <w:hideMark/>
          </w:tcPr>
          <w:p w14:paraId="76779D90"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46.1%</w:t>
            </w:r>
          </w:p>
        </w:tc>
        <w:tc>
          <w:tcPr>
            <w:tcW w:w="2902" w:type="dxa"/>
            <w:tcBorders>
              <w:top w:val="single" w:sz="4" w:space="0" w:color="auto"/>
              <w:left w:val="single" w:sz="4" w:space="0" w:color="auto"/>
              <w:bottom w:val="single" w:sz="4" w:space="0" w:color="auto"/>
              <w:right w:val="single" w:sz="4" w:space="0" w:color="auto"/>
            </w:tcBorders>
            <w:hideMark/>
          </w:tcPr>
          <w:p w14:paraId="65E48503"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35.6%</w:t>
            </w:r>
          </w:p>
        </w:tc>
      </w:tr>
      <w:tr w:rsidR="000F0DCD" w:rsidRPr="0058247A" w14:paraId="2EC741CE" w14:textId="77777777" w:rsidTr="00686EC6">
        <w:tc>
          <w:tcPr>
            <w:tcW w:w="3115" w:type="dxa"/>
            <w:tcBorders>
              <w:top w:val="single" w:sz="4" w:space="0" w:color="auto"/>
              <w:left w:val="single" w:sz="4" w:space="0" w:color="auto"/>
              <w:bottom w:val="single" w:sz="4" w:space="0" w:color="auto"/>
              <w:right w:val="single" w:sz="4" w:space="0" w:color="auto"/>
            </w:tcBorders>
            <w:hideMark/>
          </w:tcPr>
          <w:p w14:paraId="5C296B44" w14:textId="77777777" w:rsidR="000F0DCD" w:rsidRPr="0058247A" w:rsidRDefault="000F0DCD" w:rsidP="0021164A">
            <w:pPr>
              <w:rPr>
                <w:rFonts w:ascii="Arial Narrow" w:hAnsi="Arial Narrow"/>
                <w:sz w:val="20"/>
                <w:szCs w:val="20"/>
              </w:rPr>
            </w:pPr>
            <w:r w:rsidRPr="0058247A">
              <w:rPr>
                <w:rFonts w:ascii="Arial Narrow" w:hAnsi="Arial Narrow"/>
                <w:sz w:val="20"/>
                <w:szCs w:val="20"/>
              </w:rPr>
              <w:t>Lenalidomide</w:t>
            </w:r>
          </w:p>
        </w:tc>
        <w:tc>
          <w:tcPr>
            <w:tcW w:w="3000" w:type="dxa"/>
            <w:tcBorders>
              <w:top w:val="single" w:sz="4" w:space="0" w:color="auto"/>
              <w:left w:val="single" w:sz="4" w:space="0" w:color="auto"/>
              <w:bottom w:val="single" w:sz="4" w:space="0" w:color="auto"/>
              <w:right w:val="single" w:sz="4" w:space="0" w:color="auto"/>
            </w:tcBorders>
            <w:hideMark/>
          </w:tcPr>
          <w:p w14:paraId="3C04FCE0"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25.8%</w:t>
            </w:r>
          </w:p>
        </w:tc>
        <w:tc>
          <w:tcPr>
            <w:tcW w:w="2902" w:type="dxa"/>
            <w:tcBorders>
              <w:top w:val="single" w:sz="4" w:space="0" w:color="auto"/>
              <w:left w:val="single" w:sz="4" w:space="0" w:color="auto"/>
              <w:bottom w:val="single" w:sz="4" w:space="0" w:color="auto"/>
              <w:right w:val="single" w:sz="4" w:space="0" w:color="auto"/>
            </w:tcBorders>
            <w:hideMark/>
          </w:tcPr>
          <w:p w14:paraId="2665E9CE" w14:textId="77777777" w:rsidR="000F0DCD" w:rsidRPr="0058247A" w:rsidRDefault="000F0DCD" w:rsidP="0021164A">
            <w:pPr>
              <w:jc w:val="center"/>
              <w:rPr>
                <w:rFonts w:ascii="Arial Narrow" w:hAnsi="Arial Narrow"/>
                <w:sz w:val="20"/>
                <w:szCs w:val="20"/>
              </w:rPr>
            </w:pPr>
            <w:r w:rsidRPr="0058247A">
              <w:rPr>
                <w:rFonts w:ascii="Arial Narrow" w:hAnsi="Arial Narrow"/>
                <w:sz w:val="20"/>
                <w:szCs w:val="20"/>
              </w:rPr>
              <w:t>21.1%</w:t>
            </w:r>
          </w:p>
        </w:tc>
      </w:tr>
    </w:tbl>
    <w:p w14:paraId="2D3437A1" w14:textId="426EF18A" w:rsidR="000F0DCD" w:rsidRPr="0058247A" w:rsidRDefault="000F0DCD" w:rsidP="000F0DCD">
      <w:pPr>
        <w:pStyle w:val="FooterTableFigure"/>
      </w:pPr>
      <w:r w:rsidRPr="0058247A">
        <w:t>Source: Table TSISAT01 of the MAIA CSR</w:t>
      </w:r>
    </w:p>
    <w:p w14:paraId="4746F361" w14:textId="77777777" w:rsidR="000F0DCD" w:rsidRPr="0058247A" w:rsidRDefault="000F0DCD" w:rsidP="000F0DCD">
      <w:pPr>
        <w:pStyle w:val="FooterTableFigure"/>
      </w:pPr>
      <w:r w:rsidRPr="0058247A">
        <w:t>DLd = daratumumab, lenalidomide and dexamethasone; Ld = lenalidomide and dexamethasone</w:t>
      </w:r>
    </w:p>
    <w:p w14:paraId="07F3AC8E" w14:textId="77777777" w:rsidR="000F0DCD" w:rsidRPr="0058247A" w:rsidRDefault="000F0DCD" w:rsidP="000F0DCD">
      <w:pPr>
        <w:pStyle w:val="FooterTableFigure"/>
      </w:pPr>
      <w:r w:rsidRPr="0058247A">
        <w:t>* The percentages sum to &gt; 100% as the majority of therapies are used in combination regimens</w:t>
      </w:r>
    </w:p>
    <w:p w14:paraId="408579EF" w14:textId="158652DD" w:rsidR="001D7ABE" w:rsidRPr="006154DA" w:rsidRDefault="000F0DCD" w:rsidP="00720D59">
      <w:pPr>
        <w:pStyle w:val="3-BodyText"/>
      </w:pPr>
      <w:r w:rsidRPr="006154DA">
        <w:t>The ESC noted that i</w:t>
      </w:r>
      <w:r w:rsidR="001D7ABE" w:rsidRPr="006154DA">
        <w:t>ssue</w:t>
      </w:r>
      <w:r w:rsidR="001F0076" w:rsidRPr="006154DA">
        <w:t>s</w:t>
      </w:r>
      <w:r w:rsidR="001D7ABE" w:rsidRPr="006154DA">
        <w:t xml:space="preserve"> regarding </w:t>
      </w:r>
      <w:r w:rsidR="001F0076" w:rsidRPr="006154DA">
        <w:t xml:space="preserve">the estimation of </w:t>
      </w:r>
      <w:r w:rsidR="001D7ABE" w:rsidRPr="006154DA">
        <w:t>post-progression costs</w:t>
      </w:r>
      <w:r w:rsidR="00DC666B" w:rsidRPr="006154DA">
        <w:t xml:space="preserve"> applied in the submission</w:t>
      </w:r>
      <w:r w:rsidR="001D7ABE" w:rsidRPr="006154DA">
        <w:t xml:space="preserve"> include</w:t>
      </w:r>
      <w:r w:rsidR="00DC666B" w:rsidRPr="006154DA">
        <w:t>d</w:t>
      </w:r>
      <w:r w:rsidR="001F0076" w:rsidRPr="006154DA">
        <w:t>:</w:t>
      </w:r>
    </w:p>
    <w:p w14:paraId="5BA3A4AF" w14:textId="5B40F2B9" w:rsidR="001D7ABE" w:rsidRPr="006154DA" w:rsidRDefault="001D7ABE" w:rsidP="001D7ABE">
      <w:pPr>
        <w:pStyle w:val="3-BodyText"/>
        <w:numPr>
          <w:ilvl w:val="0"/>
          <w:numId w:val="3"/>
        </w:numPr>
      </w:pPr>
      <w:r w:rsidRPr="006154DA">
        <w:t xml:space="preserve">Given that other drugs were used post-progression </w:t>
      </w:r>
      <w:r w:rsidR="00406E4F" w:rsidRPr="006154DA">
        <w:t xml:space="preserve">following </w:t>
      </w:r>
      <w:r w:rsidRPr="006154DA">
        <w:t>DLd in MAIA which are more expensive than Bd</w:t>
      </w:r>
      <w:r w:rsidR="00406E4F" w:rsidRPr="006154DA">
        <w:t xml:space="preserve"> meant that </w:t>
      </w:r>
      <w:r w:rsidRPr="006154DA">
        <w:t xml:space="preserve">the use of Bd </w:t>
      </w:r>
      <w:r w:rsidR="00406E4F" w:rsidRPr="006154DA">
        <w:t xml:space="preserve">only </w:t>
      </w:r>
      <w:r w:rsidRPr="006154DA">
        <w:t xml:space="preserve">in the economic model underestimated post-progression costs for DLd. </w:t>
      </w:r>
    </w:p>
    <w:p w14:paraId="2FF1A5C4" w14:textId="45F3DAD7" w:rsidR="001D7ABE" w:rsidRPr="006154DA" w:rsidRDefault="001D7ABE" w:rsidP="001D7ABE">
      <w:pPr>
        <w:pStyle w:val="3-BodyText"/>
        <w:numPr>
          <w:ilvl w:val="0"/>
          <w:numId w:val="3"/>
        </w:numPr>
      </w:pPr>
      <w:r w:rsidRPr="006154DA">
        <w:t>The model assumed that all progressing SoC patients received DBd. This may not be appropriate as it was provided to only 48.5% of Ld patients in MAIA. Including DBd costs for all progressing SoC patients, without similarly adjusting efficacy</w:t>
      </w:r>
      <w:r w:rsidR="00300837" w:rsidRPr="006154DA">
        <w:t xml:space="preserve"> </w:t>
      </w:r>
      <w:r w:rsidR="00D93F51" w:rsidRPr="006154DA">
        <w:t xml:space="preserve">to assume that all progressing patients were receiving </w:t>
      </w:r>
      <w:r w:rsidR="00300837" w:rsidRPr="006154DA">
        <w:t>daratumumab</w:t>
      </w:r>
      <w:r w:rsidR="00D93F51" w:rsidRPr="006154DA">
        <w:t xml:space="preserve"> second-line </w:t>
      </w:r>
      <w:r w:rsidRPr="006154DA">
        <w:lastRenderedPageBreak/>
        <w:t xml:space="preserve">results in a disconnect between the trial evidence for outcomes from MAIA and the costs </w:t>
      </w:r>
      <w:r w:rsidR="00406E4F" w:rsidRPr="006154DA">
        <w:t xml:space="preserve">applied </w:t>
      </w:r>
      <w:r w:rsidRPr="006154DA">
        <w:t xml:space="preserve">in the model. </w:t>
      </w:r>
    </w:p>
    <w:p w14:paraId="04D4B476" w14:textId="60FF6F31" w:rsidR="009B74A2" w:rsidRPr="006154DA" w:rsidRDefault="00BC2E50" w:rsidP="009B74A2">
      <w:pPr>
        <w:pStyle w:val="3-BodyText"/>
        <w:numPr>
          <w:ilvl w:val="0"/>
          <w:numId w:val="3"/>
        </w:numPr>
      </w:pPr>
      <w:r w:rsidRPr="006154DA">
        <w:t xml:space="preserve">The submission </w:t>
      </w:r>
      <w:r w:rsidR="00C83153" w:rsidRPr="006154DA">
        <w:t>estimated the</w:t>
      </w:r>
      <w:r w:rsidRPr="006154DA">
        <w:t xml:space="preserve"> duration of </w:t>
      </w:r>
      <w:r w:rsidR="00787EE7" w:rsidRPr="006154DA">
        <w:t xml:space="preserve">subsequent </w:t>
      </w:r>
      <w:r w:rsidRPr="006154DA">
        <w:t xml:space="preserve">treatment of DBd </w:t>
      </w:r>
      <w:r w:rsidR="00787EE7" w:rsidRPr="006154DA">
        <w:t>(30.</w:t>
      </w:r>
      <w:r w:rsidR="0099520C" w:rsidRPr="006154DA">
        <w:t>7</w:t>
      </w:r>
      <w:r w:rsidR="0099520C">
        <w:t> </w:t>
      </w:r>
      <w:r w:rsidR="00787EE7" w:rsidRPr="006154DA">
        <w:t xml:space="preserve">months discounted) </w:t>
      </w:r>
      <w:r w:rsidRPr="006154DA">
        <w:t xml:space="preserve">and Bd </w:t>
      </w:r>
      <w:r w:rsidR="00787EE7" w:rsidRPr="006154DA">
        <w:t xml:space="preserve">(8.9 months discounted) </w:t>
      </w:r>
      <w:r w:rsidRPr="006154DA">
        <w:t xml:space="preserve">from the economic model used in the </w:t>
      </w:r>
      <w:r w:rsidR="00C110D5" w:rsidRPr="006154DA">
        <w:t xml:space="preserve">November 2019 </w:t>
      </w:r>
      <w:r w:rsidRPr="006154DA">
        <w:t>daratumumab submission for DBd as a second-line treatment for RRMM</w:t>
      </w:r>
      <w:r w:rsidR="00C110D5" w:rsidRPr="006154DA">
        <w:t>.</w:t>
      </w:r>
      <w:r w:rsidR="009B74A2" w:rsidRPr="006154DA">
        <w:t xml:space="preserve"> This results in a disconnect in the overall time considered in the model in that it incorporates longer time on a post-progression treatment for the SoC group compared with DLd. This might not be clinically reasonable given that the model estimated that SoC will have lower OS than DLd patients. Also, this is not reasonable given that patients in this submission are older and likely to have a shorter duration of treatment on DBd</w:t>
      </w:r>
      <w:r w:rsidR="00C110D5" w:rsidRPr="006154DA">
        <w:t xml:space="preserve"> </w:t>
      </w:r>
      <w:r w:rsidR="009B74A2" w:rsidRPr="006154DA">
        <w:t>compared to those in the DBd submission. Given the submission adopted a partitioned survival model</w:t>
      </w:r>
      <w:r w:rsidR="00C110D5" w:rsidRPr="006154DA">
        <w:t xml:space="preserve"> (PSM)</w:t>
      </w:r>
      <w:r w:rsidR="009B74A2" w:rsidRPr="006154DA">
        <w:t xml:space="preserve">, time on second-line treatments should be less than the area between the PFS and OS curves. </w:t>
      </w:r>
      <w:r w:rsidR="00C110D5" w:rsidRPr="006154DA">
        <w:t>Use of data external to the PSM results in time on second-line treatment that is not clinically plausible, and favours DLd given that more patients progressed in the Ld arm compared with the DLd arm.</w:t>
      </w:r>
      <w:r w:rsidR="00787EE7" w:rsidRPr="006154DA">
        <w:t xml:space="preserve"> The ESC noted that the estimated durations of subsequent treatment from the PSM were 17.</w:t>
      </w:r>
      <w:r w:rsidR="0099520C" w:rsidRPr="006154DA">
        <w:t>2</w:t>
      </w:r>
      <w:r w:rsidR="0099520C">
        <w:t> </w:t>
      </w:r>
      <w:r w:rsidR="00787EE7" w:rsidRPr="006154DA">
        <w:t>months (discounted) for DLd and 17.3 months (discounted) for Ld.</w:t>
      </w:r>
    </w:p>
    <w:p w14:paraId="4B724C66" w14:textId="25701A3F" w:rsidR="00686EC6" w:rsidRPr="006154DA" w:rsidRDefault="001D7ABE" w:rsidP="00720D59">
      <w:pPr>
        <w:pStyle w:val="3-BodyText"/>
      </w:pPr>
      <w:r w:rsidRPr="006154DA">
        <w:t xml:space="preserve">The combined effect of the approaches </w:t>
      </w:r>
      <w:r w:rsidR="00A90C33" w:rsidRPr="006154DA">
        <w:t xml:space="preserve">adopted </w:t>
      </w:r>
      <w:r w:rsidRPr="006154DA">
        <w:t>in the submission result in post-progression costs that were overestimated for SoC and underestimated for DLd</w:t>
      </w:r>
      <w:r w:rsidR="009B74A2" w:rsidRPr="006154DA">
        <w:t xml:space="preserve"> (</w:t>
      </w:r>
      <w:r w:rsidR="009B74A2" w:rsidRPr="0073531D">
        <w:t xml:space="preserve">discounted post-progression costs per patient </w:t>
      </w:r>
      <w:r w:rsidR="00F2768E" w:rsidRPr="0073531D">
        <w:t>of $</w:t>
      </w:r>
      <w:r w:rsidR="006E73CD" w:rsidRPr="00E93FF7">
        <w:rPr>
          <w:color w:val="000000"/>
          <w:w w:val="21"/>
          <w:shd w:val="solid" w:color="000000" w:fill="000000"/>
          <w:fitText w:val="72" w:id="-1236536822"/>
          <w14:textFill>
            <w14:solidFill>
              <w14:srgbClr w14:val="000000">
                <w14:alpha w14:val="100000"/>
              </w14:srgbClr>
            </w14:solidFill>
          </w14:textFill>
        </w:rPr>
        <w:t xml:space="preserve">|  </w:t>
      </w:r>
      <w:r w:rsidR="006E73CD" w:rsidRPr="00E93FF7">
        <w:rPr>
          <w:color w:val="000000"/>
          <w:spacing w:val="2"/>
          <w:w w:val="21"/>
          <w:shd w:val="solid" w:color="000000" w:fill="000000"/>
          <w:fitText w:val="72" w:id="-1236536822"/>
          <w14:textFill>
            <w14:solidFill>
              <w14:srgbClr w14:val="000000">
                <w14:alpha w14:val="100000"/>
              </w14:srgbClr>
            </w14:solidFill>
          </w14:textFill>
        </w:rPr>
        <w:t>|</w:t>
      </w:r>
      <w:r w:rsidR="00F2768E" w:rsidRPr="0073531D">
        <w:t xml:space="preserve">for patients in the SoC arm and </w:t>
      </w:r>
      <w:r w:rsidR="009B74A2" w:rsidRPr="0073531D">
        <w:t>of $23,570 for patients in the DLd arm</w:t>
      </w:r>
      <w:r w:rsidR="00F2768E" w:rsidRPr="0073531D">
        <w:t>)</w:t>
      </w:r>
      <w:r w:rsidR="009B74A2" w:rsidRPr="0073531D">
        <w:t>.</w:t>
      </w:r>
      <w:r w:rsidR="004A15A0" w:rsidRPr="006154DA">
        <w:t xml:space="preserve"> </w:t>
      </w:r>
    </w:p>
    <w:p w14:paraId="3D7A3B8D" w14:textId="7067F825" w:rsidR="0088759C" w:rsidRPr="00A8529D" w:rsidRDefault="00F7582D" w:rsidP="00A8529D">
      <w:pPr>
        <w:pStyle w:val="3-BodyText"/>
      </w:pPr>
      <w:bookmarkStart w:id="91" w:name="_Ref127023020"/>
      <w:r w:rsidRPr="006154DA">
        <w:t xml:space="preserve">The PSCR provided a revised economic analysis which used a different approach to calculate the post progression costs. Revised average durations of subsequent therapy (272 days </w:t>
      </w:r>
      <w:r w:rsidR="00AF62AB" w:rsidRPr="006154DA">
        <w:t xml:space="preserve">(8.9 months) </w:t>
      </w:r>
      <w:r w:rsidRPr="006154DA">
        <w:t xml:space="preserve">in the DLd arm and 301 days </w:t>
      </w:r>
      <w:r w:rsidR="00AF62AB" w:rsidRPr="006154DA">
        <w:t xml:space="preserve">(9.8 months) </w:t>
      </w:r>
      <w:r w:rsidRPr="006154DA">
        <w:t xml:space="preserve">in the SOC arm) were derived from the patient-level data from MAIA. </w:t>
      </w:r>
      <w:r w:rsidR="00305A0E" w:rsidRPr="006154DA">
        <w:t>The derived proportion of use of each of the regimens</w:t>
      </w:r>
      <w:r w:rsidR="00787EE7" w:rsidRPr="006154DA">
        <w:t xml:space="preserve"> (see </w:t>
      </w:r>
      <w:r w:rsidR="00787EE7" w:rsidRPr="006154DA">
        <w:fldChar w:fldCharType="begin"/>
      </w:r>
      <w:r w:rsidR="00787EE7" w:rsidRPr="006154DA">
        <w:instrText xml:space="preserve"> REF _Ref126831827 \h  \* MERGEFORMAT </w:instrText>
      </w:r>
      <w:r w:rsidR="00787EE7" w:rsidRPr="006154DA">
        <w:fldChar w:fldCharType="separate"/>
      </w:r>
      <w:r w:rsidR="008D65C7" w:rsidRPr="006154DA">
        <w:t xml:space="preserve">Table </w:t>
      </w:r>
      <w:r w:rsidR="008D65C7">
        <w:t>15</w:t>
      </w:r>
      <w:r w:rsidR="00787EE7" w:rsidRPr="006154DA">
        <w:fldChar w:fldCharType="end"/>
      </w:r>
      <w:r w:rsidR="00787EE7" w:rsidRPr="006154DA">
        <w:t>) was based on the proportions of patient</w:t>
      </w:r>
      <w:r w:rsidR="00305A0E" w:rsidRPr="006154DA">
        <w:t>s</w:t>
      </w:r>
      <w:r w:rsidR="00787EE7" w:rsidRPr="006154DA">
        <w:t xml:space="preserve"> who received the most commonly used subsequent therapies from MAIA (</w:t>
      </w:r>
      <w:r w:rsidR="00305A0E" w:rsidRPr="006154DA">
        <w:t>summarised in</w:t>
      </w:r>
      <w:r w:rsidR="00787EE7" w:rsidRPr="006154DA">
        <w:t xml:space="preserve"> </w:t>
      </w:r>
      <w:r w:rsidR="00787EE7" w:rsidRPr="006154DA">
        <w:fldChar w:fldCharType="begin"/>
      </w:r>
      <w:r w:rsidR="00787EE7" w:rsidRPr="006154DA">
        <w:instrText xml:space="preserve"> REF _Ref126828924 \h  \* MERGEFORMAT </w:instrText>
      </w:r>
      <w:r w:rsidR="00787EE7" w:rsidRPr="006154DA">
        <w:fldChar w:fldCharType="separate"/>
      </w:r>
      <w:r w:rsidR="008D65C7" w:rsidRPr="0058247A">
        <w:t xml:space="preserve">Table </w:t>
      </w:r>
      <w:r w:rsidR="008D65C7">
        <w:t>14</w:t>
      </w:r>
      <w:r w:rsidR="00787EE7" w:rsidRPr="006154DA">
        <w:fldChar w:fldCharType="end"/>
      </w:r>
      <w:r w:rsidR="00787EE7" w:rsidRPr="006154DA">
        <w:t>)</w:t>
      </w:r>
      <w:r w:rsidR="00305A0E" w:rsidRPr="006154DA">
        <w:t xml:space="preserve">. </w:t>
      </w:r>
      <w:r w:rsidRPr="006154DA">
        <w:t xml:space="preserve">Costs associated with subsequent therapies </w:t>
      </w:r>
      <w:r w:rsidR="00EA7845" w:rsidRPr="006154DA">
        <w:t xml:space="preserve">($39,952 for the DLd arm and $73,863 for the SOC arm) </w:t>
      </w:r>
      <w:r w:rsidRPr="006154DA">
        <w:t xml:space="preserve">were then attributed to </w:t>
      </w:r>
      <w:r w:rsidR="00305A0E" w:rsidRPr="006154DA">
        <w:t>72.7% of progressors in the DLd arm and 85.1% of progressors in the SOC arm. The</w:t>
      </w:r>
      <w:r w:rsidR="00787EE7" w:rsidRPr="006154DA">
        <w:t xml:space="preserve"> ESC noted that the</w:t>
      </w:r>
      <w:r w:rsidR="00305A0E" w:rsidRPr="006154DA">
        <w:t xml:space="preserve">se changes </w:t>
      </w:r>
      <w:r w:rsidR="00787EE7" w:rsidRPr="006154DA">
        <w:t xml:space="preserve">to post progression costs </w:t>
      </w:r>
      <w:r w:rsidR="00305A0E" w:rsidRPr="006154DA">
        <w:t xml:space="preserve">increased the base case ICER </w:t>
      </w:r>
      <w:r w:rsidR="00787EE7" w:rsidRPr="006154DA">
        <w:t xml:space="preserve">from </w:t>
      </w:r>
      <w:r w:rsidR="00C62A2B" w:rsidRPr="00C62A2B">
        <w:t>$155,000 to &lt; $255,000</w:t>
      </w:r>
      <w:r w:rsidR="00C62A2B">
        <w:t xml:space="preserve"> </w:t>
      </w:r>
      <w:r w:rsidR="00305A0E" w:rsidRPr="006154DA">
        <w:t xml:space="preserve">to </w:t>
      </w:r>
      <w:r w:rsidR="00C62A2B" w:rsidRPr="00C62A2B">
        <w:t>$155,000 to &lt; $255,000</w:t>
      </w:r>
      <w:r w:rsidR="00C62A2B">
        <w:t xml:space="preserve"> </w:t>
      </w:r>
      <w:r w:rsidR="00305A0E" w:rsidRPr="006154DA">
        <w:t>per QALY gained</w:t>
      </w:r>
      <w:r w:rsidR="004A15A0" w:rsidRPr="006154DA">
        <w:t xml:space="preserve">. </w:t>
      </w:r>
      <w:r w:rsidR="00EA7845" w:rsidRPr="006154DA">
        <w:t>Although the PSCR</w:t>
      </w:r>
      <w:r w:rsidR="00ED4FC9" w:rsidRPr="006154DA">
        <w:t xml:space="preserve"> did not justify the basis for the assumed distribution of combined regimens applied, t</w:t>
      </w:r>
      <w:r w:rsidR="004A15A0" w:rsidRPr="006154DA">
        <w:t>he ESC</w:t>
      </w:r>
      <w:r w:rsidR="00787EE7" w:rsidRPr="006154DA">
        <w:t xml:space="preserve"> considered </w:t>
      </w:r>
      <w:r w:rsidR="004A15A0" w:rsidRPr="006154DA">
        <w:t xml:space="preserve">that this </w:t>
      </w:r>
      <w:r w:rsidR="00787EE7" w:rsidRPr="006154DA">
        <w:t>revised</w:t>
      </w:r>
      <w:r w:rsidR="004A15A0" w:rsidRPr="006154DA">
        <w:t xml:space="preserve"> analysis </w:t>
      </w:r>
      <w:r w:rsidR="00787EE7" w:rsidRPr="006154DA">
        <w:t>wa</w:t>
      </w:r>
      <w:r w:rsidR="004A15A0" w:rsidRPr="006154DA">
        <w:t xml:space="preserve">s likely to be more realistic than what was </w:t>
      </w:r>
      <w:r w:rsidR="00787EE7" w:rsidRPr="006154DA">
        <w:t>presented in the submission</w:t>
      </w:r>
      <w:r w:rsidR="004A15A0" w:rsidRPr="006154DA">
        <w:t>.</w:t>
      </w:r>
      <w:bookmarkEnd w:id="91"/>
    </w:p>
    <w:p w14:paraId="767F4784" w14:textId="3E845BC7" w:rsidR="00305A0E" w:rsidRPr="006154DA" w:rsidRDefault="00787EE7" w:rsidP="00A8529D">
      <w:pPr>
        <w:pStyle w:val="Caption"/>
      </w:pPr>
      <w:bookmarkStart w:id="92" w:name="_Ref126831827"/>
      <w:r w:rsidRPr="006154DA">
        <w:lastRenderedPageBreak/>
        <w:t xml:space="preserve">Table </w:t>
      </w:r>
      <w:fldSimple w:instr=" SEQ Table \* ARABIC ">
        <w:r w:rsidR="008D65C7">
          <w:rPr>
            <w:noProof/>
          </w:rPr>
          <w:t>15</w:t>
        </w:r>
      </w:fldSimple>
      <w:bookmarkEnd w:id="92"/>
      <w:r w:rsidR="00305A0E" w:rsidRPr="006154DA">
        <w:t>:</w:t>
      </w:r>
      <w:r w:rsidR="00305A0E" w:rsidRPr="006154DA">
        <w:tab/>
      </w:r>
      <w:r w:rsidRPr="006154DA">
        <w:t xml:space="preserve"> Derived p</w:t>
      </w:r>
      <w:r w:rsidR="00305A0E" w:rsidRPr="006154DA">
        <w:t xml:space="preserve">roportion of </w:t>
      </w:r>
      <w:r w:rsidRPr="006154DA">
        <w:t>use of subsequent therapies*</w:t>
      </w:r>
    </w:p>
    <w:tbl>
      <w:tblPr>
        <w:tblStyle w:val="TableGrid"/>
        <w:tblW w:w="0" w:type="auto"/>
        <w:tblLook w:val="04A0" w:firstRow="1" w:lastRow="0" w:firstColumn="1" w:lastColumn="0" w:noHBand="0" w:noVBand="1"/>
      </w:tblPr>
      <w:tblGrid>
        <w:gridCol w:w="2995"/>
        <w:gridCol w:w="2583"/>
        <w:gridCol w:w="3439"/>
      </w:tblGrid>
      <w:tr w:rsidR="00305A0E" w:rsidRPr="006154DA" w14:paraId="321E2D22"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0BE77C28" w14:textId="77777777" w:rsidR="00305A0E" w:rsidRPr="006154DA" w:rsidRDefault="00305A0E" w:rsidP="00A8529D">
            <w:pPr>
              <w:keepNext/>
              <w:rPr>
                <w:rFonts w:ascii="Arial Narrow" w:hAnsi="Arial Narrow"/>
                <w:b/>
                <w:bCs/>
                <w:sz w:val="20"/>
                <w:szCs w:val="20"/>
              </w:rPr>
            </w:pPr>
            <w:r w:rsidRPr="006154DA">
              <w:rPr>
                <w:rFonts w:ascii="Arial Narrow" w:hAnsi="Arial Narrow"/>
                <w:b/>
                <w:bCs/>
                <w:sz w:val="20"/>
                <w:szCs w:val="20"/>
              </w:rPr>
              <w:t>Regimen</w:t>
            </w:r>
          </w:p>
        </w:tc>
        <w:tc>
          <w:tcPr>
            <w:tcW w:w="2583" w:type="dxa"/>
            <w:tcBorders>
              <w:top w:val="single" w:sz="4" w:space="0" w:color="auto"/>
              <w:left w:val="single" w:sz="4" w:space="0" w:color="auto"/>
              <w:bottom w:val="single" w:sz="4" w:space="0" w:color="auto"/>
              <w:right w:val="single" w:sz="4" w:space="0" w:color="auto"/>
            </w:tcBorders>
            <w:hideMark/>
          </w:tcPr>
          <w:p w14:paraId="4A92BEE8" w14:textId="77777777" w:rsidR="00305A0E" w:rsidRPr="006154DA" w:rsidRDefault="00305A0E" w:rsidP="00A8529D">
            <w:pPr>
              <w:keepNext/>
              <w:jc w:val="center"/>
              <w:rPr>
                <w:rFonts w:ascii="Arial Narrow" w:hAnsi="Arial Narrow"/>
                <w:b/>
                <w:bCs/>
                <w:sz w:val="20"/>
                <w:szCs w:val="20"/>
              </w:rPr>
            </w:pPr>
            <w:r w:rsidRPr="006154DA">
              <w:rPr>
                <w:rFonts w:ascii="Arial Narrow" w:hAnsi="Arial Narrow"/>
                <w:b/>
                <w:bCs/>
                <w:sz w:val="20"/>
                <w:szCs w:val="20"/>
              </w:rPr>
              <w:t>DLd (N=128)</w:t>
            </w:r>
          </w:p>
        </w:tc>
        <w:tc>
          <w:tcPr>
            <w:tcW w:w="3439" w:type="dxa"/>
            <w:tcBorders>
              <w:top w:val="single" w:sz="4" w:space="0" w:color="auto"/>
              <w:left w:val="single" w:sz="4" w:space="0" w:color="auto"/>
              <w:bottom w:val="single" w:sz="4" w:space="0" w:color="auto"/>
              <w:right w:val="single" w:sz="4" w:space="0" w:color="auto"/>
            </w:tcBorders>
            <w:hideMark/>
          </w:tcPr>
          <w:p w14:paraId="7AB2A2D8" w14:textId="77777777" w:rsidR="00305A0E" w:rsidRPr="006154DA" w:rsidRDefault="00305A0E" w:rsidP="00A8529D">
            <w:pPr>
              <w:keepNext/>
              <w:jc w:val="center"/>
              <w:rPr>
                <w:rFonts w:ascii="Arial Narrow" w:hAnsi="Arial Narrow"/>
                <w:b/>
                <w:bCs/>
                <w:sz w:val="20"/>
                <w:szCs w:val="20"/>
              </w:rPr>
            </w:pPr>
            <w:r w:rsidRPr="006154DA">
              <w:rPr>
                <w:rFonts w:ascii="Arial Narrow" w:hAnsi="Arial Narrow"/>
                <w:b/>
                <w:bCs/>
                <w:sz w:val="20"/>
                <w:szCs w:val="20"/>
              </w:rPr>
              <w:t>Ld (N=194)</w:t>
            </w:r>
          </w:p>
        </w:tc>
      </w:tr>
      <w:tr w:rsidR="00305A0E" w:rsidRPr="006154DA" w14:paraId="45D8887F"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4AB64426" w14:textId="77777777" w:rsidR="00305A0E" w:rsidRPr="006154DA" w:rsidRDefault="00305A0E" w:rsidP="00A8529D">
            <w:pPr>
              <w:keepNext/>
              <w:rPr>
                <w:rFonts w:ascii="Arial Narrow" w:hAnsi="Arial Narrow"/>
                <w:sz w:val="20"/>
                <w:szCs w:val="20"/>
              </w:rPr>
            </w:pPr>
            <w:r w:rsidRPr="006154DA">
              <w:rPr>
                <w:rFonts w:ascii="Arial Narrow" w:hAnsi="Arial Narrow"/>
                <w:sz w:val="20"/>
                <w:szCs w:val="20"/>
              </w:rPr>
              <w:t>DBd</w:t>
            </w:r>
          </w:p>
        </w:tc>
        <w:tc>
          <w:tcPr>
            <w:tcW w:w="2583" w:type="dxa"/>
            <w:tcBorders>
              <w:top w:val="single" w:sz="4" w:space="0" w:color="auto"/>
              <w:left w:val="single" w:sz="4" w:space="0" w:color="auto"/>
              <w:bottom w:val="single" w:sz="4" w:space="0" w:color="auto"/>
              <w:right w:val="single" w:sz="4" w:space="0" w:color="auto"/>
            </w:tcBorders>
            <w:hideMark/>
          </w:tcPr>
          <w:p w14:paraId="4D6134A1"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0.00%</w:t>
            </w:r>
          </w:p>
        </w:tc>
        <w:tc>
          <w:tcPr>
            <w:tcW w:w="3439" w:type="dxa"/>
            <w:tcBorders>
              <w:top w:val="single" w:sz="4" w:space="0" w:color="auto"/>
              <w:left w:val="single" w:sz="4" w:space="0" w:color="auto"/>
              <w:bottom w:val="single" w:sz="4" w:space="0" w:color="auto"/>
              <w:right w:val="single" w:sz="4" w:space="0" w:color="auto"/>
            </w:tcBorders>
            <w:hideMark/>
          </w:tcPr>
          <w:p w14:paraId="252CE1A0"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48.45%</w:t>
            </w:r>
          </w:p>
        </w:tc>
      </w:tr>
      <w:tr w:rsidR="00305A0E" w:rsidRPr="006154DA" w14:paraId="1DD6F8A8"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1EF95405" w14:textId="77777777" w:rsidR="00305A0E" w:rsidRPr="006154DA" w:rsidRDefault="00305A0E" w:rsidP="00A8529D">
            <w:pPr>
              <w:keepNext/>
              <w:rPr>
                <w:rFonts w:ascii="Arial Narrow" w:hAnsi="Arial Narrow"/>
                <w:sz w:val="20"/>
                <w:szCs w:val="20"/>
              </w:rPr>
            </w:pPr>
            <w:r w:rsidRPr="006154DA">
              <w:rPr>
                <w:rFonts w:ascii="Arial Narrow" w:hAnsi="Arial Narrow"/>
                <w:sz w:val="20"/>
                <w:szCs w:val="20"/>
              </w:rPr>
              <w:t>PBd</w:t>
            </w:r>
          </w:p>
        </w:tc>
        <w:tc>
          <w:tcPr>
            <w:tcW w:w="2583" w:type="dxa"/>
            <w:tcBorders>
              <w:top w:val="single" w:sz="4" w:space="0" w:color="auto"/>
              <w:left w:val="single" w:sz="4" w:space="0" w:color="auto"/>
              <w:bottom w:val="single" w:sz="4" w:space="0" w:color="auto"/>
              <w:right w:val="single" w:sz="4" w:space="0" w:color="auto"/>
            </w:tcBorders>
            <w:hideMark/>
          </w:tcPr>
          <w:p w14:paraId="5E18FC29"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46.09%</w:t>
            </w:r>
          </w:p>
        </w:tc>
        <w:tc>
          <w:tcPr>
            <w:tcW w:w="3439" w:type="dxa"/>
            <w:tcBorders>
              <w:top w:val="single" w:sz="4" w:space="0" w:color="auto"/>
              <w:left w:val="single" w:sz="4" w:space="0" w:color="auto"/>
              <w:bottom w:val="single" w:sz="4" w:space="0" w:color="auto"/>
              <w:right w:val="single" w:sz="4" w:space="0" w:color="auto"/>
            </w:tcBorders>
            <w:hideMark/>
          </w:tcPr>
          <w:p w14:paraId="7F8EA182"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27.84%</w:t>
            </w:r>
          </w:p>
        </w:tc>
      </w:tr>
      <w:tr w:rsidR="00305A0E" w:rsidRPr="006154DA" w14:paraId="2A048904"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5B0E0565" w14:textId="77777777" w:rsidR="00305A0E" w:rsidRPr="006154DA" w:rsidRDefault="00305A0E" w:rsidP="00A8529D">
            <w:pPr>
              <w:keepNext/>
              <w:rPr>
                <w:rFonts w:ascii="Arial Narrow" w:hAnsi="Arial Narrow"/>
                <w:sz w:val="20"/>
                <w:szCs w:val="20"/>
              </w:rPr>
            </w:pPr>
            <w:r w:rsidRPr="006154DA">
              <w:rPr>
                <w:rFonts w:ascii="Arial Narrow" w:hAnsi="Arial Narrow"/>
                <w:sz w:val="20"/>
                <w:szCs w:val="20"/>
              </w:rPr>
              <w:t>Bd</w:t>
            </w:r>
          </w:p>
        </w:tc>
        <w:tc>
          <w:tcPr>
            <w:tcW w:w="2583" w:type="dxa"/>
            <w:tcBorders>
              <w:top w:val="single" w:sz="4" w:space="0" w:color="auto"/>
              <w:left w:val="single" w:sz="4" w:space="0" w:color="auto"/>
              <w:bottom w:val="single" w:sz="4" w:space="0" w:color="auto"/>
              <w:right w:val="single" w:sz="4" w:space="0" w:color="auto"/>
            </w:tcBorders>
            <w:hideMark/>
          </w:tcPr>
          <w:p w14:paraId="43F1CEA8"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25.00%</w:t>
            </w:r>
          </w:p>
        </w:tc>
        <w:tc>
          <w:tcPr>
            <w:tcW w:w="3439" w:type="dxa"/>
            <w:tcBorders>
              <w:top w:val="single" w:sz="4" w:space="0" w:color="auto"/>
              <w:left w:val="single" w:sz="4" w:space="0" w:color="auto"/>
              <w:bottom w:val="single" w:sz="4" w:space="0" w:color="auto"/>
              <w:right w:val="single" w:sz="4" w:space="0" w:color="auto"/>
            </w:tcBorders>
            <w:hideMark/>
          </w:tcPr>
          <w:p w14:paraId="2E91CA24"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0.00%</w:t>
            </w:r>
          </w:p>
        </w:tc>
      </w:tr>
      <w:tr w:rsidR="00305A0E" w:rsidRPr="006154DA" w14:paraId="234DDCEC"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0B09324D" w14:textId="77777777" w:rsidR="00305A0E" w:rsidRPr="006154DA" w:rsidRDefault="00305A0E" w:rsidP="00A8529D">
            <w:pPr>
              <w:keepNext/>
              <w:rPr>
                <w:rFonts w:ascii="Arial Narrow" w:hAnsi="Arial Narrow"/>
                <w:sz w:val="20"/>
                <w:szCs w:val="20"/>
              </w:rPr>
            </w:pPr>
            <w:r w:rsidRPr="006154DA">
              <w:rPr>
                <w:rFonts w:ascii="Arial Narrow" w:hAnsi="Arial Narrow"/>
                <w:sz w:val="20"/>
                <w:szCs w:val="20"/>
              </w:rPr>
              <w:t>Pd</w:t>
            </w:r>
          </w:p>
        </w:tc>
        <w:tc>
          <w:tcPr>
            <w:tcW w:w="2583" w:type="dxa"/>
            <w:tcBorders>
              <w:top w:val="single" w:sz="4" w:space="0" w:color="auto"/>
              <w:left w:val="single" w:sz="4" w:space="0" w:color="auto"/>
              <w:bottom w:val="single" w:sz="4" w:space="0" w:color="auto"/>
              <w:right w:val="single" w:sz="4" w:space="0" w:color="auto"/>
            </w:tcBorders>
            <w:hideMark/>
          </w:tcPr>
          <w:p w14:paraId="7ADB7143"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0.00%</w:t>
            </w:r>
          </w:p>
        </w:tc>
        <w:tc>
          <w:tcPr>
            <w:tcW w:w="3439" w:type="dxa"/>
            <w:tcBorders>
              <w:top w:val="single" w:sz="4" w:space="0" w:color="auto"/>
              <w:left w:val="single" w:sz="4" w:space="0" w:color="auto"/>
              <w:bottom w:val="single" w:sz="4" w:space="0" w:color="auto"/>
              <w:right w:val="single" w:sz="4" w:space="0" w:color="auto"/>
            </w:tcBorders>
            <w:hideMark/>
          </w:tcPr>
          <w:p w14:paraId="4F950782"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7.73%</w:t>
            </w:r>
          </w:p>
        </w:tc>
      </w:tr>
      <w:tr w:rsidR="00305A0E" w:rsidRPr="006154DA" w14:paraId="544E9E06"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7D210347" w14:textId="77777777" w:rsidR="00305A0E" w:rsidRPr="006154DA" w:rsidRDefault="00305A0E" w:rsidP="00A8529D">
            <w:pPr>
              <w:keepNext/>
              <w:rPr>
                <w:rFonts w:ascii="Arial Narrow" w:hAnsi="Arial Narrow"/>
                <w:sz w:val="20"/>
                <w:szCs w:val="20"/>
              </w:rPr>
            </w:pPr>
            <w:r w:rsidRPr="006154DA">
              <w:rPr>
                <w:rFonts w:ascii="Arial Narrow" w:hAnsi="Arial Narrow"/>
                <w:sz w:val="20"/>
                <w:szCs w:val="20"/>
              </w:rPr>
              <w:t>Cd</w:t>
            </w:r>
          </w:p>
        </w:tc>
        <w:tc>
          <w:tcPr>
            <w:tcW w:w="2583" w:type="dxa"/>
            <w:tcBorders>
              <w:top w:val="single" w:sz="4" w:space="0" w:color="auto"/>
              <w:left w:val="single" w:sz="4" w:space="0" w:color="auto"/>
              <w:bottom w:val="single" w:sz="4" w:space="0" w:color="auto"/>
              <w:right w:val="single" w:sz="4" w:space="0" w:color="auto"/>
            </w:tcBorders>
            <w:hideMark/>
          </w:tcPr>
          <w:p w14:paraId="7687A7D0"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17.19%</w:t>
            </w:r>
          </w:p>
        </w:tc>
        <w:tc>
          <w:tcPr>
            <w:tcW w:w="3439" w:type="dxa"/>
            <w:tcBorders>
              <w:top w:val="single" w:sz="4" w:space="0" w:color="auto"/>
              <w:left w:val="single" w:sz="4" w:space="0" w:color="auto"/>
              <w:bottom w:val="single" w:sz="4" w:space="0" w:color="auto"/>
              <w:right w:val="single" w:sz="4" w:space="0" w:color="auto"/>
            </w:tcBorders>
            <w:hideMark/>
          </w:tcPr>
          <w:p w14:paraId="4D3DBB7E"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21.13%</w:t>
            </w:r>
          </w:p>
        </w:tc>
      </w:tr>
      <w:tr w:rsidR="00305A0E" w:rsidRPr="006154DA" w14:paraId="1BC56DE3" w14:textId="77777777" w:rsidTr="00787EE7">
        <w:tc>
          <w:tcPr>
            <w:tcW w:w="2995" w:type="dxa"/>
            <w:tcBorders>
              <w:top w:val="single" w:sz="4" w:space="0" w:color="auto"/>
              <w:left w:val="single" w:sz="4" w:space="0" w:color="auto"/>
              <w:bottom w:val="single" w:sz="4" w:space="0" w:color="auto"/>
              <w:right w:val="single" w:sz="4" w:space="0" w:color="auto"/>
            </w:tcBorders>
            <w:hideMark/>
          </w:tcPr>
          <w:p w14:paraId="6711306F" w14:textId="77777777" w:rsidR="00305A0E" w:rsidRPr="006154DA" w:rsidRDefault="00305A0E" w:rsidP="00A8529D">
            <w:pPr>
              <w:keepNext/>
              <w:rPr>
                <w:rFonts w:ascii="Arial Narrow" w:hAnsi="Arial Narrow"/>
                <w:sz w:val="20"/>
                <w:szCs w:val="20"/>
              </w:rPr>
            </w:pPr>
            <w:r w:rsidRPr="006154DA">
              <w:rPr>
                <w:rFonts w:ascii="Arial Narrow" w:hAnsi="Arial Narrow"/>
                <w:sz w:val="20"/>
                <w:szCs w:val="20"/>
              </w:rPr>
              <w:t>Ld</w:t>
            </w:r>
          </w:p>
        </w:tc>
        <w:tc>
          <w:tcPr>
            <w:tcW w:w="2583" w:type="dxa"/>
            <w:tcBorders>
              <w:top w:val="single" w:sz="4" w:space="0" w:color="auto"/>
              <w:left w:val="single" w:sz="4" w:space="0" w:color="auto"/>
              <w:bottom w:val="single" w:sz="4" w:space="0" w:color="auto"/>
              <w:right w:val="single" w:sz="4" w:space="0" w:color="auto"/>
            </w:tcBorders>
            <w:hideMark/>
          </w:tcPr>
          <w:p w14:paraId="197BED84"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25.78%</w:t>
            </w:r>
          </w:p>
        </w:tc>
        <w:tc>
          <w:tcPr>
            <w:tcW w:w="3439" w:type="dxa"/>
            <w:tcBorders>
              <w:top w:val="single" w:sz="4" w:space="0" w:color="auto"/>
              <w:left w:val="single" w:sz="4" w:space="0" w:color="auto"/>
              <w:bottom w:val="single" w:sz="4" w:space="0" w:color="auto"/>
              <w:right w:val="single" w:sz="4" w:space="0" w:color="auto"/>
            </w:tcBorders>
            <w:hideMark/>
          </w:tcPr>
          <w:p w14:paraId="4253969A" w14:textId="77777777" w:rsidR="00305A0E" w:rsidRPr="006154DA" w:rsidRDefault="00305A0E" w:rsidP="00A8529D">
            <w:pPr>
              <w:keepNext/>
              <w:jc w:val="center"/>
              <w:rPr>
                <w:rFonts w:ascii="Arial Narrow" w:hAnsi="Arial Narrow"/>
                <w:sz w:val="20"/>
                <w:szCs w:val="20"/>
              </w:rPr>
            </w:pPr>
            <w:r w:rsidRPr="006154DA">
              <w:rPr>
                <w:rFonts w:ascii="Arial Narrow" w:hAnsi="Arial Narrow"/>
                <w:sz w:val="20"/>
                <w:szCs w:val="20"/>
              </w:rPr>
              <w:t>21.13%</w:t>
            </w:r>
          </w:p>
        </w:tc>
      </w:tr>
    </w:tbl>
    <w:p w14:paraId="4EA273AB" w14:textId="77777777" w:rsidR="00787EE7" w:rsidRPr="006154DA" w:rsidRDefault="00305A0E" w:rsidP="00A8529D">
      <w:pPr>
        <w:pStyle w:val="FooterTableFigure"/>
        <w:keepNext/>
      </w:pPr>
      <w:r w:rsidRPr="006154DA">
        <w:t xml:space="preserve">Source: </w:t>
      </w:r>
      <w:r w:rsidR="00787EE7" w:rsidRPr="006154DA">
        <w:t>Table 3, p6 of the PSCR</w:t>
      </w:r>
    </w:p>
    <w:p w14:paraId="25E5C271" w14:textId="135B5249" w:rsidR="00787EE7" w:rsidRPr="006154DA" w:rsidRDefault="00787EE7" w:rsidP="00A8529D">
      <w:pPr>
        <w:pStyle w:val="FooterTableFigure"/>
        <w:keepNext/>
      </w:pPr>
      <w:r w:rsidRPr="006154DA">
        <w:t>Bd = bortezomib and dexamethasone; Cd = carfilzomib and dexamethasone; DBd = daratumumab, bortezomib and dexamethasone; DLd = daratumumab, lenalidomide and dexamethasone; Ld = lenalidomide and dexamethasone; PBd = pomalidomide, bortezomib and dexamethasone; Pd = pomalidomide and dexamethasone</w:t>
      </w:r>
    </w:p>
    <w:p w14:paraId="00154C13" w14:textId="26D051E2" w:rsidR="00305A0E" w:rsidRPr="006154DA" w:rsidRDefault="00787EE7" w:rsidP="00787EE7">
      <w:pPr>
        <w:pStyle w:val="FooterTableFigure"/>
      </w:pPr>
      <w:r w:rsidRPr="006154DA">
        <w:t xml:space="preserve">* </w:t>
      </w:r>
      <w:r w:rsidR="00305A0E" w:rsidRPr="006154DA">
        <w:t>Assumptions applied (i) patients can only have a course of daratumumab once per lifetime; (ii) all use of daratumumab in the 2L scenario would be in combination with bortezomib (DBd); (iii) remaining bortezomib would be used in combination with pomalidomide (PBd); (iv) any bortezomib remaining allocation to DBd and PBd that was assumed to be used as Bd; (v) if any pomalidomide was left, it was assumed to be used as Pd (vi) carfilzomib was assumed to be given as part of a Cd regimen; and (vii) lenalidomide was assumed to be used as Ld.</w:t>
      </w:r>
    </w:p>
    <w:p w14:paraId="476E8334" w14:textId="5BAAF120" w:rsidR="00770D1B" w:rsidRPr="006154DA" w:rsidRDefault="00770D1B" w:rsidP="00720D59">
      <w:pPr>
        <w:pStyle w:val="3-BodyText"/>
      </w:pPr>
      <w:r w:rsidRPr="006154DA">
        <w:t xml:space="preserve">The submission </w:t>
      </w:r>
      <w:r w:rsidR="006B28A1" w:rsidRPr="006154DA">
        <w:t xml:space="preserve">applied </w:t>
      </w:r>
      <w:r w:rsidR="00A90C33" w:rsidRPr="006154DA">
        <w:t xml:space="preserve">the EQ-5D-5L </w:t>
      </w:r>
      <w:r w:rsidRPr="006154DA">
        <w:t xml:space="preserve">HRQoL data from MAIA </w:t>
      </w:r>
      <w:r w:rsidR="006B28A1" w:rsidRPr="006154DA">
        <w:t xml:space="preserve">in </w:t>
      </w:r>
      <w:r w:rsidRPr="006154DA">
        <w:t>the economic model. The data suggest a higher utility value in the pre-progression state (0.699) compared to the progressed state (0.631). The use of health utility values in the economic model that were directly derived from MAIA appears reasonable. The submission applied these values irrespective of treatment received. The values applied indicate a moderate disutility associated with progression (0.068), approximately 10% of the observed pre-progression utility value (arguably within the minimal important difference for this scale).</w:t>
      </w:r>
    </w:p>
    <w:p w14:paraId="3C7F6C36" w14:textId="57D8360A" w:rsidR="001D7ABE" w:rsidRPr="006154DA" w:rsidRDefault="001D7ABE" w:rsidP="001D7ABE">
      <w:pPr>
        <w:pStyle w:val="3-BodyText"/>
        <w:ind w:left="0" w:firstLine="0"/>
        <w:rPr>
          <w:b/>
          <w:bCs/>
        </w:rPr>
      </w:pPr>
      <w:r w:rsidRPr="006154DA">
        <w:t xml:space="preserve">A summary of the key drivers of the model is provided in the </w:t>
      </w:r>
      <w:r w:rsidRPr="006154DA">
        <w:fldChar w:fldCharType="begin"/>
      </w:r>
      <w:r w:rsidRPr="006154DA">
        <w:instrText xml:space="preserve"> REF _Ref104805122 \h </w:instrText>
      </w:r>
      <w:r w:rsidR="006A6407" w:rsidRPr="006154DA">
        <w:instrText xml:space="preserve"> \* MERGEFORMAT </w:instrText>
      </w:r>
      <w:r w:rsidRPr="006154DA">
        <w:fldChar w:fldCharType="separate"/>
      </w:r>
      <w:r w:rsidR="008D65C7" w:rsidRPr="0058247A">
        <w:t xml:space="preserve">Table </w:t>
      </w:r>
      <w:r w:rsidR="008D65C7">
        <w:t>16</w:t>
      </w:r>
      <w:r w:rsidRPr="006154DA">
        <w:fldChar w:fldCharType="end"/>
      </w:r>
      <w:r w:rsidRPr="006154DA">
        <w:t>.</w:t>
      </w:r>
    </w:p>
    <w:p w14:paraId="7F67201E" w14:textId="12D54E3E" w:rsidR="001D7ABE" w:rsidRPr="0058247A" w:rsidRDefault="001D7ABE" w:rsidP="001D7ABE">
      <w:pPr>
        <w:pStyle w:val="Caption"/>
        <w:jc w:val="left"/>
        <w:rPr>
          <w:rStyle w:val="CommentReference"/>
          <w:b/>
          <w:szCs w:val="24"/>
        </w:rPr>
      </w:pPr>
      <w:bookmarkStart w:id="93" w:name="_Ref104805122"/>
      <w:r w:rsidRPr="0058247A">
        <w:t xml:space="preserve">Table </w:t>
      </w:r>
      <w:fldSimple w:instr=" SEQ Table \* ARABIC ">
        <w:r w:rsidR="008D65C7">
          <w:rPr>
            <w:noProof/>
          </w:rPr>
          <w:t>16</w:t>
        </w:r>
      </w:fldSimple>
      <w:bookmarkEnd w:id="93"/>
      <w:r w:rsidRPr="0058247A">
        <w:t>:</w:t>
      </w:r>
      <w:r w:rsidRPr="0058247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5"/>
        <w:gridCol w:w="3960"/>
        <w:gridCol w:w="3742"/>
      </w:tblGrid>
      <w:tr w:rsidR="001D7ABE" w:rsidRPr="0058247A" w14:paraId="58AE70F9" w14:textId="77777777" w:rsidTr="003B3112">
        <w:trPr>
          <w:tblHeader/>
        </w:trPr>
        <w:tc>
          <w:tcPr>
            <w:tcW w:w="729" w:type="pct"/>
            <w:shd w:val="clear" w:color="auto" w:fill="auto"/>
            <w:vAlign w:val="center"/>
          </w:tcPr>
          <w:p w14:paraId="32480A32" w14:textId="77777777" w:rsidR="001D7ABE" w:rsidRPr="0058247A" w:rsidRDefault="001D7ABE">
            <w:pPr>
              <w:pStyle w:val="In-tableHeading"/>
              <w:jc w:val="center"/>
              <w:rPr>
                <w:lang w:val="en-AU"/>
              </w:rPr>
            </w:pPr>
            <w:r w:rsidRPr="0058247A">
              <w:rPr>
                <w:lang w:val="en-AU"/>
              </w:rPr>
              <w:t>Description</w:t>
            </w:r>
          </w:p>
        </w:tc>
        <w:tc>
          <w:tcPr>
            <w:tcW w:w="2196" w:type="pct"/>
            <w:shd w:val="clear" w:color="auto" w:fill="auto"/>
            <w:vAlign w:val="center"/>
          </w:tcPr>
          <w:p w14:paraId="10BBFE34" w14:textId="77777777" w:rsidR="001D7ABE" w:rsidRPr="0058247A" w:rsidRDefault="001D7ABE">
            <w:pPr>
              <w:pStyle w:val="In-tableHeading"/>
              <w:jc w:val="center"/>
              <w:rPr>
                <w:lang w:val="en-AU"/>
              </w:rPr>
            </w:pPr>
            <w:r w:rsidRPr="0058247A">
              <w:rPr>
                <w:lang w:val="en-AU"/>
              </w:rPr>
              <w:t>Method/Value</w:t>
            </w:r>
          </w:p>
        </w:tc>
        <w:tc>
          <w:tcPr>
            <w:tcW w:w="2075" w:type="pct"/>
            <w:shd w:val="clear" w:color="auto" w:fill="auto"/>
            <w:vAlign w:val="center"/>
          </w:tcPr>
          <w:p w14:paraId="1713C2CC" w14:textId="77777777" w:rsidR="001D7ABE" w:rsidRPr="0058247A" w:rsidRDefault="001D7ABE">
            <w:pPr>
              <w:pStyle w:val="In-tableHeading"/>
              <w:jc w:val="center"/>
              <w:rPr>
                <w:lang w:val="en-AU"/>
              </w:rPr>
            </w:pPr>
            <w:r w:rsidRPr="0058247A">
              <w:rPr>
                <w:lang w:val="en-AU"/>
              </w:rPr>
              <w:t>Impact</w:t>
            </w:r>
          </w:p>
          <w:p w14:paraId="6C24BE89" w14:textId="692D6350" w:rsidR="001D7ABE" w:rsidRPr="0058247A" w:rsidRDefault="001D7ABE">
            <w:pPr>
              <w:pStyle w:val="In-tableHeading"/>
              <w:jc w:val="center"/>
              <w:rPr>
                <w:lang w:val="en-AU"/>
              </w:rPr>
            </w:pPr>
            <w:r w:rsidRPr="0058247A">
              <w:rPr>
                <w:rFonts w:cs="Arial"/>
                <w:szCs w:val="20"/>
                <w:lang w:val="en-AU"/>
              </w:rPr>
              <w:t>Base case: $</w:t>
            </w:r>
            <w:r w:rsidR="006E73CD" w:rsidRPr="006E73CD">
              <w:rPr>
                <w:rFonts w:cs="Arial"/>
                <w:color w:val="000000"/>
                <w:spacing w:val="75"/>
                <w:szCs w:val="20"/>
                <w:shd w:val="solid" w:color="000000" w:fill="000000"/>
                <w:fitText w:val="167" w:id="-1236536821"/>
                <w:lang w:val="en-AU"/>
                <w14:textFill>
                  <w14:solidFill>
                    <w14:srgbClr w14:val="000000">
                      <w14:alpha w14:val="100000"/>
                    </w14:srgbClr>
                  </w14:solidFill>
                </w14:textFill>
              </w:rPr>
              <w:t>|</w:t>
            </w:r>
            <w:r w:rsidR="006E73CD" w:rsidRPr="006E73CD">
              <w:rPr>
                <w:rFonts w:cs="Arial"/>
                <w:color w:val="000000"/>
                <w:spacing w:val="1"/>
                <w:szCs w:val="20"/>
                <w:shd w:val="solid" w:color="000000" w:fill="000000"/>
                <w:fitText w:val="167" w:id="-1236536821"/>
                <w:lang w:val="en-AU"/>
                <w14:textFill>
                  <w14:solidFill>
                    <w14:srgbClr w14:val="000000">
                      <w14:alpha w14:val="100000"/>
                    </w14:srgbClr>
                  </w14:solidFill>
                </w14:textFill>
              </w:rPr>
              <w:t>|</w:t>
            </w:r>
            <w:r w:rsidR="00C62A2B">
              <w:rPr>
                <w:rFonts w:cs="Arial"/>
                <w:szCs w:val="20"/>
                <w:vertAlign w:val="superscript"/>
                <w:lang w:val="en-AU"/>
              </w:rPr>
              <w:t>1</w:t>
            </w:r>
            <w:r w:rsidRPr="0058247A">
              <w:rPr>
                <w:rFonts w:cs="Arial"/>
                <w:szCs w:val="20"/>
                <w:lang w:val="en-AU"/>
              </w:rPr>
              <w:t>/QALY gained</w:t>
            </w:r>
          </w:p>
        </w:tc>
      </w:tr>
      <w:tr w:rsidR="001D7ABE" w:rsidRPr="0058247A" w14:paraId="6CE1FB9A" w14:textId="77777777" w:rsidTr="003B3112">
        <w:tc>
          <w:tcPr>
            <w:tcW w:w="729" w:type="pct"/>
            <w:shd w:val="clear" w:color="auto" w:fill="auto"/>
            <w:vAlign w:val="center"/>
          </w:tcPr>
          <w:p w14:paraId="3730ED2E" w14:textId="77777777" w:rsidR="001D7ABE" w:rsidRPr="0058247A" w:rsidRDefault="001D7ABE">
            <w:pPr>
              <w:pStyle w:val="TableText0"/>
            </w:pPr>
            <w:r w:rsidRPr="0058247A">
              <w:t>Time horizon</w:t>
            </w:r>
          </w:p>
        </w:tc>
        <w:tc>
          <w:tcPr>
            <w:tcW w:w="2196" w:type="pct"/>
            <w:shd w:val="clear" w:color="auto" w:fill="auto"/>
            <w:vAlign w:val="center"/>
          </w:tcPr>
          <w:p w14:paraId="6B07C6B0" w14:textId="3DB1BEA2" w:rsidR="001D7ABE" w:rsidRPr="0058247A" w:rsidRDefault="001D7ABE">
            <w:pPr>
              <w:pStyle w:val="TableText0"/>
            </w:pPr>
            <w:r w:rsidRPr="0058247A">
              <w:t xml:space="preserve">The submission </w:t>
            </w:r>
            <w:r w:rsidR="006B28A1" w:rsidRPr="0058247A">
              <w:t xml:space="preserve">applied </w:t>
            </w:r>
            <w:r w:rsidRPr="0058247A">
              <w:t xml:space="preserve">a time horizon of 20 years. </w:t>
            </w:r>
          </w:p>
        </w:tc>
        <w:tc>
          <w:tcPr>
            <w:tcW w:w="2075" w:type="pct"/>
            <w:shd w:val="clear" w:color="auto" w:fill="auto"/>
            <w:vAlign w:val="center"/>
          </w:tcPr>
          <w:p w14:paraId="245E4AFF" w14:textId="77777777" w:rsidR="001D7ABE" w:rsidRPr="0058247A" w:rsidRDefault="001D7ABE">
            <w:pPr>
              <w:pStyle w:val="TableText0"/>
            </w:pPr>
            <w:r w:rsidRPr="0058247A">
              <w:t>Moderate, favours DLd.</w:t>
            </w:r>
          </w:p>
          <w:p w14:paraId="506FD242" w14:textId="15A4890E" w:rsidR="001D7ABE" w:rsidRPr="0058247A" w:rsidRDefault="001D7ABE">
            <w:pPr>
              <w:pStyle w:val="TableText0"/>
            </w:pPr>
            <w:r w:rsidRPr="0058247A">
              <w:t xml:space="preserve">Use of 15 years increased the ICER to </w:t>
            </w:r>
            <w:r w:rsidRPr="0058247A">
              <w:rPr>
                <w:szCs w:val="20"/>
              </w:rPr>
              <w:t>$</w:t>
            </w:r>
            <w:r w:rsidR="006E73CD" w:rsidRPr="006E73CD">
              <w:rPr>
                <w:color w:val="000000"/>
                <w:spacing w:val="29"/>
                <w:szCs w:val="20"/>
                <w:shd w:val="solid" w:color="000000" w:fill="000000"/>
                <w:fitText w:val="550" w:id="-1236536820"/>
                <w14:textFill>
                  <w14:solidFill>
                    <w14:srgbClr w14:val="000000">
                      <w14:alpha w14:val="100000"/>
                    </w14:srgbClr>
                  </w14:solidFill>
                </w14:textFill>
              </w:rPr>
              <w:t>|||||||</w:t>
            </w:r>
            <w:r w:rsidR="006E73CD" w:rsidRPr="006E73CD">
              <w:rPr>
                <w:color w:val="000000"/>
                <w:spacing w:val="7"/>
                <w:szCs w:val="20"/>
                <w:shd w:val="solid" w:color="000000" w:fill="000000"/>
                <w:fitText w:val="550" w:id="-1236536820"/>
                <w14:textFill>
                  <w14:solidFill>
                    <w14:srgbClr w14:val="000000">
                      <w14:alpha w14:val="100000"/>
                    </w14:srgbClr>
                  </w14:solidFill>
                </w14:textFill>
              </w:rPr>
              <w:t>|</w:t>
            </w:r>
            <w:r w:rsidR="00C62A2B">
              <w:rPr>
                <w:szCs w:val="20"/>
                <w:vertAlign w:val="superscript"/>
              </w:rPr>
              <w:t>1</w:t>
            </w:r>
            <w:r w:rsidRPr="0058247A">
              <w:rPr>
                <w:szCs w:val="20"/>
              </w:rPr>
              <w:t>/QALY gained.</w:t>
            </w:r>
          </w:p>
        </w:tc>
      </w:tr>
      <w:tr w:rsidR="001D7ABE" w:rsidRPr="0058247A" w14:paraId="739863F1" w14:textId="77777777" w:rsidTr="003B3112">
        <w:tc>
          <w:tcPr>
            <w:tcW w:w="729" w:type="pct"/>
            <w:vMerge w:val="restart"/>
            <w:shd w:val="clear" w:color="auto" w:fill="auto"/>
            <w:vAlign w:val="center"/>
          </w:tcPr>
          <w:p w14:paraId="347E23AE" w14:textId="77777777" w:rsidR="001D7ABE" w:rsidRPr="0058247A" w:rsidRDefault="001D7ABE">
            <w:pPr>
              <w:pStyle w:val="TableText0"/>
            </w:pPr>
            <w:r w:rsidRPr="0058247A">
              <w:t>Extrapolation</w:t>
            </w:r>
          </w:p>
        </w:tc>
        <w:tc>
          <w:tcPr>
            <w:tcW w:w="2196" w:type="pct"/>
            <w:shd w:val="clear" w:color="auto" w:fill="auto"/>
            <w:vAlign w:val="center"/>
          </w:tcPr>
          <w:p w14:paraId="662B90DE" w14:textId="77777777" w:rsidR="001D7ABE" w:rsidRPr="0058247A" w:rsidRDefault="001D7ABE">
            <w:pPr>
              <w:pStyle w:val="TableText0"/>
            </w:pPr>
            <w:r w:rsidRPr="0058247A">
              <w:rPr>
                <w:rFonts w:cs="Times New Roman"/>
                <w:szCs w:val="20"/>
              </w:rPr>
              <w:t>No convergence of OS, PFS, and TTD for DLd</w:t>
            </w:r>
          </w:p>
        </w:tc>
        <w:tc>
          <w:tcPr>
            <w:tcW w:w="2075" w:type="pct"/>
            <w:shd w:val="clear" w:color="auto" w:fill="auto"/>
            <w:vAlign w:val="center"/>
          </w:tcPr>
          <w:p w14:paraId="30617981" w14:textId="77777777" w:rsidR="001D7ABE" w:rsidRPr="0058247A" w:rsidRDefault="001D7ABE">
            <w:pPr>
              <w:pStyle w:val="TableText0"/>
            </w:pPr>
            <w:r w:rsidRPr="0058247A">
              <w:t>High, favours DLd.</w:t>
            </w:r>
          </w:p>
          <w:p w14:paraId="267F1013" w14:textId="7837199C" w:rsidR="001D7ABE" w:rsidRPr="0058247A" w:rsidRDefault="006B28A1">
            <w:pPr>
              <w:pStyle w:val="TableText0"/>
            </w:pPr>
            <w:r w:rsidRPr="0058247A">
              <w:t xml:space="preserve">Application </w:t>
            </w:r>
            <w:r w:rsidR="001D7ABE" w:rsidRPr="0058247A">
              <w:t>of convergence from year 10 increased the ICER to $</w:t>
            </w:r>
            <w:r w:rsidR="006E73CD" w:rsidRPr="006E73CD">
              <w:rPr>
                <w:color w:val="000000"/>
                <w:spacing w:val="29"/>
                <w:shd w:val="solid" w:color="000000" w:fill="000000"/>
                <w:fitText w:val="550" w:id="-1236536819"/>
                <w14:textFill>
                  <w14:solidFill>
                    <w14:srgbClr w14:val="000000">
                      <w14:alpha w14:val="100000"/>
                    </w14:srgbClr>
                  </w14:solidFill>
                </w14:textFill>
              </w:rPr>
              <w:t>|||||||</w:t>
            </w:r>
            <w:r w:rsidR="006E73CD" w:rsidRPr="006E73CD">
              <w:rPr>
                <w:color w:val="000000"/>
                <w:spacing w:val="7"/>
                <w:shd w:val="solid" w:color="000000" w:fill="000000"/>
                <w:fitText w:val="550" w:id="-1236536819"/>
                <w14:textFill>
                  <w14:solidFill>
                    <w14:srgbClr w14:val="000000">
                      <w14:alpha w14:val="100000"/>
                    </w14:srgbClr>
                  </w14:solidFill>
                </w14:textFill>
              </w:rPr>
              <w:t>|</w:t>
            </w:r>
            <w:r w:rsidR="00C62A2B">
              <w:rPr>
                <w:vertAlign w:val="superscript"/>
              </w:rPr>
              <w:t>1</w:t>
            </w:r>
            <w:r w:rsidR="001D7ABE" w:rsidRPr="0058247A">
              <w:t>/QALY gained.</w:t>
            </w:r>
          </w:p>
        </w:tc>
      </w:tr>
      <w:tr w:rsidR="001D7ABE" w:rsidRPr="0058247A" w14:paraId="43D36C8F" w14:textId="77777777" w:rsidTr="003B3112">
        <w:tc>
          <w:tcPr>
            <w:tcW w:w="729" w:type="pct"/>
            <w:vMerge/>
            <w:shd w:val="clear" w:color="auto" w:fill="auto"/>
            <w:vAlign w:val="center"/>
          </w:tcPr>
          <w:p w14:paraId="383F19D9" w14:textId="77777777" w:rsidR="001D7ABE" w:rsidRPr="0058247A" w:rsidRDefault="001D7ABE">
            <w:pPr>
              <w:pStyle w:val="TableText0"/>
            </w:pPr>
          </w:p>
        </w:tc>
        <w:tc>
          <w:tcPr>
            <w:tcW w:w="2196" w:type="pct"/>
            <w:shd w:val="clear" w:color="auto" w:fill="auto"/>
            <w:vAlign w:val="center"/>
          </w:tcPr>
          <w:p w14:paraId="67CF7910" w14:textId="5F11F683" w:rsidR="001D7ABE" w:rsidRPr="0058247A" w:rsidRDefault="006B28A1">
            <w:pPr>
              <w:pStyle w:val="TableText0"/>
            </w:pPr>
            <w:r w:rsidRPr="0058247A">
              <w:t xml:space="preserve">Application of </w:t>
            </w:r>
            <w:r w:rsidR="001D7ABE" w:rsidRPr="0058247A">
              <w:t xml:space="preserve">the Gompertz </w:t>
            </w:r>
            <w:r w:rsidRPr="0058247A">
              <w:t>distribution to the SoC OS Kaplan Meier curve</w:t>
            </w:r>
          </w:p>
        </w:tc>
        <w:tc>
          <w:tcPr>
            <w:tcW w:w="2075" w:type="pct"/>
            <w:shd w:val="clear" w:color="auto" w:fill="auto"/>
            <w:vAlign w:val="center"/>
          </w:tcPr>
          <w:p w14:paraId="1D6455D9" w14:textId="77777777" w:rsidR="001D7ABE" w:rsidRPr="0058247A" w:rsidRDefault="001D7ABE">
            <w:pPr>
              <w:pStyle w:val="TableText0"/>
            </w:pPr>
            <w:r w:rsidRPr="0058247A">
              <w:t>High, favours DLd</w:t>
            </w:r>
          </w:p>
          <w:p w14:paraId="2D3E230D" w14:textId="422F6657" w:rsidR="001D7ABE" w:rsidRPr="0058247A" w:rsidRDefault="001D7ABE">
            <w:pPr>
              <w:pStyle w:val="TableText0"/>
            </w:pPr>
            <w:r w:rsidRPr="0058247A">
              <w:t xml:space="preserve">Use of the Weibull increased the ICER to </w:t>
            </w:r>
            <w:r w:rsidRPr="0058247A">
              <w:rPr>
                <w:rFonts w:cs="Calibri"/>
                <w:color w:val="000000"/>
                <w:szCs w:val="20"/>
              </w:rPr>
              <w:t>$</w:t>
            </w:r>
            <w:r w:rsidR="006E73CD" w:rsidRPr="006E73CD">
              <w:rPr>
                <w:rFonts w:cs="Calibri"/>
                <w:color w:val="000000"/>
                <w:spacing w:val="29"/>
                <w:szCs w:val="20"/>
                <w:shd w:val="solid" w:color="000000" w:fill="000000"/>
                <w:fitText w:val="550" w:id="-1236536818"/>
                <w14:textFill>
                  <w14:solidFill>
                    <w14:srgbClr w14:val="000000">
                      <w14:alpha w14:val="100000"/>
                    </w14:srgbClr>
                  </w14:solidFill>
                </w14:textFill>
              </w:rPr>
              <w:t>|||||||</w:t>
            </w:r>
            <w:r w:rsidR="006E73CD" w:rsidRPr="006E73CD">
              <w:rPr>
                <w:rFonts w:cs="Calibri"/>
                <w:color w:val="000000"/>
                <w:spacing w:val="7"/>
                <w:szCs w:val="20"/>
                <w:shd w:val="solid" w:color="000000" w:fill="000000"/>
                <w:fitText w:val="550" w:id="-1236536818"/>
                <w14:textFill>
                  <w14:solidFill>
                    <w14:srgbClr w14:val="000000">
                      <w14:alpha w14:val="100000"/>
                    </w14:srgbClr>
                  </w14:solidFill>
                </w14:textFill>
              </w:rPr>
              <w:t>|</w:t>
            </w:r>
            <w:r w:rsidR="00C62A2B">
              <w:rPr>
                <w:rFonts w:cs="Calibri"/>
                <w:color w:val="000000"/>
                <w:szCs w:val="20"/>
                <w:vertAlign w:val="superscript"/>
              </w:rPr>
              <w:t>1</w:t>
            </w:r>
            <w:r w:rsidRPr="0058247A">
              <w:t>/QALY gained.</w:t>
            </w:r>
          </w:p>
        </w:tc>
      </w:tr>
      <w:tr w:rsidR="001D7ABE" w:rsidRPr="0058247A" w14:paraId="260B24EA" w14:textId="77777777" w:rsidTr="003B3112">
        <w:tc>
          <w:tcPr>
            <w:tcW w:w="729" w:type="pct"/>
            <w:shd w:val="clear" w:color="auto" w:fill="auto"/>
            <w:vAlign w:val="center"/>
          </w:tcPr>
          <w:p w14:paraId="20F884B1" w14:textId="73B9FAC4" w:rsidR="001D7ABE" w:rsidRPr="0058247A" w:rsidRDefault="001D7ABE">
            <w:pPr>
              <w:pStyle w:val="TableText0"/>
            </w:pPr>
            <w:r w:rsidRPr="0058247A">
              <w:t>Post-progression cost</w:t>
            </w:r>
            <w:r w:rsidR="006B28A1" w:rsidRPr="0058247A">
              <w:t>s</w:t>
            </w:r>
          </w:p>
        </w:tc>
        <w:tc>
          <w:tcPr>
            <w:tcW w:w="2196" w:type="pct"/>
            <w:shd w:val="clear" w:color="auto" w:fill="auto"/>
            <w:vAlign w:val="center"/>
          </w:tcPr>
          <w:p w14:paraId="79072C80" w14:textId="3CAFE26E" w:rsidR="001D7ABE" w:rsidRPr="0058247A" w:rsidRDefault="001D7ABE">
            <w:pPr>
              <w:pStyle w:val="TableText0"/>
            </w:pPr>
            <w:r w:rsidRPr="0058247A">
              <w:t xml:space="preserve">High post-progression costs for SoC </w:t>
            </w:r>
            <w:r w:rsidR="00D41502" w:rsidRPr="0058247A">
              <w:t>were applied based on</w:t>
            </w:r>
            <w:r w:rsidRPr="0058247A">
              <w:t xml:space="preserve"> the DBd </w:t>
            </w:r>
            <w:r w:rsidR="00D41502" w:rsidRPr="0058247A">
              <w:t xml:space="preserve">in RRMM </w:t>
            </w:r>
            <w:r w:rsidRPr="0058247A">
              <w:t>submission population</w:t>
            </w:r>
          </w:p>
        </w:tc>
        <w:tc>
          <w:tcPr>
            <w:tcW w:w="2075" w:type="pct"/>
            <w:shd w:val="clear" w:color="auto" w:fill="auto"/>
            <w:vAlign w:val="center"/>
          </w:tcPr>
          <w:p w14:paraId="23431F2A" w14:textId="77777777" w:rsidR="001D7ABE" w:rsidRPr="0058247A" w:rsidRDefault="001D7ABE">
            <w:pPr>
              <w:pStyle w:val="TableText0"/>
            </w:pPr>
            <w:r w:rsidRPr="0058247A">
              <w:t>High, favours DLd</w:t>
            </w:r>
          </w:p>
          <w:p w14:paraId="610F610D" w14:textId="4F72B8E4" w:rsidR="001D7ABE" w:rsidRPr="0058247A" w:rsidRDefault="001D7ABE">
            <w:pPr>
              <w:pStyle w:val="TableText0"/>
            </w:pPr>
            <w:r w:rsidRPr="0058247A">
              <w:t>Adjust</w:t>
            </w:r>
            <w:r w:rsidR="00D41502" w:rsidRPr="0058247A">
              <w:t>ing the</w:t>
            </w:r>
            <w:r w:rsidRPr="0058247A">
              <w:t xml:space="preserve"> post-progression time</w:t>
            </w:r>
            <w:r w:rsidR="00D41502" w:rsidRPr="0058247A">
              <w:t xml:space="preserve"> on treatment</w:t>
            </w:r>
            <w:r w:rsidR="005C299A" w:rsidRPr="0058247A">
              <w:rPr>
                <w:vertAlign w:val="superscript"/>
              </w:rPr>
              <w:t>a</w:t>
            </w:r>
            <w:r w:rsidRPr="0058247A">
              <w:t xml:space="preserve"> increased the ICER to $</w:t>
            </w:r>
            <w:r w:rsidR="006E73CD" w:rsidRPr="006E73CD">
              <w:rPr>
                <w:color w:val="000000"/>
                <w:spacing w:val="29"/>
                <w:shd w:val="solid" w:color="000000" w:fill="000000"/>
                <w:fitText w:val="550" w:id="-1236536817"/>
                <w14:textFill>
                  <w14:solidFill>
                    <w14:srgbClr w14:val="000000">
                      <w14:alpha w14:val="100000"/>
                    </w14:srgbClr>
                  </w14:solidFill>
                </w14:textFill>
              </w:rPr>
              <w:t>|||||||</w:t>
            </w:r>
            <w:r w:rsidR="006E73CD" w:rsidRPr="006E73CD">
              <w:rPr>
                <w:color w:val="000000"/>
                <w:spacing w:val="7"/>
                <w:shd w:val="solid" w:color="000000" w:fill="000000"/>
                <w:fitText w:val="550" w:id="-1236536817"/>
                <w14:textFill>
                  <w14:solidFill>
                    <w14:srgbClr w14:val="000000">
                      <w14:alpha w14:val="100000"/>
                    </w14:srgbClr>
                  </w14:solidFill>
                </w14:textFill>
              </w:rPr>
              <w:t>|</w:t>
            </w:r>
            <w:r w:rsidR="00C62A2B">
              <w:rPr>
                <w:vertAlign w:val="superscript"/>
              </w:rPr>
              <w:t>1</w:t>
            </w:r>
            <w:r w:rsidRPr="0058247A">
              <w:t>/QALY gained.</w:t>
            </w:r>
          </w:p>
        </w:tc>
      </w:tr>
    </w:tbl>
    <w:p w14:paraId="1493DBC9" w14:textId="77777777" w:rsidR="001D7ABE" w:rsidRPr="0058247A" w:rsidRDefault="001D7ABE" w:rsidP="001D7ABE">
      <w:pPr>
        <w:pStyle w:val="FooterTableFigure"/>
        <w:rPr>
          <w:szCs w:val="18"/>
        </w:rPr>
      </w:pPr>
      <w:r w:rsidRPr="0058247A">
        <w:t xml:space="preserve">Source: </w:t>
      </w:r>
      <w:r w:rsidRPr="0058247A">
        <w:rPr>
          <w:szCs w:val="18"/>
        </w:rPr>
        <w:t>Compiled during the evaluation using the information from the economic model of the submission.</w:t>
      </w:r>
    </w:p>
    <w:p w14:paraId="07635908" w14:textId="03F27133" w:rsidR="001D7ABE" w:rsidRPr="0058247A" w:rsidRDefault="001D7ABE" w:rsidP="001D7ABE">
      <w:pPr>
        <w:pStyle w:val="FooterTableFigure"/>
        <w:rPr>
          <w:szCs w:val="18"/>
        </w:rPr>
      </w:pPr>
      <w:r w:rsidRPr="0058247A">
        <w:rPr>
          <w:szCs w:val="18"/>
        </w:rPr>
        <w:t xml:space="preserve">DLd = daratumumab with lenalidomide and dexamethasone; </w:t>
      </w:r>
      <w:r w:rsidRPr="0058247A">
        <w:rPr>
          <w:sz w:val="16"/>
          <w:szCs w:val="18"/>
        </w:rPr>
        <w:t>ICER = incremental cost-effectiveness ratio</w:t>
      </w:r>
      <w:r w:rsidRPr="0058247A">
        <w:rPr>
          <w:szCs w:val="18"/>
        </w:rPr>
        <w:t>; OS = overall survival; PFS = progression free survival; QALY = quality-adjusted life-year; SoC = standard of care; TTD = time-to-treatment discontinuation</w:t>
      </w:r>
    </w:p>
    <w:p w14:paraId="06ED65FB" w14:textId="7BCFC39B" w:rsidR="005C299A" w:rsidRDefault="005C299A" w:rsidP="00C62A2B">
      <w:pPr>
        <w:pStyle w:val="FooterTableFigure"/>
        <w:spacing w:after="0"/>
        <w:rPr>
          <w:rFonts w:eastAsia="Calibri"/>
          <w:szCs w:val="20"/>
        </w:rPr>
      </w:pPr>
      <w:r w:rsidRPr="0058247A">
        <w:rPr>
          <w:rFonts w:eastAsia="Calibri"/>
          <w:szCs w:val="20"/>
          <w:vertAlign w:val="superscript"/>
        </w:rPr>
        <w:t>a</w:t>
      </w:r>
      <w:r w:rsidRPr="0058247A">
        <w:rPr>
          <w:rFonts w:eastAsia="Calibri"/>
          <w:szCs w:val="20"/>
        </w:rPr>
        <w:t xml:space="preserve"> </w:t>
      </w:r>
      <w:r w:rsidR="00146F58" w:rsidRPr="0058247A">
        <w:rPr>
          <w:rFonts w:eastAsia="Calibri"/>
          <w:szCs w:val="20"/>
        </w:rPr>
        <w:t>adjust</w:t>
      </w:r>
      <w:r w:rsidR="00704359" w:rsidRPr="0058247A">
        <w:rPr>
          <w:rFonts w:eastAsia="Calibri"/>
          <w:szCs w:val="20"/>
        </w:rPr>
        <w:t xml:space="preserve"> post-progression cost of SoC with a factor of 56.4% which is a ratio of </w:t>
      </w:r>
      <w:r w:rsidR="00146F58" w:rsidRPr="0058247A">
        <w:rPr>
          <w:rFonts w:eastAsia="Calibri"/>
          <w:szCs w:val="20"/>
        </w:rPr>
        <w:t>(</w:t>
      </w:r>
      <w:r w:rsidRPr="0058247A">
        <w:rPr>
          <w:rFonts w:eastAsia="Calibri"/>
          <w:szCs w:val="20"/>
        </w:rPr>
        <w:t>discounted</w:t>
      </w:r>
      <w:r w:rsidR="00146F58" w:rsidRPr="0058247A">
        <w:rPr>
          <w:rFonts w:eastAsia="Calibri"/>
          <w:szCs w:val="20"/>
        </w:rPr>
        <w:t>)</w:t>
      </w:r>
      <w:r w:rsidRPr="0058247A">
        <w:rPr>
          <w:rFonts w:eastAsia="Calibri"/>
          <w:szCs w:val="20"/>
        </w:rPr>
        <w:t xml:space="preserve"> mean post-progression time </w:t>
      </w:r>
      <w:r w:rsidR="006155B2" w:rsidRPr="0058247A">
        <w:rPr>
          <w:rFonts w:eastAsia="Calibri"/>
          <w:szCs w:val="20"/>
        </w:rPr>
        <w:t xml:space="preserve">in </w:t>
      </w:r>
      <w:r w:rsidRPr="0058247A">
        <w:rPr>
          <w:rFonts w:eastAsia="Calibri"/>
          <w:szCs w:val="20"/>
        </w:rPr>
        <w:t xml:space="preserve">the economic model </w:t>
      </w:r>
      <w:r w:rsidR="00704359" w:rsidRPr="0058247A">
        <w:rPr>
          <w:rFonts w:eastAsia="Calibri"/>
          <w:szCs w:val="20"/>
        </w:rPr>
        <w:t>of</w:t>
      </w:r>
      <w:r w:rsidR="00861910" w:rsidRPr="0058247A">
        <w:rPr>
          <w:rFonts w:eastAsia="Calibri"/>
          <w:szCs w:val="20"/>
        </w:rPr>
        <w:t xml:space="preserve"> SoC</w:t>
      </w:r>
      <w:r w:rsidR="00704359" w:rsidRPr="0058247A">
        <w:rPr>
          <w:rFonts w:eastAsia="Calibri"/>
          <w:szCs w:val="20"/>
        </w:rPr>
        <w:t xml:space="preserve"> (17.3 months)</w:t>
      </w:r>
      <w:r w:rsidR="006155B2" w:rsidRPr="0058247A">
        <w:rPr>
          <w:rFonts w:eastAsia="Calibri"/>
          <w:szCs w:val="20"/>
        </w:rPr>
        <w:t xml:space="preserve"> </w:t>
      </w:r>
      <w:r w:rsidR="00704359" w:rsidRPr="0058247A">
        <w:rPr>
          <w:rFonts w:eastAsia="Calibri"/>
          <w:szCs w:val="20"/>
        </w:rPr>
        <w:t xml:space="preserve">to (discounted) time-on-treatment with DBd </w:t>
      </w:r>
      <w:r w:rsidRPr="0058247A">
        <w:rPr>
          <w:rFonts w:eastAsia="Calibri"/>
          <w:szCs w:val="20"/>
        </w:rPr>
        <w:t>(30.7</w:t>
      </w:r>
      <w:r w:rsidR="006155B2" w:rsidRPr="0058247A">
        <w:rPr>
          <w:rFonts w:eastAsia="Calibri"/>
          <w:szCs w:val="20"/>
        </w:rPr>
        <w:t xml:space="preserve"> months</w:t>
      </w:r>
      <w:r w:rsidRPr="0058247A">
        <w:rPr>
          <w:rFonts w:eastAsia="Calibri"/>
          <w:szCs w:val="20"/>
        </w:rPr>
        <w:t>)</w:t>
      </w:r>
      <w:r w:rsidR="00704359" w:rsidRPr="0058247A">
        <w:rPr>
          <w:rFonts w:eastAsia="Calibri"/>
          <w:szCs w:val="20"/>
        </w:rPr>
        <w:t>.</w:t>
      </w:r>
    </w:p>
    <w:p w14:paraId="6505542C" w14:textId="77777777" w:rsidR="00C62A2B" w:rsidRPr="009A6D58" w:rsidRDefault="00C62A2B" w:rsidP="00C62A2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C901388" w14:textId="02CA25FA" w:rsidR="00C62A2B" w:rsidRPr="00C62A2B" w:rsidRDefault="00C62A2B" w:rsidP="00C62A2B">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62A2B">
        <w:rPr>
          <w:rFonts w:ascii="Arial Narrow" w:hAnsi="Arial Narrow"/>
          <w:i/>
          <w:sz w:val="18"/>
          <w:szCs w:val="18"/>
        </w:rPr>
        <w:t>$155,000 to &lt; $255,000</w:t>
      </w:r>
    </w:p>
    <w:p w14:paraId="095B456D" w14:textId="553DE3D3" w:rsidR="001D7ABE" w:rsidRPr="006154DA" w:rsidRDefault="001D7ABE" w:rsidP="00720D59">
      <w:pPr>
        <w:pStyle w:val="3-BodyText"/>
      </w:pPr>
      <w:bookmarkStart w:id="94" w:name="_Ref104805160"/>
      <w:r w:rsidRPr="006154DA">
        <w:t>A summary of the results of the stepped economic analysis is presented in</w:t>
      </w:r>
      <w:r w:rsidR="005D01D1" w:rsidRPr="006154DA">
        <w:t xml:space="preserve"> </w:t>
      </w:r>
      <w:r w:rsidR="005D01D1" w:rsidRPr="006154DA">
        <w:fldChar w:fldCharType="begin"/>
      </w:r>
      <w:r w:rsidR="005D01D1" w:rsidRPr="006154DA">
        <w:instrText xml:space="preserve"> REF _Ref121494160 \h </w:instrText>
      </w:r>
      <w:r w:rsidR="006154DA" w:rsidRPr="006154DA">
        <w:instrText xml:space="preserve"> \* MERGEFORMAT </w:instrText>
      </w:r>
      <w:r w:rsidR="005D01D1" w:rsidRPr="006154DA">
        <w:fldChar w:fldCharType="separate"/>
      </w:r>
      <w:r w:rsidR="008D65C7" w:rsidRPr="0058247A">
        <w:t xml:space="preserve">Table </w:t>
      </w:r>
      <w:r w:rsidR="008D65C7">
        <w:t>17</w:t>
      </w:r>
      <w:r w:rsidR="005D01D1" w:rsidRPr="006154DA">
        <w:fldChar w:fldCharType="end"/>
      </w:r>
      <w:r w:rsidRPr="006154DA">
        <w:t xml:space="preserve">. </w:t>
      </w:r>
      <w:r w:rsidR="002774EA" w:rsidRPr="006154DA">
        <w:t>The results of the revised base case presented in the PSCR is also presented w</w:t>
      </w:r>
      <w:r w:rsidR="00705911" w:rsidRPr="006154DA">
        <w:t>hich</w:t>
      </w:r>
      <w:r w:rsidR="002774EA" w:rsidRPr="006154DA">
        <w:t xml:space="preserve"> applies the updated subsequent therapy costs</w:t>
      </w:r>
      <w:r w:rsidR="00705911" w:rsidRPr="006154DA">
        <w:t xml:space="preserve"> as described above (see paragraph </w:t>
      </w:r>
      <w:r w:rsidR="00705911" w:rsidRPr="006154DA">
        <w:lastRenderedPageBreak/>
        <w:fldChar w:fldCharType="begin"/>
      </w:r>
      <w:r w:rsidR="00705911" w:rsidRPr="006154DA">
        <w:instrText xml:space="preserve"> REF _Ref127023020 \r \h </w:instrText>
      </w:r>
      <w:r w:rsidR="006154DA" w:rsidRPr="006154DA">
        <w:instrText xml:space="preserve"> \* MERGEFORMAT </w:instrText>
      </w:r>
      <w:r w:rsidR="00705911" w:rsidRPr="006154DA">
        <w:fldChar w:fldCharType="separate"/>
      </w:r>
      <w:r w:rsidR="008D65C7">
        <w:t>6.49</w:t>
      </w:r>
      <w:r w:rsidR="00705911" w:rsidRPr="006154DA">
        <w:fldChar w:fldCharType="end"/>
      </w:r>
      <w:r w:rsidR="00705911" w:rsidRPr="006154DA">
        <w:t>)</w:t>
      </w:r>
      <w:r w:rsidR="002774EA" w:rsidRPr="006154DA">
        <w:t xml:space="preserve">. </w:t>
      </w:r>
      <w:r w:rsidR="003B7018" w:rsidRPr="006154DA">
        <w:t>These results were based on the effective price for daratumumab</w:t>
      </w:r>
      <w:r w:rsidR="00A123E0" w:rsidRPr="006154DA">
        <w:t xml:space="preserve"> (without RSA adjustment)</w:t>
      </w:r>
      <w:r w:rsidR="003B7018" w:rsidRPr="006154DA">
        <w:t xml:space="preserve">, bortezomib and assumed effective price for lenalidomide (50% of the published price). </w:t>
      </w:r>
      <w:r w:rsidR="0078569D">
        <w:t>The pre-PBAC response presented an updated base case in which the revised costs for lenalidomide, following PBS listing of a generic brand, were included.</w:t>
      </w:r>
    </w:p>
    <w:p w14:paraId="06FD083B" w14:textId="57866EF0" w:rsidR="001D7ABE" w:rsidRPr="0058247A" w:rsidRDefault="001D7ABE" w:rsidP="005F26D4">
      <w:pPr>
        <w:pStyle w:val="Caption"/>
        <w:rPr>
          <w:szCs w:val="20"/>
        </w:rPr>
      </w:pPr>
      <w:bookmarkStart w:id="95" w:name="_Ref121494160"/>
      <w:r w:rsidRPr="0058247A">
        <w:t xml:space="preserve">Table </w:t>
      </w:r>
      <w:fldSimple w:instr=" SEQ Table \* ARABIC ">
        <w:r w:rsidR="008D65C7">
          <w:rPr>
            <w:noProof/>
          </w:rPr>
          <w:t>17</w:t>
        </w:r>
      </w:fldSimple>
      <w:bookmarkEnd w:id="95"/>
      <w:r w:rsidRPr="0058247A">
        <w:rPr>
          <w:szCs w:val="20"/>
        </w:rPr>
        <w:t>: Results of the base-case modelled economic evaluation</w:t>
      </w:r>
    </w:p>
    <w:tbl>
      <w:tblPr>
        <w:tblStyle w:val="ASDTable1"/>
        <w:tblW w:w="0" w:type="auto"/>
        <w:tblLook w:val="04A0" w:firstRow="1" w:lastRow="0" w:firstColumn="1" w:lastColumn="0" w:noHBand="0" w:noVBand="1"/>
      </w:tblPr>
      <w:tblGrid>
        <w:gridCol w:w="3375"/>
        <w:gridCol w:w="1880"/>
        <w:gridCol w:w="1880"/>
        <w:gridCol w:w="1882"/>
      </w:tblGrid>
      <w:tr w:rsidR="001D7ABE" w:rsidRPr="006154DA" w14:paraId="3E4D2F2F" w14:textId="77777777">
        <w:tc>
          <w:tcPr>
            <w:tcW w:w="3375" w:type="dxa"/>
          </w:tcPr>
          <w:p w14:paraId="343172C3" w14:textId="77777777" w:rsidR="001D7ABE" w:rsidRPr="006154DA" w:rsidRDefault="001D7ABE" w:rsidP="005F26D4">
            <w:pPr>
              <w:keepNext/>
              <w:jc w:val="center"/>
              <w:rPr>
                <w:rFonts w:ascii="Arial Narrow" w:hAnsi="Arial Narrow"/>
                <w:sz w:val="20"/>
                <w:szCs w:val="20"/>
              </w:rPr>
            </w:pPr>
          </w:p>
        </w:tc>
        <w:tc>
          <w:tcPr>
            <w:tcW w:w="1880" w:type="dxa"/>
          </w:tcPr>
          <w:p w14:paraId="680C6693" w14:textId="77777777" w:rsidR="001D7ABE" w:rsidRPr="006154DA" w:rsidRDefault="001D7ABE" w:rsidP="005F26D4">
            <w:pPr>
              <w:keepNext/>
              <w:jc w:val="center"/>
              <w:rPr>
                <w:rFonts w:ascii="Arial Narrow" w:hAnsi="Arial Narrow"/>
                <w:b/>
                <w:bCs/>
                <w:sz w:val="20"/>
                <w:szCs w:val="20"/>
              </w:rPr>
            </w:pPr>
            <w:r w:rsidRPr="006154DA">
              <w:rPr>
                <w:rFonts w:ascii="Arial Narrow" w:hAnsi="Arial Narrow"/>
                <w:b/>
                <w:bCs/>
                <w:sz w:val="20"/>
                <w:szCs w:val="20"/>
              </w:rPr>
              <w:t>DLd</w:t>
            </w:r>
          </w:p>
        </w:tc>
        <w:tc>
          <w:tcPr>
            <w:tcW w:w="1880" w:type="dxa"/>
          </w:tcPr>
          <w:p w14:paraId="3EC7F709" w14:textId="77777777" w:rsidR="001D7ABE" w:rsidRPr="006154DA" w:rsidRDefault="001D7ABE" w:rsidP="005F26D4">
            <w:pPr>
              <w:keepNext/>
              <w:jc w:val="center"/>
              <w:rPr>
                <w:rFonts w:ascii="Arial Narrow" w:hAnsi="Arial Narrow"/>
                <w:b/>
                <w:bCs/>
                <w:sz w:val="20"/>
                <w:szCs w:val="20"/>
              </w:rPr>
            </w:pPr>
            <w:r w:rsidRPr="006154DA">
              <w:rPr>
                <w:rFonts w:ascii="Arial Narrow" w:hAnsi="Arial Narrow"/>
                <w:b/>
                <w:bCs/>
                <w:sz w:val="20"/>
                <w:szCs w:val="20"/>
              </w:rPr>
              <w:t>SoC</w:t>
            </w:r>
          </w:p>
        </w:tc>
        <w:tc>
          <w:tcPr>
            <w:tcW w:w="1882" w:type="dxa"/>
          </w:tcPr>
          <w:p w14:paraId="185CE1C0" w14:textId="77777777" w:rsidR="001D7ABE" w:rsidRPr="006154DA" w:rsidRDefault="001D7ABE" w:rsidP="005F26D4">
            <w:pPr>
              <w:keepNext/>
              <w:jc w:val="center"/>
              <w:rPr>
                <w:rFonts w:ascii="Arial Narrow" w:hAnsi="Arial Narrow"/>
                <w:b/>
                <w:bCs/>
                <w:sz w:val="20"/>
                <w:szCs w:val="20"/>
              </w:rPr>
            </w:pPr>
            <w:r w:rsidRPr="006154DA">
              <w:rPr>
                <w:rFonts w:ascii="Arial Narrow" w:hAnsi="Arial Narrow"/>
                <w:b/>
                <w:bCs/>
                <w:sz w:val="20"/>
                <w:szCs w:val="20"/>
              </w:rPr>
              <w:t>Increment</w:t>
            </w:r>
          </w:p>
        </w:tc>
      </w:tr>
      <w:tr w:rsidR="00DE7AA7" w:rsidRPr="006154DA" w14:paraId="5070732F" w14:textId="77777777" w:rsidTr="0021164A">
        <w:tc>
          <w:tcPr>
            <w:tcW w:w="9017" w:type="dxa"/>
            <w:gridSpan w:val="4"/>
          </w:tcPr>
          <w:p w14:paraId="0D6E02DC" w14:textId="0CFDAC85" w:rsidR="00DE7AA7" w:rsidRPr="006154DA" w:rsidRDefault="00DE7AA7" w:rsidP="00DE7AA7">
            <w:pPr>
              <w:keepNext/>
              <w:jc w:val="left"/>
              <w:rPr>
                <w:rFonts w:ascii="Arial Narrow" w:hAnsi="Arial Narrow"/>
                <w:b/>
                <w:bCs/>
                <w:sz w:val="20"/>
                <w:szCs w:val="20"/>
              </w:rPr>
            </w:pPr>
            <w:r w:rsidRPr="006154DA">
              <w:rPr>
                <w:rFonts w:ascii="Arial Narrow" w:hAnsi="Arial Narrow"/>
                <w:b/>
                <w:bCs/>
                <w:sz w:val="20"/>
                <w:szCs w:val="20"/>
              </w:rPr>
              <w:t>Step 1: trial-based analysis</w:t>
            </w:r>
          </w:p>
        </w:tc>
      </w:tr>
      <w:tr w:rsidR="00DE7AA7" w:rsidRPr="006154DA" w14:paraId="46359125" w14:textId="77777777">
        <w:tc>
          <w:tcPr>
            <w:tcW w:w="3375" w:type="dxa"/>
          </w:tcPr>
          <w:p w14:paraId="42B58D88" w14:textId="647A6570" w:rsidR="00DE7AA7" w:rsidRPr="006154DA" w:rsidRDefault="00DE7AA7" w:rsidP="00DE7AA7">
            <w:pPr>
              <w:keepNext/>
              <w:jc w:val="left"/>
              <w:rPr>
                <w:rFonts w:ascii="Arial Narrow" w:hAnsi="Arial Narrow"/>
                <w:sz w:val="20"/>
                <w:szCs w:val="20"/>
              </w:rPr>
            </w:pPr>
            <w:r w:rsidRPr="006154DA">
              <w:rPr>
                <w:rFonts w:ascii="Arial Narrow" w:hAnsi="Arial Narrow"/>
                <w:sz w:val="20"/>
                <w:szCs w:val="20"/>
              </w:rPr>
              <w:t>Costs</w:t>
            </w:r>
          </w:p>
        </w:tc>
        <w:tc>
          <w:tcPr>
            <w:tcW w:w="1880" w:type="dxa"/>
          </w:tcPr>
          <w:p w14:paraId="4A037751" w14:textId="5D9BF792" w:rsidR="00DE7AA7" w:rsidRPr="006154DA" w:rsidRDefault="00DE7AA7" w:rsidP="00DE7AA7">
            <w:pPr>
              <w:keepNext/>
              <w:jc w:val="center"/>
              <w:rPr>
                <w:rFonts w:ascii="Arial Narrow" w:hAnsi="Arial Narrow"/>
                <w:b/>
                <w:bCs/>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2" w:id="-1236536816"/>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2" w:id="-1236536816"/>
                <w14:textFill>
                  <w14:solidFill>
                    <w14:srgbClr w14:val="000000">
                      <w14:alpha w14:val="100000"/>
                    </w14:srgbClr>
                  </w14:solidFill>
                </w14:textFill>
              </w:rPr>
              <w:t>|</w:t>
            </w:r>
            <w:r w:rsidR="006E73CD" w:rsidRPr="006E73CD">
              <w:rPr>
                <w:rFonts w:ascii="Arial Narrow" w:hAnsi="Arial Narrow" w:hint="eastAsia"/>
                <w:color w:val="000000"/>
                <w:spacing w:val="5"/>
                <w:w w:val="20"/>
                <w:sz w:val="20"/>
                <w:szCs w:val="20"/>
                <w:shd w:val="solid" w:color="000000" w:fill="000000"/>
                <w:fitText w:val="92" w:id="-1236536816"/>
                <w14:textFill>
                  <w14:solidFill>
                    <w14:srgbClr w14:val="000000">
                      <w14:alpha w14:val="100000"/>
                    </w14:srgbClr>
                  </w14:solidFill>
                </w14:textFill>
              </w:rPr>
              <w:t xml:space="preserve">　</w:t>
            </w:r>
          </w:p>
        </w:tc>
        <w:tc>
          <w:tcPr>
            <w:tcW w:w="1880" w:type="dxa"/>
          </w:tcPr>
          <w:p w14:paraId="02054143" w14:textId="7A098691" w:rsidR="00DE7AA7" w:rsidRPr="006154DA" w:rsidRDefault="00DE7AA7" w:rsidP="00DE7AA7">
            <w:pPr>
              <w:keepNext/>
              <w:jc w:val="center"/>
              <w:rPr>
                <w:rFonts w:ascii="Arial Narrow" w:hAnsi="Arial Narrow"/>
                <w:b/>
                <w:bCs/>
                <w:sz w:val="20"/>
                <w:szCs w:val="20"/>
              </w:rPr>
            </w:pPr>
            <w:r w:rsidRPr="006154DA">
              <w:rPr>
                <w:rFonts w:ascii="Arial Narrow" w:hAnsi="Arial Narrow"/>
                <w:sz w:val="20"/>
                <w:szCs w:val="20"/>
              </w:rPr>
              <w:t>$86,986</w:t>
            </w:r>
          </w:p>
        </w:tc>
        <w:tc>
          <w:tcPr>
            <w:tcW w:w="1882" w:type="dxa"/>
          </w:tcPr>
          <w:p w14:paraId="1EA54ADC" w14:textId="24C2591B" w:rsidR="00DE7AA7" w:rsidRPr="006154DA" w:rsidRDefault="00DE7AA7" w:rsidP="00DE7AA7">
            <w:pPr>
              <w:keepNext/>
              <w:jc w:val="center"/>
              <w:rPr>
                <w:rFonts w:ascii="Arial Narrow" w:hAnsi="Arial Narrow"/>
                <w:b/>
                <w:bCs/>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1" w:id="-1236536832"/>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1" w:id="-1236536832"/>
                <w14:textFill>
                  <w14:solidFill>
                    <w14:srgbClr w14:val="000000">
                      <w14:alpha w14:val="100000"/>
                    </w14:srgbClr>
                  </w14:solidFill>
                </w14:textFill>
              </w:rPr>
              <w:t>|</w:t>
            </w:r>
            <w:r w:rsidR="006E73CD" w:rsidRPr="006E73CD">
              <w:rPr>
                <w:rFonts w:ascii="Arial Narrow" w:hAnsi="Arial Narrow" w:hint="eastAsia"/>
                <w:color w:val="000000"/>
                <w:spacing w:val="4"/>
                <w:w w:val="20"/>
                <w:sz w:val="20"/>
                <w:szCs w:val="20"/>
                <w:shd w:val="solid" w:color="000000" w:fill="000000"/>
                <w:fitText w:val="91" w:id="-1236536832"/>
                <w14:textFill>
                  <w14:solidFill>
                    <w14:srgbClr w14:val="000000">
                      <w14:alpha w14:val="100000"/>
                    </w14:srgbClr>
                  </w14:solidFill>
                </w14:textFill>
              </w:rPr>
              <w:t xml:space="preserve">　</w:t>
            </w:r>
          </w:p>
        </w:tc>
      </w:tr>
      <w:tr w:rsidR="00DE7AA7" w:rsidRPr="006154DA" w14:paraId="1496893F" w14:textId="77777777">
        <w:tc>
          <w:tcPr>
            <w:tcW w:w="3375" w:type="dxa"/>
          </w:tcPr>
          <w:p w14:paraId="2AE14560" w14:textId="385A7C96" w:rsidR="00DE7AA7" w:rsidRPr="006154DA" w:rsidRDefault="00DE7AA7" w:rsidP="00DE7AA7">
            <w:pPr>
              <w:keepNext/>
              <w:jc w:val="left"/>
              <w:rPr>
                <w:rFonts w:ascii="Arial Narrow" w:hAnsi="Arial Narrow"/>
                <w:sz w:val="20"/>
                <w:szCs w:val="20"/>
              </w:rPr>
            </w:pPr>
            <w:r w:rsidRPr="006154DA">
              <w:rPr>
                <w:rFonts w:ascii="Arial Narrow" w:hAnsi="Arial Narrow"/>
                <w:sz w:val="20"/>
                <w:szCs w:val="20"/>
              </w:rPr>
              <w:t>LYs</w:t>
            </w:r>
          </w:p>
        </w:tc>
        <w:tc>
          <w:tcPr>
            <w:tcW w:w="1880" w:type="dxa"/>
          </w:tcPr>
          <w:p w14:paraId="1F2F482C" w14:textId="6269ED38" w:rsidR="00DE7AA7" w:rsidRPr="006154DA" w:rsidRDefault="00DE7AA7" w:rsidP="00DE7AA7">
            <w:pPr>
              <w:keepNext/>
              <w:jc w:val="center"/>
              <w:rPr>
                <w:rFonts w:ascii="Arial Narrow" w:hAnsi="Arial Narrow"/>
                <w:b/>
                <w:bCs/>
                <w:sz w:val="20"/>
                <w:szCs w:val="20"/>
              </w:rPr>
            </w:pPr>
            <w:r w:rsidRPr="006154DA">
              <w:rPr>
                <w:rFonts w:ascii="Arial Narrow" w:hAnsi="Arial Narrow"/>
                <w:sz w:val="20"/>
                <w:szCs w:val="20"/>
              </w:rPr>
              <w:t>4.362</w:t>
            </w:r>
          </w:p>
        </w:tc>
        <w:tc>
          <w:tcPr>
            <w:tcW w:w="1880" w:type="dxa"/>
          </w:tcPr>
          <w:p w14:paraId="73F080B8" w14:textId="1491DF81" w:rsidR="00DE7AA7" w:rsidRPr="006154DA" w:rsidRDefault="00DE7AA7" w:rsidP="00DE7AA7">
            <w:pPr>
              <w:keepNext/>
              <w:jc w:val="center"/>
              <w:rPr>
                <w:rFonts w:ascii="Arial Narrow" w:hAnsi="Arial Narrow"/>
                <w:b/>
                <w:bCs/>
                <w:sz w:val="20"/>
                <w:szCs w:val="20"/>
              </w:rPr>
            </w:pPr>
            <w:r w:rsidRPr="006154DA">
              <w:rPr>
                <w:rFonts w:ascii="Arial Narrow" w:hAnsi="Arial Narrow"/>
                <w:sz w:val="20"/>
                <w:szCs w:val="20"/>
              </w:rPr>
              <w:t>4.070</w:t>
            </w:r>
          </w:p>
        </w:tc>
        <w:tc>
          <w:tcPr>
            <w:tcW w:w="1882" w:type="dxa"/>
          </w:tcPr>
          <w:p w14:paraId="6C8710A5" w14:textId="7FB1A0F6" w:rsidR="00DE7AA7" w:rsidRPr="006154DA" w:rsidRDefault="00DE7AA7" w:rsidP="00DE7AA7">
            <w:pPr>
              <w:keepNext/>
              <w:jc w:val="center"/>
              <w:rPr>
                <w:rFonts w:ascii="Arial Narrow" w:hAnsi="Arial Narrow"/>
                <w:b/>
                <w:bCs/>
                <w:sz w:val="20"/>
                <w:szCs w:val="20"/>
              </w:rPr>
            </w:pPr>
            <w:r w:rsidRPr="006154DA">
              <w:rPr>
                <w:rFonts w:ascii="Arial Narrow" w:hAnsi="Arial Narrow"/>
                <w:sz w:val="20"/>
                <w:szCs w:val="20"/>
              </w:rPr>
              <w:t>0.292</w:t>
            </w:r>
          </w:p>
        </w:tc>
      </w:tr>
      <w:tr w:rsidR="00DE7AA7" w:rsidRPr="006154DA" w14:paraId="592000AF" w14:textId="77777777" w:rsidTr="0021164A">
        <w:tc>
          <w:tcPr>
            <w:tcW w:w="7135" w:type="dxa"/>
            <w:gridSpan w:val="3"/>
          </w:tcPr>
          <w:p w14:paraId="16711F4E" w14:textId="5D1222E1" w:rsidR="00DE7AA7" w:rsidRPr="006154DA" w:rsidRDefault="00DE7AA7" w:rsidP="00DE7AA7">
            <w:pPr>
              <w:keepNext/>
              <w:jc w:val="right"/>
              <w:rPr>
                <w:rFonts w:ascii="Arial Narrow" w:hAnsi="Arial Narrow"/>
                <w:b/>
                <w:bCs/>
                <w:sz w:val="20"/>
                <w:szCs w:val="20"/>
              </w:rPr>
            </w:pPr>
            <w:r w:rsidRPr="006154DA">
              <w:rPr>
                <w:rFonts w:ascii="Arial Narrow" w:hAnsi="Arial Narrow"/>
                <w:sz w:val="20"/>
                <w:szCs w:val="20"/>
              </w:rPr>
              <w:t>Incremental cost per LY gained</w:t>
            </w:r>
          </w:p>
        </w:tc>
        <w:tc>
          <w:tcPr>
            <w:tcW w:w="1882" w:type="dxa"/>
          </w:tcPr>
          <w:p w14:paraId="0CCABF77" w14:textId="217A8FAD" w:rsidR="00DE7AA7" w:rsidRPr="00C62A2B" w:rsidRDefault="00DE7AA7" w:rsidP="005F26D4">
            <w:pPr>
              <w:keepNext/>
              <w:jc w:val="center"/>
              <w:rPr>
                <w:rFonts w:ascii="Arial Narrow" w:hAnsi="Arial Narrow"/>
                <w:b/>
                <w:bCs/>
                <w:sz w:val="20"/>
                <w:szCs w:val="20"/>
                <w:vertAlign w:val="superscript"/>
              </w:rPr>
            </w:pPr>
            <w:r w:rsidRPr="006154DA">
              <w:rPr>
                <w:rFonts w:ascii="Arial Narrow" w:hAnsi="Arial Narrow"/>
                <w:sz w:val="20"/>
                <w:szCs w:val="20"/>
              </w:rPr>
              <w:t>$</w:t>
            </w:r>
            <w:r w:rsidR="006E73CD" w:rsidRPr="006E73CD">
              <w:rPr>
                <w:rFonts w:ascii="Arial Narrow" w:hAnsi="Arial Narrow" w:hint="eastAsia"/>
                <w:color w:val="000000"/>
                <w:w w:val="24"/>
                <w:sz w:val="20"/>
                <w:szCs w:val="20"/>
                <w:shd w:val="solid" w:color="000000" w:fill="000000"/>
                <w:fitText w:val="108" w:id="-1236536831"/>
                <w14:textFill>
                  <w14:solidFill>
                    <w14:srgbClr w14:val="000000">
                      <w14:alpha w14:val="100000"/>
                    </w14:srgbClr>
                  </w14:solidFill>
                </w14:textFill>
              </w:rPr>
              <w:t xml:space="preserve">　</w:t>
            </w:r>
            <w:r w:rsidR="006E73CD" w:rsidRPr="006E73CD">
              <w:rPr>
                <w:rFonts w:ascii="Arial Narrow" w:hAnsi="Arial Narrow"/>
                <w:color w:val="000000"/>
                <w:w w:val="24"/>
                <w:sz w:val="20"/>
                <w:szCs w:val="20"/>
                <w:shd w:val="solid" w:color="000000" w:fill="000000"/>
                <w:fitText w:val="108" w:id="-1236536831"/>
                <w14:textFill>
                  <w14:solidFill>
                    <w14:srgbClr w14:val="000000">
                      <w14:alpha w14:val="100000"/>
                    </w14:srgbClr>
                  </w14:solidFill>
                </w14:textFill>
              </w:rPr>
              <w:t>|</w:t>
            </w:r>
            <w:r w:rsidR="006E73CD" w:rsidRPr="006E73CD">
              <w:rPr>
                <w:rFonts w:ascii="Arial Narrow" w:hAnsi="Arial Narrow" w:hint="eastAsia"/>
                <w:color w:val="000000"/>
                <w:spacing w:val="4"/>
                <w:w w:val="24"/>
                <w:sz w:val="20"/>
                <w:szCs w:val="20"/>
                <w:shd w:val="solid" w:color="000000" w:fill="000000"/>
                <w:fitText w:val="108" w:id="-1236536831"/>
                <w14:textFill>
                  <w14:solidFill>
                    <w14:srgbClr w14:val="000000">
                      <w14:alpha w14:val="100000"/>
                    </w14:srgbClr>
                  </w14:solidFill>
                </w14:textFill>
              </w:rPr>
              <w:t xml:space="preserve">　</w:t>
            </w:r>
            <w:r w:rsidR="00C62A2B">
              <w:rPr>
                <w:rFonts w:ascii="Arial Narrow" w:hAnsi="Arial Narrow"/>
                <w:sz w:val="20"/>
                <w:szCs w:val="20"/>
                <w:vertAlign w:val="superscript"/>
              </w:rPr>
              <w:t>1</w:t>
            </w:r>
          </w:p>
        </w:tc>
      </w:tr>
      <w:tr w:rsidR="00DE7AA7" w:rsidRPr="006154DA" w14:paraId="3040D303" w14:textId="77777777" w:rsidTr="0021164A">
        <w:tc>
          <w:tcPr>
            <w:tcW w:w="9017" w:type="dxa"/>
            <w:gridSpan w:val="4"/>
          </w:tcPr>
          <w:p w14:paraId="388A6491" w14:textId="0BF2B3A0" w:rsidR="00DE7AA7" w:rsidRPr="006154DA" w:rsidRDefault="00DE7AA7" w:rsidP="00DE7AA7">
            <w:pPr>
              <w:keepNext/>
              <w:jc w:val="left"/>
              <w:rPr>
                <w:rFonts w:ascii="Arial Narrow" w:hAnsi="Arial Narrow"/>
                <w:b/>
                <w:bCs/>
                <w:sz w:val="20"/>
                <w:szCs w:val="20"/>
              </w:rPr>
            </w:pPr>
            <w:r w:rsidRPr="006154DA">
              <w:rPr>
                <w:rFonts w:ascii="Arial Narrow" w:hAnsi="Arial Narrow"/>
                <w:b/>
                <w:bCs/>
                <w:sz w:val="20"/>
                <w:szCs w:val="20"/>
              </w:rPr>
              <w:t xml:space="preserve">Step 2: analysis extrapolated to a lifetime time horizon, cost of </w:t>
            </w:r>
            <w:r w:rsidR="003B7018" w:rsidRPr="006154DA">
              <w:rPr>
                <w:rFonts w:ascii="Arial Narrow" w:hAnsi="Arial Narrow"/>
                <w:b/>
                <w:bCs/>
                <w:sz w:val="20"/>
                <w:szCs w:val="20"/>
              </w:rPr>
              <w:t>second-line</w:t>
            </w:r>
            <w:r w:rsidRPr="006154DA">
              <w:rPr>
                <w:rFonts w:ascii="Arial Narrow" w:hAnsi="Arial Narrow"/>
                <w:b/>
                <w:bCs/>
                <w:sz w:val="20"/>
                <w:szCs w:val="20"/>
              </w:rPr>
              <w:t xml:space="preserve"> therapy and discounting applied</w:t>
            </w:r>
          </w:p>
        </w:tc>
      </w:tr>
      <w:tr w:rsidR="003B7018" w:rsidRPr="006154DA" w14:paraId="73DEE7C5" w14:textId="77777777">
        <w:tc>
          <w:tcPr>
            <w:tcW w:w="3375" w:type="dxa"/>
          </w:tcPr>
          <w:p w14:paraId="5ADF13D1" w14:textId="6158F03E" w:rsidR="003B7018" w:rsidRPr="006154DA" w:rsidRDefault="003B7018" w:rsidP="003B7018">
            <w:pPr>
              <w:keepNext/>
              <w:jc w:val="left"/>
              <w:rPr>
                <w:rFonts w:ascii="Arial Narrow" w:hAnsi="Arial Narrow"/>
                <w:sz w:val="20"/>
                <w:szCs w:val="20"/>
              </w:rPr>
            </w:pPr>
            <w:r w:rsidRPr="006154DA">
              <w:rPr>
                <w:rFonts w:ascii="Arial Narrow" w:hAnsi="Arial Narrow"/>
                <w:sz w:val="20"/>
                <w:szCs w:val="20"/>
              </w:rPr>
              <w:t>Costs</w:t>
            </w:r>
          </w:p>
        </w:tc>
        <w:tc>
          <w:tcPr>
            <w:tcW w:w="1880" w:type="dxa"/>
          </w:tcPr>
          <w:p w14:paraId="3B083190" w14:textId="1A918DFF" w:rsidR="003B7018" w:rsidRPr="006154DA" w:rsidRDefault="003B7018" w:rsidP="003B7018">
            <w:pPr>
              <w:keepNext/>
              <w:jc w:val="center"/>
              <w:rPr>
                <w:rFonts w:ascii="Arial Narrow" w:hAnsi="Arial Narrow"/>
                <w:b/>
                <w:bCs/>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2" w:id="-1236536830"/>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2" w:id="-1236536830"/>
                <w14:textFill>
                  <w14:solidFill>
                    <w14:srgbClr w14:val="000000">
                      <w14:alpha w14:val="100000"/>
                    </w14:srgbClr>
                  </w14:solidFill>
                </w14:textFill>
              </w:rPr>
              <w:t>|</w:t>
            </w:r>
            <w:r w:rsidR="006E73CD" w:rsidRPr="006E73CD">
              <w:rPr>
                <w:rFonts w:ascii="Arial Narrow" w:hAnsi="Arial Narrow" w:hint="eastAsia"/>
                <w:color w:val="000000"/>
                <w:spacing w:val="5"/>
                <w:w w:val="20"/>
                <w:sz w:val="20"/>
                <w:szCs w:val="20"/>
                <w:shd w:val="solid" w:color="000000" w:fill="000000"/>
                <w:fitText w:val="92" w:id="-1236536830"/>
                <w14:textFill>
                  <w14:solidFill>
                    <w14:srgbClr w14:val="000000">
                      <w14:alpha w14:val="100000"/>
                    </w14:srgbClr>
                  </w14:solidFill>
                </w14:textFill>
              </w:rPr>
              <w:t xml:space="preserve">　</w:t>
            </w:r>
          </w:p>
        </w:tc>
        <w:tc>
          <w:tcPr>
            <w:tcW w:w="1880" w:type="dxa"/>
          </w:tcPr>
          <w:p w14:paraId="4462341C" w14:textId="48B40B87" w:rsidR="003B7018" w:rsidRPr="006154DA" w:rsidRDefault="003B7018" w:rsidP="003B7018">
            <w:pPr>
              <w:keepNext/>
              <w:jc w:val="center"/>
              <w:rPr>
                <w:rFonts w:ascii="Arial Narrow" w:hAnsi="Arial Narrow"/>
                <w:b/>
                <w:bCs/>
                <w:sz w:val="20"/>
                <w:szCs w:val="20"/>
              </w:rPr>
            </w:pPr>
            <w:r w:rsidRPr="006154DA">
              <w:rPr>
                <w:rFonts w:ascii="Arial Narrow" w:hAnsi="Arial Narrow"/>
                <w:sz w:val="20"/>
                <w:szCs w:val="20"/>
              </w:rPr>
              <w:t>$208,088</w:t>
            </w:r>
          </w:p>
        </w:tc>
        <w:tc>
          <w:tcPr>
            <w:tcW w:w="1882" w:type="dxa"/>
          </w:tcPr>
          <w:p w14:paraId="0675E500" w14:textId="7544708F" w:rsidR="003B7018" w:rsidRPr="006154DA" w:rsidRDefault="003B7018" w:rsidP="003B7018">
            <w:pPr>
              <w:keepNext/>
              <w:jc w:val="center"/>
              <w:rPr>
                <w:rFonts w:ascii="Arial Narrow" w:hAnsi="Arial Narrow"/>
                <w:b/>
                <w:bCs/>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1" w:id="-1236536829"/>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1" w:id="-1236536829"/>
                <w14:textFill>
                  <w14:solidFill>
                    <w14:srgbClr w14:val="000000">
                      <w14:alpha w14:val="100000"/>
                    </w14:srgbClr>
                  </w14:solidFill>
                </w14:textFill>
              </w:rPr>
              <w:t>|</w:t>
            </w:r>
            <w:r w:rsidR="006E73CD" w:rsidRPr="006E73CD">
              <w:rPr>
                <w:rFonts w:ascii="Arial Narrow" w:hAnsi="Arial Narrow" w:hint="eastAsia"/>
                <w:color w:val="000000"/>
                <w:spacing w:val="4"/>
                <w:w w:val="20"/>
                <w:sz w:val="20"/>
                <w:szCs w:val="20"/>
                <w:shd w:val="solid" w:color="000000" w:fill="000000"/>
                <w:fitText w:val="91" w:id="-1236536829"/>
                <w14:textFill>
                  <w14:solidFill>
                    <w14:srgbClr w14:val="000000">
                      <w14:alpha w14:val="100000"/>
                    </w14:srgbClr>
                  </w14:solidFill>
                </w14:textFill>
              </w:rPr>
              <w:t xml:space="preserve">　</w:t>
            </w:r>
          </w:p>
        </w:tc>
      </w:tr>
      <w:tr w:rsidR="003B7018" w:rsidRPr="006154DA" w14:paraId="2471311E" w14:textId="77777777">
        <w:tc>
          <w:tcPr>
            <w:tcW w:w="3375" w:type="dxa"/>
          </w:tcPr>
          <w:p w14:paraId="29DA776E" w14:textId="328E2601" w:rsidR="003B7018" w:rsidRPr="006154DA" w:rsidRDefault="003B7018" w:rsidP="003B7018">
            <w:pPr>
              <w:jc w:val="left"/>
              <w:rPr>
                <w:rFonts w:ascii="Arial Narrow" w:hAnsi="Arial Narrow"/>
                <w:sz w:val="20"/>
                <w:szCs w:val="20"/>
              </w:rPr>
            </w:pPr>
            <w:r w:rsidRPr="006154DA">
              <w:rPr>
                <w:rFonts w:ascii="Arial Narrow" w:hAnsi="Arial Narrow"/>
                <w:sz w:val="20"/>
                <w:szCs w:val="20"/>
              </w:rPr>
              <w:t>LYs</w:t>
            </w:r>
          </w:p>
        </w:tc>
        <w:tc>
          <w:tcPr>
            <w:tcW w:w="1880" w:type="dxa"/>
          </w:tcPr>
          <w:p w14:paraId="3D248E67" w14:textId="7FFBA030" w:rsidR="003B7018" w:rsidRPr="006154DA" w:rsidRDefault="003B7018" w:rsidP="003B7018">
            <w:pPr>
              <w:jc w:val="center"/>
              <w:rPr>
                <w:rFonts w:ascii="Arial Narrow" w:hAnsi="Arial Narrow"/>
                <w:sz w:val="20"/>
                <w:szCs w:val="20"/>
              </w:rPr>
            </w:pPr>
            <w:r w:rsidRPr="006154DA">
              <w:rPr>
                <w:rFonts w:ascii="Arial Narrow" w:hAnsi="Arial Narrow"/>
                <w:sz w:val="20"/>
                <w:szCs w:val="20"/>
              </w:rPr>
              <w:t>6.443</w:t>
            </w:r>
          </w:p>
        </w:tc>
        <w:tc>
          <w:tcPr>
            <w:tcW w:w="1880" w:type="dxa"/>
          </w:tcPr>
          <w:p w14:paraId="3E77DE49" w14:textId="177A236C" w:rsidR="003B7018" w:rsidRPr="006154DA" w:rsidRDefault="003B7018" w:rsidP="003B7018">
            <w:pPr>
              <w:jc w:val="center"/>
              <w:rPr>
                <w:rFonts w:ascii="Arial Narrow" w:hAnsi="Arial Narrow"/>
                <w:sz w:val="20"/>
                <w:szCs w:val="20"/>
              </w:rPr>
            </w:pPr>
            <w:r w:rsidRPr="006154DA">
              <w:rPr>
                <w:rFonts w:ascii="Arial Narrow" w:hAnsi="Arial Narrow"/>
                <w:sz w:val="20"/>
                <w:szCs w:val="20"/>
              </w:rPr>
              <w:t>4.805</w:t>
            </w:r>
          </w:p>
        </w:tc>
        <w:tc>
          <w:tcPr>
            <w:tcW w:w="1882" w:type="dxa"/>
          </w:tcPr>
          <w:p w14:paraId="17975A55" w14:textId="5B56199C" w:rsidR="003B7018" w:rsidRPr="006154DA" w:rsidRDefault="003B7018" w:rsidP="003B7018">
            <w:pPr>
              <w:jc w:val="center"/>
              <w:rPr>
                <w:rFonts w:ascii="Arial Narrow" w:hAnsi="Arial Narrow"/>
                <w:sz w:val="20"/>
                <w:szCs w:val="20"/>
              </w:rPr>
            </w:pPr>
            <w:r w:rsidRPr="006154DA">
              <w:rPr>
                <w:rFonts w:ascii="Arial Narrow" w:hAnsi="Arial Narrow"/>
                <w:sz w:val="20"/>
                <w:szCs w:val="20"/>
              </w:rPr>
              <w:t>1.638</w:t>
            </w:r>
          </w:p>
        </w:tc>
      </w:tr>
      <w:tr w:rsidR="00DE7AA7" w:rsidRPr="006154DA" w14:paraId="54AB77E3" w14:textId="77777777" w:rsidTr="0021164A">
        <w:tc>
          <w:tcPr>
            <w:tcW w:w="7135" w:type="dxa"/>
            <w:gridSpan w:val="3"/>
          </w:tcPr>
          <w:p w14:paraId="57CF6D46" w14:textId="77777777" w:rsidR="00DE7AA7" w:rsidRPr="006154DA" w:rsidRDefault="00DE7AA7" w:rsidP="0021164A">
            <w:pPr>
              <w:jc w:val="right"/>
              <w:rPr>
                <w:rFonts w:ascii="Arial Narrow" w:hAnsi="Arial Narrow"/>
                <w:sz w:val="20"/>
                <w:szCs w:val="20"/>
              </w:rPr>
            </w:pPr>
            <w:r w:rsidRPr="006154DA">
              <w:rPr>
                <w:rFonts w:ascii="Arial Narrow" w:hAnsi="Arial Narrow"/>
                <w:sz w:val="20"/>
                <w:szCs w:val="20"/>
              </w:rPr>
              <w:t>Incremental cost per LY gained</w:t>
            </w:r>
          </w:p>
        </w:tc>
        <w:tc>
          <w:tcPr>
            <w:tcW w:w="1882" w:type="dxa"/>
          </w:tcPr>
          <w:p w14:paraId="4BA0034D" w14:textId="4B686277" w:rsidR="00DE7AA7" w:rsidRPr="00C62A2B" w:rsidRDefault="00DE7AA7" w:rsidP="0021164A">
            <w:pPr>
              <w:jc w:val="center"/>
              <w:rPr>
                <w:rFonts w:ascii="Arial Narrow" w:hAnsi="Arial Narrow"/>
                <w:sz w:val="20"/>
                <w:szCs w:val="20"/>
                <w:vertAlign w:val="superscript"/>
              </w:rPr>
            </w:pPr>
            <w:r w:rsidRPr="006154DA">
              <w:rPr>
                <w:rFonts w:ascii="Arial Narrow" w:hAnsi="Arial Narrow"/>
                <w:sz w:val="20"/>
                <w:szCs w:val="20"/>
              </w:rPr>
              <w:t>$</w:t>
            </w:r>
            <w:r w:rsidR="006E73CD" w:rsidRPr="006E73CD">
              <w:rPr>
                <w:rFonts w:ascii="Arial Narrow" w:hAnsi="Arial Narrow" w:hint="eastAsia"/>
                <w:color w:val="000000"/>
                <w:w w:val="24"/>
                <w:sz w:val="20"/>
                <w:szCs w:val="20"/>
                <w:shd w:val="solid" w:color="000000" w:fill="000000"/>
                <w:fitText w:val="108" w:id="-1236536828"/>
                <w14:textFill>
                  <w14:solidFill>
                    <w14:srgbClr w14:val="000000">
                      <w14:alpha w14:val="100000"/>
                    </w14:srgbClr>
                  </w14:solidFill>
                </w14:textFill>
              </w:rPr>
              <w:t xml:space="preserve">　</w:t>
            </w:r>
            <w:r w:rsidR="006E73CD" w:rsidRPr="006E73CD">
              <w:rPr>
                <w:rFonts w:ascii="Arial Narrow" w:hAnsi="Arial Narrow"/>
                <w:color w:val="000000"/>
                <w:w w:val="24"/>
                <w:sz w:val="20"/>
                <w:szCs w:val="20"/>
                <w:shd w:val="solid" w:color="000000" w:fill="000000"/>
                <w:fitText w:val="108" w:id="-1236536828"/>
                <w14:textFill>
                  <w14:solidFill>
                    <w14:srgbClr w14:val="000000">
                      <w14:alpha w14:val="100000"/>
                    </w14:srgbClr>
                  </w14:solidFill>
                </w14:textFill>
              </w:rPr>
              <w:t>|</w:t>
            </w:r>
            <w:r w:rsidR="006E73CD" w:rsidRPr="006E73CD">
              <w:rPr>
                <w:rFonts w:ascii="Arial Narrow" w:hAnsi="Arial Narrow" w:hint="eastAsia"/>
                <w:color w:val="000000"/>
                <w:spacing w:val="4"/>
                <w:w w:val="24"/>
                <w:sz w:val="20"/>
                <w:szCs w:val="20"/>
                <w:shd w:val="solid" w:color="000000" w:fill="000000"/>
                <w:fitText w:val="108" w:id="-1236536828"/>
                <w14:textFill>
                  <w14:solidFill>
                    <w14:srgbClr w14:val="000000">
                      <w14:alpha w14:val="100000"/>
                    </w14:srgbClr>
                  </w14:solidFill>
                </w14:textFill>
              </w:rPr>
              <w:t xml:space="preserve">　</w:t>
            </w:r>
            <w:r w:rsidR="00C62A2B" w:rsidRPr="00C62A2B">
              <w:rPr>
                <w:rFonts w:ascii="Arial Narrow" w:hAnsi="Arial Narrow"/>
                <w:sz w:val="20"/>
                <w:szCs w:val="20"/>
                <w:vertAlign w:val="superscript"/>
              </w:rPr>
              <w:t>2</w:t>
            </w:r>
          </w:p>
        </w:tc>
      </w:tr>
      <w:tr w:rsidR="003B7018" w:rsidRPr="006154DA" w14:paraId="02898187" w14:textId="77777777" w:rsidTr="0021164A">
        <w:tc>
          <w:tcPr>
            <w:tcW w:w="9017" w:type="dxa"/>
            <w:gridSpan w:val="4"/>
          </w:tcPr>
          <w:p w14:paraId="5B485FA1" w14:textId="0EC6BC5A" w:rsidR="003B7018" w:rsidRPr="006154DA" w:rsidRDefault="003B7018" w:rsidP="003B7018">
            <w:pPr>
              <w:jc w:val="left"/>
              <w:rPr>
                <w:rFonts w:ascii="Arial Narrow" w:hAnsi="Arial Narrow"/>
                <w:b/>
                <w:bCs/>
                <w:sz w:val="20"/>
                <w:szCs w:val="20"/>
              </w:rPr>
            </w:pPr>
            <w:r w:rsidRPr="006154DA">
              <w:rPr>
                <w:rFonts w:ascii="Arial Narrow" w:hAnsi="Arial Narrow"/>
                <w:b/>
                <w:bCs/>
                <w:sz w:val="20"/>
                <w:szCs w:val="20"/>
              </w:rPr>
              <w:t>Step 3: application of utility weights</w:t>
            </w:r>
          </w:p>
        </w:tc>
      </w:tr>
      <w:tr w:rsidR="001D7ABE" w:rsidRPr="006154DA" w14:paraId="3E892F7F" w14:textId="77777777">
        <w:tc>
          <w:tcPr>
            <w:tcW w:w="3375" w:type="dxa"/>
          </w:tcPr>
          <w:p w14:paraId="3217ECE6" w14:textId="77777777" w:rsidR="001D7ABE" w:rsidRPr="006154DA" w:rsidRDefault="001D7ABE" w:rsidP="00DE7AA7">
            <w:pPr>
              <w:jc w:val="left"/>
              <w:rPr>
                <w:rFonts w:ascii="Arial Narrow" w:hAnsi="Arial Narrow"/>
                <w:sz w:val="20"/>
                <w:szCs w:val="20"/>
              </w:rPr>
            </w:pPr>
            <w:r w:rsidRPr="006154DA">
              <w:rPr>
                <w:rFonts w:ascii="Arial Narrow" w:hAnsi="Arial Narrow"/>
                <w:sz w:val="20"/>
                <w:szCs w:val="20"/>
              </w:rPr>
              <w:t xml:space="preserve">Costs </w:t>
            </w:r>
          </w:p>
        </w:tc>
        <w:tc>
          <w:tcPr>
            <w:tcW w:w="1880" w:type="dxa"/>
          </w:tcPr>
          <w:p w14:paraId="5AE810B0" w14:textId="2E4BA87B" w:rsidR="001D7ABE" w:rsidRPr="006154DA" w:rsidRDefault="001D7ABE">
            <w:pPr>
              <w:jc w:val="center"/>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2" w:id="-1236536827"/>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2" w:id="-1236536827"/>
                <w14:textFill>
                  <w14:solidFill>
                    <w14:srgbClr w14:val="000000">
                      <w14:alpha w14:val="100000"/>
                    </w14:srgbClr>
                  </w14:solidFill>
                </w14:textFill>
              </w:rPr>
              <w:t>|</w:t>
            </w:r>
            <w:r w:rsidR="006E73CD" w:rsidRPr="006E73CD">
              <w:rPr>
                <w:rFonts w:ascii="Arial Narrow" w:hAnsi="Arial Narrow" w:hint="eastAsia"/>
                <w:color w:val="000000"/>
                <w:spacing w:val="5"/>
                <w:w w:val="20"/>
                <w:sz w:val="20"/>
                <w:szCs w:val="20"/>
                <w:shd w:val="solid" w:color="000000" w:fill="000000"/>
                <w:fitText w:val="92" w:id="-1236536827"/>
                <w14:textFill>
                  <w14:solidFill>
                    <w14:srgbClr w14:val="000000">
                      <w14:alpha w14:val="100000"/>
                    </w14:srgbClr>
                  </w14:solidFill>
                </w14:textFill>
              </w:rPr>
              <w:t xml:space="preserve">　</w:t>
            </w:r>
          </w:p>
        </w:tc>
        <w:tc>
          <w:tcPr>
            <w:tcW w:w="1880" w:type="dxa"/>
          </w:tcPr>
          <w:p w14:paraId="13D527AD" w14:textId="77777777" w:rsidR="001D7ABE" w:rsidRPr="006154DA" w:rsidRDefault="001D7ABE">
            <w:pPr>
              <w:jc w:val="center"/>
              <w:rPr>
                <w:rFonts w:ascii="Arial Narrow" w:hAnsi="Arial Narrow"/>
                <w:sz w:val="20"/>
                <w:szCs w:val="20"/>
              </w:rPr>
            </w:pPr>
            <w:r w:rsidRPr="006154DA">
              <w:rPr>
                <w:rFonts w:ascii="Arial Narrow" w:hAnsi="Arial Narrow"/>
                <w:sz w:val="20"/>
                <w:szCs w:val="20"/>
              </w:rPr>
              <w:t>$208,088</w:t>
            </w:r>
          </w:p>
        </w:tc>
        <w:tc>
          <w:tcPr>
            <w:tcW w:w="1882" w:type="dxa"/>
          </w:tcPr>
          <w:p w14:paraId="735FD55C" w14:textId="2C9F8984" w:rsidR="001D7ABE" w:rsidRPr="006154DA" w:rsidRDefault="001D7ABE">
            <w:pPr>
              <w:jc w:val="center"/>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1" w:id="-1236536826"/>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1" w:id="-1236536826"/>
                <w14:textFill>
                  <w14:solidFill>
                    <w14:srgbClr w14:val="000000">
                      <w14:alpha w14:val="100000"/>
                    </w14:srgbClr>
                  </w14:solidFill>
                </w14:textFill>
              </w:rPr>
              <w:t>|</w:t>
            </w:r>
            <w:r w:rsidR="006E73CD" w:rsidRPr="006E73CD">
              <w:rPr>
                <w:rFonts w:ascii="Arial Narrow" w:hAnsi="Arial Narrow" w:hint="eastAsia"/>
                <w:color w:val="000000"/>
                <w:spacing w:val="4"/>
                <w:w w:val="20"/>
                <w:sz w:val="20"/>
                <w:szCs w:val="20"/>
                <w:shd w:val="solid" w:color="000000" w:fill="000000"/>
                <w:fitText w:val="91" w:id="-1236536826"/>
                <w14:textFill>
                  <w14:solidFill>
                    <w14:srgbClr w14:val="000000">
                      <w14:alpha w14:val="100000"/>
                    </w14:srgbClr>
                  </w14:solidFill>
                </w14:textFill>
              </w:rPr>
              <w:t xml:space="preserve">　</w:t>
            </w:r>
          </w:p>
        </w:tc>
      </w:tr>
      <w:tr w:rsidR="001D7ABE" w:rsidRPr="006154DA" w14:paraId="5FFDE044" w14:textId="77777777">
        <w:tc>
          <w:tcPr>
            <w:tcW w:w="3375" w:type="dxa"/>
          </w:tcPr>
          <w:p w14:paraId="1F3EFBEA" w14:textId="77777777" w:rsidR="001D7ABE" w:rsidRPr="006154DA" w:rsidRDefault="001D7ABE">
            <w:pPr>
              <w:rPr>
                <w:rFonts w:ascii="Arial Narrow" w:hAnsi="Arial Narrow"/>
                <w:sz w:val="20"/>
                <w:szCs w:val="20"/>
              </w:rPr>
            </w:pPr>
            <w:r w:rsidRPr="006154DA">
              <w:rPr>
                <w:rFonts w:ascii="Arial Narrow" w:hAnsi="Arial Narrow"/>
                <w:sz w:val="20"/>
                <w:szCs w:val="20"/>
              </w:rPr>
              <w:t>QALYs</w:t>
            </w:r>
          </w:p>
        </w:tc>
        <w:tc>
          <w:tcPr>
            <w:tcW w:w="1880" w:type="dxa"/>
          </w:tcPr>
          <w:p w14:paraId="4E52F4AF" w14:textId="7911D871" w:rsidR="001D7ABE" w:rsidRPr="006154DA" w:rsidRDefault="001D7ABE">
            <w:pPr>
              <w:jc w:val="center"/>
              <w:rPr>
                <w:rFonts w:ascii="Arial Narrow" w:hAnsi="Arial Narrow"/>
                <w:sz w:val="20"/>
                <w:szCs w:val="20"/>
              </w:rPr>
            </w:pPr>
            <w:r w:rsidRPr="006154DA">
              <w:rPr>
                <w:rFonts w:ascii="Arial Narrow" w:hAnsi="Arial Narrow"/>
                <w:sz w:val="20"/>
                <w:szCs w:val="20"/>
              </w:rPr>
              <w:t>4.4</w:t>
            </w:r>
            <w:r w:rsidR="002774EA" w:rsidRPr="006154DA">
              <w:rPr>
                <w:rFonts w:ascii="Arial Narrow" w:hAnsi="Arial Narrow"/>
                <w:sz w:val="20"/>
                <w:szCs w:val="20"/>
              </w:rPr>
              <w:t>08</w:t>
            </w:r>
          </w:p>
        </w:tc>
        <w:tc>
          <w:tcPr>
            <w:tcW w:w="1880" w:type="dxa"/>
          </w:tcPr>
          <w:p w14:paraId="5F81ABA6" w14:textId="42ABB79D" w:rsidR="001D7ABE" w:rsidRPr="006154DA" w:rsidRDefault="001D7ABE">
            <w:pPr>
              <w:jc w:val="center"/>
              <w:rPr>
                <w:rFonts w:ascii="Arial Narrow" w:hAnsi="Arial Narrow"/>
                <w:sz w:val="20"/>
                <w:szCs w:val="20"/>
              </w:rPr>
            </w:pPr>
            <w:r w:rsidRPr="006154DA">
              <w:rPr>
                <w:rFonts w:ascii="Arial Narrow" w:hAnsi="Arial Narrow"/>
                <w:sz w:val="20"/>
                <w:szCs w:val="20"/>
              </w:rPr>
              <w:t>3.26</w:t>
            </w:r>
            <w:r w:rsidR="002774EA" w:rsidRPr="006154DA">
              <w:rPr>
                <w:rFonts w:ascii="Arial Narrow" w:hAnsi="Arial Narrow"/>
                <w:sz w:val="20"/>
                <w:szCs w:val="20"/>
              </w:rPr>
              <w:t>1</w:t>
            </w:r>
          </w:p>
        </w:tc>
        <w:tc>
          <w:tcPr>
            <w:tcW w:w="1882" w:type="dxa"/>
          </w:tcPr>
          <w:p w14:paraId="0CA2E37D" w14:textId="0B22C2D5" w:rsidR="001D7ABE" w:rsidRPr="006154DA" w:rsidRDefault="001D7ABE">
            <w:pPr>
              <w:jc w:val="center"/>
              <w:rPr>
                <w:rFonts w:ascii="Arial Narrow" w:hAnsi="Arial Narrow"/>
                <w:sz w:val="20"/>
                <w:szCs w:val="20"/>
              </w:rPr>
            </w:pPr>
            <w:r w:rsidRPr="006154DA">
              <w:rPr>
                <w:rFonts w:ascii="Arial Narrow" w:hAnsi="Arial Narrow"/>
                <w:sz w:val="20"/>
                <w:szCs w:val="20"/>
              </w:rPr>
              <w:t>1.1</w:t>
            </w:r>
            <w:r w:rsidR="002774EA" w:rsidRPr="006154DA">
              <w:rPr>
                <w:rFonts w:ascii="Arial Narrow" w:hAnsi="Arial Narrow"/>
                <w:sz w:val="20"/>
                <w:szCs w:val="20"/>
              </w:rPr>
              <w:t>48</w:t>
            </w:r>
          </w:p>
        </w:tc>
      </w:tr>
      <w:tr w:rsidR="001D7ABE" w:rsidRPr="006154DA" w14:paraId="1A419FD5" w14:textId="77777777">
        <w:tc>
          <w:tcPr>
            <w:tcW w:w="7135" w:type="dxa"/>
            <w:gridSpan w:val="3"/>
          </w:tcPr>
          <w:p w14:paraId="2ADC3959" w14:textId="77777777" w:rsidR="001D7ABE" w:rsidRPr="006154DA" w:rsidRDefault="001D7ABE">
            <w:pPr>
              <w:jc w:val="right"/>
              <w:rPr>
                <w:rFonts w:ascii="Arial Narrow" w:hAnsi="Arial Narrow"/>
                <w:b/>
                <w:bCs/>
                <w:sz w:val="20"/>
                <w:szCs w:val="20"/>
              </w:rPr>
            </w:pPr>
            <w:r w:rsidRPr="006154DA">
              <w:rPr>
                <w:rFonts w:ascii="Arial Narrow" w:hAnsi="Arial Narrow"/>
                <w:b/>
                <w:bCs/>
                <w:sz w:val="20"/>
                <w:szCs w:val="20"/>
              </w:rPr>
              <w:t>Incremental cost per QALY gained</w:t>
            </w:r>
          </w:p>
        </w:tc>
        <w:tc>
          <w:tcPr>
            <w:tcW w:w="1882" w:type="dxa"/>
          </w:tcPr>
          <w:p w14:paraId="5D90E22C" w14:textId="7D0DECBF" w:rsidR="001D7ABE" w:rsidRPr="00C62A2B" w:rsidRDefault="001D7ABE">
            <w:pPr>
              <w:jc w:val="center"/>
              <w:rPr>
                <w:rFonts w:ascii="Arial Narrow" w:hAnsi="Arial Narrow"/>
                <w:b/>
                <w:sz w:val="20"/>
                <w:szCs w:val="20"/>
                <w:vertAlign w:val="superscript"/>
              </w:rPr>
            </w:pPr>
            <w:r w:rsidRPr="006154DA">
              <w:rPr>
                <w:rFonts w:ascii="Arial Narrow" w:hAnsi="Arial Narrow"/>
                <w:b/>
                <w:bCs/>
                <w:sz w:val="20"/>
                <w:szCs w:val="20"/>
              </w:rPr>
              <w:t>$</w:t>
            </w:r>
            <w:r w:rsidR="006E73CD" w:rsidRPr="006E73CD">
              <w:rPr>
                <w:rFonts w:ascii="Arial Narrow" w:hAnsi="Arial Narrow"/>
                <w:b/>
                <w:bCs/>
                <w:color w:val="000000"/>
                <w:spacing w:val="99"/>
                <w:sz w:val="20"/>
                <w:szCs w:val="20"/>
                <w:shd w:val="solid" w:color="000000" w:fill="000000"/>
                <w:fitText w:val="191" w:id="-1236536825"/>
                <w14:textFill>
                  <w14:solidFill>
                    <w14:srgbClr w14:val="000000">
                      <w14:alpha w14:val="100000"/>
                    </w14:srgbClr>
                  </w14:solidFill>
                </w14:textFill>
              </w:rPr>
              <w:t>|</w:t>
            </w:r>
            <w:r w:rsidR="006E73CD" w:rsidRPr="006E73CD">
              <w:rPr>
                <w:rFonts w:ascii="Arial Narrow" w:hAnsi="Arial Narrow"/>
                <w:b/>
                <w:bCs/>
                <w:color w:val="000000"/>
                <w:spacing w:val="1"/>
                <w:sz w:val="20"/>
                <w:szCs w:val="20"/>
                <w:shd w:val="solid" w:color="000000" w:fill="000000"/>
                <w:fitText w:val="191" w:id="-1236536825"/>
                <w14:textFill>
                  <w14:solidFill>
                    <w14:srgbClr w14:val="000000">
                      <w14:alpha w14:val="100000"/>
                    </w14:srgbClr>
                  </w14:solidFill>
                </w14:textFill>
              </w:rPr>
              <w:t>|</w:t>
            </w:r>
            <w:r w:rsidR="00C62A2B">
              <w:rPr>
                <w:rFonts w:ascii="Arial Narrow" w:hAnsi="Arial Narrow"/>
                <w:b/>
                <w:bCs/>
                <w:sz w:val="20"/>
                <w:szCs w:val="20"/>
                <w:vertAlign w:val="superscript"/>
              </w:rPr>
              <w:t>3</w:t>
            </w:r>
          </w:p>
        </w:tc>
      </w:tr>
      <w:tr w:rsidR="002774EA" w:rsidRPr="006154DA" w14:paraId="1C23B81E" w14:textId="77777777" w:rsidTr="0021164A">
        <w:tc>
          <w:tcPr>
            <w:tcW w:w="9017" w:type="dxa"/>
            <w:gridSpan w:val="4"/>
          </w:tcPr>
          <w:p w14:paraId="32AC6ECF" w14:textId="7E42D7E0" w:rsidR="002774EA" w:rsidRPr="006154DA" w:rsidRDefault="002774EA" w:rsidP="0021164A">
            <w:pPr>
              <w:jc w:val="left"/>
              <w:rPr>
                <w:rFonts w:ascii="Arial Narrow" w:hAnsi="Arial Narrow"/>
                <w:b/>
                <w:bCs/>
                <w:sz w:val="20"/>
                <w:szCs w:val="20"/>
              </w:rPr>
            </w:pPr>
            <w:bookmarkStart w:id="96" w:name="_Hlk127539447"/>
            <w:r w:rsidRPr="006154DA">
              <w:rPr>
                <w:rFonts w:ascii="Arial Narrow" w:hAnsi="Arial Narrow"/>
                <w:b/>
                <w:bCs/>
                <w:sz w:val="20"/>
                <w:szCs w:val="20"/>
              </w:rPr>
              <w:t>PSCR revised base case with changes to second-line therapies</w:t>
            </w:r>
          </w:p>
        </w:tc>
      </w:tr>
      <w:tr w:rsidR="002774EA" w:rsidRPr="006154DA" w14:paraId="6796A573" w14:textId="77777777" w:rsidTr="0021164A">
        <w:tc>
          <w:tcPr>
            <w:tcW w:w="3375" w:type="dxa"/>
          </w:tcPr>
          <w:p w14:paraId="215B243A" w14:textId="77777777" w:rsidR="002774EA" w:rsidRPr="006154DA" w:rsidRDefault="002774EA" w:rsidP="0021164A">
            <w:pPr>
              <w:jc w:val="left"/>
              <w:rPr>
                <w:rFonts w:ascii="Arial Narrow" w:hAnsi="Arial Narrow"/>
                <w:sz w:val="20"/>
                <w:szCs w:val="20"/>
              </w:rPr>
            </w:pPr>
            <w:r w:rsidRPr="006154DA">
              <w:rPr>
                <w:rFonts w:ascii="Arial Narrow" w:hAnsi="Arial Narrow"/>
                <w:sz w:val="20"/>
                <w:szCs w:val="20"/>
              </w:rPr>
              <w:t xml:space="preserve">Costs </w:t>
            </w:r>
          </w:p>
        </w:tc>
        <w:tc>
          <w:tcPr>
            <w:tcW w:w="1880" w:type="dxa"/>
          </w:tcPr>
          <w:p w14:paraId="408989EE" w14:textId="41ACCB2E" w:rsidR="002774EA" w:rsidRPr="006154DA" w:rsidRDefault="002774EA" w:rsidP="0021164A">
            <w:pPr>
              <w:jc w:val="center"/>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2" w:id="-1236536824"/>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2" w:id="-1236536824"/>
                <w14:textFill>
                  <w14:solidFill>
                    <w14:srgbClr w14:val="000000">
                      <w14:alpha w14:val="100000"/>
                    </w14:srgbClr>
                  </w14:solidFill>
                </w14:textFill>
              </w:rPr>
              <w:t>|</w:t>
            </w:r>
            <w:r w:rsidR="006E73CD" w:rsidRPr="006E73CD">
              <w:rPr>
                <w:rFonts w:ascii="Arial Narrow" w:hAnsi="Arial Narrow" w:hint="eastAsia"/>
                <w:color w:val="000000"/>
                <w:spacing w:val="5"/>
                <w:w w:val="20"/>
                <w:sz w:val="20"/>
                <w:szCs w:val="20"/>
                <w:shd w:val="solid" w:color="000000" w:fill="000000"/>
                <w:fitText w:val="92" w:id="-1236536824"/>
                <w14:textFill>
                  <w14:solidFill>
                    <w14:srgbClr w14:val="000000">
                      <w14:alpha w14:val="100000"/>
                    </w14:srgbClr>
                  </w14:solidFill>
                </w14:textFill>
              </w:rPr>
              <w:t xml:space="preserve">　</w:t>
            </w:r>
          </w:p>
        </w:tc>
        <w:tc>
          <w:tcPr>
            <w:tcW w:w="1880" w:type="dxa"/>
          </w:tcPr>
          <w:p w14:paraId="777D4686" w14:textId="6DEC324A" w:rsidR="002774EA" w:rsidRPr="006154DA" w:rsidRDefault="002774EA" w:rsidP="0021164A">
            <w:pPr>
              <w:jc w:val="center"/>
              <w:rPr>
                <w:rFonts w:ascii="Arial Narrow" w:hAnsi="Arial Narrow"/>
                <w:sz w:val="20"/>
                <w:szCs w:val="20"/>
              </w:rPr>
            </w:pPr>
            <w:r w:rsidRPr="006154DA">
              <w:rPr>
                <w:rFonts w:ascii="Arial Narrow" w:hAnsi="Arial Narrow"/>
                <w:sz w:val="20"/>
                <w:szCs w:val="20"/>
              </w:rPr>
              <w:t>$153,408</w:t>
            </w:r>
          </w:p>
        </w:tc>
        <w:tc>
          <w:tcPr>
            <w:tcW w:w="1882" w:type="dxa"/>
          </w:tcPr>
          <w:p w14:paraId="1C07856F" w14:textId="118668A9" w:rsidR="002774EA" w:rsidRPr="006154DA" w:rsidRDefault="002774EA" w:rsidP="0021164A">
            <w:pPr>
              <w:jc w:val="center"/>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1" w:id="-1236536823"/>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1" w:id="-1236536823"/>
                <w14:textFill>
                  <w14:solidFill>
                    <w14:srgbClr w14:val="000000">
                      <w14:alpha w14:val="100000"/>
                    </w14:srgbClr>
                  </w14:solidFill>
                </w14:textFill>
              </w:rPr>
              <w:t>|</w:t>
            </w:r>
            <w:r w:rsidR="006E73CD" w:rsidRPr="006E73CD">
              <w:rPr>
                <w:rFonts w:ascii="Arial Narrow" w:hAnsi="Arial Narrow" w:hint="eastAsia"/>
                <w:color w:val="000000"/>
                <w:spacing w:val="4"/>
                <w:w w:val="20"/>
                <w:sz w:val="20"/>
                <w:szCs w:val="20"/>
                <w:shd w:val="solid" w:color="000000" w:fill="000000"/>
                <w:fitText w:val="91" w:id="-1236536823"/>
                <w14:textFill>
                  <w14:solidFill>
                    <w14:srgbClr w14:val="000000">
                      <w14:alpha w14:val="100000"/>
                    </w14:srgbClr>
                  </w14:solidFill>
                </w14:textFill>
              </w:rPr>
              <w:t xml:space="preserve">　</w:t>
            </w:r>
          </w:p>
        </w:tc>
      </w:tr>
      <w:tr w:rsidR="002774EA" w:rsidRPr="006154DA" w14:paraId="4984F461" w14:textId="77777777" w:rsidTr="0021164A">
        <w:tc>
          <w:tcPr>
            <w:tcW w:w="3375" w:type="dxa"/>
          </w:tcPr>
          <w:p w14:paraId="3911607F" w14:textId="695EEB3A" w:rsidR="002774EA" w:rsidRPr="006154DA" w:rsidRDefault="002774EA" w:rsidP="0021164A">
            <w:pPr>
              <w:jc w:val="left"/>
              <w:rPr>
                <w:rFonts w:ascii="Arial Narrow" w:hAnsi="Arial Narrow"/>
                <w:sz w:val="20"/>
                <w:szCs w:val="20"/>
              </w:rPr>
            </w:pPr>
            <w:r w:rsidRPr="006154DA">
              <w:rPr>
                <w:rFonts w:ascii="Arial Narrow" w:hAnsi="Arial Narrow"/>
                <w:sz w:val="20"/>
                <w:szCs w:val="20"/>
              </w:rPr>
              <w:t>LYs</w:t>
            </w:r>
          </w:p>
        </w:tc>
        <w:tc>
          <w:tcPr>
            <w:tcW w:w="1880" w:type="dxa"/>
          </w:tcPr>
          <w:p w14:paraId="6AAFCD5D" w14:textId="614BA37D" w:rsidR="002774EA" w:rsidRPr="006154DA" w:rsidRDefault="002774EA" w:rsidP="0021164A">
            <w:pPr>
              <w:jc w:val="center"/>
              <w:rPr>
                <w:rFonts w:ascii="Arial Narrow" w:hAnsi="Arial Narrow"/>
                <w:sz w:val="20"/>
                <w:szCs w:val="20"/>
              </w:rPr>
            </w:pPr>
            <w:r w:rsidRPr="006154DA">
              <w:rPr>
                <w:rFonts w:ascii="Arial Narrow" w:hAnsi="Arial Narrow"/>
                <w:sz w:val="20"/>
                <w:szCs w:val="20"/>
              </w:rPr>
              <w:t>6.443</w:t>
            </w:r>
          </w:p>
        </w:tc>
        <w:tc>
          <w:tcPr>
            <w:tcW w:w="1880" w:type="dxa"/>
          </w:tcPr>
          <w:p w14:paraId="756651D5" w14:textId="04713354" w:rsidR="002774EA" w:rsidRPr="006154DA" w:rsidRDefault="002774EA" w:rsidP="0021164A">
            <w:pPr>
              <w:jc w:val="center"/>
              <w:rPr>
                <w:rFonts w:ascii="Arial Narrow" w:hAnsi="Arial Narrow"/>
                <w:sz w:val="20"/>
                <w:szCs w:val="20"/>
              </w:rPr>
            </w:pPr>
            <w:r w:rsidRPr="006154DA">
              <w:rPr>
                <w:rFonts w:ascii="Arial Narrow" w:hAnsi="Arial Narrow"/>
                <w:sz w:val="20"/>
                <w:szCs w:val="20"/>
              </w:rPr>
              <w:t>4.805</w:t>
            </w:r>
          </w:p>
        </w:tc>
        <w:tc>
          <w:tcPr>
            <w:tcW w:w="1882" w:type="dxa"/>
          </w:tcPr>
          <w:p w14:paraId="715E4B8A" w14:textId="1E384534" w:rsidR="002774EA" w:rsidRPr="006154DA" w:rsidRDefault="002774EA" w:rsidP="0021164A">
            <w:pPr>
              <w:jc w:val="center"/>
              <w:rPr>
                <w:rFonts w:ascii="Arial Narrow" w:hAnsi="Arial Narrow"/>
                <w:sz w:val="20"/>
                <w:szCs w:val="20"/>
              </w:rPr>
            </w:pPr>
            <w:r w:rsidRPr="006154DA">
              <w:rPr>
                <w:rFonts w:ascii="Arial Narrow" w:hAnsi="Arial Narrow"/>
                <w:sz w:val="20"/>
                <w:szCs w:val="20"/>
              </w:rPr>
              <w:t>1.638</w:t>
            </w:r>
          </w:p>
        </w:tc>
      </w:tr>
      <w:tr w:rsidR="002774EA" w:rsidRPr="006154DA" w14:paraId="3B783879" w14:textId="77777777" w:rsidTr="0021164A">
        <w:tc>
          <w:tcPr>
            <w:tcW w:w="3375" w:type="dxa"/>
          </w:tcPr>
          <w:p w14:paraId="19561A7A" w14:textId="77777777" w:rsidR="002774EA" w:rsidRPr="006154DA" w:rsidRDefault="002774EA" w:rsidP="0021164A">
            <w:pPr>
              <w:rPr>
                <w:rFonts w:ascii="Arial Narrow" w:hAnsi="Arial Narrow"/>
                <w:sz w:val="20"/>
                <w:szCs w:val="20"/>
              </w:rPr>
            </w:pPr>
            <w:r w:rsidRPr="006154DA">
              <w:rPr>
                <w:rFonts w:ascii="Arial Narrow" w:hAnsi="Arial Narrow"/>
                <w:sz w:val="20"/>
                <w:szCs w:val="20"/>
              </w:rPr>
              <w:t>QALYs</w:t>
            </w:r>
          </w:p>
        </w:tc>
        <w:tc>
          <w:tcPr>
            <w:tcW w:w="1880" w:type="dxa"/>
          </w:tcPr>
          <w:p w14:paraId="17426ACD" w14:textId="4F909F0C" w:rsidR="002774EA" w:rsidRPr="006154DA" w:rsidRDefault="002774EA" w:rsidP="0021164A">
            <w:pPr>
              <w:jc w:val="center"/>
              <w:rPr>
                <w:rFonts w:ascii="Arial Narrow" w:hAnsi="Arial Narrow"/>
                <w:sz w:val="20"/>
                <w:szCs w:val="20"/>
              </w:rPr>
            </w:pPr>
            <w:r w:rsidRPr="006154DA">
              <w:rPr>
                <w:rFonts w:ascii="Arial Narrow" w:hAnsi="Arial Narrow"/>
                <w:sz w:val="20"/>
                <w:szCs w:val="20"/>
              </w:rPr>
              <w:t>4.408</w:t>
            </w:r>
          </w:p>
        </w:tc>
        <w:tc>
          <w:tcPr>
            <w:tcW w:w="1880" w:type="dxa"/>
          </w:tcPr>
          <w:p w14:paraId="6A0801F4" w14:textId="7A327E1A" w:rsidR="002774EA" w:rsidRPr="006154DA" w:rsidRDefault="002774EA" w:rsidP="0021164A">
            <w:pPr>
              <w:jc w:val="center"/>
              <w:rPr>
                <w:rFonts w:ascii="Arial Narrow" w:hAnsi="Arial Narrow"/>
                <w:sz w:val="20"/>
                <w:szCs w:val="20"/>
              </w:rPr>
            </w:pPr>
            <w:r w:rsidRPr="006154DA">
              <w:rPr>
                <w:rFonts w:ascii="Arial Narrow" w:hAnsi="Arial Narrow"/>
                <w:sz w:val="20"/>
                <w:szCs w:val="20"/>
              </w:rPr>
              <w:t>3.261</w:t>
            </w:r>
          </w:p>
        </w:tc>
        <w:tc>
          <w:tcPr>
            <w:tcW w:w="1882" w:type="dxa"/>
          </w:tcPr>
          <w:p w14:paraId="503FD26B" w14:textId="4C906A1D" w:rsidR="002774EA" w:rsidRPr="006154DA" w:rsidRDefault="002774EA" w:rsidP="0021164A">
            <w:pPr>
              <w:jc w:val="center"/>
              <w:rPr>
                <w:rFonts w:ascii="Arial Narrow" w:hAnsi="Arial Narrow"/>
                <w:sz w:val="20"/>
                <w:szCs w:val="20"/>
              </w:rPr>
            </w:pPr>
            <w:r w:rsidRPr="006154DA">
              <w:rPr>
                <w:rFonts w:ascii="Arial Narrow" w:hAnsi="Arial Narrow"/>
                <w:sz w:val="20"/>
                <w:szCs w:val="20"/>
              </w:rPr>
              <w:t>1.148</w:t>
            </w:r>
          </w:p>
        </w:tc>
      </w:tr>
      <w:tr w:rsidR="002774EA" w:rsidRPr="006154DA" w14:paraId="72F830E4" w14:textId="77777777" w:rsidTr="0021164A">
        <w:tc>
          <w:tcPr>
            <w:tcW w:w="7135" w:type="dxa"/>
            <w:gridSpan w:val="3"/>
          </w:tcPr>
          <w:p w14:paraId="5CD66D30" w14:textId="4981973B" w:rsidR="002774EA" w:rsidRPr="006154DA" w:rsidRDefault="002774EA" w:rsidP="002774EA">
            <w:pPr>
              <w:jc w:val="right"/>
              <w:rPr>
                <w:rFonts w:ascii="Arial Narrow" w:hAnsi="Arial Narrow"/>
                <w:sz w:val="20"/>
                <w:szCs w:val="20"/>
              </w:rPr>
            </w:pPr>
            <w:r w:rsidRPr="006154DA">
              <w:rPr>
                <w:rFonts w:ascii="Arial Narrow" w:hAnsi="Arial Narrow"/>
                <w:sz w:val="20"/>
                <w:szCs w:val="20"/>
              </w:rPr>
              <w:t>Incremental cost per LY gained</w:t>
            </w:r>
          </w:p>
        </w:tc>
        <w:tc>
          <w:tcPr>
            <w:tcW w:w="1882" w:type="dxa"/>
          </w:tcPr>
          <w:p w14:paraId="2927B284" w14:textId="0DDE99DA" w:rsidR="002774EA" w:rsidRPr="00C62A2B" w:rsidRDefault="002774EA" w:rsidP="0021164A">
            <w:pPr>
              <w:jc w:val="center"/>
              <w:rPr>
                <w:rFonts w:ascii="Arial Narrow" w:hAnsi="Arial Narrow"/>
                <w:sz w:val="20"/>
                <w:szCs w:val="20"/>
                <w:vertAlign w:val="superscript"/>
              </w:rPr>
            </w:pPr>
            <w:r w:rsidRPr="006154DA">
              <w:rPr>
                <w:rFonts w:ascii="Arial Narrow" w:hAnsi="Arial Narrow"/>
                <w:sz w:val="20"/>
                <w:szCs w:val="20"/>
              </w:rPr>
              <w:t>$</w:t>
            </w:r>
            <w:r w:rsidR="006E73CD" w:rsidRPr="006E73CD">
              <w:rPr>
                <w:rFonts w:ascii="Arial Narrow" w:hAnsi="Arial Narrow" w:hint="eastAsia"/>
                <w:color w:val="000000"/>
                <w:w w:val="24"/>
                <w:sz w:val="20"/>
                <w:szCs w:val="20"/>
                <w:shd w:val="solid" w:color="000000" w:fill="000000"/>
                <w:fitText w:val="108" w:id="-1236536822"/>
                <w14:textFill>
                  <w14:solidFill>
                    <w14:srgbClr w14:val="000000">
                      <w14:alpha w14:val="100000"/>
                    </w14:srgbClr>
                  </w14:solidFill>
                </w14:textFill>
              </w:rPr>
              <w:t xml:space="preserve">　</w:t>
            </w:r>
            <w:r w:rsidR="006E73CD" w:rsidRPr="006E73CD">
              <w:rPr>
                <w:rFonts w:ascii="Arial Narrow" w:hAnsi="Arial Narrow"/>
                <w:color w:val="000000"/>
                <w:w w:val="24"/>
                <w:sz w:val="20"/>
                <w:szCs w:val="20"/>
                <w:shd w:val="solid" w:color="000000" w:fill="000000"/>
                <w:fitText w:val="108" w:id="-1236536822"/>
                <w14:textFill>
                  <w14:solidFill>
                    <w14:srgbClr w14:val="000000">
                      <w14:alpha w14:val="100000"/>
                    </w14:srgbClr>
                  </w14:solidFill>
                </w14:textFill>
              </w:rPr>
              <w:t>|</w:t>
            </w:r>
            <w:r w:rsidR="006E73CD" w:rsidRPr="006E73CD">
              <w:rPr>
                <w:rFonts w:ascii="Arial Narrow" w:hAnsi="Arial Narrow" w:hint="eastAsia"/>
                <w:color w:val="000000"/>
                <w:spacing w:val="4"/>
                <w:w w:val="24"/>
                <w:sz w:val="20"/>
                <w:szCs w:val="20"/>
                <w:shd w:val="solid" w:color="000000" w:fill="000000"/>
                <w:fitText w:val="108" w:id="-1236536822"/>
                <w14:textFill>
                  <w14:solidFill>
                    <w14:srgbClr w14:val="000000">
                      <w14:alpha w14:val="100000"/>
                    </w14:srgbClr>
                  </w14:solidFill>
                </w14:textFill>
              </w:rPr>
              <w:t xml:space="preserve">　</w:t>
            </w:r>
            <w:r w:rsidR="00C62A2B">
              <w:rPr>
                <w:rFonts w:ascii="Arial Narrow" w:hAnsi="Arial Narrow"/>
                <w:sz w:val="20"/>
                <w:szCs w:val="20"/>
                <w:vertAlign w:val="superscript"/>
              </w:rPr>
              <w:t>3</w:t>
            </w:r>
          </w:p>
        </w:tc>
      </w:tr>
      <w:tr w:rsidR="002774EA" w:rsidRPr="006154DA" w14:paraId="4A437AFD" w14:textId="77777777" w:rsidTr="0021164A">
        <w:tc>
          <w:tcPr>
            <w:tcW w:w="7135" w:type="dxa"/>
            <w:gridSpan w:val="3"/>
          </w:tcPr>
          <w:p w14:paraId="0E1B5F7D" w14:textId="77777777" w:rsidR="002774EA" w:rsidRPr="006154DA" w:rsidRDefault="002774EA" w:rsidP="0021164A">
            <w:pPr>
              <w:jc w:val="right"/>
              <w:rPr>
                <w:rFonts w:ascii="Arial Narrow" w:hAnsi="Arial Narrow"/>
                <w:b/>
                <w:bCs/>
                <w:sz w:val="20"/>
                <w:szCs w:val="20"/>
              </w:rPr>
            </w:pPr>
            <w:r w:rsidRPr="006154DA">
              <w:rPr>
                <w:rFonts w:ascii="Arial Narrow" w:hAnsi="Arial Narrow"/>
                <w:b/>
                <w:bCs/>
                <w:sz w:val="20"/>
                <w:szCs w:val="20"/>
              </w:rPr>
              <w:t>Incremental cost per QALY gained</w:t>
            </w:r>
          </w:p>
        </w:tc>
        <w:tc>
          <w:tcPr>
            <w:tcW w:w="1882" w:type="dxa"/>
          </w:tcPr>
          <w:p w14:paraId="4B2AF69B" w14:textId="5A6E20FE" w:rsidR="002774EA" w:rsidRPr="00C62A2B" w:rsidRDefault="002774EA" w:rsidP="0021164A">
            <w:pPr>
              <w:jc w:val="center"/>
              <w:rPr>
                <w:rFonts w:ascii="Arial Narrow" w:hAnsi="Arial Narrow"/>
                <w:b/>
                <w:sz w:val="20"/>
                <w:szCs w:val="20"/>
                <w:vertAlign w:val="superscript"/>
              </w:rPr>
            </w:pPr>
            <w:r w:rsidRPr="006154DA">
              <w:rPr>
                <w:rFonts w:ascii="Arial Narrow" w:hAnsi="Arial Narrow"/>
                <w:b/>
                <w:bCs/>
                <w:sz w:val="20"/>
                <w:szCs w:val="20"/>
              </w:rPr>
              <w:t>$</w:t>
            </w:r>
            <w:r w:rsidR="006E73CD" w:rsidRPr="006E73CD">
              <w:rPr>
                <w:rFonts w:ascii="Arial Narrow" w:hAnsi="Arial Narrow"/>
                <w:b/>
                <w:bCs/>
                <w:color w:val="000000"/>
                <w:spacing w:val="99"/>
                <w:sz w:val="20"/>
                <w:szCs w:val="20"/>
                <w:shd w:val="solid" w:color="000000" w:fill="000000"/>
                <w:fitText w:val="191" w:id="-1236536821"/>
                <w14:textFill>
                  <w14:solidFill>
                    <w14:srgbClr w14:val="000000">
                      <w14:alpha w14:val="100000"/>
                    </w14:srgbClr>
                  </w14:solidFill>
                </w14:textFill>
              </w:rPr>
              <w:t>|</w:t>
            </w:r>
            <w:r w:rsidR="006E73CD" w:rsidRPr="006E73CD">
              <w:rPr>
                <w:rFonts w:ascii="Arial Narrow" w:hAnsi="Arial Narrow"/>
                <w:b/>
                <w:bCs/>
                <w:color w:val="000000"/>
                <w:spacing w:val="1"/>
                <w:sz w:val="20"/>
                <w:szCs w:val="20"/>
                <w:shd w:val="solid" w:color="000000" w:fill="000000"/>
                <w:fitText w:val="191" w:id="-1236536821"/>
                <w14:textFill>
                  <w14:solidFill>
                    <w14:srgbClr w14:val="000000">
                      <w14:alpha w14:val="100000"/>
                    </w14:srgbClr>
                  </w14:solidFill>
                </w14:textFill>
              </w:rPr>
              <w:t>|</w:t>
            </w:r>
            <w:r w:rsidR="00C62A2B">
              <w:rPr>
                <w:rFonts w:ascii="Arial Narrow" w:hAnsi="Arial Narrow"/>
                <w:b/>
                <w:bCs/>
                <w:sz w:val="20"/>
                <w:szCs w:val="20"/>
                <w:vertAlign w:val="superscript"/>
              </w:rPr>
              <w:t>3</w:t>
            </w:r>
          </w:p>
        </w:tc>
      </w:tr>
      <w:bookmarkEnd w:id="96"/>
      <w:tr w:rsidR="0078569D" w:rsidRPr="006154DA" w14:paraId="32373FCE" w14:textId="77777777" w:rsidTr="00931476">
        <w:tc>
          <w:tcPr>
            <w:tcW w:w="9017" w:type="dxa"/>
            <w:gridSpan w:val="4"/>
          </w:tcPr>
          <w:p w14:paraId="773E75B9" w14:textId="22289CB2" w:rsidR="0078569D" w:rsidRPr="006154DA" w:rsidRDefault="0078569D" w:rsidP="00931476">
            <w:pPr>
              <w:jc w:val="left"/>
              <w:rPr>
                <w:rFonts w:ascii="Arial Narrow" w:hAnsi="Arial Narrow"/>
                <w:b/>
                <w:bCs/>
                <w:sz w:val="20"/>
                <w:szCs w:val="20"/>
              </w:rPr>
            </w:pPr>
            <w:r>
              <w:rPr>
                <w:rFonts w:ascii="Arial Narrow" w:hAnsi="Arial Narrow"/>
                <w:b/>
                <w:bCs/>
                <w:sz w:val="20"/>
                <w:szCs w:val="20"/>
              </w:rPr>
              <w:t>Pre-PBAC revised base case with updated costs of lenalidomide included</w:t>
            </w:r>
          </w:p>
        </w:tc>
      </w:tr>
      <w:tr w:rsidR="0078569D" w:rsidRPr="006154DA" w14:paraId="2923CCD9" w14:textId="77777777" w:rsidTr="00931476">
        <w:tc>
          <w:tcPr>
            <w:tcW w:w="3375" w:type="dxa"/>
          </w:tcPr>
          <w:p w14:paraId="0C979695" w14:textId="77777777" w:rsidR="0078569D" w:rsidRPr="006154DA" w:rsidRDefault="0078569D" w:rsidP="00931476">
            <w:pPr>
              <w:jc w:val="left"/>
              <w:rPr>
                <w:rFonts w:ascii="Arial Narrow" w:hAnsi="Arial Narrow"/>
                <w:sz w:val="20"/>
                <w:szCs w:val="20"/>
              </w:rPr>
            </w:pPr>
            <w:r w:rsidRPr="006154DA">
              <w:rPr>
                <w:rFonts w:ascii="Arial Narrow" w:hAnsi="Arial Narrow"/>
                <w:sz w:val="20"/>
                <w:szCs w:val="20"/>
              </w:rPr>
              <w:t xml:space="preserve">Costs </w:t>
            </w:r>
          </w:p>
        </w:tc>
        <w:tc>
          <w:tcPr>
            <w:tcW w:w="1880" w:type="dxa"/>
          </w:tcPr>
          <w:p w14:paraId="2E789651" w14:textId="3489CEAE" w:rsidR="0078569D" w:rsidRPr="006154DA" w:rsidRDefault="0078569D" w:rsidP="00931476">
            <w:pPr>
              <w:jc w:val="center"/>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2" w:id="-1236536820"/>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2" w:id="-1236536820"/>
                <w14:textFill>
                  <w14:solidFill>
                    <w14:srgbClr w14:val="000000">
                      <w14:alpha w14:val="100000"/>
                    </w14:srgbClr>
                  </w14:solidFill>
                </w14:textFill>
              </w:rPr>
              <w:t>|</w:t>
            </w:r>
            <w:r w:rsidR="006E73CD" w:rsidRPr="006E73CD">
              <w:rPr>
                <w:rFonts w:ascii="Arial Narrow" w:hAnsi="Arial Narrow" w:hint="eastAsia"/>
                <w:color w:val="000000"/>
                <w:spacing w:val="5"/>
                <w:w w:val="20"/>
                <w:sz w:val="20"/>
                <w:szCs w:val="20"/>
                <w:shd w:val="solid" w:color="000000" w:fill="000000"/>
                <w:fitText w:val="92" w:id="-1236536820"/>
                <w14:textFill>
                  <w14:solidFill>
                    <w14:srgbClr w14:val="000000">
                      <w14:alpha w14:val="100000"/>
                    </w14:srgbClr>
                  </w14:solidFill>
                </w14:textFill>
              </w:rPr>
              <w:t xml:space="preserve">　</w:t>
            </w:r>
          </w:p>
        </w:tc>
        <w:tc>
          <w:tcPr>
            <w:tcW w:w="1880" w:type="dxa"/>
          </w:tcPr>
          <w:p w14:paraId="632B6024" w14:textId="12D65E65" w:rsidR="0078569D" w:rsidRPr="006154DA" w:rsidRDefault="0078569D" w:rsidP="00931476">
            <w:pPr>
              <w:jc w:val="center"/>
              <w:rPr>
                <w:rFonts w:ascii="Arial Narrow" w:hAnsi="Arial Narrow"/>
                <w:sz w:val="20"/>
                <w:szCs w:val="20"/>
              </w:rPr>
            </w:pPr>
            <w:r w:rsidRPr="006154DA">
              <w:rPr>
                <w:rFonts w:ascii="Arial Narrow" w:hAnsi="Arial Narrow"/>
                <w:sz w:val="20"/>
                <w:szCs w:val="20"/>
              </w:rPr>
              <w:t>$</w:t>
            </w:r>
            <w:r>
              <w:rPr>
                <w:rFonts w:ascii="Arial Narrow" w:hAnsi="Arial Narrow"/>
                <w:sz w:val="20"/>
                <w:szCs w:val="20"/>
              </w:rPr>
              <w:t>137,832</w:t>
            </w:r>
          </w:p>
        </w:tc>
        <w:tc>
          <w:tcPr>
            <w:tcW w:w="1882" w:type="dxa"/>
          </w:tcPr>
          <w:p w14:paraId="12142032" w14:textId="46605231" w:rsidR="0078569D" w:rsidRPr="006154DA" w:rsidRDefault="0078569D" w:rsidP="00931476">
            <w:pPr>
              <w:jc w:val="center"/>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hint="eastAsia"/>
                <w:color w:val="000000"/>
                <w:w w:val="20"/>
                <w:sz w:val="20"/>
                <w:szCs w:val="20"/>
                <w:shd w:val="solid" w:color="000000" w:fill="000000"/>
                <w:fitText w:val="91" w:id="-1236536819"/>
                <w14:textFill>
                  <w14:solidFill>
                    <w14:srgbClr w14:val="000000">
                      <w14:alpha w14:val="100000"/>
                    </w14:srgbClr>
                  </w14:solidFill>
                </w14:textFill>
              </w:rPr>
              <w:t xml:space="preserve">　</w:t>
            </w:r>
            <w:r w:rsidR="006E73CD" w:rsidRPr="006E73CD">
              <w:rPr>
                <w:rFonts w:ascii="Arial Narrow" w:hAnsi="Arial Narrow"/>
                <w:color w:val="000000"/>
                <w:w w:val="20"/>
                <w:sz w:val="20"/>
                <w:szCs w:val="20"/>
                <w:shd w:val="solid" w:color="000000" w:fill="000000"/>
                <w:fitText w:val="91" w:id="-1236536819"/>
                <w14:textFill>
                  <w14:solidFill>
                    <w14:srgbClr w14:val="000000">
                      <w14:alpha w14:val="100000"/>
                    </w14:srgbClr>
                  </w14:solidFill>
                </w14:textFill>
              </w:rPr>
              <w:t>|</w:t>
            </w:r>
            <w:r w:rsidR="006E73CD" w:rsidRPr="006E73CD">
              <w:rPr>
                <w:rFonts w:ascii="Arial Narrow" w:hAnsi="Arial Narrow" w:hint="eastAsia"/>
                <w:color w:val="000000"/>
                <w:spacing w:val="4"/>
                <w:w w:val="20"/>
                <w:sz w:val="20"/>
                <w:szCs w:val="20"/>
                <w:shd w:val="solid" w:color="000000" w:fill="000000"/>
                <w:fitText w:val="91" w:id="-1236536819"/>
                <w14:textFill>
                  <w14:solidFill>
                    <w14:srgbClr w14:val="000000">
                      <w14:alpha w14:val="100000"/>
                    </w14:srgbClr>
                  </w14:solidFill>
                </w14:textFill>
              </w:rPr>
              <w:t xml:space="preserve">　</w:t>
            </w:r>
          </w:p>
        </w:tc>
      </w:tr>
      <w:tr w:rsidR="0078569D" w:rsidRPr="006154DA" w14:paraId="24DCB2B6" w14:textId="77777777" w:rsidTr="00931476">
        <w:tc>
          <w:tcPr>
            <w:tcW w:w="3375" w:type="dxa"/>
          </w:tcPr>
          <w:p w14:paraId="1FABB761" w14:textId="77777777" w:rsidR="0078569D" w:rsidRPr="006154DA" w:rsidRDefault="0078569D" w:rsidP="00931476">
            <w:pPr>
              <w:rPr>
                <w:rFonts w:ascii="Arial Narrow" w:hAnsi="Arial Narrow"/>
                <w:sz w:val="20"/>
                <w:szCs w:val="20"/>
              </w:rPr>
            </w:pPr>
            <w:r w:rsidRPr="006154DA">
              <w:rPr>
                <w:rFonts w:ascii="Arial Narrow" w:hAnsi="Arial Narrow"/>
                <w:sz w:val="20"/>
                <w:szCs w:val="20"/>
              </w:rPr>
              <w:t>QALYs</w:t>
            </w:r>
          </w:p>
        </w:tc>
        <w:tc>
          <w:tcPr>
            <w:tcW w:w="1880" w:type="dxa"/>
          </w:tcPr>
          <w:p w14:paraId="19A6C0C8" w14:textId="77777777" w:rsidR="0078569D" w:rsidRPr="006154DA" w:rsidRDefault="0078569D" w:rsidP="00931476">
            <w:pPr>
              <w:jc w:val="center"/>
              <w:rPr>
                <w:rFonts w:ascii="Arial Narrow" w:hAnsi="Arial Narrow"/>
                <w:sz w:val="20"/>
                <w:szCs w:val="20"/>
              </w:rPr>
            </w:pPr>
            <w:r w:rsidRPr="006154DA">
              <w:rPr>
                <w:rFonts w:ascii="Arial Narrow" w:hAnsi="Arial Narrow"/>
                <w:sz w:val="20"/>
                <w:szCs w:val="20"/>
              </w:rPr>
              <w:t>4.408</w:t>
            </w:r>
          </w:p>
        </w:tc>
        <w:tc>
          <w:tcPr>
            <w:tcW w:w="1880" w:type="dxa"/>
          </w:tcPr>
          <w:p w14:paraId="2D3E8981" w14:textId="77777777" w:rsidR="0078569D" w:rsidRPr="006154DA" w:rsidRDefault="0078569D" w:rsidP="00931476">
            <w:pPr>
              <w:jc w:val="center"/>
              <w:rPr>
                <w:rFonts w:ascii="Arial Narrow" w:hAnsi="Arial Narrow"/>
                <w:sz w:val="20"/>
                <w:szCs w:val="20"/>
              </w:rPr>
            </w:pPr>
            <w:r w:rsidRPr="006154DA">
              <w:rPr>
                <w:rFonts w:ascii="Arial Narrow" w:hAnsi="Arial Narrow"/>
                <w:sz w:val="20"/>
                <w:szCs w:val="20"/>
              </w:rPr>
              <w:t>3.261</w:t>
            </w:r>
          </w:p>
        </w:tc>
        <w:tc>
          <w:tcPr>
            <w:tcW w:w="1882" w:type="dxa"/>
          </w:tcPr>
          <w:p w14:paraId="532DF354" w14:textId="77777777" w:rsidR="0078569D" w:rsidRPr="006154DA" w:rsidRDefault="0078569D" w:rsidP="00931476">
            <w:pPr>
              <w:jc w:val="center"/>
              <w:rPr>
                <w:rFonts w:ascii="Arial Narrow" w:hAnsi="Arial Narrow"/>
                <w:sz w:val="20"/>
                <w:szCs w:val="20"/>
              </w:rPr>
            </w:pPr>
            <w:r w:rsidRPr="006154DA">
              <w:rPr>
                <w:rFonts w:ascii="Arial Narrow" w:hAnsi="Arial Narrow"/>
                <w:sz w:val="20"/>
                <w:szCs w:val="20"/>
              </w:rPr>
              <w:t>1.148</w:t>
            </w:r>
          </w:p>
        </w:tc>
      </w:tr>
      <w:tr w:rsidR="0078569D" w:rsidRPr="006154DA" w14:paraId="119B568F" w14:textId="77777777" w:rsidTr="00931476">
        <w:tc>
          <w:tcPr>
            <w:tcW w:w="7135" w:type="dxa"/>
            <w:gridSpan w:val="3"/>
          </w:tcPr>
          <w:p w14:paraId="0C37741E" w14:textId="77777777" w:rsidR="0078569D" w:rsidRPr="006154DA" w:rsidRDefault="0078569D" w:rsidP="00931476">
            <w:pPr>
              <w:jc w:val="right"/>
              <w:rPr>
                <w:rFonts w:ascii="Arial Narrow" w:hAnsi="Arial Narrow"/>
                <w:b/>
                <w:bCs/>
                <w:sz w:val="20"/>
                <w:szCs w:val="20"/>
              </w:rPr>
            </w:pPr>
            <w:r w:rsidRPr="006154DA">
              <w:rPr>
                <w:rFonts w:ascii="Arial Narrow" w:hAnsi="Arial Narrow"/>
                <w:b/>
                <w:bCs/>
                <w:sz w:val="20"/>
                <w:szCs w:val="20"/>
              </w:rPr>
              <w:t>Incremental cost per QALY gained</w:t>
            </w:r>
          </w:p>
        </w:tc>
        <w:tc>
          <w:tcPr>
            <w:tcW w:w="1882" w:type="dxa"/>
          </w:tcPr>
          <w:p w14:paraId="466E540D" w14:textId="471B7F51" w:rsidR="0078569D" w:rsidRPr="00C62A2B" w:rsidRDefault="0078569D" w:rsidP="00931476">
            <w:pPr>
              <w:jc w:val="center"/>
              <w:rPr>
                <w:rFonts w:ascii="Arial Narrow" w:hAnsi="Arial Narrow"/>
                <w:b/>
                <w:sz w:val="20"/>
                <w:szCs w:val="20"/>
                <w:vertAlign w:val="superscript"/>
              </w:rPr>
            </w:pPr>
            <w:r w:rsidRPr="006154DA">
              <w:rPr>
                <w:rFonts w:ascii="Arial Narrow" w:hAnsi="Arial Narrow"/>
                <w:b/>
                <w:bCs/>
                <w:sz w:val="20"/>
                <w:szCs w:val="20"/>
              </w:rPr>
              <w:t>$</w:t>
            </w:r>
            <w:r w:rsidR="006E73CD" w:rsidRPr="006E73CD">
              <w:rPr>
                <w:rFonts w:ascii="Arial Narrow" w:hAnsi="Arial Narrow"/>
                <w:b/>
                <w:bCs/>
                <w:color w:val="000000"/>
                <w:spacing w:val="99"/>
                <w:sz w:val="20"/>
                <w:szCs w:val="20"/>
                <w:shd w:val="solid" w:color="000000" w:fill="000000"/>
                <w:fitText w:val="191" w:id="-1236536818"/>
                <w14:textFill>
                  <w14:solidFill>
                    <w14:srgbClr w14:val="000000">
                      <w14:alpha w14:val="100000"/>
                    </w14:srgbClr>
                  </w14:solidFill>
                </w14:textFill>
              </w:rPr>
              <w:t>|</w:t>
            </w:r>
            <w:r w:rsidR="006E73CD" w:rsidRPr="006E73CD">
              <w:rPr>
                <w:rFonts w:ascii="Arial Narrow" w:hAnsi="Arial Narrow"/>
                <w:b/>
                <w:bCs/>
                <w:color w:val="000000"/>
                <w:spacing w:val="1"/>
                <w:sz w:val="20"/>
                <w:szCs w:val="20"/>
                <w:shd w:val="solid" w:color="000000" w:fill="000000"/>
                <w:fitText w:val="191" w:id="-1236536818"/>
                <w14:textFill>
                  <w14:solidFill>
                    <w14:srgbClr w14:val="000000">
                      <w14:alpha w14:val="100000"/>
                    </w14:srgbClr>
                  </w14:solidFill>
                </w14:textFill>
              </w:rPr>
              <w:t>|</w:t>
            </w:r>
            <w:r w:rsidR="00C62A2B">
              <w:rPr>
                <w:rFonts w:ascii="Arial Narrow" w:hAnsi="Arial Narrow"/>
                <w:b/>
                <w:bCs/>
                <w:sz w:val="20"/>
                <w:szCs w:val="20"/>
                <w:vertAlign w:val="superscript"/>
              </w:rPr>
              <w:t>3</w:t>
            </w:r>
          </w:p>
        </w:tc>
      </w:tr>
    </w:tbl>
    <w:p w14:paraId="629D6CCB" w14:textId="3F6AF070" w:rsidR="001D7ABE" w:rsidRPr="0058247A" w:rsidRDefault="001D7ABE" w:rsidP="001D7ABE">
      <w:pPr>
        <w:rPr>
          <w:rFonts w:ascii="Arial Narrow" w:hAnsi="Arial Narrow"/>
          <w:sz w:val="18"/>
          <w:szCs w:val="18"/>
        </w:rPr>
      </w:pPr>
      <w:r w:rsidRPr="0058247A">
        <w:rPr>
          <w:rFonts w:ascii="Arial Narrow" w:hAnsi="Arial Narrow"/>
          <w:sz w:val="18"/>
          <w:szCs w:val="18"/>
        </w:rPr>
        <w:t xml:space="preserve">Source: Table </w:t>
      </w:r>
      <w:r w:rsidR="003B7018" w:rsidRPr="0058247A">
        <w:rPr>
          <w:rFonts w:ascii="Arial Narrow" w:hAnsi="Arial Narrow"/>
          <w:sz w:val="18"/>
          <w:szCs w:val="18"/>
        </w:rPr>
        <w:t xml:space="preserve">3.14, p244 and Table </w:t>
      </w:r>
      <w:r w:rsidRPr="0058247A">
        <w:rPr>
          <w:rFonts w:ascii="Arial Narrow" w:hAnsi="Arial Narrow"/>
          <w:sz w:val="18"/>
          <w:szCs w:val="18"/>
        </w:rPr>
        <w:t>3.15, p246 of the submission</w:t>
      </w:r>
      <w:r w:rsidR="003B7018" w:rsidRPr="0058247A">
        <w:rPr>
          <w:rFonts w:ascii="Arial Narrow" w:hAnsi="Arial Narrow"/>
          <w:sz w:val="18"/>
          <w:szCs w:val="18"/>
        </w:rPr>
        <w:t xml:space="preserve"> and compiled during the evaluation using the information from the economic model of the submission </w:t>
      </w:r>
    </w:p>
    <w:p w14:paraId="223274DD" w14:textId="56217A78" w:rsidR="001D7ABE" w:rsidRDefault="001D7ABE" w:rsidP="001D7ABE">
      <w:pPr>
        <w:rPr>
          <w:rFonts w:ascii="Arial Narrow" w:hAnsi="Arial Narrow"/>
          <w:sz w:val="18"/>
          <w:szCs w:val="18"/>
        </w:rPr>
      </w:pPr>
      <w:r w:rsidRPr="0058247A">
        <w:rPr>
          <w:rFonts w:ascii="Arial Narrow" w:hAnsi="Arial Narrow"/>
          <w:sz w:val="18"/>
          <w:szCs w:val="18"/>
        </w:rPr>
        <w:t>DLd = daratumumab with lenalidomide and dexamethasone; LY = life-year; QALY = quality-adjusted life-year</w:t>
      </w:r>
      <w:r w:rsidR="003B7018" w:rsidRPr="0058247A">
        <w:rPr>
          <w:rFonts w:ascii="Arial Narrow" w:hAnsi="Arial Narrow"/>
          <w:sz w:val="18"/>
          <w:szCs w:val="18"/>
        </w:rPr>
        <w:t>; SOC = standard of care</w:t>
      </w:r>
    </w:p>
    <w:p w14:paraId="5A79C3EB" w14:textId="77777777" w:rsidR="00C62A2B" w:rsidRPr="009A6D58" w:rsidRDefault="00C62A2B" w:rsidP="00C62A2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C5DF361" w14:textId="5037684A" w:rsidR="00C62A2B" w:rsidRPr="009A6D58" w:rsidRDefault="00C62A2B" w:rsidP="00C62A2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62A2B">
        <w:rPr>
          <w:rFonts w:ascii="Arial Narrow" w:hAnsi="Arial Narrow"/>
          <w:i/>
          <w:sz w:val="18"/>
          <w:szCs w:val="18"/>
        </w:rPr>
        <w:t>$755,000 to &lt; $855,000</w:t>
      </w:r>
    </w:p>
    <w:p w14:paraId="0B4E7E06" w14:textId="06E96951" w:rsidR="00C62A2B" w:rsidRPr="009A6D58" w:rsidRDefault="00C62A2B" w:rsidP="00C62A2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62A2B">
        <w:rPr>
          <w:rFonts w:ascii="Arial Narrow" w:hAnsi="Arial Narrow"/>
          <w:i/>
          <w:sz w:val="18"/>
          <w:szCs w:val="18"/>
        </w:rPr>
        <w:t>$115,000 to &lt; $135,000</w:t>
      </w:r>
    </w:p>
    <w:p w14:paraId="364842F9" w14:textId="572E2D70" w:rsidR="00C62A2B" w:rsidRPr="00C62A2B" w:rsidRDefault="00C62A2B" w:rsidP="00C62A2B">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62A2B">
        <w:rPr>
          <w:rFonts w:ascii="Arial Narrow" w:hAnsi="Arial Narrow"/>
          <w:i/>
          <w:sz w:val="18"/>
          <w:szCs w:val="18"/>
        </w:rPr>
        <w:t>$155,000 to &lt; $255,000</w:t>
      </w:r>
    </w:p>
    <w:p w14:paraId="6DCB235D" w14:textId="6E7DAE9B" w:rsidR="001D7ABE" w:rsidRPr="0058247A" w:rsidRDefault="001D7ABE" w:rsidP="00720D59">
      <w:pPr>
        <w:pStyle w:val="3-BodyText"/>
      </w:pPr>
      <w:bookmarkStart w:id="97" w:name="_Ref127532558"/>
      <w:bookmarkEnd w:id="94"/>
      <w:r w:rsidRPr="0058247A">
        <w:t xml:space="preserve">The results of key univariate and multivariate sensitivity analyses </w:t>
      </w:r>
      <w:r w:rsidR="002774EA" w:rsidRPr="0058247A">
        <w:t xml:space="preserve">(based on the submission’s base case) </w:t>
      </w:r>
      <w:r w:rsidRPr="0058247A">
        <w:t xml:space="preserve">are summarised in </w:t>
      </w:r>
      <w:r w:rsidRPr="0058247A">
        <w:fldChar w:fldCharType="begin"/>
      </w:r>
      <w:r w:rsidRPr="0058247A">
        <w:instrText xml:space="preserve"> REF _Ref104804865 \h </w:instrText>
      </w:r>
      <w:r w:rsidRPr="0058247A">
        <w:fldChar w:fldCharType="separate"/>
      </w:r>
      <w:r w:rsidR="008D65C7" w:rsidRPr="0058247A">
        <w:t xml:space="preserve">Table </w:t>
      </w:r>
      <w:r w:rsidR="008D65C7">
        <w:rPr>
          <w:noProof/>
        </w:rPr>
        <w:t>18</w:t>
      </w:r>
      <w:r w:rsidRPr="0058247A">
        <w:fldChar w:fldCharType="end"/>
      </w:r>
      <w:r w:rsidRPr="0058247A">
        <w:t>.</w:t>
      </w:r>
      <w:r w:rsidR="00FF535B" w:rsidRPr="0058247A">
        <w:t xml:space="preserve"> This included </w:t>
      </w:r>
      <w:r w:rsidR="005D01D1" w:rsidRPr="0058247A">
        <w:t>a</w:t>
      </w:r>
      <w:r w:rsidR="00FF535B" w:rsidRPr="0058247A">
        <w:t xml:space="preserve"> </w:t>
      </w:r>
      <w:r w:rsidR="00F4441A" w:rsidRPr="0058247A">
        <w:t>threshold analys</w:t>
      </w:r>
      <w:r w:rsidR="005D01D1" w:rsidRPr="0058247A">
        <w:t>i</w:t>
      </w:r>
      <w:r w:rsidR="00F4441A" w:rsidRPr="0058247A">
        <w:t xml:space="preserve">s </w:t>
      </w:r>
      <w:r w:rsidR="00A90C33" w:rsidRPr="0058247A">
        <w:t>conducted during the evaluation which investigate</w:t>
      </w:r>
      <w:r w:rsidR="005D01D1" w:rsidRPr="0058247A">
        <w:t>s</w:t>
      </w:r>
      <w:r w:rsidR="00A90C33" w:rsidRPr="0058247A">
        <w:t xml:space="preserve"> the price reduction required to achieve an </w:t>
      </w:r>
      <w:r w:rsidR="00F4441A" w:rsidRPr="0058247A">
        <w:t xml:space="preserve">ICER equivalent </w:t>
      </w:r>
      <w:r w:rsidR="005D01D1" w:rsidRPr="0058247A">
        <w:t>to</w:t>
      </w:r>
      <w:r w:rsidR="00F4441A" w:rsidRPr="0058247A">
        <w:t xml:space="preserve"> </w:t>
      </w:r>
      <w:r w:rsidR="00A90C33" w:rsidRPr="0058247A">
        <w:t xml:space="preserve">the </w:t>
      </w:r>
      <w:r w:rsidR="00F4441A" w:rsidRPr="0058247A">
        <w:t>level preferred by the PBAC of less than $75,000/QALY (para</w:t>
      </w:r>
      <w:r w:rsidR="002774EA" w:rsidRPr="0058247A">
        <w:t>graph</w:t>
      </w:r>
      <w:r w:rsidR="00F4441A" w:rsidRPr="0058247A">
        <w:t xml:space="preserve"> 6.1, daratumumab, </w:t>
      </w:r>
      <w:r w:rsidR="005D01D1" w:rsidRPr="0058247A">
        <w:t>PSD</w:t>
      </w:r>
      <w:r w:rsidR="00F4441A" w:rsidRPr="0058247A">
        <w:t>, July 2020 PBAC meeting</w:t>
      </w:r>
      <w:r w:rsidR="00A90C33" w:rsidRPr="0058247A">
        <w:t>)</w:t>
      </w:r>
      <w:r w:rsidR="00F4441A" w:rsidRPr="0058247A">
        <w:t>.</w:t>
      </w:r>
      <w:bookmarkEnd w:id="97"/>
    </w:p>
    <w:p w14:paraId="25188918" w14:textId="51474AC4" w:rsidR="001D7ABE" w:rsidRPr="0058247A" w:rsidRDefault="001D7ABE" w:rsidP="00A90C33">
      <w:pPr>
        <w:pStyle w:val="Caption"/>
        <w:pageBreakBefore/>
        <w:rPr>
          <w:rStyle w:val="CommentReference"/>
          <w:b/>
          <w:szCs w:val="24"/>
        </w:rPr>
      </w:pPr>
      <w:bookmarkStart w:id="98" w:name="_Ref104804865"/>
      <w:r w:rsidRPr="0058247A">
        <w:lastRenderedPageBreak/>
        <w:t xml:space="preserve">Table </w:t>
      </w:r>
      <w:fldSimple w:instr=" SEQ Table \* ARABIC ">
        <w:r w:rsidR="008D65C7">
          <w:rPr>
            <w:noProof/>
          </w:rPr>
          <w:t>18</w:t>
        </w:r>
      </w:fldSimple>
      <w:bookmarkEnd w:id="98"/>
      <w:r w:rsidRPr="0058247A">
        <w:t>:</w:t>
      </w:r>
      <w:r w:rsidRPr="0058247A">
        <w:rPr>
          <w:rStyle w:val="CommentReference"/>
          <w:b/>
          <w:szCs w:val="24"/>
        </w:rPr>
        <w:t xml:space="preserve"> Sensitivity analyses</w:t>
      </w:r>
      <w:r w:rsidR="00C3483F" w:rsidRPr="0058247A">
        <w:rPr>
          <w:rStyle w:val="CommentReference"/>
          <w:b/>
          <w:szCs w:val="24"/>
        </w:rPr>
        <w:t xml:space="preserve"> (submission base case and PSCR base case)</w:t>
      </w:r>
    </w:p>
    <w:tbl>
      <w:tblPr>
        <w:tblStyle w:val="ASDTable2"/>
        <w:tblW w:w="5000" w:type="pct"/>
        <w:tblCellMar>
          <w:left w:w="85" w:type="dxa"/>
          <w:right w:w="85" w:type="dxa"/>
        </w:tblCellMar>
        <w:tblLook w:val="04A0" w:firstRow="1" w:lastRow="0" w:firstColumn="1" w:lastColumn="0" w:noHBand="0" w:noVBand="1"/>
      </w:tblPr>
      <w:tblGrid>
        <w:gridCol w:w="4815"/>
        <w:gridCol w:w="1134"/>
        <w:gridCol w:w="1133"/>
        <w:gridCol w:w="994"/>
        <w:gridCol w:w="941"/>
      </w:tblGrid>
      <w:tr w:rsidR="00FC4AC7" w:rsidRPr="006154DA" w14:paraId="5B026953" w14:textId="77777777" w:rsidTr="00FC4AC7">
        <w:tc>
          <w:tcPr>
            <w:tcW w:w="2670" w:type="pct"/>
            <w:hideMark/>
          </w:tcPr>
          <w:p w14:paraId="39501D2F" w14:textId="77777777" w:rsidR="001D7ABE" w:rsidRPr="006154DA" w:rsidRDefault="001D7ABE">
            <w:pPr>
              <w:jc w:val="left"/>
              <w:textAlignment w:val="baseline"/>
              <w:rPr>
                <w:rFonts w:ascii="Arial Narrow" w:hAnsi="Arial Narrow" w:cs="Times New Roman"/>
                <w:sz w:val="20"/>
                <w:szCs w:val="20"/>
              </w:rPr>
            </w:pPr>
            <w:r w:rsidRPr="006154DA">
              <w:rPr>
                <w:rFonts w:ascii="Arial Narrow" w:hAnsi="Arial Narrow" w:cs="Calibri"/>
                <w:b/>
                <w:bCs/>
                <w:color w:val="000000"/>
                <w:sz w:val="20"/>
                <w:szCs w:val="20"/>
              </w:rPr>
              <w:t>Scenario</w:t>
            </w:r>
            <w:r w:rsidRPr="006154DA">
              <w:rPr>
                <w:rFonts w:ascii="Arial Narrow" w:hAnsi="Arial Narrow" w:cs="Calibri"/>
                <w:color w:val="000000"/>
                <w:sz w:val="20"/>
                <w:szCs w:val="20"/>
              </w:rPr>
              <w:t> </w:t>
            </w:r>
          </w:p>
        </w:tc>
        <w:tc>
          <w:tcPr>
            <w:tcW w:w="629" w:type="pct"/>
            <w:hideMark/>
          </w:tcPr>
          <w:p w14:paraId="517C6825"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theme="minorHAnsi"/>
                <w:b/>
                <w:color w:val="000000"/>
                <w:sz w:val="20"/>
                <w:szCs w:val="20"/>
              </w:rPr>
              <w:t>Incremental QALY</w:t>
            </w:r>
          </w:p>
        </w:tc>
        <w:tc>
          <w:tcPr>
            <w:tcW w:w="628" w:type="pct"/>
            <w:hideMark/>
          </w:tcPr>
          <w:p w14:paraId="2CB425A4"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theme="minorHAnsi"/>
                <w:b/>
                <w:color w:val="000000"/>
                <w:sz w:val="20"/>
                <w:szCs w:val="20"/>
              </w:rPr>
              <w:t>Incremental costs</w:t>
            </w:r>
          </w:p>
        </w:tc>
        <w:tc>
          <w:tcPr>
            <w:tcW w:w="551" w:type="pct"/>
            <w:hideMark/>
          </w:tcPr>
          <w:p w14:paraId="1614C206"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theme="minorHAnsi"/>
                <w:b/>
                <w:color w:val="000000"/>
                <w:sz w:val="20"/>
                <w:szCs w:val="20"/>
              </w:rPr>
              <w:t>ICER</w:t>
            </w:r>
          </w:p>
        </w:tc>
        <w:tc>
          <w:tcPr>
            <w:tcW w:w="522" w:type="pct"/>
          </w:tcPr>
          <w:p w14:paraId="3564118F" w14:textId="61A04D11" w:rsidR="001D7ABE" w:rsidRPr="006154DA" w:rsidRDefault="00BE4166">
            <w:pPr>
              <w:jc w:val="center"/>
              <w:textAlignment w:val="baseline"/>
              <w:rPr>
                <w:rFonts w:ascii="Arial Narrow" w:hAnsi="Arial Narrow" w:cstheme="minorHAnsi"/>
                <w:b/>
                <w:color w:val="000000"/>
                <w:sz w:val="20"/>
                <w:szCs w:val="20"/>
              </w:rPr>
            </w:pPr>
            <w:r>
              <w:rPr>
                <w:rFonts w:ascii="Arial Narrow" w:hAnsi="Arial Narrow" w:cstheme="minorHAnsi"/>
                <w:b/>
                <w:color w:val="000000"/>
                <w:sz w:val="20"/>
                <w:szCs w:val="20"/>
              </w:rPr>
              <w:t>%</w:t>
            </w:r>
            <w:r w:rsidR="001D7ABE" w:rsidRPr="006154DA">
              <w:rPr>
                <w:rFonts w:ascii="Arial Narrow" w:hAnsi="Arial Narrow" w:cstheme="minorHAnsi"/>
                <w:b/>
                <w:color w:val="000000"/>
                <w:sz w:val="20"/>
                <w:szCs w:val="20"/>
              </w:rPr>
              <w:t xml:space="preserve"> change to ICER</w:t>
            </w:r>
          </w:p>
        </w:tc>
      </w:tr>
      <w:tr w:rsidR="00FC4AC7" w:rsidRPr="006154DA" w14:paraId="237FB858" w14:textId="77777777" w:rsidTr="00FC4AC7">
        <w:tc>
          <w:tcPr>
            <w:tcW w:w="2670" w:type="pct"/>
            <w:hideMark/>
          </w:tcPr>
          <w:p w14:paraId="068F6ED8" w14:textId="77777777" w:rsidR="001D7ABE" w:rsidRPr="006154DA" w:rsidRDefault="001D7ABE">
            <w:pPr>
              <w:jc w:val="left"/>
              <w:textAlignment w:val="baseline"/>
              <w:rPr>
                <w:rFonts w:ascii="Arial Narrow" w:hAnsi="Arial Narrow" w:cs="Times New Roman"/>
                <w:sz w:val="20"/>
                <w:szCs w:val="20"/>
              </w:rPr>
            </w:pPr>
            <w:r w:rsidRPr="006154DA">
              <w:rPr>
                <w:rFonts w:ascii="Arial Narrow" w:hAnsi="Arial Narrow" w:cs="Calibri"/>
                <w:color w:val="000000"/>
                <w:sz w:val="20"/>
                <w:szCs w:val="20"/>
              </w:rPr>
              <w:t>Base case </w:t>
            </w:r>
          </w:p>
        </w:tc>
        <w:tc>
          <w:tcPr>
            <w:tcW w:w="629" w:type="pct"/>
          </w:tcPr>
          <w:p w14:paraId="479C1834"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b/>
                <w:bCs/>
                <w:sz w:val="20"/>
                <w:szCs w:val="20"/>
              </w:rPr>
              <w:t>1.15</w:t>
            </w:r>
          </w:p>
        </w:tc>
        <w:tc>
          <w:tcPr>
            <w:tcW w:w="628" w:type="pct"/>
          </w:tcPr>
          <w:p w14:paraId="4A596486" w14:textId="6568614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b/>
                <w:bCs/>
                <w:sz w:val="20"/>
                <w:szCs w:val="20"/>
              </w:rPr>
              <w:t>$</w:t>
            </w:r>
            <w:r w:rsidR="006E73CD" w:rsidRPr="006E73CD">
              <w:rPr>
                <w:rFonts w:ascii="Arial Narrow" w:hAnsi="Arial Narrow"/>
                <w:b/>
                <w:bCs/>
                <w:color w:val="000000"/>
                <w:spacing w:val="43"/>
                <w:sz w:val="20"/>
                <w:szCs w:val="20"/>
                <w:shd w:val="solid" w:color="000000" w:fill="000000"/>
                <w:fitText w:val="491" w:id="-1236536817"/>
                <w14:textFill>
                  <w14:solidFill>
                    <w14:srgbClr w14:val="000000">
                      <w14:alpha w14:val="100000"/>
                    </w14:srgbClr>
                  </w14:solidFill>
                </w14:textFill>
              </w:rPr>
              <w:t>|||||</w:t>
            </w:r>
            <w:r w:rsidR="006E73CD" w:rsidRPr="006E73CD">
              <w:rPr>
                <w:rFonts w:ascii="Arial Narrow" w:hAnsi="Arial Narrow"/>
                <w:b/>
                <w:bCs/>
                <w:color w:val="000000"/>
                <w:spacing w:val="1"/>
                <w:sz w:val="20"/>
                <w:szCs w:val="20"/>
                <w:shd w:val="solid" w:color="000000" w:fill="000000"/>
                <w:fitText w:val="491" w:id="-1236536817"/>
                <w14:textFill>
                  <w14:solidFill>
                    <w14:srgbClr w14:val="000000">
                      <w14:alpha w14:val="100000"/>
                    </w14:srgbClr>
                  </w14:solidFill>
                </w14:textFill>
              </w:rPr>
              <w:t>|</w:t>
            </w:r>
          </w:p>
        </w:tc>
        <w:tc>
          <w:tcPr>
            <w:tcW w:w="551" w:type="pct"/>
          </w:tcPr>
          <w:p w14:paraId="62723627" w14:textId="721AC6FC" w:rsidR="001D7ABE" w:rsidRPr="00C62A2B" w:rsidRDefault="001D7ABE">
            <w:pPr>
              <w:jc w:val="center"/>
              <w:textAlignment w:val="baseline"/>
              <w:rPr>
                <w:rFonts w:ascii="Arial Narrow" w:hAnsi="Arial Narrow" w:cstheme="minorHAnsi"/>
                <w:sz w:val="20"/>
                <w:szCs w:val="20"/>
                <w:vertAlign w:val="superscript"/>
              </w:rPr>
            </w:pPr>
            <w:r w:rsidRPr="006154DA">
              <w:rPr>
                <w:rFonts w:ascii="Arial Narrow" w:hAnsi="Arial Narrow"/>
                <w:b/>
                <w:bCs/>
                <w:sz w:val="20"/>
                <w:szCs w:val="20"/>
              </w:rPr>
              <w:t>$</w:t>
            </w:r>
            <w:r w:rsidR="006E73CD" w:rsidRPr="00FC4AC7">
              <w:rPr>
                <w:rFonts w:ascii="Arial Narrow" w:hAnsi="Arial Narrow"/>
                <w:b/>
                <w:bCs/>
                <w:color w:val="000000"/>
                <w:spacing w:val="40"/>
                <w:sz w:val="20"/>
                <w:szCs w:val="20"/>
                <w:shd w:val="solid" w:color="000000" w:fill="000000"/>
                <w:fitText w:val="566" w:id="-1236536816"/>
                <w14:textFill>
                  <w14:solidFill>
                    <w14:srgbClr w14:val="000000">
                      <w14:alpha w14:val="100000"/>
                    </w14:srgbClr>
                  </w14:solidFill>
                </w14:textFill>
              </w:rPr>
              <w:t>||||||</w:t>
            </w:r>
            <w:r w:rsidR="006E73CD" w:rsidRPr="00FC4AC7">
              <w:rPr>
                <w:rFonts w:ascii="Arial Narrow" w:hAnsi="Arial Narrow"/>
                <w:b/>
                <w:bCs/>
                <w:color w:val="000000"/>
                <w:spacing w:val="5"/>
                <w:sz w:val="20"/>
                <w:szCs w:val="20"/>
                <w:shd w:val="solid" w:color="000000" w:fill="000000"/>
                <w:fitText w:val="566" w:id="-1236536816"/>
                <w14:textFill>
                  <w14:solidFill>
                    <w14:srgbClr w14:val="000000">
                      <w14:alpha w14:val="100000"/>
                    </w14:srgbClr>
                  </w14:solidFill>
                </w14:textFill>
              </w:rPr>
              <w:t>|</w:t>
            </w:r>
            <w:r w:rsidR="00C62A2B">
              <w:rPr>
                <w:rFonts w:ascii="Arial Narrow" w:hAnsi="Arial Narrow"/>
                <w:b/>
                <w:bCs/>
                <w:sz w:val="20"/>
                <w:szCs w:val="20"/>
                <w:vertAlign w:val="superscript"/>
              </w:rPr>
              <w:t>1</w:t>
            </w:r>
          </w:p>
        </w:tc>
        <w:tc>
          <w:tcPr>
            <w:tcW w:w="522" w:type="pct"/>
          </w:tcPr>
          <w:p w14:paraId="52946F54" w14:textId="77777777" w:rsidR="001D7ABE" w:rsidRPr="006154DA" w:rsidRDefault="001D7ABE">
            <w:pPr>
              <w:jc w:val="center"/>
              <w:textAlignment w:val="baseline"/>
              <w:rPr>
                <w:rFonts w:ascii="Arial Narrow" w:hAnsi="Arial Narrow"/>
                <w:b/>
                <w:bCs/>
                <w:sz w:val="20"/>
                <w:szCs w:val="20"/>
              </w:rPr>
            </w:pPr>
          </w:p>
        </w:tc>
      </w:tr>
      <w:tr w:rsidR="00FC4AC7" w:rsidRPr="006154DA" w14:paraId="4DFC55D5" w14:textId="77777777" w:rsidTr="00FC4AC7">
        <w:trPr>
          <w:trHeight w:val="206"/>
        </w:trPr>
        <w:tc>
          <w:tcPr>
            <w:tcW w:w="2670" w:type="pct"/>
          </w:tcPr>
          <w:p w14:paraId="75CFBEBD" w14:textId="77777777" w:rsidR="001D7ABE" w:rsidRPr="006154DA" w:rsidRDefault="001D7ABE">
            <w:pPr>
              <w:jc w:val="left"/>
              <w:textAlignment w:val="baseline"/>
              <w:rPr>
                <w:rFonts w:ascii="Arial Narrow" w:hAnsi="Arial Narrow" w:cs="Calibri"/>
                <w:sz w:val="20"/>
                <w:szCs w:val="20"/>
              </w:rPr>
            </w:pPr>
            <w:r w:rsidRPr="006154DA">
              <w:rPr>
                <w:rFonts w:ascii="Arial Narrow" w:hAnsi="Arial Narrow" w:cs="Calibri"/>
                <w:color w:val="000000"/>
                <w:sz w:val="20"/>
                <w:szCs w:val="20"/>
              </w:rPr>
              <w:t>0% discounting rate (base case 5.00%)</w:t>
            </w:r>
          </w:p>
        </w:tc>
        <w:tc>
          <w:tcPr>
            <w:tcW w:w="629" w:type="pct"/>
          </w:tcPr>
          <w:p w14:paraId="3DD55065"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1.83</w:t>
            </w:r>
          </w:p>
        </w:tc>
        <w:tc>
          <w:tcPr>
            <w:tcW w:w="628" w:type="pct"/>
          </w:tcPr>
          <w:p w14:paraId="3B7A16B9" w14:textId="65A8898F"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w:t>
            </w:r>
            <w:r w:rsidR="006E73CD" w:rsidRPr="006E73CD">
              <w:rPr>
                <w:rFonts w:ascii="Arial Narrow" w:hAnsi="Arial Narrow"/>
                <w:color w:val="000000"/>
                <w:spacing w:val="33"/>
                <w:sz w:val="20"/>
                <w:szCs w:val="20"/>
                <w:shd w:val="solid" w:color="000000" w:fill="000000"/>
                <w:fitText w:val="424" w:id="-1236536832"/>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24" w:id="-1236536832"/>
                <w14:textFill>
                  <w14:solidFill>
                    <w14:srgbClr w14:val="000000">
                      <w14:alpha w14:val="100000"/>
                    </w14:srgbClr>
                  </w14:solidFill>
                </w14:textFill>
              </w:rPr>
              <w:t>|</w:t>
            </w:r>
          </w:p>
        </w:tc>
        <w:tc>
          <w:tcPr>
            <w:tcW w:w="551" w:type="pct"/>
          </w:tcPr>
          <w:p w14:paraId="55C67D7D" w14:textId="6502E691" w:rsidR="001D7ABE" w:rsidRPr="00C62A2B" w:rsidRDefault="001D7ABE">
            <w:pPr>
              <w:jc w:val="center"/>
              <w:textAlignment w:val="baseline"/>
              <w:rPr>
                <w:rFonts w:ascii="Arial Narrow" w:hAnsi="Arial Narrow" w:cstheme="minorHAnsi"/>
                <w:sz w:val="20"/>
                <w:szCs w:val="20"/>
                <w:vertAlign w:val="superscript"/>
              </w:rPr>
            </w:pPr>
            <w:r w:rsidRPr="006154DA">
              <w:rPr>
                <w:rFonts w:ascii="Arial Narrow" w:hAnsi="Arial Narrow"/>
                <w:sz w:val="20"/>
                <w:szCs w:val="20"/>
              </w:rPr>
              <w:t>$</w:t>
            </w:r>
            <w:r w:rsidR="006E73CD" w:rsidRPr="006E73CD">
              <w:rPr>
                <w:rFonts w:ascii="Arial Narrow" w:hAnsi="Arial Narrow"/>
                <w:color w:val="000000"/>
                <w:spacing w:val="48"/>
                <w:sz w:val="20"/>
                <w:szCs w:val="20"/>
                <w:shd w:val="solid" w:color="000000" w:fill="000000"/>
                <w:fitText w:val="499" w:id="-1236536831"/>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99" w:id="-1236536831"/>
                <w14:textFill>
                  <w14:solidFill>
                    <w14:srgbClr w14:val="000000">
                      <w14:alpha w14:val="100000"/>
                    </w14:srgbClr>
                  </w14:solidFill>
                </w14:textFill>
              </w:rPr>
              <w:t>|</w:t>
            </w:r>
            <w:r w:rsidR="00C62A2B">
              <w:rPr>
                <w:rFonts w:ascii="Arial Narrow" w:hAnsi="Arial Narrow"/>
                <w:sz w:val="20"/>
                <w:szCs w:val="20"/>
                <w:vertAlign w:val="superscript"/>
              </w:rPr>
              <w:t>2</w:t>
            </w:r>
          </w:p>
        </w:tc>
        <w:tc>
          <w:tcPr>
            <w:tcW w:w="522" w:type="pct"/>
          </w:tcPr>
          <w:p w14:paraId="3AC90CC9" w14:textId="77777777" w:rsidR="001D7ABE" w:rsidRPr="006154DA" w:rsidRDefault="001D7ABE">
            <w:pPr>
              <w:jc w:val="center"/>
              <w:textAlignment w:val="baseline"/>
              <w:rPr>
                <w:rFonts w:ascii="Arial Narrow" w:hAnsi="Arial Narrow"/>
                <w:sz w:val="20"/>
                <w:szCs w:val="20"/>
              </w:rPr>
            </w:pPr>
            <w:r w:rsidRPr="006154DA">
              <w:rPr>
                <w:rFonts w:ascii="Arial Narrow" w:hAnsi="Arial Narrow" w:cs="Calibri"/>
                <w:color w:val="000000"/>
                <w:sz w:val="20"/>
                <w:szCs w:val="20"/>
              </w:rPr>
              <w:t>-28%</w:t>
            </w:r>
          </w:p>
        </w:tc>
      </w:tr>
      <w:tr w:rsidR="00FC4AC7" w:rsidRPr="006154DA" w14:paraId="74C3D3BC" w14:textId="77777777" w:rsidTr="00FC4AC7">
        <w:tc>
          <w:tcPr>
            <w:tcW w:w="2670" w:type="pct"/>
          </w:tcPr>
          <w:p w14:paraId="6475ABE9" w14:textId="77777777" w:rsidR="001D7ABE" w:rsidRPr="006154DA" w:rsidRDefault="001D7ABE">
            <w:pPr>
              <w:jc w:val="left"/>
              <w:textAlignment w:val="baseline"/>
              <w:rPr>
                <w:rFonts w:ascii="Arial Narrow" w:hAnsi="Arial Narrow" w:cs="Times New Roman"/>
                <w:sz w:val="20"/>
                <w:szCs w:val="20"/>
              </w:rPr>
            </w:pPr>
            <w:r w:rsidRPr="006154DA">
              <w:rPr>
                <w:rFonts w:ascii="Arial Narrow" w:hAnsi="Arial Narrow" w:cs="Calibri"/>
                <w:color w:val="000000"/>
                <w:sz w:val="20"/>
                <w:szCs w:val="20"/>
              </w:rPr>
              <w:t>3.5% discounting rate (base case 5.00%)</w:t>
            </w:r>
          </w:p>
        </w:tc>
        <w:tc>
          <w:tcPr>
            <w:tcW w:w="629" w:type="pct"/>
          </w:tcPr>
          <w:p w14:paraId="1150FA31"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1.31</w:t>
            </w:r>
          </w:p>
        </w:tc>
        <w:tc>
          <w:tcPr>
            <w:tcW w:w="628" w:type="pct"/>
          </w:tcPr>
          <w:p w14:paraId="6A9AD688" w14:textId="2FED89BE"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w:t>
            </w:r>
            <w:r w:rsidR="006E73CD" w:rsidRPr="006E73CD">
              <w:rPr>
                <w:rFonts w:ascii="Arial Narrow" w:hAnsi="Arial Narrow"/>
                <w:color w:val="000000"/>
                <w:spacing w:val="33"/>
                <w:sz w:val="20"/>
                <w:szCs w:val="20"/>
                <w:shd w:val="solid" w:color="000000" w:fill="000000"/>
                <w:fitText w:val="424" w:id="-1236536830"/>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24" w:id="-1236536830"/>
                <w14:textFill>
                  <w14:solidFill>
                    <w14:srgbClr w14:val="000000">
                      <w14:alpha w14:val="100000"/>
                    </w14:srgbClr>
                  </w14:solidFill>
                </w14:textFill>
              </w:rPr>
              <w:t>|</w:t>
            </w:r>
          </w:p>
        </w:tc>
        <w:tc>
          <w:tcPr>
            <w:tcW w:w="551" w:type="pct"/>
          </w:tcPr>
          <w:p w14:paraId="51250A1A" w14:textId="07275586" w:rsidR="001D7ABE" w:rsidRPr="00C62A2B" w:rsidRDefault="001D7ABE">
            <w:pPr>
              <w:jc w:val="center"/>
              <w:textAlignment w:val="baseline"/>
              <w:rPr>
                <w:rFonts w:ascii="Arial Narrow" w:hAnsi="Arial Narrow" w:cstheme="minorHAnsi"/>
                <w:sz w:val="20"/>
                <w:szCs w:val="20"/>
                <w:vertAlign w:val="superscript"/>
              </w:rPr>
            </w:pPr>
            <w:r w:rsidRPr="006154DA">
              <w:rPr>
                <w:rFonts w:ascii="Arial Narrow" w:hAnsi="Arial Narrow"/>
                <w:sz w:val="20"/>
                <w:szCs w:val="20"/>
              </w:rPr>
              <w:t>$</w:t>
            </w:r>
            <w:r w:rsidR="006E73CD" w:rsidRPr="006E73CD">
              <w:rPr>
                <w:rFonts w:ascii="Arial Narrow" w:hAnsi="Arial Narrow"/>
                <w:color w:val="000000"/>
                <w:spacing w:val="48"/>
                <w:sz w:val="20"/>
                <w:szCs w:val="20"/>
                <w:shd w:val="solid" w:color="000000" w:fill="000000"/>
                <w:fitText w:val="499" w:id="-1236536829"/>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99" w:id="-1236536829"/>
                <w14:textFill>
                  <w14:solidFill>
                    <w14:srgbClr w14:val="000000">
                      <w14:alpha w14:val="100000"/>
                    </w14:srgbClr>
                  </w14:solidFill>
                </w14:textFill>
              </w:rPr>
              <w:t>|</w:t>
            </w:r>
            <w:r w:rsidR="00C62A2B">
              <w:rPr>
                <w:rFonts w:ascii="Arial Narrow" w:hAnsi="Arial Narrow"/>
                <w:sz w:val="20"/>
                <w:szCs w:val="20"/>
                <w:vertAlign w:val="superscript"/>
              </w:rPr>
              <w:t>3</w:t>
            </w:r>
          </w:p>
        </w:tc>
        <w:tc>
          <w:tcPr>
            <w:tcW w:w="522" w:type="pct"/>
          </w:tcPr>
          <w:p w14:paraId="15017A77" w14:textId="77777777" w:rsidR="001D7ABE" w:rsidRPr="006154DA" w:rsidRDefault="001D7ABE">
            <w:pPr>
              <w:jc w:val="center"/>
              <w:textAlignment w:val="baseline"/>
              <w:rPr>
                <w:rFonts w:ascii="Arial Narrow" w:hAnsi="Arial Narrow"/>
                <w:sz w:val="20"/>
                <w:szCs w:val="20"/>
              </w:rPr>
            </w:pPr>
            <w:r w:rsidRPr="006154DA">
              <w:rPr>
                <w:rFonts w:ascii="Arial Narrow" w:hAnsi="Arial Narrow" w:cs="Calibri"/>
                <w:color w:val="000000"/>
                <w:sz w:val="20"/>
                <w:szCs w:val="20"/>
              </w:rPr>
              <w:t>-9%</w:t>
            </w:r>
          </w:p>
        </w:tc>
      </w:tr>
      <w:tr w:rsidR="00FC4AC7" w:rsidRPr="006154DA" w14:paraId="60C67D13" w14:textId="77777777" w:rsidTr="00FC4AC7">
        <w:tc>
          <w:tcPr>
            <w:tcW w:w="2670" w:type="pct"/>
          </w:tcPr>
          <w:p w14:paraId="179ECF75" w14:textId="77777777" w:rsidR="001D7ABE" w:rsidRPr="006154DA" w:rsidRDefault="001D7ABE">
            <w:pPr>
              <w:jc w:val="left"/>
              <w:rPr>
                <w:rFonts w:ascii="Arial Narrow" w:hAnsi="Arial Narrow" w:cs="Times New Roman"/>
                <w:sz w:val="20"/>
                <w:szCs w:val="20"/>
              </w:rPr>
            </w:pPr>
            <w:r w:rsidRPr="006154DA">
              <w:rPr>
                <w:rFonts w:ascii="Arial Narrow" w:hAnsi="Arial Narrow" w:cs="Times New Roman"/>
                <w:sz w:val="20"/>
                <w:szCs w:val="20"/>
              </w:rPr>
              <w:t>15-year time horizon (base case 20-year)</w:t>
            </w:r>
          </w:p>
        </w:tc>
        <w:tc>
          <w:tcPr>
            <w:tcW w:w="629" w:type="pct"/>
          </w:tcPr>
          <w:p w14:paraId="42896E3B"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1.02</w:t>
            </w:r>
          </w:p>
        </w:tc>
        <w:tc>
          <w:tcPr>
            <w:tcW w:w="628" w:type="pct"/>
          </w:tcPr>
          <w:p w14:paraId="2D56A626" w14:textId="52E3C310"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w:t>
            </w:r>
            <w:r w:rsidR="006E73CD" w:rsidRPr="006E73CD">
              <w:rPr>
                <w:rFonts w:ascii="Arial Narrow" w:hAnsi="Arial Narrow"/>
                <w:color w:val="000000"/>
                <w:spacing w:val="33"/>
                <w:sz w:val="20"/>
                <w:szCs w:val="20"/>
                <w:shd w:val="solid" w:color="000000" w:fill="000000"/>
                <w:fitText w:val="424" w:id="-1236536828"/>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24" w:id="-1236536828"/>
                <w14:textFill>
                  <w14:solidFill>
                    <w14:srgbClr w14:val="000000">
                      <w14:alpha w14:val="100000"/>
                    </w14:srgbClr>
                  </w14:solidFill>
                </w14:textFill>
              </w:rPr>
              <w:t>|</w:t>
            </w:r>
          </w:p>
        </w:tc>
        <w:tc>
          <w:tcPr>
            <w:tcW w:w="551" w:type="pct"/>
          </w:tcPr>
          <w:p w14:paraId="7030DC0A" w14:textId="18131FA7" w:rsidR="001D7ABE" w:rsidRPr="00C62A2B" w:rsidRDefault="001D7ABE">
            <w:pPr>
              <w:jc w:val="center"/>
              <w:textAlignment w:val="baseline"/>
              <w:rPr>
                <w:rFonts w:ascii="Arial Narrow" w:hAnsi="Arial Narrow" w:cstheme="minorHAnsi"/>
                <w:sz w:val="20"/>
                <w:szCs w:val="20"/>
                <w:vertAlign w:val="superscript"/>
              </w:rPr>
            </w:pPr>
            <w:r w:rsidRPr="006154DA">
              <w:rPr>
                <w:rFonts w:ascii="Arial Narrow" w:hAnsi="Arial Narrow"/>
                <w:sz w:val="20"/>
                <w:szCs w:val="20"/>
              </w:rPr>
              <w:t>$</w:t>
            </w:r>
            <w:r w:rsidR="006E73CD" w:rsidRPr="006E73CD">
              <w:rPr>
                <w:rFonts w:ascii="Arial Narrow" w:hAnsi="Arial Narrow"/>
                <w:color w:val="000000"/>
                <w:spacing w:val="48"/>
                <w:sz w:val="20"/>
                <w:szCs w:val="20"/>
                <w:shd w:val="solid" w:color="000000" w:fill="000000"/>
                <w:fitText w:val="499" w:id="-1236536827"/>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99" w:id="-1236536827"/>
                <w14:textFill>
                  <w14:solidFill>
                    <w14:srgbClr w14:val="000000">
                      <w14:alpha w14:val="100000"/>
                    </w14:srgbClr>
                  </w14:solidFill>
                </w14:textFill>
              </w:rPr>
              <w:t>|</w:t>
            </w:r>
            <w:r w:rsidR="00C62A2B">
              <w:rPr>
                <w:rFonts w:ascii="Arial Narrow" w:hAnsi="Arial Narrow"/>
                <w:sz w:val="20"/>
                <w:szCs w:val="20"/>
                <w:vertAlign w:val="superscript"/>
              </w:rPr>
              <w:t>1</w:t>
            </w:r>
          </w:p>
        </w:tc>
        <w:tc>
          <w:tcPr>
            <w:tcW w:w="522" w:type="pct"/>
          </w:tcPr>
          <w:p w14:paraId="1D765C7A" w14:textId="77777777" w:rsidR="001D7ABE" w:rsidRPr="006154DA" w:rsidRDefault="001D7ABE">
            <w:pPr>
              <w:jc w:val="center"/>
              <w:textAlignment w:val="baseline"/>
              <w:rPr>
                <w:rFonts w:ascii="Arial Narrow" w:hAnsi="Arial Narrow"/>
                <w:sz w:val="20"/>
                <w:szCs w:val="20"/>
              </w:rPr>
            </w:pPr>
            <w:r w:rsidRPr="006154DA">
              <w:rPr>
                <w:rFonts w:ascii="Arial Narrow" w:hAnsi="Arial Narrow" w:cs="Calibri"/>
                <w:color w:val="000000"/>
                <w:sz w:val="20"/>
                <w:szCs w:val="20"/>
              </w:rPr>
              <w:t>+11%</w:t>
            </w:r>
          </w:p>
        </w:tc>
      </w:tr>
      <w:tr w:rsidR="00FC4AC7" w:rsidRPr="006154DA" w14:paraId="5B8A227F" w14:textId="77777777" w:rsidTr="00FC4AC7">
        <w:tc>
          <w:tcPr>
            <w:tcW w:w="2670" w:type="pct"/>
          </w:tcPr>
          <w:p w14:paraId="39B92A0E" w14:textId="77777777" w:rsidR="001D7ABE" w:rsidRPr="006154DA" w:rsidRDefault="001D7ABE">
            <w:pPr>
              <w:jc w:val="left"/>
              <w:rPr>
                <w:rFonts w:ascii="Arial Narrow" w:hAnsi="Arial Narrow" w:cs="Times New Roman"/>
                <w:sz w:val="20"/>
                <w:szCs w:val="20"/>
              </w:rPr>
            </w:pPr>
            <w:r w:rsidRPr="006154DA">
              <w:rPr>
                <w:rFonts w:ascii="Arial Narrow" w:hAnsi="Arial Narrow" w:cs="Times New Roman"/>
                <w:sz w:val="20"/>
                <w:szCs w:val="20"/>
              </w:rPr>
              <w:t>Weibull function for OS of SoC (base case Gompertz)</w:t>
            </w:r>
          </w:p>
        </w:tc>
        <w:tc>
          <w:tcPr>
            <w:tcW w:w="629" w:type="pct"/>
          </w:tcPr>
          <w:p w14:paraId="0F8F20FF"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0.92</w:t>
            </w:r>
          </w:p>
        </w:tc>
        <w:tc>
          <w:tcPr>
            <w:tcW w:w="628" w:type="pct"/>
          </w:tcPr>
          <w:p w14:paraId="00F19C2D" w14:textId="106BC42A"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6"/>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6"/>
                <w14:textFill>
                  <w14:solidFill>
                    <w14:srgbClr w14:val="000000">
                      <w14:alpha w14:val="100000"/>
                    </w14:srgbClr>
                  </w14:solidFill>
                </w14:textFill>
              </w:rPr>
              <w:t>|</w:t>
            </w:r>
          </w:p>
        </w:tc>
        <w:tc>
          <w:tcPr>
            <w:tcW w:w="551" w:type="pct"/>
          </w:tcPr>
          <w:p w14:paraId="50010D0A" w14:textId="0E9E362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5"/>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5"/>
                <w14:textFill>
                  <w14:solidFill>
                    <w14:srgbClr w14:val="000000">
                      <w14:alpha w14:val="100000"/>
                    </w14:srgbClr>
                  </w14:solidFill>
                </w14:textFill>
              </w:rPr>
              <w:t>|</w:t>
            </w:r>
            <w:r w:rsidR="00C62A2B">
              <w:rPr>
                <w:rFonts w:ascii="Arial Narrow" w:hAnsi="Arial Narrow"/>
                <w:sz w:val="20"/>
                <w:szCs w:val="20"/>
                <w:vertAlign w:val="superscript"/>
              </w:rPr>
              <w:t>1</w:t>
            </w:r>
          </w:p>
        </w:tc>
        <w:tc>
          <w:tcPr>
            <w:tcW w:w="522" w:type="pct"/>
          </w:tcPr>
          <w:p w14:paraId="535E164B"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+25%</w:t>
            </w:r>
          </w:p>
        </w:tc>
      </w:tr>
      <w:tr w:rsidR="00FC4AC7" w:rsidRPr="006154DA" w14:paraId="47A7BCEF" w14:textId="77777777" w:rsidTr="00FC4AC7">
        <w:tc>
          <w:tcPr>
            <w:tcW w:w="2670" w:type="pct"/>
          </w:tcPr>
          <w:p w14:paraId="5D5A4783" w14:textId="24CDD194" w:rsidR="001D7ABE" w:rsidRPr="006154DA" w:rsidRDefault="001D7ABE">
            <w:pPr>
              <w:jc w:val="left"/>
              <w:rPr>
                <w:rFonts w:ascii="Arial Narrow" w:hAnsi="Arial Narrow" w:cs="Times New Roman"/>
                <w:sz w:val="20"/>
                <w:szCs w:val="20"/>
              </w:rPr>
            </w:pPr>
            <w:r w:rsidRPr="006154DA">
              <w:rPr>
                <w:rFonts w:ascii="Arial Narrow" w:hAnsi="Arial Narrow" w:cs="Times New Roman"/>
                <w:sz w:val="20"/>
                <w:szCs w:val="20"/>
              </w:rPr>
              <w:t xml:space="preserve">Convergence of OS, PFS, and TTD from </w:t>
            </w:r>
            <w:r w:rsidR="002205C5" w:rsidRPr="006154DA">
              <w:rPr>
                <w:rFonts w:ascii="Arial Narrow" w:hAnsi="Arial Narrow" w:cs="Times New Roman"/>
                <w:sz w:val="20"/>
                <w:szCs w:val="20"/>
              </w:rPr>
              <w:t>Y</w:t>
            </w:r>
            <w:r w:rsidRPr="006154DA">
              <w:rPr>
                <w:rFonts w:ascii="Arial Narrow" w:hAnsi="Arial Narrow" w:cs="Times New Roman"/>
                <w:sz w:val="20"/>
                <w:szCs w:val="20"/>
              </w:rPr>
              <w:t xml:space="preserve">ear 10 (base case no convergence) </w:t>
            </w:r>
          </w:p>
        </w:tc>
        <w:tc>
          <w:tcPr>
            <w:tcW w:w="629" w:type="pct"/>
          </w:tcPr>
          <w:p w14:paraId="6B766393" w14:textId="77777777" w:rsidR="001D7ABE" w:rsidRPr="006154DA" w:rsidRDefault="001D7ABE">
            <w:pPr>
              <w:jc w:val="center"/>
              <w:textAlignment w:val="baseline"/>
              <w:rPr>
                <w:rFonts w:ascii="Arial Narrow" w:hAnsi="Arial Narrow"/>
                <w:sz w:val="20"/>
                <w:szCs w:val="20"/>
              </w:rPr>
            </w:pPr>
            <w:r w:rsidRPr="006154DA">
              <w:rPr>
                <w:rFonts w:ascii="Arial Narrow" w:hAnsi="Arial Narrow" w:cs="Calibri"/>
                <w:color w:val="000000"/>
                <w:sz w:val="20"/>
                <w:szCs w:val="20"/>
              </w:rPr>
              <w:t>0.92</w:t>
            </w:r>
          </w:p>
        </w:tc>
        <w:tc>
          <w:tcPr>
            <w:tcW w:w="628" w:type="pct"/>
          </w:tcPr>
          <w:p w14:paraId="37D6E953" w14:textId="62D57115" w:rsidR="001D7ABE" w:rsidRPr="006154DA" w:rsidRDefault="001D7ABE">
            <w:pPr>
              <w:jc w:val="center"/>
              <w:textAlignment w:val="baseline"/>
              <w:rPr>
                <w:rFonts w:ascii="Arial Narrow" w:hAnsi="Arial Narrow"/>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4"/>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4"/>
                <w14:textFill>
                  <w14:solidFill>
                    <w14:srgbClr w14:val="000000">
                      <w14:alpha w14:val="100000"/>
                    </w14:srgbClr>
                  </w14:solidFill>
                </w14:textFill>
              </w:rPr>
              <w:t>|</w:t>
            </w:r>
          </w:p>
        </w:tc>
        <w:tc>
          <w:tcPr>
            <w:tcW w:w="551" w:type="pct"/>
          </w:tcPr>
          <w:p w14:paraId="4AC1F6C9" w14:textId="60CE3A50" w:rsidR="001D7ABE" w:rsidRPr="006154DA" w:rsidRDefault="001D7ABE">
            <w:pPr>
              <w:jc w:val="center"/>
              <w:textAlignment w:val="baseline"/>
              <w:rPr>
                <w:rFonts w:ascii="Arial Narrow" w:hAnsi="Arial Narrow"/>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3"/>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3"/>
                <w14:textFill>
                  <w14:solidFill>
                    <w14:srgbClr w14:val="000000">
                      <w14:alpha w14:val="100000"/>
                    </w14:srgbClr>
                  </w14:solidFill>
                </w14:textFill>
              </w:rPr>
              <w:t>|</w:t>
            </w:r>
            <w:r w:rsidR="00C62A2B">
              <w:rPr>
                <w:rFonts w:ascii="Arial Narrow" w:hAnsi="Arial Narrow"/>
                <w:sz w:val="20"/>
                <w:szCs w:val="20"/>
                <w:vertAlign w:val="superscript"/>
              </w:rPr>
              <w:t>1</w:t>
            </w:r>
          </w:p>
        </w:tc>
        <w:tc>
          <w:tcPr>
            <w:tcW w:w="522" w:type="pct"/>
          </w:tcPr>
          <w:p w14:paraId="0E254A80" w14:textId="77777777" w:rsidR="001D7ABE" w:rsidRPr="006154DA" w:rsidRDefault="001D7ABE">
            <w:pPr>
              <w:jc w:val="center"/>
              <w:textAlignment w:val="baseline"/>
              <w:rPr>
                <w:rFonts w:ascii="Arial Narrow" w:hAnsi="Arial Narrow"/>
                <w:sz w:val="20"/>
                <w:szCs w:val="20"/>
              </w:rPr>
            </w:pPr>
            <w:r w:rsidRPr="006154DA">
              <w:rPr>
                <w:rFonts w:ascii="Arial Narrow" w:hAnsi="Arial Narrow"/>
                <w:color w:val="000000"/>
                <w:sz w:val="20"/>
                <w:szCs w:val="20"/>
              </w:rPr>
              <w:t>+26%</w:t>
            </w:r>
          </w:p>
        </w:tc>
      </w:tr>
      <w:tr w:rsidR="00FC4AC7" w:rsidRPr="006154DA" w14:paraId="51B3BD24" w14:textId="77777777" w:rsidTr="00FC4AC7">
        <w:tc>
          <w:tcPr>
            <w:tcW w:w="2670" w:type="pct"/>
          </w:tcPr>
          <w:p w14:paraId="0907EBA7" w14:textId="7F5FBB00" w:rsidR="001D7ABE" w:rsidRPr="006154DA" w:rsidRDefault="002205C5">
            <w:pPr>
              <w:jc w:val="left"/>
              <w:rPr>
                <w:rFonts w:ascii="Arial Narrow" w:hAnsi="Arial Narrow" w:cs="Times New Roman"/>
                <w:sz w:val="20"/>
                <w:szCs w:val="20"/>
              </w:rPr>
            </w:pPr>
            <w:r w:rsidRPr="006154DA">
              <w:rPr>
                <w:rFonts w:ascii="Arial Narrow" w:hAnsi="Arial Narrow" w:cs="Times New Roman"/>
                <w:sz w:val="20"/>
                <w:szCs w:val="20"/>
              </w:rPr>
              <w:t xml:space="preserve">Cost of </w:t>
            </w:r>
            <w:r w:rsidR="001D7ABE" w:rsidRPr="006154DA">
              <w:rPr>
                <w:rFonts w:ascii="Arial Narrow" w:hAnsi="Arial Narrow" w:cs="Times New Roman"/>
                <w:sz w:val="20"/>
                <w:szCs w:val="20"/>
              </w:rPr>
              <w:t>BLd 0% vs Ld 100% in SoC (base case 68% vs 32%)</w:t>
            </w:r>
          </w:p>
        </w:tc>
        <w:tc>
          <w:tcPr>
            <w:tcW w:w="629" w:type="pct"/>
          </w:tcPr>
          <w:p w14:paraId="0FE81C72"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1.15</w:t>
            </w:r>
          </w:p>
        </w:tc>
        <w:tc>
          <w:tcPr>
            <w:tcW w:w="628" w:type="pct"/>
          </w:tcPr>
          <w:p w14:paraId="5697EC6C" w14:textId="06B1A793"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2"/>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2"/>
                <w14:textFill>
                  <w14:solidFill>
                    <w14:srgbClr w14:val="000000">
                      <w14:alpha w14:val="100000"/>
                    </w14:srgbClr>
                  </w14:solidFill>
                </w14:textFill>
              </w:rPr>
              <w:t>|</w:t>
            </w:r>
          </w:p>
        </w:tc>
        <w:tc>
          <w:tcPr>
            <w:tcW w:w="551" w:type="pct"/>
          </w:tcPr>
          <w:p w14:paraId="1D55CF1E" w14:textId="528AF6CC"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1"/>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1"/>
                <w14:textFill>
                  <w14:solidFill>
                    <w14:srgbClr w14:val="000000">
                      <w14:alpha w14:val="100000"/>
                    </w14:srgbClr>
                  </w14:solidFill>
                </w14:textFill>
              </w:rPr>
              <w:t>|</w:t>
            </w:r>
            <w:r w:rsidR="00C62A2B">
              <w:rPr>
                <w:rFonts w:ascii="Arial Narrow" w:hAnsi="Arial Narrow"/>
                <w:sz w:val="20"/>
                <w:szCs w:val="20"/>
                <w:vertAlign w:val="superscript"/>
              </w:rPr>
              <w:t>1</w:t>
            </w:r>
          </w:p>
        </w:tc>
        <w:tc>
          <w:tcPr>
            <w:tcW w:w="522" w:type="pct"/>
          </w:tcPr>
          <w:p w14:paraId="7FF76A3E" w14:textId="77777777"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+6%</w:t>
            </w:r>
          </w:p>
        </w:tc>
      </w:tr>
      <w:tr w:rsidR="00FC4AC7" w:rsidRPr="006154DA" w14:paraId="22F061E5" w14:textId="77777777" w:rsidTr="00FC4AC7">
        <w:tc>
          <w:tcPr>
            <w:tcW w:w="2670" w:type="pct"/>
          </w:tcPr>
          <w:p w14:paraId="776BE837" w14:textId="1C4586FB" w:rsidR="001D7ABE" w:rsidRPr="006154DA" w:rsidRDefault="00D41502">
            <w:pPr>
              <w:jc w:val="left"/>
              <w:rPr>
                <w:rFonts w:ascii="Arial Narrow" w:hAnsi="Arial Narrow" w:cs="Times New Roman"/>
                <w:sz w:val="20"/>
                <w:szCs w:val="20"/>
              </w:rPr>
            </w:pPr>
            <w:r w:rsidRPr="006154DA">
              <w:rPr>
                <w:rFonts w:ascii="Arial Narrow" w:hAnsi="Arial Narrow" w:cs="Times New Roman"/>
                <w:sz w:val="20"/>
                <w:szCs w:val="20"/>
              </w:rPr>
              <w:t>P</w:t>
            </w:r>
            <w:r w:rsidR="001D7ABE" w:rsidRPr="006154DA">
              <w:rPr>
                <w:rFonts w:ascii="Arial Narrow" w:hAnsi="Arial Narrow" w:cs="Times New Roman"/>
                <w:sz w:val="20"/>
                <w:szCs w:val="20"/>
              </w:rPr>
              <w:t>ost-progression cost</w:t>
            </w:r>
            <w:r w:rsidRPr="006154DA">
              <w:rPr>
                <w:rFonts w:ascii="Arial Narrow" w:hAnsi="Arial Narrow" w:cs="Times New Roman"/>
                <w:sz w:val="20"/>
                <w:szCs w:val="20"/>
              </w:rPr>
              <w:t>s</w:t>
            </w:r>
            <w:r w:rsidR="001D7ABE" w:rsidRPr="006154DA">
              <w:rPr>
                <w:rFonts w:ascii="Arial Narrow" w:hAnsi="Arial Narrow" w:cs="Times New Roman"/>
                <w:sz w:val="20"/>
                <w:szCs w:val="20"/>
              </w:rPr>
              <w:t xml:space="preserve"> for SoC </w:t>
            </w:r>
            <w:r w:rsidRPr="006154DA">
              <w:rPr>
                <w:rFonts w:ascii="Arial Narrow" w:hAnsi="Arial Narrow" w:cs="Times New Roman"/>
                <w:sz w:val="20"/>
                <w:szCs w:val="20"/>
              </w:rPr>
              <w:t>arm based on</w:t>
            </w:r>
            <w:r w:rsidR="001D7ABE" w:rsidRPr="006154DA">
              <w:rPr>
                <w:rFonts w:ascii="Arial Narrow" w:hAnsi="Arial Narrow" w:cs="Times New Roman"/>
                <w:sz w:val="20"/>
                <w:szCs w:val="20"/>
              </w:rPr>
              <w:t xml:space="preserve"> mean </w:t>
            </w:r>
            <w:r w:rsidRPr="006154DA">
              <w:rPr>
                <w:rFonts w:ascii="Arial Narrow" w:hAnsi="Arial Narrow" w:cs="Times New Roman"/>
                <w:sz w:val="20"/>
                <w:szCs w:val="20"/>
              </w:rPr>
              <w:t xml:space="preserve">time spent in </w:t>
            </w:r>
            <w:r w:rsidR="001D7ABE" w:rsidRPr="006154DA">
              <w:rPr>
                <w:rFonts w:ascii="Arial Narrow" w:hAnsi="Arial Narrow" w:cs="Times New Roman"/>
                <w:sz w:val="20"/>
                <w:szCs w:val="20"/>
              </w:rPr>
              <w:t xml:space="preserve">post-progression </w:t>
            </w:r>
            <w:r w:rsidRPr="006154DA">
              <w:rPr>
                <w:rFonts w:ascii="Arial Narrow" w:hAnsi="Arial Narrow" w:cs="Times New Roman"/>
                <w:sz w:val="20"/>
                <w:szCs w:val="20"/>
              </w:rPr>
              <w:t xml:space="preserve">state </w:t>
            </w:r>
            <w:r w:rsidR="001D7ABE" w:rsidRPr="006154DA">
              <w:rPr>
                <w:rFonts w:ascii="Arial Narrow" w:hAnsi="Arial Narrow" w:cs="Times New Roman"/>
                <w:sz w:val="20"/>
                <w:szCs w:val="20"/>
              </w:rPr>
              <w:t xml:space="preserve">from the economic model </w:t>
            </w:r>
            <w:r w:rsidR="001D7ABE" w:rsidRPr="006154DA">
              <w:rPr>
                <w:rFonts w:ascii="Arial Narrow" w:hAnsi="Arial Narrow" w:cs="Times New Roman"/>
                <w:sz w:val="20"/>
                <w:szCs w:val="20"/>
                <w:vertAlign w:val="superscript"/>
              </w:rPr>
              <w:t>a</w:t>
            </w:r>
            <w:r w:rsidR="001D7ABE" w:rsidRPr="006154DA">
              <w:rPr>
                <w:rFonts w:ascii="Arial Narrow" w:hAnsi="Arial Narrow" w:cs="Times New Roman"/>
                <w:sz w:val="20"/>
                <w:szCs w:val="20"/>
              </w:rPr>
              <w:t xml:space="preserve"> (base case </w:t>
            </w:r>
            <w:r w:rsidRPr="006154DA">
              <w:rPr>
                <w:rFonts w:ascii="Arial Narrow" w:hAnsi="Arial Narrow" w:cs="Times New Roman"/>
                <w:sz w:val="20"/>
                <w:szCs w:val="20"/>
              </w:rPr>
              <w:t>based on DBd model</w:t>
            </w:r>
            <w:r w:rsidR="001D7ABE" w:rsidRPr="006154DA">
              <w:rPr>
                <w:rFonts w:ascii="Arial Narrow" w:hAnsi="Arial Narrow" w:cs="Times New Roman"/>
                <w:sz w:val="20"/>
                <w:szCs w:val="20"/>
              </w:rPr>
              <w:t>)</w:t>
            </w:r>
          </w:p>
        </w:tc>
        <w:tc>
          <w:tcPr>
            <w:tcW w:w="629" w:type="pct"/>
          </w:tcPr>
          <w:p w14:paraId="01B87388"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1.15</w:t>
            </w:r>
          </w:p>
        </w:tc>
        <w:tc>
          <w:tcPr>
            <w:tcW w:w="628" w:type="pct"/>
          </w:tcPr>
          <w:p w14:paraId="1C34CB1A" w14:textId="0EAFF0A5"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0"/>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0"/>
                <w14:textFill>
                  <w14:solidFill>
                    <w14:srgbClr w14:val="000000">
                      <w14:alpha w14:val="100000"/>
                    </w14:srgbClr>
                  </w14:solidFill>
                </w14:textFill>
              </w:rPr>
              <w:t>|</w:t>
            </w:r>
          </w:p>
        </w:tc>
        <w:tc>
          <w:tcPr>
            <w:tcW w:w="551" w:type="pct"/>
          </w:tcPr>
          <w:p w14:paraId="30605BBF" w14:textId="1F77C8C1"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19"/>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19"/>
                <w14:textFill>
                  <w14:solidFill>
                    <w14:srgbClr w14:val="000000">
                      <w14:alpha w14:val="100000"/>
                    </w14:srgbClr>
                  </w14:solidFill>
                </w14:textFill>
              </w:rPr>
              <w:t>|</w:t>
            </w:r>
            <w:r w:rsidR="00C62A2B">
              <w:rPr>
                <w:rFonts w:ascii="Arial Narrow" w:hAnsi="Arial Narrow"/>
                <w:sz w:val="20"/>
                <w:szCs w:val="20"/>
                <w:vertAlign w:val="superscript"/>
              </w:rPr>
              <w:t>1</w:t>
            </w:r>
          </w:p>
        </w:tc>
        <w:tc>
          <w:tcPr>
            <w:tcW w:w="522" w:type="pct"/>
          </w:tcPr>
          <w:p w14:paraId="7BAC7ACF" w14:textId="77777777"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+27%</w:t>
            </w:r>
          </w:p>
        </w:tc>
      </w:tr>
      <w:tr w:rsidR="00FC4AC7" w:rsidRPr="006154DA" w14:paraId="772A3A3D" w14:textId="77777777" w:rsidTr="00FC4AC7">
        <w:tc>
          <w:tcPr>
            <w:tcW w:w="2670" w:type="pct"/>
          </w:tcPr>
          <w:p w14:paraId="7AE84A0E" w14:textId="0F215D2A" w:rsidR="001D7ABE" w:rsidRPr="006154DA" w:rsidRDefault="00D41502">
            <w:pPr>
              <w:jc w:val="left"/>
              <w:rPr>
                <w:rFonts w:ascii="Arial Narrow" w:hAnsi="Arial Narrow" w:cs="Times New Roman"/>
                <w:sz w:val="20"/>
                <w:szCs w:val="20"/>
              </w:rPr>
            </w:pPr>
            <w:r w:rsidRPr="006154DA">
              <w:rPr>
                <w:rFonts w:ascii="Arial Narrow" w:hAnsi="Arial Narrow" w:cs="Times New Roman"/>
                <w:sz w:val="20"/>
                <w:szCs w:val="20"/>
              </w:rPr>
              <w:t>P</w:t>
            </w:r>
            <w:r w:rsidR="001D7ABE" w:rsidRPr="006154DA">
              <w:rPr>
                <w:rFonts w:ascii="Arial Narrow" w:hAnsi="Arial Narrow" w:cs="Times New Roman"/>
                <w:sz w:val="20"/>
                <w:szCs w:val="20"/>
              </w:rPr>
              <w:t>ost-progression cost</w:t>
            </w:r>
            <w:r w:rsidRPr="006154DA">
              <w:rPr>
                <w:rFonts w:ascii="Arial Narrow" w:hAnsi="Arial Narrow" w:cs="Times New Roman"/>
                <w:sz w:val="20"/>
                <w:szCs w:val="20"/>
              </w:rPr>
              <w:t>s</w:t>
            </w:r>
            <w:r w:rsidR="001D7ABE" w:rsidRPr="006154DA">
              <w:rPr>
                <w:rFonts w:ascii="Arial Narrow" w:hAnsi="Arial Narrow" w:cs="Times New Roman"/>
                <w:sz w:val="20"/>
                <w:szCs w:val="20"/>
              </w:rPr>
              <w:t xml:space="preserve"> for SoC </w:t>
            </w:r>
            <w:r w:rsidRPr="006154DA">
              <w:rPr>
                <w:rFonts w:ascii="Arial Narrow" w:hAnsi="Arial Narrow" w:cs="Times New Roman"/>
                <w:sz w:val="20"/>
                <w:szCs w:val="20"/>
              </w:rPr>
              <w:t xml:space="preserve">arm based on </w:t>
            </w:r>
            <w:r w:rsidR="001D7ABE" w:rsidRPr="006154DA">
              <w:rPr>
                <w:rFonts w:ascii="Arial Narrow" w:hAnsi="Arial Narrow" w:cs="Times New Roman"/>
                <w:sz w:val="20"/>
                <w:szCs w:val="20"/>
              </w:rPr>
              <w:t xml:space="preserve">the proportion of daratumumab </w:t>
            </w:r>
            <w:r w:rsidRPr="006154DA">
              <w:rPr>
                <w:rFonts w:ascii="Arial Narrow" w:hAnsi="Arial Narrow" w:cs="Times New Roman"/>
                <w:sz w:val="20"/>
                <w:szCs w:val="20"/>
              </w:rPr>
              <w:t>received</w:t>
            </w:r>
            <w:r w:rsidR="001D7ABE" w:rsidRPr="006154DA">
              <w:rPr>
                <w:rFonts w:ascii="Arial Narrow" w:hAnsi="Arial Narrow" w:cs="Times New Roman"/>
                <w:sz w:val="20"/>
                <w:szCs w:val="20"/>
              </w:rPr>
              <w:t xml:space="preserve"> in MAIA</w:t>
            </w:r>
            <w:r w:rsidR="00F64F66" w:rsidRPr="006154DA">
              <w:rPr>
                <w:rFonts w:ascii="Arial Narrow" w:hAnsi="Arial Narrow" w:cs="Times New Roman"/>
                <w:sz w:val="20"/>
                <w:szCs w:val="20"/>
              </w:rPr>
              <w:t xml:space="preserve"> i.e.</w:t>
            </w:r>
            <w:r w:rsidR="00814607" w:rsidRPr="006154DA">
              <w:rPr>
                <w:rFonts w:ascii="Arial Narrow" w:hAnsi="Arial Narrow" w:cs="Times New Roman"/>
                <w:sz w:val="20"/>
                <w:szCs w:val="20"/>
              </w:rPr>
              <w:t xml:space="preserve"> </w:t>
            </w:r>
            <w:r w:rsidR="00F64F66" w:rsidRPr="006154DA">
              <w:rPr>
                <w:rFonts w:ascii="Arial Narrow" w:hAnsi="Arial Narrow" w:cs="Times New Roman"/>
                <w:sz w:val="20"/>
                <w:szCs w:val="20"/>
              </w:rPr>
              <w:t>48.5%</w:t>
            </w:r>
            <w:r w:rsidR="001D7ABE" w:rsidRPr="006154DA">
              <w:rPr>
                <w:rFonts w:ascii="Arial Narrow" w:hAnsi="Arial Narrow" w:cs="Times New Roman"/>
                <w:sz w:val="20"/>
                <w:szCs w:val="20"/>
              </w:rPr>
              <w:t xml:space="preserve"> (base case </w:t>
            </w:r>
            <w:r w:rsidRPr="006154DA">
              <w:rPr>
                <w:rFonts w:ascii="Arial Narrow" w:hAnsi="Arial Narrow" w:cs="Times New Roman"/>
                <w:sz w:val="20"/>
                <w:szCs w:val="20"/>
              </w:rPr>
              <w:t>= 100%</w:t>
            </w:r>
            <w:r w:rsidR="001D7ABE" w:rsidRPr="006154DA">
              <w:rPr>
                <w:rFonts w:ascii="Arial Narrow" w:hAnsi="Arial Narrow" w:cs="Times New Roman"/>
                <w:sz w:val="20"/>
                <w:szCs w:val="20"/>
              </w:rPr>
              <w:t>)</w:t>
            </w:r>
          </w:p>
        </w:tc>
        <w:tc>
          <w:tcPr>
            <w:tcW w:w="629" w:type="pct"/>
          </w:tcPr>
          <w:p w14:paraId="3C6E004F"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1.15</w:t>
            </w:r>
          </w:p>
        </w:tc>
        <w:tc>
          <w:tcPr>
            <w:tcW w:w="628" w:type="pct"/>
          </w:tcPr>
          <w:p w14:paraId="630EAF0A" w14:textId="27876D66"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18"/>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18"/>
                <w14:textFill>
                  <w14:solidFill>
                    <w14:srgbClr w14:val="000000">
                      <w14:alpha w14:val="100000"/>
                    </w14:srgbClr>
                  </w14:solidFill>
                </w14:textFill>
              </w:rPr>
              <w:t>|</w:t>
            </w:r>
          </w:p>
        </w:tc>
        <w:tc>
          <w:tcPr>
            <w:tcW w:w="551" w:type="pct"/>
          </w:tcPr>
          <w:p w14:paraId="455DF264" w14:textId="4BC9774F"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17"/>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17"/>
                <w14:textFill>
                  <w14:solidFill>
                    <w14:srgbClr w14:val="000000">
                      <w14:alpha w14:val="100000"/>
                    </w14:srgbClr>
                  </w14:solidFill>
                </w14:textFill>
              </w:rPr>
              <w:t>|</w:t>
            </w:r>
            <w:r w:rsidR="00C62A2B">
              <w:rPr>
                <w:rFonts w:ascii="Arial Narrow" w:hAnsi="Arial Narrow"/>
                <w:sz w:val="20"/>
                <w:szCs w:val="20"/>
                <w:vertAlign w:val="superscript"/>
              </w:rPr>
              <w:t>1</w:t>
            </w:r>
          </w:p>
        </w:tc>
        <w:tc>
          <w:tcPr>
            <w:tcW w:w="522" w:type="pct"/>
          </w:tcPr>
          <w:p w14:paraId="4028C56A" w14:textId="77777777"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+32%</w:t>
            </w:r>
          </w:p>
        </w:tc>
      </w:tr>
      <w:tr w:rsidR="00FC4AC7" w:rsidRPr="006154DA" w14:paraId="35FF55EC" w14:textId="77777777" w:rsidTr="00FC4AC7">
        <w:tc>
          <w:tcPr>
            <w:tcW w:w="2670" w:type="pct"/>
          </w:tcPr>
          <w:p w14:paraId="2A0921FC" w14:textId="347E8F7C" w:rsidR="001D7ABE" w:rsidRPr="00346D39" w:rsidRDefault="006E73CD">
            <w:pPr>
              <w:jc w:val="left"/>
              <w:rPr>
                <w:rFonts w:ascii="Arial Narrow" w:hAnsi="Arial Narrow" w:cs="Times New Roman"/>
                <w:sz w:val="20"/>
                <w:szCs w:val="20"/>
                <w:highlight w:val="yellow"/>
              </w:rPr>
            </w:pPr>
            <w:r w:rsidRPr="006E73CD">
              <w:rPr>
                <w:rFonts w:ascii="Arial Narrow" w:hAnsi="Arial Narrow" w:cs="Times New Roman"/>
                <w:color w:val="000000"/>
                <w:spacing w:val="29"/>
                <w:sz w:val="20"/>
                <w:szCs w:val="20"/>
                <w:shd w:val="solid" w:color="000000" w:fill="000000"/>
                <w:fitText w:val="549" w:id="-1236536816"/>
                <w14:textFill>
                  <w14:solidFill>
                    <w14:srgbClr w14:val="000000">
                      <w14:alpha w14:val="100000"/>
                    </w14:srgbClr>
                  </w14:solidFill>
                </w14:textFill>
              </w:rPr>
              <w:t>|||||||</w:t>
            </w:r>
            <w:r w:rsidRPr="006E73CD">
              <w:rPr>
                <w:rFonts w:ascii="Arial Narrow" w:hAnsi="Arial Narrow" w:cs="Times New Roman"/>
                <w:color w:val="000000"/>
                <w:spacing w:val="6"/>
                <w:sz w:val="20"/>
                <w:szCs w:val="20"/>
                <w:shd w:val="solid" w:color="000000" w:fill="000000"/>
                <w:fitText w:val="549" w:id="-1236536816"/>
                <w14:textFill>
                  <w14:solidFill>
                    <w14:srgbClr w14:val="000000">
                      <w14:alpha w14:val="100000"/>
                    </w14:srgbClr>
                  </w14:solidFill>
                </w14:textFill>
              </w:rPr>
              <w:t>|</w:t>
            </w:r>
            <w:r w:rsidR="001D7ABE" w:rsidRPr="00154E14">
              <w:rPr>
                <w:rFonts w:ascii="Arial Narrow" w:hAnsi="Arial Narrow" w:cs="Times New Roman"/>
                <w:sz w:val="20"/>
                <w:szCs w:val="20"/>
              </w:rPr>
              <w:t xml:space="preserve">% rebate for daratumumab (in DLd) (base case 0%) </w:t>
            </w:r>
          </w:p>
        </w:tc>
        <w:tc>
          <w:tcPr>
            <w:tcW w:w="629" w:type="pct"/>
          </w:tcPr>
          <w:p w14:paraId="3B6982B6" w14:textId="77777777"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sz w:val="20"/>
                <w:szCs w:val="20"/>
              </w:rPr>
              <w:t>1.15</w:t>
            </w:r>
          </w:p>
        </w:tc>
        <w:tc>
          <w:tcPr>
            <w:tcW w:w="628" w:type="pct"/>
          </w:tcPr>
          <w:p w14:paraId="59C84281" w14:textId="788D58A6"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sz w:val="20"/>
                <w:szCs w:val="20"/>
              </w:rPr>
              <w:t>$</w:t>
            </w:r>
            <w:r w:rsidR="006E73CD" w:rsidRPr="006E73CD">
              <w:rPr>
                <w:rFonts w:ascii="Arial Narrow" w:hAnsi="Arial Narrow"/>
                <w:color w:val="000000"/>
                <w:spacing w:val="33"/>
                <w:sz w:val="20"/>
                <w:szCs w:val="20"/>
                <w:shd w:val="solid" w:color="000000" w:fill="000000"/>
                <w:fitText w:val="424" w:id="-1236536832"/>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24" w:id="-1236536832"/>
                <w14:textFill>
                  <w14:solidFill>
                    <w14:srgbClr w14:val="000000">
                      <w14:alpha w14:val="100000"/>
                    </w14:srgbClr>
                  </w14:solidFill>
                </w14:textFill>
              </w:rPr>
              <w:t>|</w:t>
            </w:r>
          </w:p>
        </w:tc>
        <w:tc>
          <w:tcPr>
            <w:tcW w:w="551" w:type="pct"/>
          </w:tcPr>
          <w:p w14:paraId="72AC2627" w14:textId="4BBAA3D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sz w:val="20"/>
                <w:szCs w:val="20"/>
              </w:rPr>
              <w:t>$</w:t>
            </w:r>
            <w:r w:rsidR="006E73CD" w:rsidRPr="006E73CD">
              <w:rPr>
                <w:rFonts w:ascii="Arial Narrow" w:hAnsi="Arial Narrow"/>
                <w:color w:val="000000"/>
                <w:spacing w:val="48"/>
                <w:sz w:val="20"/>
                <w:szCs w:val="20"/>
                <w:shd w:val="solid" w:color="000000" w:fill="000000"/>
                <w:fitText w:val="499" w:id="-1236536831"/>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99" w:id="-1236536831"/>
                <w14:textFill>
                  <w14:solidFill>
                    <w14:srgbClr w14:val="000000">
                      <w14:alpha w14:val="100000"/>
                    </w14:srgbClr>
                  </w14:solidFill>
                </w14:textFill>
              </w:rPr>
              <w:t>|</w:t>
            </w:r>
            <w:r w:rsidR="00C62A2B">
              <w:rPr>
                <w:rFonts w:ascii="Arial Narrow" w:hAnsi="Arial Narrow"/>
                <w:sz w:val="20"/>
                <w:szCs w:val="20"/>
                <w:vertAlign w:val="superscript"/>
              </w:rPr>
              <w:t>2</w:t>
            </w:r>
          </w:p>
        </w:tc>
        <w:tc>
          <w:tcPr>
            <w:tcW w:w="522" w:type="pct"/>
          </w:tcPr>
          <w:p w14:paraId="51409775"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-25%</w:t>
            </w:r>
          </w:p>
        </w:tc>
      </w:tr>
      <w:tr w:rsidR="00FC4AC7" w:rsidRPr="006154DA" w14:paraId="04E5B8A8" w14:textId="77777777" w:rsidTr="00FC4AC7">
        <w:tc>
          <w:tcPr>
            <w:tcW w:w="2670" w:type="pct"/>
          </w:tcPr>
          <w:p w14:paraId="1F900039" w14:textId="1A723821" w:rsidR="001D7ABE" w:rsidRPr="00154E14" w:rsidRDefault="006E73CD">
            <w:pPr>
              <w:jc w:val="left"/>
              <w:rPr>
                <w:rFonts w:ascii="Arial Narrow" w:hAnsi="Arial Narrow" w:cs="Times New Roman"/>
                <w:sz w:val="20"/>
                <w:szCs w:val="20"/>
                <w:vertAlign w:val="superscript"/>
              </w:rPr>
            </w:pPr>
            <w:r w:rsidRPr="006E73CD">
              <w:rPr>
                <w:rFonts w:ascii="Arial Narrow" w:hAnsi="Arial Narrow" w:cs="Times New Roman"/>
                <w:color w:val="000000"/>
                <w:spacing w:val="29"/>
                <w:sz w:val="20"/>
                <w:szCs w:val="20"/>
                <w:shd w:val="solid" w:color="000000" w:fill="000000"/>
                <w:fitText w:val="549" w:id="-1236536830"/>
                <w14:textFill>
                  <w14:solidFill>
                    <w14:srgbClr w14:val="000000">
                      <w14:alpha w14:val="100000"/>
                    </w14:srgbClr>
                  </w14:solidFill>
                </w14:textFill>
              </w:rPr>
              <w:t>|||||||</w:t>
            </w:r>
            <w:r w:rsidRPr="006E73CD">
              <w:rPr>
                <w:rFonts w:ascii="Arial Narrow" w:hAnsi="Arial Narrow" w:cs="Times New Roman"/>
                <w:color w:val="000000"/>
                <w:spacing w:val="6"/>
                <w:sz w:val="20"/>
                <w:szCs w:val="20"/>
                <w:shd w:val="solid" w:color="000000" w:fill="000000"/>
                <w:fitText w:val="549" w:id="-1236536830"/>
                <w14:textFill>
                  <w14:solidFill>
                    <w14:srgbClr w14:val="000000">
                      <w14:alpha w14:val="100000"/>
                    </w14:srgbClr>
                  </w14:solidFill>
                </w14:textFill>
              </w:rPr>
              <w:t>|</w:t>
            </w:r>
            <w:r w:rsidR="001D7ABE" w:rsidRPr="00154E14">
              <w:rPr>
                <w:rFonts w:ascii="Arial Narrow" w:hAnsi="Arial Narrow" w:cs="Times New Roman"/>
                <w:sz w:val="20"/>
                <w:szCs w:val="20"/>
              </w:rPr>
              <w:t>% rebate for daratumumab (in DLd) (base case 0%)</w:t>
            </w:r>
          </w:p>
        </w:tc>
        <w:tc>
          <w:tcPr>
            <w:tcW w:w="629" w:type="pct"/>
          </w:tcPr>
          <w:p w14:paraId="72655B1A"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1.15</w:t>
            </w:r>
          </w:p>
        </w:tc>
        <w:tc>
          <w:tcPr>
            <w:tcW w:w="628" w:type="pct"/>
          </w:tcPr>
          <w:p w14:paraId="3564F0D4" w14:textId="514E025B"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9"/>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9"/>
                <w14:textFill>
                  <w14:solidFill>
                    <w14:srgbClr w14:val="000000">
                      <w14:alpha w14:val="100000"/>
                    </w14:srgbClr>
                  </w14:solidFill>
                </w14:textFill>
              </w:rPr>
              <w:t>|</w:t>
            </w:r>
          </w:p>
        </w:tc>
        <w:tc>
          <w:tcPr>
            <w:tcW w:w="551" w:type="pct"/>
          </w:tcPr>
          <w:p w14:paraId="7C77BC92" w14:textId="557AAF78"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theme="minorHAnsi"/>
                <w:sz w:val="20"/>
                <w:szCs w:val="20"/>
              </w:rPr>
              <w:t>$</w:t>
            </w:r>
            <w:r w:rsidR="006E73CD" w:rsidRPr="006E73CD">
              <w:rPr>
                <w:rFonts w:ascii="Arial Narrow" w:hAnsi="Arial Narrow" w:cstheme="minorHAnsi"/>
                <w:color w:val="000000"/>
                <w:spacing w:val="48"/>
                <w:sz w:val="20"/>
                <w:szCs w:val="20"/>
                <w:shd w:val="solid" w:color="000000" w:fill="000000"/>
                <w:fitText w:val="499" w:id="-1236536828"/>
                <w14:textFill>
                  <w14:solidFill>
                    <w14:srgbClr w14:val="000000">
                      <w14:alpha w14:val="100000"/>
                    </w14:srgbClr>
                  </w14:solidFill>
                </w14:textFill>
              </w:rPr>
              <w:t>|||||</w:t>
            </w:r>
            <w:r w:rsidR="006E73CD" w:rsidRPr="006E73CD">
              <w:rPr>
                <w:rFonts w:ascii="Arial Narrow" w:hAnsi="Arial Narrow" w:cstheme="minorHAnsi"/>
                <w:color w:val="000000"/>
                <w:spacing w:val="4"/>
                <w:sz w:val="20"/>
                <w:szCs w:val="20"/>
                <w:shd w:val="solid" w:color="000000" w:fill="000000"/>
                <w:fitText w:val="499" w:id="-1236536828"/>
                <w14:textFill>
                  <w14:solidFill>
                    <w14:srgbClr w14:val="000000">
                      <w14:alpha w14:val="100000"/>
                    </w14:srgbClr>
                  </w14:solidFill>
                </w14:textFill>
              </w:rPr>
              <w:t>|</w:t>
            </w:r>
            <w:r w:rsidR="00C62A2B">
              <w:rPr>
                <w:rFonts w:ascii="Arial Narrow" w:hAnsi="Arial Narrow" w:cstheme="minorHAnsi"/>
                <w:sz w:val="20"/>
                <w:szCs w:val="20"/>
                <w:vertAlign w:val="superscript"/>
              </w:rPr>
              <w:t>4</w:t>
            </w:r>
            <w:r w:rsidRPr="006154DA">
              <w:rPr>
                <w:rFonts w:ascii="Arial Narrow" w:hAnsi="Arial Narrow" w:cstheme="minorHAnsi"/>
                <w:sz w:val="20"/>
                <w:szCs w:val="20"/>
              </w:rPr>
              <w:t xml:space="preserve"> </w:t>
            </w:r>
          </w:p>
        </w:tc>
        <w:tc>
          <w:tcPr>
            <w:tcW w:w="522" w:type="pct"/>
          </w:tcPr>
          <w:p w14:paraId="188A18CA"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theme="minorHAnsi"/>
                <w:sz w:val="20"/>
                <w:szCs w:val="20"/>
              </w:rPr>
              <w:t>-43%</w:t>
            </w:r>
          </w:p>
        </w:tc>
      </w:tr>
      <w:tr w:rsidR="00FC4AC7" w:rsidRPr="006154DA" w14:paraId="7BFA6DFE" w14:textId="77777777" w:rsidTr="00FC4AC7">
        <w:tc>
          <w:tcPr>
            <w:tcW w:w="2670" w:type="pct"/>
          </w:tcPr>
          <w:p w14:paraId="7BE9AC24" w14:textId="059D8297" w:rsidR="001D7ABE" w:rsidRPr="00154E14" w:rsidRDefault="006E73CD">
            <w:pPr>
              <w:jc w:val="left"/>
              <w:rPr>
                <w:rFonts w:ascii="Arial Narrow" w:hAnsi="Arial Narrow"/>
                <w:sz w:val="20"/>
                <w:szCs w:val="20"/>
                <w:vertAlign w:val="superscript"/>
              </w:rPr>
            </w:pPr>
            <w:r w:rsidRPr="006E73CD">
              <w:rPr>
                <w:rFonts w:ascii="Arial Narrow" w:hAnsi="Arial Narrow"/>
                <w:color w:val="000000"/>
                <w:spacing w:val="29"/>
                <w:sz w:val="20"/>
                <w:szCs w:val="20"/>
                <w:shd w:val="solid" w:color="000000" w:fill="000000"/>
                <w:fitText w:val="549" w:id="-1236536827"/>
                <w14:textFill>
                  <w14:solidFill>
                    <w14:srgbClr w14:val="000000">
                      <w14:alpha w14:val="100000"/>
                    </w14:srgbClr>
                  </w14:solidFill>
                </w14:textFill>
              </w:rPr>
              <w:t>|||||||</w:t>
            </w:r>
            <w:r w:rsidRPr="006E73CD">
              <w:rPr>
                <w:rFonts w:ascii="Arial Narrow" w:hAnsi="Arial Narrow"/>
                <w:color w:val="000000"/>
                <w:spacing w:val="6"/>
                <w:sz w:val="20"/>
                <w:szCs w:val="20"/>
                <w:shd w:val="solid" w:color="000000" w:fill="000000"/>
                <w:fitText w:val="549" w:id="-1236536827"/>
                <w14:textFill>
                  <w14:solidFill>
                    <w14:srgbClr w14:val="000000">
                      <w14:alpha w14:val="100000"/>
                    </w14:srgbClr>
                  </w14:solidFill>
                </w14:textFill>
              </w:rPr>
              <w:t>|</w:t>
            </w:r>
            <w:r w:rsidR="001D7ABE" w:rsidRPr="00154E14">
              <w:rPr>
                <w:rFonts w:ascii="Arial Narrow" w:hAnsi="Arial Narrow"/>
                <w:sz w:val="20"/>
                <w:szCs w:val="20"/>
              </w:rPr>
              <w:t>%</w:t>
            </w:r>
            <w:r w:rsidR="001D7ABE" w:rsidRPr="00154E14">
              <w:rPr>
                <w:rFonts w:ascii="Arial Narrow" w:hAnsi="Arial Narrow" w:cs="Times New Roman"/>
                <w:sz w:val="20"/>
                <w:szCs w:val="20"/>
              </w:rPr>
              <w:t xml:space="preserve"> rebate for daratumumab (in DLd) </w:t>
            </w:r>
            <w:r w:rsidR="005D01D1" w:rsidRPr="00154E14">
              <w:rPr>
                <w:rFonts w:ascii="Arial Narrow" w:hAnsi="Arial Narrow" w:cs="Times New Roman"/>
                <w:sz w:val="20"/>
                <w:szCs w:val="20"/>
                <w:vertAlign w:val="superscript"/>
              </w:rPr>
              <w:t>b</w:t>
            </w:r>
            <w:r w:rsidR="001D7ABE" w:rsidRPr="00154E14">
              <w:rPr>
                <w:rFonts w:ascii="Arial Narrow" w:hAnsi="Arial Narrow" w:cs="Times New Roman"/>
                <w:sz w:val="20"/>
                <w:szCs w:val="20"/>
                <w:vertAlign w:val="superscript"/>
              </w:rPr>
              <w:t xml:space="preserve"> </w:t>
            </w:r>
            <w:r w:rsidR="001D7ABE" w:rsidRPr="00154E14">
              <w:rPr>
                <w:rFonts w:ascii="Arial Narrow" w:hAnsi="Arial Narrow" w:cs="Times New Roman"/>
                <w:sz w:val="20"/>
                <w:szCs w:val="20"/>
              </w:rPr>
              <w:t>(base case 0%)</w:t>
            </w:r>
          </w:p>
        </w:tc>
        <w:tc>
          <w:tcPr>
            <w:tcW w:w="629" w:type="pct"/>
          </w:tcPr>
          <w:p w14:paraId="4E7DDA3D" w14:textId="77777777" w:rsidR="001D7ABE" w:rsidRPr="006154DA" w:rsidRDefault="001D7ABE">
            <w:pPr>
              <w:jc w:val="center"/>
              <w:textAlignment w:val="baseline"/>
              <w:rPr>
                <w:rFonts w:ascii="Arial Narrow" w:hAnsi="Arial Narrow"/>
                <w:sz w:val="20"/>
                <w:szCs w:val="20"/>
              </w:rPr>
            </w:pPr>
            <w:r w:rsidRPr="006154DA">
              <w:rPr>
                <w:rFonts w:ascii="Arial Narrow" w:hAnsi="Arial Narrow"/>
                <w:sz w:val="20"/>
                <w:szCs w:val="20"/>
              </w:rPr>
              <w:t>1.15</w:t>
            </w:r>
          </w:p>
        </w:tc>
        <w:tc>
          <w:tcPr>
            <w:tcW w:w="628" w:type="pct"/>
          </w:tcPr>
          <w:p w14:paraId="4D2A250F" w14:textId="777BEC08" w:rsidR="001D7ABE" w:rsidRPr="006154DA" w:rsidRDefault="001D7ABE">
            <w:pPr>
              <w:jc w:val="center"/>
              <w:textAlignment w:val="baseline"/>
              <w:rPr>
                <w:rFonts w:ascii="Arial Narrow" w:hAnsi="Arial Narrow"/>
                <w:sz w:val="20"/>
                <w:szCs w:val="20"/>
              </w:rPr>
            </w:pPr>
            <w:r w:rsidRPr="006154DA">
              <w:rPr>
                <w:rFonts w:ascii="Arial Narrow" w:hAnsi="Arial Narrow"/>
                <w:sz w:val="20"/>
                <w:szCs w:val="20"/>
              </w:rPr>
              <w:t>$</w:t>
            </w:r>
            <w:r w:rsidR="006E73CD" w:rsidRPr="006E73CD">
              <w:rPr>
                <w:rFonts w:ascii="Arial Narrow" w:hAnsi="Arial Narrow"/>
                <w:color w:val="000000"/>
                <w:spacing w:val="33"/>
                <w:sz w:val="20"/>
                <w:szCs w:val="20"/>
                <w:shd w:val="solid" w:color="000000" w:fill="000000"/>
                <w:fitText w:val="424" w:id="-1236536826"/>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24" w:id="-1236536826"/>
                <w14:textFill>
                  <w14:solidFill>
                    <w14:srgbClr w14:val="000000">
                      <w14:alpha w14:val="100000"/>
                    </w14:srgbClr>
                  </w14:solidFill>
                </w14:textFill>
              </w:rPr>
              <w:t>|</w:t>
            </w:r>
          </w:p>
        </w:tc>
        <w:tc>
          <w:tcPr>
            <w:tcW w:w="551" w:type="pct"/>
          </w:tcPr>
          <w:p w14:paraId="64DC948D" w14:textId="2E74F9D2" w:rsidR="001D7ABE" w:rsidRPr="00C62A2B" w:rsidRDefault="001D7ABE">
            <w:pPr>
              <w:jc w:val="center"/>
              <w:textAlignment w:val="baseline"/>
              <w:rPr>
                <w:rFonts w:ascii="Arial Narrow" w:hAnsi="Arial Narrow"/>
                <w:sz w:val="20"/>
                <w:szCs w:val="20"/>
                <w:vertAlign w:val="superscript"/>
              </w:rPr>
            </w:pPr>
            <w:r w:rsidRPr="006154DA">
              <w:rPr>
                <w:rFonts w:ascii="Arial Narrow" w:hAnsi="Arial Narrow"/>
                <w:sz w:val="20"/>
                <w:szCs w:val="20"/>
              </w:rPr>
              <w:t>$</w:t>
            </w:r>
            <w:r w:rsidR="006E73CD" w:rsidRPr="006E73CD">
              <w:rPr>
                <w:rFonts w:ascii="Arial Narrow" w:hAnsi="Arial Narrow"/>
                <w:color w:val="000000"/>
                <w:spacing w:val="48"/>
                <w:sz w:val="20"/>
                <w:szCs w:val="20"/>
                <w:shd w:val="solid" w:color="000000" w:fill="000000"/>
                <w:fitText w:val="499" w:id="-1236536825"/>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99" w:id="-1236536825"/>
                <w14:textFill>
                  <w14:solidFill>
                    <w14:srgbClr w14:val="000000">
                      <w14:alpha w14:val="100000"/>
                    </w14:srgbClr>
                  </w14:solidFill>
                </w14:textFill>
              </w:rPr>
              <w:t>|</w:t>
            </w:r>
            <w:r w:rsidR="00C62A2B">
              <w:rPr>
                <w:rFonts w:ascii="Arial Narrow" w:hAnsi="Arial Narrow"/>
                <w:sz w:val="20"/>
                <w:szCs w:val="20"/>
                <w:vertAlign w:val="superscript"/>
              </w:rPr>
              <w:t>4</w:t>
            </w:r>
          </w:p>
        </w:tc>
        <w:tc>
          <w:tcPr>
            <w:tcW w:w="522" w:type="pct"/>
          </w:tcPr>
          <w:p w14:paraId="7D3BD8D5" w14:textId="77777777"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-50%</w:t>
            </w:r>
          </w:p>
        </w:tc>
      </w:tr>
      <w:tr w:rsidR="00FC4AC7" w:rsidRPr="006154DA" w14:paraId="1C4A8473" w14:textId="77777777" w:rsidTr="00FC4AC7">
        <w:tc>
          <w:tcPr>
            <w:tcW w:w="2670" w:type="pct"/>
          </w:tcPr>
          <w:p w14:paraId="515AAAF9" w14:textId="1979AA96" w:rsidR="001D7ABE" w:rsidRPr="006154DA" w:rsidRDefault="006E73CD">
            <w:pPr>
              <w:jc w:val="left"/>
              <w:rPr>
                <w:rFonts w:ascii="Arial Narrow" w:hAnsi="Arial Narrow" w:cs="Times New Roman"/>
                <w:sz w:val="20"/>
                <w:szCs w:val="20"/>
              </w:rPr>
            </w:pPr>
            <w:r w:rsidRPr="006E73CD">
              <w:rPr>
                <w:rFonts w:ascii="Arial Narrow" w:hAnsi="Arial Narrow"/>
                <w:color w:val="000000"/>
                <w:spacing w:val="29"/>
                <w:sz w:val="20"/>
                <w:szCs w:val="20"/>
                <w:shd w:val="solid" w:color="000000" w:fill="000000"/>
                <w:fitText w:val="549" w:id="-1236536824"/>
                <w14:textFill>
                  <w14:solidFill>
                    <w14:srgbClr w14:val="000000">
                      <w14:alpha w14:val="100000"/>
                    </w14:srgbClr>
                  </w14:solidFill>
                </w14:textFill>
              </w:rPr>
              <w:t>|||||||</w:t>
            </w:r>
            <w:r w:rsidRPr="006E73CD">
              <w:rPr>
                <w:rFonts w:ascii="Arial Narrow" w:hAnsi="Arial Narrow"/>
                <w:color w:val="000000"/>
                <w:spacing w:val="6"/>
                <w:sz w:val="20"/>
                <w:szCs w:val="20"/>
                <w:shd w:val="solid" w:color="000000" w:fill="000000"/>
                <w:fitText w:val="549" w:id="-1236536824"/>
                <w14:textFill>
                  <w14:solidFill>
                    <w14:srgbClr w14:val="000000">
                      <w14:alpha w14:val="100000"/>
                    </w14:srgbClr>
                  </w14:solidFill>
                </w14:textFill>
              </w:rPr>
              <w:t>|</w:t>
            </w:r>
            <w:r w:rsidR="001D7ABE" w:rsidRPr="006154DA">
              <w:rPr>
                <w:rFonts w:ascii="Arial Narrow" w:hAnsi="Arial Narrow"/>
                <w:sz w:val="20"/>
                <w:szCs w:val="20"/>
              </w:rPr>
              <w:t>% for lenalidomide generic (base case no reduction)</w:t>
            </w:r>
          </w:p>
        </w:tc>
        <w:tc>
          <w:tcPr>
            <w:tcW w:w="629" w:type="pct"/>
          </w:tcPr>
          <w:p w14:paraId="1E5DFC7C" w14:textId="77777777"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sz w:val="20"/>
                <w:szCs w:val="20"/>
              </w:rPr>
              <w:t>1.15</w:t>
            </w:r>
          </w:p>
        </w:tc>
        <w:tc>
          <w:tcPr>
            <w:tcW w:w="628" w:type="pct"/>
          </w:tcPr>
          <w:p w14:paraId="16ABD55A" w14:textId="1D7E62B0" w:rsidR="001D7ABE" w:rsidRPr="006154DA" w:rsidRDefault="001D7ABE">
            <w:pPr>
              <w:jc w:val="center"/>
              <w:textAlignment w:val="baseline"/>
              <w:rPr>
                <w:rFonts w:ascii="Arial Narrow" w:hAnsi="Arial Narrow" w:cs="Calibri"/>
                <w:color w:val="000000"/>
                <w:sz w:val="20"/>
                <w:szCs w:val="20"/>
              </w:rPr>
            </w:pPr>
            <w:r w:rsidRPr="006154DA">
              <w:rPr>
                <w:rFonts w:ascii="Arial Narrow" w:hAnsi="Arial Narrow"/>
                <w:sz w:val="20"/>
                <w:szCs w:val="20"/>
              </w:rPr>
              <w:t>$</w:t>
            </w:r>
            <w:r w:rsidR="006E73CD" w:rsidRPr="006E73CD">
              <w:rPr>
                <w:rFonts w:ascii="Arial Narrow" w:hAnsi="Arial Narrow"/>
                <w:color w:val="000000"/>
                <w:spacing w:val="33"/>
                <w:sz w:val="20"/>
                <w:szCs w:val="20"/>
                <w:shd w:val="solid" w:color="000000" w:fill="000000"/>
                <w:fitText w:val="424" w:id="-1236536823"/>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24" w:id="-1236536823"/>
                <w14:textFill>
                  <w14:solidFill>
                    <w14:srgbClr w14:val="000000">
                      <w14:alpha w14:val="100000"/>
                    </w14:srgbClr>
                  </w14:solidFill>
                </w14:textFill>
              </w:rPr>
              <w:t>|</w:t>
            </w:r>
          </w:p>
        </w:tc>
        <w:tc>
          <w:tcPr>
            <w:tcW w:w="551" w:type="pct"/>
          </w:tcPr>
          <w:p w14:paraId="592488ED" w14:textId="3901D253" w:rsidR="001D7ABE" w:rsidRPr="00C62A2B" w:rsidRDefault="001D7ABE">
            <w:pPr>
              <w:jc w:val="center"/>
              <w:textAlignment w:val="baseline"/>
              <w:rPr>
                <w:rFonts w:ascii="Arial Narrow" w:hAnsi="Arial Narrow" w:cstheme="minorHAnsi"/>
                <w:sz w:val="20"/>
                <w:szCs w:val="20"/>
                <w:vertAlign w:val="superscript"/>
              </w:rPr>
            </w:pPr>
            <w:r w:rsidRPr="006154DA">
              <w:rPr>
                <w:rFonts w:ascii="Arial Narrow" w:hAnsi="Arial Narrow"/>
                <w:sz w:val="20"/>
                <w:szCs w:val="20"/>
              </w:rPr>
              <w:t>$</w:t>
            </w:r>
            <w:r w:rsidR="006E73CD" w:rsidRPr="006E73CD">
              <w:rPr>
                <w:rFonts w:ascii="Arial Narrow" w:hAnsi="Arial Narrow"/>
                <w:color w:val="000000"/>
                <w:spacing w:val="48"/>
                <w:sz w:val="20"/>
                <w:szCs w:val="20"/>
                <w:shd w:val="solid" w:color="000000" w:fill="000000"/>
                <w:fitText w:val="499" w:id="-1236536822"/>
                <w14:textFill>
                  <w14:solidFill>
                    <w14:srgbClr w14:val="000000">
                      <w14:alpha w14:val="100000"/>
                    </w14:srgbClr>
                  </w14:solidFill>
                </w14:textFill>
              </w:rPr>
              <w:t>|||||</w:t>
            </w:r>
            <w:r w:rsidR="006E73CD" w:rsidRPr="006E73CD">
              <w:rPr>
                <w:rFonts w:ascii="Arial Narrow" w:hAnsi="Arial Narrow"/>
                <w:color w:val="000000"/>
                <w:spacing w:val="4"/>
                <w:sz w:val="20"/>
                <w:szCs w:val="20"/>
                <w:shd w:val="solid" w:color="000000" w:fill="000000"/>
                <w:fitText w:val="499" w:id="-1236536822"/>
                <w14:textFill>
                  <w14:solidFill>
                    <w14:srgbClr w14:val="000000">
                      <w14:alpha w14:val="100000"/>
                    </w14:srgbClr>
                  </w14:solidFill>
                </w14:textFill>
              </w:rPr>
              <w:t>|</w:t>
            </w:r>
            <w:r w:rsidR="00C62A2B">
              <w:rPr>
                <w:rFonts w:ascii="Arial Narrow" w:hAnsi="Arial Narrow"/>
                <w:sz w:val="20"/>
                <w:szCs w:val="20"/>
                <w:vertAlign w:val="superscript"/>
              </w:rPr>
              <w:t>3</w:t>
            </w:r>
          </w:p>
        </w:tc>
        <w:tc>
          <w:tcPr>
            <w:tcW w:w="522" w:type="pct"/>
          </w:tcPr>
          <w:p w14:paraId="69A5E4E1" w14:textId="77777777" w:rsidR="001D7ABE" w:rsidRPr="006154DA" w:rsidRDefault="001D7ABE">
            <w:pPr>
              <w:jc w:val="center"/>
              <w:textAlignment w:val="baseline"/>
              <w:rPr>
                <w:rFonts w:ascii="Arial Narrow" w:hAnsi="Arial Narrow" w:cstheme="minorHAnsi"/>
                <w:sz w:val="20"/>
                <w:szCs w:val="20"/>
              </w:rPr>
            </w:pPr>
            <w:r w:rsidRPr="006154DA">
              <w:rPr>
                <w:rFonts w:ascii="Arial Narrow" w:hAnsi="Arial Narrow" w:cs="Calibri"/>
                <w:color w:val="000000"/>
                <w:sz w:val="20"/>
                <w:szCs w:val="20"/>
              </w:rPr>
              <w:t>-7%</w:t>
            </w:r>
          </w:p>
        </w:tc>
      </w:tr>
      <w:tr w:rsidR="00FC4AC7" w:rsidRPr="006154DA" w14:paraId="1B470242" w14:textId="77777777" w:rsidTr="00FC4AC7">
        <w:trPr>
          <w:trHeight w:val="265"/>
        </w:trPr>
        <w:tc>
          <w:tcPr>
            <w:tcW w:w="2670" w:type="pct"/>
          </w:tcPr>
          <w:p w14:paraId="3034C38A" w14:textId="27A2958A" w:rsidR="001D7ABE" w:rsidRPr="006154DA" w:rsidRDefault="001D7ABE" w:rsidP="00F10B64">
            <w:pPr>
              <w:jc w:val="left"/>
              <w:rPr>
                <w:rFonts w:ascii="Arial Narrow" w:hAnsi="Arial Narrow" w:cs="Times New Roman"/>
                <w:sz w:val="20"/>
                <w:szCs w:val="20"/>
              </w:rPr>
            </w:pPr>
            <w:r w:rsidRPr="006154DA">
              <w:rPr>
                <w:rFonts w:ascii="Arial Narrow" w:hAnsi="Arial Narrow" w:cs="Times New Roman"/>
                <w:sz w:val="20"/>
                <w:szCs w:val="20"/>
              </w:rPr>
              <w:t xml:space="preserve">Multivariate analysis: </w:t>
            </w:r>
          </w:p>
        </w:tc>
        <w:tc>
          <w:tcPr>
            <w:tcW w:w="629" w:type="pct"/>
          </w:tcPr>
          <w:p w14:paraId="733E523B" w14:textId="234F88AE" w:rsidR="001D7ABE" w:rsidRPr="006154DA" w:rsidRDefault="001D7ABE">
            <w:pPr>
              <w:jc w:val="center"/>
              <w:textAlignment w:val="baseline"/>
              <w:rPr>
                <w:rFonts w:ascii="Arial Narrow" w:hAnsi="Arial Narrow" w:cstheme="minorHAnsi"/>
                <w:sz w:val="20"/>
                <w:szCs w:val="20"/>
              </w:rPr>
            </w:pPr>
          </w:p>
        </w:tc>
        <w:tc>
          <w:tcPr>
            <w:tcW w:w="628" w:type="pct"/>
          </w:tcPr>
          <w:p w14:paraId="38E59E1D" w14:textId="3D3B41DE" w:rsidR="001D7ABE" w:rsidRPr="006154DA" w:rsidRDefault="001D7ABE">
            <w:pPr>
              <w:jc w:val="center"/>
              <w:textAlignment w:val="baseline"/>
              <w:rPr>
                <w:rFonts w:ascii="Arial Narrow" w:hAnsi="Arial Narrow" w:cstheme="minorHAnsi"/>
                <w:sz w:val="20"/>
                <w:szCs w:val="20"/>
              </w:rPr>
            </w:pPr>
          </w:p>
        </w:tc>
        <w:tc>
          <w:tcPr>
            <w:tcW w:w="551" w:type="pct"/>
          </w:tcPr>
          <w:p w14:paraId="5BEFA1F7" w14:textId="255AC681" w:rsidR="001D7ABE" w:rsidRPr="006154DA" w:rsidRDefault="001D7ABE">
            <w:pPr>
              <w:jc w:val="center"/>
              <w:textAlignment w:val="baseline"/>
              <w:rPr>
                <w:rFonts w:ascii="Arial Narrow" w:hAnsi="Arial Narrow" w:cstheme="minorHAnsi"/>
                <w:sz w:val="20"/>
                <w:szCs w:val="20"/>
              </w:rPr>
            </w:pPr>
          </w:p>
        </w:tc>
        <w:tc>
          <w:tcPr>
            <w:tcW w:w="522" w:type="pct"/>
          </w:tcPr>
          <w:p w14:paraId="13255BFF" w14:textId="267E0913" w:rsidR="001D7ABE" w:rsidRPr="006154DA" w:rsidRDefault="001D7ABE">
            <w:pPr>
              <w:jc w:val="center"/>
              <w:textAlignment w:val="baseline"/>
              <w:rPr>
                <w:rFonts w:ascii="Arial Narrow" w:hAnsi="Arial Narrow" w:cstheme="minorHAnsi"/>
                <w:sz w:val="20"/>
                <w:szCs w:val="20"/>
              </w:rPr>
            </w:pPr>
          </w:p>
        </w:tc>
      </w:tr>
      <w:tr w:rsidR="00FC4AC7" w:rsidRPr="006154DA" w14:paraId="16DF1BE5" w14:textId="77777777" w:rsidTr="00FC4AC7">
        <w:trPr>
          <w:trHeight w:val="887"/>
        </w:trPr>
        <w:tc>
          <w:tcPr>
            <w:tcW w:w="2670" w:type="pct"/>
          </w:tcPr>
          <w:p w14:paraId="04CEBDE0" w14:textId="546768ED" w:rsidR="00F10B64" w:rsidRPr="006154DA" w:rsidRDefault="00F10B64" w:rsidP="00F10B64">
            <w:pPr>
              <w:jc w:val="left"/>
              <w:rPr>
                <w:rFonts w:ascii="Arial Narrow" w:hAnsi="Arial Narrow" w:cs="Times New Roman"/>
                <w:sz w:val="20"/>
                <w:szCs w:val="20"/>
              </w:rPr>
            </w:pPr>
            <w:r w:rsidRPr="006154DA">
              <w:rPr>
                <w:rFonts w:ascii="Arial Narrow" w:hAnsi="Arial Narrow" w:cs="Times New Roman"/>
                <w:sz w:val="20"/>
                <w:szCs w:val="20"/>
              </w:rPr>
              <w:t xml:space="preserve">15-year time horizon </w:t>
            </w:r>
            <w:r w:rsidRPr="00154E14">
              <w:rPr>
                <w:rFonts w:ascii="Arial Narrow" w:hAnsi="Arial Narrow" w:cs="Times New Roman"/>
                <w:sz w:val="20"/>
                <w:szCs w:val="20"/>
              </w:rPr>
              <w:t xml:space="preserve">+ </w:t>
            </w:r>
            <w:r w:rsidR="006E73CD" w:rsidRPr="006E73CD">
              <w:rPr>
                <w:rFonts w:ascii="Arial Narrow" w:hAnsi="Arial Narrow" w:cs="Times New Roman"/>
                <w:color w:val="000000"/>
                <w:spacing w:val="29"/>
                <w:sz w:val="20"/>
                <w:szCs w:val="20"/>
                <w:shd w:val="solid" w:color="000000" w:fill="000000"/>
                <w:fitText w:val="549" w:id="-1236536821"/>
                <w14:textFill>
                  <w14:solidFill>
                    <w14:srgbClr w14:val="000000">
                      <w14:alpha w14:val="100000"/>
                    </w14:srgbClr>
                  </w14:solidFill>
                </w14:textFill>
              </w:rPr>
              <w:t>|||||||</w:t>
            </w:r>
            <w:r w:rsidR="006E73CD" w:rsidRPr="006E73CD">
              <w:rPr>
                <w:rFonts w:ascii="Arial Narrow" w:hAnsi="Arial Narrow" w:cs="Times New Roman"/>
                <w:color w:val="000000"/>
                <w:spacing w:val="6"/>
                <w:sz w:val="20"/>
                <w:szCs w:val="20"/>
                <w:shd w:val="solid" w:color="000000" w:fill="000000"/>
                <w:fitText w:val="549" w:id="-1236536821"/>
                <w14:textFill>
                  <w14:solidFill>
                    <w14:srgbClr w14:val="000000">
                      <w14:alpha w14:val="100000"/>
                    </w14:srgbClr>
                  </w14:solidFill>
                </w14:textFill>
              </w:rPr>
              <w:t>|</w:t>
            </w:r>
            <w:r w:rsidRPr="00154E14">
              <w:rPr>
                <w:rFonts w:ascii="Arial Narrow" w:hAnsi="Arial Narrow" w:cs="Times New Roman"/>
                <w:sz w:val="20"/>
                <w:szCs w:val="20"/>
              </w:rPr>
              <w:t>% rebate</w:t>
            </w:r>
            <w:r w:rsidRPr="006154DA">
              <w:rPr>
                <w:rFonts w:ascii="Arial Narrow" w:hAnsi="Arial Narrow" w:cs="Times New Roman"/>
                <w:sz w:val="20"/>
                <w:szCs w:val="20"/>
              </w:rPr>
              <w:t xml:space="preserve"> for daratumumab (in DLd) + Convergence from year 10 + 0% use of BLd in SoC + Adjust post-progression cost for SoC with mean post -progression time from the economic model.</w:t>
            </w:r>
          </w:p>
        </w:tc>
        <w:tc>
          <w:tcPr>
            <w:tcW w:w="629" w:type="pct"/>
          </w:tcPr>
          <w:p w14:paraId="0A56F665" w14:textId="6AD5A514" w:rsidR="00F10B64" w:rsidRPr="006154DA" w:rsidRDefault="00F10B64" w:rsidP="00F10B64">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0.88</w:t>
            </w:r>
          </w:p>
        </w:tc>
        <w:tc>
          <w:tcPr>
            <w:tcW w:w="628" w:type="pct"/>
          </w:tcPr>
          <w:p w14:paraId="45374720" w14:textId="682653B9" w:rsidR="00F10B64" w:rsidRPr="006154DA" w:rsidRDefault="00F10B64" w:rsidP="00F10B64">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0"/>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0"/>
                <w14:textFill>
                  <w14:solidFill>
                    <w14:srgbClr w14:val="000000">
                      <w14:alpha w14:val="100000"/>
                    </w14:srgbClr>
                  </w14:solidFill>
                </w14:textFill>
              </w:rPr>
              <w:t>|</w:t>
            </w:r>
          </w:p>
        </w:tc>
        <w:tc>
          <w:tcPr>
            <w:tcW w:w="551" w:type="pct"/>
          </w:tcPr>
          <w:p w14:paraId="74B06692" w14:textId="4AF2D317" w:rsidR="00F10B64" w:rsidRPr="00C62A2B" w:rsidRDefault="00F10B64" w:rsidP="00F10B64">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19"/>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19"/>
                <w14:textFill>
                  <w14:solidFill>
                    <w14:srgbClr w14:val="000000">
                      <w14:alpha w14:val="100000"/>
                    </w14:srgbClr>
                  </w14:solidFill>
                </w14:textFill>
              </w:rPr>
              <w:t>|</w:t>
            </w:r>
            <w:r w:rsidR="00C62A2B">
              <w:rPr>
                <w:rFonts w:ascii="Arial Narrow" w:hAnsi="Arial Narrow" w:cs="Calibri"/>
                <w:color w:val="000000"/>
                <w:sz w:val="20"/>
                <w:szCs w:val="20"/>
                <w:vertAlign w:val="superscript"/>
              </w:rPr>
              <w:t>1</w:t>
            </w:r>
          </w:p>
        </w:tc>
        <w:tc>
          <w:tcPr>
            <w:tcW w:w="522" w:type="pct"/>
          </w:tcPr>
          <w:p w14:paraId="2E5BE7FA" w14:textId="04F7CBFF" w:rsidR="00F10B64" w:rsidRPr="006154DA" w:rsidRDefault="00F10B64" w:rsidP="00F10B64">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+41%</w:t>
            </w:r>
          </w:p>
        </w:tc>
      </w:tr>
      <w:tr w:rsidR="00FC4AC7" w:rsidRPr="006154DA" w14:paraId="5C6EE566" w14:textId="77777777" w:rsidTr="00FC4AC7">
        <w:tc>
          <w:tcPr>
            <w:tcW w:w="2670" w:type="pct"/>
          </w:tcPr>
          <w:p w14:paraId="176F16C3" w14:textId="684F10DE" w:rsidR="005E3BF5" w:rsidRPr="006154DA" w:rsidRDefault="005E3BF5" w:rsidP="005E3BF5">
            <w:pPr>
              <w:jc w:val="left"/>
              <w:rPr>
                <w:rFonts w:ascii="Arial Narrow" w:hAnsi="Arial Narrow" w:cs="Times New Roman"/>
                <w:sz w:val="20"/>
                <w:szCs w:val="20"/>
              </w:rPr>
            </w:pPr>
            <w:r w:rsidRPr="006154DA">
              <w:rPr>
                <w:rFonts w:ascii="Arial Narrow" w:hAnsi="Arial Narrow" w:cs="Times New Roman"/>
                <w:sz w:val="20"/>
                <w:szCs w:val="20"/>
              </w:rPr>
              <w:t>15-year time horizon + Convergence from year 10 + 0% use of BLd in SoC + Adjust post-progression cost for SoC with mean post-progression time from the economic model + Post</w:t>
            </w:r>
            <w:r w:rsidR="0015148F">
              <w:rPr>
                <w:rFonts w:ascii="Arial Narrow" w:hAnsi="Arial Narrow" w:cs="Times New Roman"/>
                <w:sz w:val="20"/>
                <w:szCs w:val="20"/>
              </w:rPr>
              <w:t xml:space="preserve"> </w:t>
            </w:r>
            <w:r w:rsidRPr="006154DA">
              <w:rPr>
                <w:rFonts w:ascii="Arial Narrow" w:hAnsi="Arial Narrow" w:cs="Times New Roman"/>
                <w:sz w:val="20"/>
                <w:szCs w:val="20"/>
              </w:rPr>
              <w:t>progression costs for SoC arm based on the proportion of daratumumab received in MAIA i.e.</w:t>
            </w:r>
            <w:r w:rsidR="00814607" w:rsidRPr="006154DA">
              <w:rPr>
                <w:rFonts w:ascii="Arial Narrow" w:hAnsi="Arial Narrow" w:cs="Times New Roman"/>
                <w:sz w:val="20"/>
                <w:szCs w:val="20"/>
              </w:rPr>
              <w:t xml:space="preserve"> </w:t>
            </w:r>
            <w:r w:rsidRPr="006154DA">
              <w:rPr>
                <w:rFonts w:ascii="Arial Narrow" w:hAnsi="Arial Narrow" w:cs="Times New Roman"/>
                <w:sz w:val="20"/>
                <w:szCs w:val="20"/>
              </w:rPr>
              <w:t>48.5%</w:t>
            </w:r>
            <w:r w:rsidR="00B607FA" w:rsidRPr="006154DA">
              <w:rPr>
                <w:rFonts w:ascii="Arial Narrow" w:hAnsi="Arial Narrow" w:cs="Times New Roman"/>
                <w:sz w:val="20"/>
                <w:szCs w:val="20"/>
              </w:rPr>
              <w:t xml:space="preserve"> + Weibull for OS of SoC</w:t>
            </w:r>
          </w:p>
        </w:tc>
        <w:tc>
          <w:tcPr>
            <w:tcW w:w="629" w:type="pct"/>
          </w:tcPr>
          <w:p w14:paraId="1BC90212" w14:textId="02F8E93F" w:rsidR="005E3BF5" w:rsidRPr="006154DA" w:rsidRDefault="005E3BF5" w:rsidP="005E3BF5">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0.68</w:t>
            </w:r>
          </w:p>
        </w:tc>
        <w:tc>
          <w:tcPr>
            <w:tcW w:w="628" w:type="pct"/>
          </w:tcPr>
          <w:p w14:paraId="09612E1B" w14:textId="31166380" w:rsidR="005E3BF5" w:rsidRPr="006154DA" w:rsidRDefault="005E3BF5" w:rsidP="005E3BF5">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18"/>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18"/>
                <w14:textFill>
                  <w14:solidFill>
                    <w14:srgbClr w14:val="000000">
                      <w14:alpha w14:val="100000"/>
                    </w14:srgbClr>
                  </w14:solidFill>
                </w14:textFill>
              </w:rPr>
              <w:t>|</w:t>
            </w:r>
          </w:p>
        </w:tc>
        <w:tc>
          <w:tcPr>
            <w:tcW w:w="551" w:type="pct"/>
          </w:tcPr>
          <w:p w14:paraId="703272CF" w14:textId="5E8EEB66" w:rsidR="005E3BF5" w:rsidRPr="00C62A2B" w:rsidRDefault="005E3BF5" w:rsidP="005E3BF5">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17"/>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17"/>
                <w14:textFill>
                  <w14:solidFill>
                    <w14:srgbClr w14:val="000000">
                      <w14:alpha w14:val="100000"/>
                    </w14:srgbClr>
                  </w14:solidFill>
                </w14:textFill>
              </w:rPr>
              <w:t>|</w:t>
            </w:r>
            <w:r w:rsidR="00C62A2B">
              <w:rPr>
                <w:rFonts w:ascii="Arial Narrow" w:hAnsi="Arial Narrow" w:cs="Calibri"/>
                <w:color w:val="000000"/>
                <w:sz w:val="20"/>
                <w:szCs w:val="20"/>
                <w:vertAlign w:val="superscript"/>
              </w:rPr>
              <w:t>5</w:t>
            </w:r>
          </w:p>
        </w:tc>
        <w:tc>
          <w:tcPr>
            <w:tcW w:w="522" w:type="pct"/>
          </w:tcPr>
          <w:p w14:paraId="5A6B6775" w14:textId="4C6DC8B3" w:rsidR="005E3BF5" w:rsidRPr="006154DA" w:rsidRDefault="005E3BF5" w:rsidP="005E3BF5">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154%</w:t>
            </w:r>
          </w:p>
        </w:tc>
      </w:tr>
      <w:tr w:rsidR="00FC4AC7" w:rsidRPr="006154DA" w14:paraId="13E2A5A6" w14:textId="77777777" w:rsidTr="00FC4AC7">
        <w:tc>
          <w:tcPr>
            <w:tcW w:w="2670" w:type="pct"/>
          </w:tcPr>
          <w:p w14:paraId="684755AD" w14:textId="32EAE523" w:rsidR="00C3483F" w:rsidRPr="006154DA" w:rsidRDefault="00C3483F" w:rsidP="00C3483F">
            <w:pPr>
              <w:jc w:val="left"/>
              <w:rPr>
                <w:rFonts w:ascii="Arial Narrow" w:hAnsi="Arial Narrow" w:cs="Times New Roman"/>
                <w:b/>
                <w:bCs/>
                <w:sz w:val="20"/>
                <w:szCs w:val="20"/>
              </w:rPr>
            </w:pPr>
            <w:r w:rsidRPr="006154DA">
              <w:rPr>
                <w:rFonts w:ascii="Arial Narrow" w:hAnsi="Arial Narrow"/>
                <w:b/>
                <w:bCs/>
                <w:sz w:val="20"/>
                <w:szCs w:val="20"/>
              </w:rPr>
              <w:t>PSCR revised base case with changes to 2L therapies</w:t>
            </w:r>
          </w:p>
        </w:tc>
        <w:tc>
          <w:tcPr>
            <w:tcW w:w="629" w:type="pct"/>
          </w:tcPr>
          <w:p w14:paraId="13AEC9DB" w14:textId="5E5C79EF" w:rsidR="00C3483F" w:rsidRPr="006154DA" w:rsidRDefault="00C3483F" w:rsidP="00C3483F">
            <w:pPr>
              <w:jc w:val="center"/>
              <w:textAlignment w:val="baseline"/>
              <w:rPr>
                <w:rFonts w:ascii="Arial Narrow" w:hAnsi="Arial Narrow" w:cs="Calibri"/>
                <w:b/>
                <w:bCs/>
                <w:color w:val="000000"/>
                <w:sz w:val="20"/>
                <w:szCs w:val="20"/>
              </w:rPr>
            </w:pPr>
            <w:r w:rsidRPr="006154DA">
              <w:rPr>
                <w:rFonts w:ascii="Arial Narrow" w:hAnsi="Arial Narrow"/>
                <w:b/>
                <w:bCs/>
                <w:sz w:val="20"/>
                <w:szCs w:val="20"/>
              </w:rPr>
              <w:t>1.148</w:t>
            </w:r>
          </w:p>
        </w:tc>
        <w:tc>
          <w:tcPr>
            <w:tcW w:w="628" w:type="pct"/>
          </w:tcPr>
          <w:p w14:paraId="3382A1A3" w14:textId="28D4E720" w:rsidR="00C3483F" w:rsidRPr="006154DA" w:rsidRDefault="00C3483F" w:rsidP="00C3483F">
            <w:pPr>
              <w:jc w:val="center"/>
              <w:textAlignment w:val="baseline"/>
              <w:rPr>
                <w:rFonts w:ascii="Arial Narrow" w:hAnsi="Arial Narrow" w:cs="Calibri"/>
                <w:b/>
                <w:bCs/>
                <w:color w:val="000000"/>
                <w:sz w:val="20"/>
                <w:szCs w:val="20"/>
              </w:rPr>
            </w:pPr>
            <w:r w:rsidRPr="006154DA">
              <w:rPr>
                <w:rFonts w:ascii="Arial Narrow" w:hAnsi="Arial Narrow"/>
                <w:b/>
                <w:bCs/>
                <w:sz w:val="20"/>
                <w:szCs w:val="20"/>
              </w:rPr>
              <w:t>$</w:t>
            </w:r>
            <w:r w:rsidR="006E73CD" w:rsidRPr="006E73CD">
              <w:rPr>
                <w:rFonts w:ascii="Arial Narrow" w:hAnsi="Arial Narrow"/>
                <w:b/>
                <w:bCs/>
                <w:color w:val="000000"/>
                <w:spacing w:val="43"/>
                <w:sz w:val="20"/>
                <w:szCs w:val="20"/>
                <w:shd w:val="solid" w:color="000000" w:fill="000000"/>
                <w:fitText w:val="491" w:id="-1236536816"/>
                <w14:textFill>
                  <w14:solidFill>
                    <w14:srgbClr w14:val="000000">
                      <w14:alpha w14:val="100000"/>
                    </w14:srgbClr>
                  </w14:solidFill>
                </w14:textFill>
              </w:rPr>
              <w:t>|||||</w:t>
            </w:r>
            <w:r w:rsidR="006E73CD" w:rsidRPr="006E73CD">
              <w:rPr>
                <w:rFonts w:ascii="Arial Narrow" w:hAnsi="Arial Narrow"/>
                <w:b/>
                <w:bCs/>
                <w:color w:val="000000"/>
                <w:spacing w:val="1"/>
                <w:sz w:val="20"/>
                <w:szCs w:val="20"/>
                <w:shd w:val="solid" w:color="000000" w:fill="000000"/>
                <w:fitText w:val="491" w:id="-1236536816"/>
                <w14:textFill>
                  <w14:solidFill>
                    <w14:srgbClr w14:val="000000">
                      <w14:alpha w14:val="100000"/>
                    </w14:srgbClr>
                  </w14:solidFill>
                </w14:textFill>
              </w:rPr>
              <w:t>|</w:t>
            </w:r>
          </w:p>
        </w:tc>
        <w:tc>
          <w:tcPr>
            <w:tcW w:w="551" w:type="pct"/>
          </w:tcPr>
          <w:p w14:paraId="357FC434" w14:textId="223346D8" w:rsidR="00C3483F" w:rsidRPr="00C62A2B" w:rsidRDefault="00C3483F" w:rsidP="00C3483F">
            <w:pPr>
              <w:jc w:val="center"/>
              <w:textAlignment w:val="baseline"/>
              <w:rPr>
                <w:rFonts w:ascii="Arial Narrow" w:hAnsi="Arial Narrow" w:cs="Calibri"/>
                <w:b/>
                <w:bCs/>
                <w:color w:val="000000"/>
                <w:sz w:val="20"/>
                <w:szCs w:val="20"/>
                <w:vertAlign w:val="superscript"/>
              </w:rPr>
            </w:pPr>
            <w:r w:rsidRPr="006154DA">
              <w:rPr>
                <w:rFonts w:ascii="Arial Narrow" w:hAnsi="Arial Narrow"/>
                <w:b/>
                <w:bCs/>
                <w:sz w:val="20"/>
                <w:szCs w:val="20"/>
              </w:rPr>
              <w:t>$</w:t>
            </w:r>
            <w:r w:rsidR="006E73CD" w:rsidRPr="006E73CD">
              <w:rPr>
                <w:rFonts w:ascii="Arial Narrow" w:hAnsi="Arial Narrow"/>
                <w:b/>
                <w:bCs/>
                <w:color w:val="000000"/>
                <w:spacing w:val="28"/>
                <w:sz w:val="20"/>
                <w:szCs w:val="20"/>
                <w:shd w:val="solid" w:color="000000" w:fill="000000"/>
                <w:fitText w:val="566" w:id="-1236536832"/>
                <w14:textFill>
                  <w14:solidFill>
                    <w14:srgbClr w14:val="000000">
                      <w14:alpha w14:val="100000"/>
                    </w14:srgbClr>
                  </w14:solidFill>
                </w14:textFill>
              </w:rPr>
              <w:t>|||||||</w:t>
            </w:r>
            <w:r w:rsidR="006E73CD" w:rsidRPr="006E73CD">
              <w:rPr>
                <w:rFonts w:ascii="Arial Narrow" w:hAnsi="Arial Narrow"/>
                <w:b/>
                <w:bCs/>
                <w:color w:val="000000"/>
                <w:spacing w:val="3"/>
                <w:sz w:val="20"/>
                <w:szCs w:val="20"/>
                <w:shd w:val="solid" w:color="000000" w:fill="000000"/>
                <w:fitText w:val="566" w:id="-1236536832"/>
                <w14:textFill>
                  <w14:solidFill>
                    <w14:srgbClr w14:val="000000">
                      <w14:alpha w14:val="100000"/>
                    </w14:srgbClr>
                  </w14:solidFill>
                </w14:textFill>
              </w:rPr>
              <w:t>|</w:t>
            </w:r>
            <w:r w:rsidR="00C62A2B">
              <w:rPr>
                <w:rFonts w:ascii="Arial Narrow" w:hAnsi="Arial Narrow"/>
                <w:b/>
                <w:bCs/>
                <w:sz w:val="20"/>
                <w:szCs w:val="20"/>
                <w:vertAlign w:val="superscript"/>
              </w:rPr>
              <w:t>1</w:t>
            </w:r>
          </w:p>
        </w:tc>
        <w:tc>
          <w:tcPr>
            <w:tcW w:w="522" w:type="pct"/>
          </w:tcPr>
          <w:p w14:paraId="0196DE81" w14:textId="4D93066B" w:rsidR="00C3483F" w:rsidRPr="006154DA" w:rsidRDefault="00C3483F" w:rsidP="00C3483F">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p>
        </w:tc>
      </w:tr>
      <w:tr w:rsidR="00FC4AC7" w:rsidRPr="006154DA" w14:paraId="2D041999" w14:textId="77777777" w:rsidTr="00FC4AC7">
        <w:tc>
          <w:tcPr>
            <w:tcW w:w="2670" w:type="pct"/>
          </w:tcPr>
          <w:p w14:paraId="48C46AD8" w14:textId="77777777" w:rsidR="006406C2" w:rsidRPr="006154DA" w:rsidRDefault="006406C2"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Price reduction to reflect ICER &lt;$75,000/QALY</w:t>
            </w:r>
          </w:p>
          <w:p w14:paraId="0B4418F0" w14:textId="60E067D4" w:rsidR="006406C2" w:rsidRPr="006154DA" w:rsidRDefault="006406C2"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72.4% rebate for daratumumab (in DLd) (base case 0%)</w:t>
            </w:r>
          </w:p>
        </w:tc>
        <w:tc>
          <w:tcPr>
            <w:tcW w:w="629" w:type="pct"/>
          </w:tcPr>
          <w:p w14:paraId="4E7D70E6" w14:textId="3F44EEEF" w:rsidR="006406C2" w:rsidRPr="006154DA" w:rsidRDefault="006406C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1.15</w:t>
            </w:r>
          </w:p>
        </w:tc>
        <w:tc>
          <w:tcPr>
            <w:tcW w:w="628" w:type="pct"/>
          </w:tcPr>
          <w:p w14:paraId="3D610CDC" w14:textId="33EB2AC5" w:rsidR="006406C2" w:rsidRPr="006154DA" w:rsidRDefault="006406C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31"/>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31"/>
                <w14:textFill>
                  <w14:solidFill>
                    <w14:srgbClr w14:val="000000">
                      <w14:alpha w14:val="100000"/>
                    </w14:srgbClr>
                  </w14:solidFill>
                </w14:textFill>
              </w:rPr>
              <w:t>|</w:t>
            </w:r>
          </w:p>
        </w:tc>
        <w:tc>
          <w:tcPr>
            <w:tcW w:w="551" w:type="pct"/>
          </w:tcPr>
          <w:p w14:paraId="4F371D93" w14:textId="72B58F1C" w:rsidR="006406C2" w:rsidRPr="00C62A2B" w:rsidRDefault="006406C2" w:rsidP="006D3C6A">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30"/>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30"/>
                <w14:textFill>
                  <w14:solidFill>
                    <w14:srgbClr w14:val="000000">
                      <w14:alpha w14:val="100000"/>
                    </w14:srgbClr>
                  </w14:solidFill>
                </w14:textFill>
              </w:rPr>
              <w:t>|</w:t>
            </w:r>
            <w:r w:rsidR="00C62A2B">
              <w:rPr>
                <w:rFonts w:ascii="Arial Narrow" w:hAnsi="Arial Narrow" w:cs="Calibri"/>
                <w:color w:val="000000"/>
                <w:sz w:val="20"/>
                <w:szCs w:val="20"/>
                <w:vertAlign w:val="superscript"/>
              </w:rPr>
              <w:t>6</w:t>
            </w:r>
          </w:p>
        </w:tc>
        <w:tc>
          <w:tcPr>
            <w:tcW w:w="522" w:type="pct"/>
          </w:tcPr>
          <w:p w14:paraId="10767F73" w14:textId="59101303" w:rsidR="006406C2" w:rsidRPr="006154DA" w:rsidRDefault="006406C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-67%</w:t>
            </w:r>
          </w:p>
        </w:tc>
      </w:tr>
      <w:tr w:rsidR="00FC4AC7" w:rsidRPr="006154DA" w14:paraId="22812856" w14:textId="77777777" w:rsidTr="00FC4AC7">
        <w:tc>
          <w:tcPr>
            <w:tcW w:w="2670" w:type="pct"/>
          </w:tcPr>
          <w:p w14:paraId="1745B3B8" w14:textId="43E29AD9" w:rsidR="00FB4842" w:rsidRPr="006154DA" w:rsidRDefault="00FB4842"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Cost of BLd 0% vs Ld 100% in SoC (base case 68% vs 32%)</w:t>
            </w:r>
          </w:p>
        </w:tc>
        <w:tc>
          <w:tcPr>
            <w:tcW w:w="629" w:type="pct"/>
          </w:tcPr>
          <w:p w14:paraId="680C5C14" w14:textId="675B4D86" w:rsidR="00FB4842" w:rsidRPr="006154DA" w:rsidRDefault="00FB484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1.15</w:t>
            </w:r>
          </w:p>
        </w:tc>
        <w:tc>
          <w:tcPr>
            <w:tcW w:w="628" w:type="pct"/>
          </w:tcPr>
          <w:p w14:paraId="3D355AFC" w14:textId="791F9801" w:rsidR="00FB4842" w:rsidRPr="006154DA" w:rsidRDefault="00FB484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9"/>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9"/>
                <w14:textFill>
                  <w14:solidFill>
                    <w14:srgbClr w14:val="000000">
                      <w14:alpha w14:val="100000"/>
                    </w14:srgbClr>
                  </w14:solidFill>
                </w14:textFill>
              </w:rPr>
              <w:t>|</w:t>
            </w:r>
          </w:p>
        </w:tc>
        <w:tc>
          <w:tcPr>
            <w:tcW w:w="551" w:type="pct"/>
          </w:tcPr>
          <w:p w14:paraId="42F048B8" w14:textId="7046BD97" w:rsidR="00FB4842" w:rsidRPr="00BE4166" w:rsidRDefault="00FB4842" w:rsidP="006D3C6A">
            <w:pPr>
              <w:jc w:val="center"/>
              <w:textAlignment w:val="baseline"/>
              <w:rPr>
                <w:rFonts w:ascii="Arial Narrow" w:hAnsi="Arial Narrow" w:cs="Calibri"/>
                <w:color w:val="000000"/>
                <w:sz w:val="20"/>
                <w:szCs w:val="20"/>
                <w:highlight w:val="darkGray"/>
                <w:vertAlign w:val="superscript"/>
              </w:rPr>
            </w:pPr>
            <w:r w:rsidRPr="00BE4166">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8"/>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8"/>
                <w14:textFill>
                  <w14:solidFill>
                    <w14:srgbClr w14:val="000000">
                      <w14:alpha w14:val="100000"/>
                    </w14:srgbClr>
                  </w14:solidFill>
                </w14:textFill>
              </w:rPr>
              <w:t>|</w:t>
            </w:r>
            <w:r w:rsidR="00BE4166" w:rsidRPr="00BE4166">
              <w:rPr>
                <w:rFonts w:ascii="Arial Narrow" w:hAnsi="Arial Narrow" w:cs="Calibri"/>
                <w:color w:val="000000"/>
                <w:sz w:val="20"/>
                <w:szCs w:val="20"/>
                <w:vertAlign w:val="superscript"/>
              </w:rPr>
              <w:t>1</w:t>
            </w:r>
          </w:p>
        </w:tc>
        <w:tc>
          <w:tcPr>
            <w:tcW w:w="522" w:type="pct"/>
          </w:tcPr>
          <w:p w14:paraId="17228626" w14:textId="554C9B11" w:rsidR="00FB4842" w:rsidRPr="006154DA" w:rsidRDefault="00FB484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+4%</w:t>
            </w:r>
          </w:p>
        </w:tc>
      </w:tr>
      <w:tr w:rsidR="00FC4AC7" w:rsidRPr="006154DA" w14:paraId="34F1B796" w14:textId="77777777" w:rsidTr="00FC4AC7">
        <w:tc>
          <w:tcPr>
            <w:tcW w:w="2670" w:type="pct"/>
          </w:tcPr>
          <w:p w14:paraId="7632164C" w14:textId="3B915A4D" w:rsidR="00FB4842" w:rsidRPr="006154DA" w:rsidRDefault="00FB4842"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15-year time horizon (base case 20-year)</w:t>
            </w:r>
          </w:p>
        </w:tc>
        <w:tc>
          <w:tcPr>
            <w:tcW w:w="629" w:type="pct"/>
          </w:tcPr>
          <w:p w14:paraId="7A8E6807" w14:textId="52420B8C" w:rsidR="00FB4842" w:rsidRPr="006154DA" w:rsidRDefault="00FB484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1.02</w:t>
            </w:r>
          </w:p>
        </w:tc>
        <w:tc>
          <w:tcPr>
            <w:tcW w:w="628" w:type="pct"/>
            <w:vAlign w:val="bottom"/>
          </w:tcPr>
          <w:p w14:paraId="4439CFA6" w14:textId="2D27BA98" w:rsidR="00FB4842" w:rsidRPr="006154DA" w:rsidRDefault="00FB484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7"/>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7"/>
                <w14:textFill>
                  <w14:solidFill>
                    <w14:srgbClr w14:val="000000">
                      <w14:alpha w14:val="100000"/>
                    </w14:srgbClr>
                  </w14:solidFill>
                </w14:textFill>
              </w:rPr>
              <w:t>|</w:t>
            </w:r>
          </w:p>
        </w:tc>
        <w:tc>
          <w:tcPr>
            <w:tcW w:w="551" w:type="pct"/>
            <w:vAlign w:val="bottom"/>
          </w:tcPr>
          <w:p w14:paraId="78DFFDED" w14:textId="69FF7ADE" w:rsidR="00FB4842" w:rsidRPr="00BE4166" w:rsidRDefault="00FB4842" w:rsidP="006D3C6A">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6"/>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6"/>
                <w14:textFill>
                  <w14:solidFill>
                    <w14:srgbClr w14:val="000000">
                      <w14:alpha w14:val="100000"/>
                    </w14:srgbClr>
                  </w14:solidFill>
                </w14:textFill>
              </w:rPr>
              <w:t>|</w:t>
            </w:r>
            <w:r w:rsidR="00BE4166">
              <w:rPr>
                <w:rFonts w:ascii="Arial Narrow" w:hAnsi="Arial Narrow" w:cs="Calibri"/>
                <w:color w:val="000000"/>
                <w:sz w:val="20"/>
                <w:szCs w:val="20"/>
                <w:vertAlign w:val="superscript"/>
              </w:rPr>
              <w:t>1</w:t>
            </w:r>
          </w:p>
        </w:tc>
        <w:tc>
          <w:tcPr>
            <w:tcW w:w="522" w:type="pct"/>
          </w:tcPr>
          <w:p w14:paraId="441D5925" w14:textId="091B3CE3" w:rsidR="00FB4842" w:rsidRPr="006154DA" w:rsidRDefault="00FB4842"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+11%</w:t>
            </w:r>
          </w:p>
        </w:tc>
      </w:tr>
      <w:tr w:rsidR="00FC4AC7" w:rsidRPr="006154DA" w14:paraId="0262B3CF" w14:textId="77777777" w:rsidTr="00FC4AC7">
        <w:tc>
          <w:tcPr>
            <w:tcW w:w="2670" w:type="pct"/>
          </w:tcPr>
          <w:p w14:paraId="63CB96AA" w14:textId="2E512EBA" w:rsidR="005C0AEA" w:rsidRPr="006154DA" w:rsidRDefault="005C0AEA"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Weibull function for OS of SoC (base case Gompertz)</w:t>
            </w:r>
          </w:p>
        </w:tc>
        <w:tc>
          <w:tcPr>
            <w:tcW w:w="629" w:type="pct"/>
          </w:tcPr>
          <w:p w14:paraId="145FEB3A" w14:textId="7B7A6A50"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0.92</w:t>
            </w:r>
          </w:p>
        </w:tc>
        <w:tc>
          <w:tcPr>
            <w:tcW w:w="628" w:type="pct"/>
            <w:vAlign w:val="bottom"/>
          </w:tcPr>
          <w:p w14:paraId="3ECFC006" w14:textId="2C66CA2A"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5"/>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5"/>
                <w14:textFill>
                  <w14:solidFill>
                    <w14:srgbClr w14:val="000000">
                      <w14:alpha w14:val="100000"/>
                    </w14:srgbClr>
                  </w14:solidFill>
                </w14:textFill>
              </w:rPr>
              <w:t>|</w:t>
            </w:r>
          </w:p>
        </w:tc>
        <w:tc>
          <w:tcPr>
            <w:tcW w:w="551" w:type="pct"/>
            <w:vAlign w:val="bottom"/>
          </w:tcPr>
          <w:p w14:paraId="4306899C" w14:textId="3E2F2BA0" w:rsidR="005C0AEA" w:rsidRPr="00BE4166" w:rsidRDefault="005C0AEA" w:rsidP="006D3C6A">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4"/>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4"/>
                <w14:textFill>
                  <w14:solidFill>
                    <w14:srgbClr w14:val="000000">
                      <w14:alpha w14:val="100000"/>
                    </w14:srgbClr>
                  </w14:solidFill>
                </w14:textFill>
              </w:rPr>
              <w:t>|</w:t>
            </w:r>
            <w:r w:rsidR="00BE4166">
              <w:rPr>
                <w:rFonts w:ascii="Arial Narrow" w:hAnsi="Arial Narrow" w:cs="Calibri"/>
                <w:color w:val="000000"/>
                <w:sz w:val="20"/>
                <w:szCs w:val="20"/>
                <w:vertAlign w:val="superscript"/>
              </w:rPr>
              <w:t>7</w:t>
            </w:r>
          </w:p>
        </w:tc>
        <w:tc>
          <w:tcPr>
            <w:tcW w:w="522" w:type="pct"/>
          </w:tcPr>
          <w:p w14:paraId="6CDA00EF" w14:textId="45E6E29B"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+25%</w:t>
            </w:r>
          </w:p>
        </w:tc>
      </w:tr>
      <w:tr w:rsidR="00FC4AC7" w:rsidRPr="006154DA" w14:paraId="15B33FA5" w14:textId="77777777" w:rsidTr="00FC4AC7">
        <w:tc>
          <w:tcPr>
            <w:tcW w:w="2670" w:type="pct"/>
          </w:tcPr>
          <w:p w14:paraId="07AF97D6" w14:textId="445170F2" w:rsidR="005C0AEA" w:rsidRPr="006154DA" w:rsidRDefault="005C0AEA"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Exponential function for OS of SoC (base case Gompertz)</w:t>
            </w:r>
          </w:p>
        </w:tc>
        <w:tc>
          <w:tcPr>
            <w:tcW w:w="629" w:type="pct"/>
          </w:tcPr>
          <w:p w14:paraId="76609F51" w14:textId="20CE47CF"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0.75</w:t>
            </w:r>
          </w:p>
        </w:tc>
        <w:tc>
          <w:tcPr>
            <w:tcW w:w="628" w:type="pct"/>
            <w:vAlign w:val="bottom"/>
          </w:tcPr>
          <w:p w14:paraId="73CCD791" w14:textId="3ED470E8"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3"/>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3"/>
                <w14:textFill>
                  <w14:solidFill>
                    <w14:srgbClr w14:val="000000">
                      <w14:alpha w14:val="100000"/>
                    </w14:srgbClr>
                  </w14:solidFill>
                </w14:textFill>
              </w:rPr>
              <w:t>|</w:t>
            </w:r>
          </w:p>
        </w:tc>
        <w:tc>
          <w:tcPr>
            <w:tcW w:w="551" w:type="pct"/>
            <w:vAlign w:val="bottom"/>
          </w:tcPr>
          <w:p w14:paraId="1476BA4F" w14:textId="275463B7" w:rsidR="005C0AEA" w:rsidRPr="00BE4166" w:rsidRDefault="005C0AEA" w:rsidP="006D3C6A">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2"/>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2"/>
                <w14:textFill>
                  <w14:solidFill>
                    <w14:srgbClr w14:val="000000">
                      <w14:alpha w14:val="100000"/>
                    </w14:srgbClr>
                  </w14:solidFill>
                </w14:textFill>
              </w:rPr>
              <w:t>|</w:t>
            </w:r>
            <w:r w:rsidR="00BE4166">
              <w:rPr>
                <w:rFonts w:ascii="Arial Narrow" w:hAnsi="Arial Narrow" w:cs="Calibri"/>
                <w:color w:val="000000"/>
                <w:sz w:val="20"/>
                <w:szCs w:val="20"/>
                <w:vertAlign w:val="superscript"/>
              </w:rPr>
              <w:t>7</w:t>
            </w:r>
          </w:p>
        </w:tc>
        <w:tc>
          <w:tcPr>
            <w:tcW w:w="522" w:type="pct"/>
          </w:tcPr>
          <w:p w14:paraId="29D61A14" w14:textId="772B17F1"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+53%</w:t>
            </w:r>
          </w:p>
        </w:tc>
      </w:tr>
      <w:tr w:rsidR="00FC4AC7" w:rsidRPr="006154DA" w14:paraId="677EC08A" w14:textId="77777777" w:rsidTr="00FC4AC7">
        <w:tc>
          <w:tcPr>
            <w:tcW w:w="2670" w:type="pct"/>
          </w:tcPr>
          <w:p w14:paraId="42C66ED0" w14:textId="14AEDDE9" w:rsidR="005C0AEA" w:rsidRPr="006154DA" w:rsidRDefault="005C0AEA" w:rsidP="006D3C6A">
            <w:pPr>
              <w:jc w:val="left"/>
              <w:textAlignment w:val="baseline"/>
              <w:rPr>
                <w:rFonts w:ascii="Arial Narrow" w:hAnsi="Arial Narrow" w:cs="Calibri"/>
                <w:color w:val="000000"/>
                <w:sz w:val="20"/>
                <w:szCs w:val="20"/>
              </w:rPr>
            </w:pPr>
            <w:r w:rsidRPr="006154DA">
              <w:rPr>
                <w:rFonts w:ascii="Arial Narrow" w:hAnsi="Arial Narrow" w:cs="Calibri"/>
                <w:color w:val="000000"/>
                <w:sz w:val="20"/>
                <w:szCs w:val="20"/>
              </w:rPr>
              <w:t>Convergence of OS, PFS, and TTD from Year 10</w:t>
            </w:r>
            <w:r w:rsidR="00CB3E78" w:rsidRPr="006154DA">
              <w:rPr>
                <w:rFonts w:ascii="Arial Narrow" w:hAnsi="Arial Narrow" w:cs="Calibri"/>
                <w:color w:val="000000"/>
                <w:sz w:val="20"/>
                <w:szCs w:val="20"/>
              </w:rPr>
              <w:t>c</w:t>
            </w:r>
            <w:r w:rsidRPr="006154DA">
              <w:rPr>
                <w:rFonts w:ascii="Arial Narrow" w:hAnsi="Arial Narrow" w:cs="Calibri"/>
                <w:color w:val="000000"/>
                <w:sz w:val="20"/>
                <w:szCs w:val="20"/>
              </w:rPr>
              <w:t xml:space="preserve"> (base case no convergence) </w:t>
            </w:r>
          </w:p>
        </w:tc>
        <w:tc>
          <w:tcPr>
            <w:tcW w:w="629" w:type="pct"/>
          </w:tcPr>
          <w:p w14:paraId="5195FCF9" w14:textId="3A85738B"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0.92</w:t>
            </w:r>
          </w:p>
        </w:tc>
        <w:tc>
          <w:tcPr>
            <w:tcW w:w="628" w:type="pct"/>
          </w:tcPr>
          <w:p w14:paraId="0216CD61" w14:textId="6EADB713"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w:t>
            </w:r>
            <w:r w:rsidR="006E73CD" w:rsidRPr="006E73CD">
              <w:rPr>
                <w:rFonts w:ascii="Arial Narrow" w:hAnsi="Arial Narrow" w:cs="Calibri"/>
                <w:color w:val="000000"/>
                <w:spacing w:val="33"/>
                <w:sz w:val="20"/>
                <w:szCs w:val="20"/>
                <w:shd w:val="solid" w:color="000000" w:fill="000000"/>
                <w:fitText w:val="424" w:id="-1236536821"/>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24" w:id="-1236536821"/>
                <w14:textFill>
                  <w14:solidFill>
                    <w14:srgbClr w14:val="000000">
                      <w14:alpha w14:val="100000"/>
                    </w14:srgbClr>
                  </w14:solidFill>
                </w14:textFill>
              </w:rPr>
              <w:t>|</w:t>
            </w:r>
          </w:p>
        </w:tc>
        <w:tc>
          <w:tcPr>
            <w:tcW w:w="551" w:type="pct"/>
          </w:tcPr>
          <w:p w14:paraId="3FD1AB73" w14:textId="53C20C03" w:rsidR="005C0AEA" w:rsidRPr="00BE4166" w:rsidRDefault="005C0AEA" w:rsidP="006D3C6A">
            <w:pPr>
              <w:jc w:val="center"/>
              <w:textAlignment w:val="baseline"/>
              <w:rPr>
                <w:rFonts w:ascii="Arial Narrow" w:hAnsi="Arial Narrow" w:cs="Calibri"/>
                <w:color w:val="000000"/>
                <w:sz w:val="20"/>
                <w:szCs w:val="20"/>
                <w:vertAlign w:val="superscript"/>
              </w:rPr>
            </w:pPr>
            <w:r w:rsidRPr="006154DA">
              <w:rPr>
                <w:rFonts w:ascii="Arial Narrow" w:hAnsi="Arial Narrow" w:cs="Calibri"/>
                <w:color w:val="000000"/>
                <w:sz w:val="20"/>
                <w:szCs w:val="20"/>
              </w:rPr>
              <w:t>$</w:t>
            </w:r>
            <w:r w:rsidR="006E73CD" w:rsidRPr="006E73CD">
              <w:rPr>
                <w:rFonts w:ascii="Arial Narrow" w:hAnsi="Arial Narrow" w:cs="Calibri"/>
                <w:color w:val="000000"/>
                <w:spacing w:val="48"/>
                <w:sz w:val="20"/>
                <w:szCs w:val="20"/>
                <w:shd w:val="solid" w:color="000000" w:fill="000000"/>
                <w:fitText w:val="499" w:id="-1236536820"/>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99" w:id="-1236536820"/>
                <w14:textFill>
                  <w14:solidFill>
                    <w14:srgbClr w14:val="000000">
                      <w14:alpha w14:val="100000"/>
                    </w14:srgbClr>
                  </w14:solidFill>
                </w14:textFill>
              </w:rPr>
              <w:t>|</w:t>
            </w:r>
            <w:r w:rsidR="00BE4166">
              <w:rPr>
                <w:rFonts w:ascii="Arial Narrow" w:hAnsi="Arial Narrow" w:cs="Calibri"/>
                <w:color w:val="000000"/>
                <w:sz w:val="20"/>
                <w:szCs w:val="20"/>
                <w:vertAlign w:val="superscript"/>
              </w:rPr>
              <w:t>7</w:t>
            </w:r>
          </w:p>
        </w:tc>
        <w:tc>
          <w:tcPr>
            <w:tcW w:w="522" w:type="pct"/>
          </w:tcPr>
          <w:p w14:paraId="69AB30DF" w14:textId="3D918759" w:rsidR="005C0AEA" w:rsidRPr="006154DA" w:rsidRDefault="005C0AEA" w:rsidP="006D3C6A">
            <w:pPr>
              <w:jc w:val="center"/>
              <w:textAlignment w:val="baseline"/>
              <w:rPr>
                <w:rFonts w:ascii="Arial Narrow" w:hAnsi="Arial Narrow" w:cs="Calibri"/>
                <w:color w:val="000000"/>
                <w:sz w:val="20"/>
                <w:szCs w:val="20"/>
              </w:rPr>
            </w:pPr>
            <w:r w:rsidRPr="006154DA">
              <w:rPr>
                <w:rFonts w:ascii="Arial Narrow" w:hAnsi="Arial Narrow" w:cs="Calibri"/>
                <w:color w:val="000000"/>
                <w:sz w:val="20"/>
                <w:szCs w:val="20"/>
              </w:rPr>
              <w:t>+26%</w:t>
            </w:r>
          </w:p>
        </w:tc>
      </w:tr>
    </w:tbl>
    <w:p w14:paraId="0E2E4F6F" w14:textId="77777777" w:rsidR="001D7ABE" w:rsidRPr="0058247A" w:rsidRDefault="001D7ABE" w:rsidP="001D7ABE">
      <w:pPr>
        <w:pStyle w:val="FooterTableFigure"/>
        <w:rPr>
          <w:rStyle w:val="CommentReference"/>
        </w:rPr>
      </w:pPr>
      <w:r w:rsidRPr="0058247A">
        <w:t xml:space="preserve">Source: Table 3.16, pp247-248 of the submission; </w:t>
      </w:r>
      <w:r w:rsidRPr="0058247A">
        <w:rPr>
          <w:szCs w:val="18"/>
        </w:rPr>
        <w:t xml:space="preserve">Compiled during the evaluation using the information from the economic model </w:t>
      </w:r>
    </w:p>
    <w:p w14:paraId="21AA044E" w14:textId="439D78A0" w:rsidR="001D7ABE" w:rsidRPr="0058247A" w:rsidRDefault="001D7ABE" w:rsidP="001D7ABE">
      <w:pPr>
        <w:pStyle w:val="FooterTableFigure"/>
        <w:rPr>
          <w:rFonts w:eastAsia="Calibri"/>
          <w:szCs w:val="20"/>
        </w:rPr>
      </w:pPr>
      <w:r w:rsidRPr="0058247A">
        <w:rPr>
          <w:rFonts w:eastAsia="Calibri"/>
          <w:szCs w:val="20"/>
        </w:rPr>
        <w:t xml:space="preserve">BLd = bortezomib, lenalidomide and dexamethasone; </w:t>
      </w:r>
      <w:r w:rsidRPr="0058247A">
        <w:rPr>
          <w:szCs w:val="18"/>
        </w:rPr>
        <w:t xml:space="preserve">DLd = daratumumab with lenalidomide and dexamethasone; ICER = incremental cost-effectiveness ratio; </w:t>
      </w:r>
      <w:r w:rsidRPr="0058247A">
        <w:rPr>
          <w:rFonts w:eastAsia="Calibri"/>
          <w:szCs w:val="20"/>
        </w:rPr>
        <w:t>Ld = lenalidomide and dexamethasone</w:t>
      </w:r>
      <w:r w:rsidRPr="0058247A">
        <w:rPr>
          <w:szCs w:val="18"/>
        </w:rPr>
        <w:t>; OS = overall survival; PFS = progression free survival; QALY = quality-adjusted life-year; SoC = standard of care</w:t>
      </w:r>
    </w:p>
    <w:p w14:paraId="42621305" w14:textId="2C705C52" w:rsidR="00704359" w:rsidRPr="0058247A" w:rsidRDefault="001D7ABE" w:rsidP="001D7ABE">
      <w:pPr>
        <w:pStyle w:val="FooterTableFigure"/>
        <w:rPr>
          <w:rFonts w:eastAsia="Calibri"/>
          <w:szCs w:val="20"/>
        </w:rPr>
      </w:pPr>
      <w:r w:rsidRPr="0058247A">
        <w:rPr>
          <w:rFonts w:eastAsia="Calibri"/>
          <w:szCs w:val="20"/>
          <w:vertAlign w:val="superscript"/>
        </w:rPr>
        <w:t>a</w:t>
      </w:r>
      <w:r w:rsidRPr="0058247A">
        <w:rPr>
          <w:rFonts w:eastAsia="Calibri"/>
          <w:szCs w:val="20"/>
        </w:rPr>
        <w:t xml:space="preserve"> </w:t>
      </w:r>
      <w:r w:rsidR="00704359" w:rsidRPr="0058247A">
        <w:rPr>
          <w:rFonts w:eastAsia="Calibri"/>
          <w:szCs w:val="20"/>
        </w:rPr>
        <w:t>adjust post-progression cost of SoC with a factor of 56.4% which is a ratio of (discounted) mean post-progression time in the economic model of SoC (17.3 months) to (discounted) time-on-treatment with DBd (30.7 months)</w:t>
      </w:r>
    </w:p>
    <w:p w14:paraId="1273F9E8" w14:textId="6CCB1DC7" w:rsidR="001D7ABE" w:rsidRPr="0058247A" w:rsidRDefault="005D01D1" w:rsidP="001D7ABE">
      <w:pPr>
        <w:pStyle w:val="FooterTableFigure"/>
        <w:rPr>
          <w:szCs w:val="18"/>
        </w:rPr>
      </w:pPr>
      <w:r w:rsidRPr="0058247A">
        <w:rPr>
          <w:szCs w:val="18"/>
          <w:vertAlign w:val="superscript"/>
        </w:rPr>
        <w:t>b</w:t>
      </w:r>
      <w:r w:rsidR="001D7ABE" w:rsidRPr="0058247A">
        <w:rPr>
          <w:szCs w:val="18"/>
          <w:vertAlign w:val="superscript"/>
        </w:rPr>
        <w:t xml:space="preserve"> </w:t>
      </w:r>
      <w:r w:rsidR="001D7ABE" w:rsidRPr="0058247A">
        <w:rPr>
          <w:szCs w:val="18"/>
        </w:rPr>
        <w:t xml:space="preserve">threshold analysis setting ICER to be at level preferred by the PBAC of less than $75,000/QALY (para 6.1, daratumumab, </w:t>
      </w:r>
      <w:r w:rsidRPr="0058247A">
        <w:rPr>
          <w:szCs w:val="18"/>
        </w:rPr>
        <w:t>PSD</w:t>
      </w:r>
      <w:r w:rsidR="001D7ABE" w:rsidRPr="0058247A">
        <w:rPr>
          <w:szCs w:val="18"/>
        </w:rPr>
        <w:t xml:space="preserve"> July 2020 PBAC meeting)</w:t>
      </w:r>
    </w:p>
    <w:p w14:paraId="32B63009" w14:textId="77777777" w:rsidR="00FC4AC7" w:rsidRDefault="00CB3E78" w:rsidP="00FC4AC7">
      <w:pPr>
        <w:pStyle w:val="FooterTableFigure"/>
        <w:spacing w:after="0"/>
        <w:rPr>
          <w:szCs w:val="18"/>
        </w:rPr>
      </w:pPr>
      <w:r w:rsidRPr="0058247A">
        <w:rPr>
          <w:szCs w:val="18"/>
          <w:vertAlign w:val="superscript"/>
        </w:rPr>
        <w:t>c</w:t>
      </w:r>
      <w:r w:rsidRPr="0058247A">
        <w:rPr>
          <w:szCs w:val="18"/>
        </w:rPr>
        <w:t xml:space="preserve"> method for </w:t>
      </w:r>
      <w:r w:rsidR="006D3C6A" w:rsidRPr="0058247A">
        <w:rPr>
          <w:szCs w:val="18"/>
        </w:rPr>
        <w:t xml:space="preserve">applying </w:t>
      </w:r>
      <w:r w:rsidRPr="0058247A">
        <w:rPr>
          <w:szCs w:val="18"/>
        </w:rPr>
        <w:t>convergence as shown in Table 3.9.1 of the commentary</w:t>
      </w:r>
    </w:p>
    <w:p w14:paraId="27879EA7" w14:textId="3BB1E54B" w:rsidR="00BE4166" w:rsidRPr="009A6D58" w:rsidRDefault="00BE4166" w:rsidP="00FC4AC7">
      <w:pPr>
        <w:pStyle w:val="FooterTableFigure"/>
        <w:spacing w:after="0"/>
        <w:rPr>
          <w:i/>
          <w:szCs w:val="18"/>
        </w:rPr>
      </w:pPr>
      <w:r w:rsidRPr="009A6D58">
        <w:rPr>
          <w:i/>
          <w:szCs w:val="18"/>
        </w:rPr>
        <w:t xml:space="preserve">The redacted values correspond to the following ranges: </w:t>
      </w:r>
    </w:p>
    <w:p w14:paraId="3B016A2A" w14:textId="77777777" w:rsidR="00FC4AC7" w:rsidRDefault="00FC4AC7" w:rsidP="00BE4166">
      <w:pPr>
        <w:rPr>
          <w:rFonts w:ascii="Arial Narrow" w:hAnsi="Arial Narrow"/>
          <w:i/>
          <w:sz w:val="18"/>
          <w:szCs w:val="18"/>
          <w:vertAlign w:val="superscript"/>
        </w:rPr>
        <w:sectPr w:rsidR="00FC4AC7" w:rsidSect="00BE4166">
          <w:headerReference w:type="default" r:id="rId18"/>
          <w:footerReference w:type="default" r:id="rId19"/>
          <w:type w:val="continuous"/>
          <w:pgSz w:w="11907" w:h="16840" w:code="9"/>
          <w:pgMar w:top="1440" w:right="1440" w:bottom="1440" w:left="1440" w:header="1440" w:footer="1440" w:gutter="0"/>
          <w:cols w:space="708"/>
          <w:docGrid w:linePitch="360"/>
        </w:sectPr>
      </w:pPr>
    </w:p>
    <w:p w14:paraId="18DE3487" w14:textId="4D1C0354" w:rsidR="00BE4166" w:rsidRPr="009A6D58" w:rsidRDefault="00BE4166" w:rsidP="00BE416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100" w:name="_Hlk135040360"/>
      <w:r w:rsidRPr="00BE4166">
        <w:rPr>
          <w:rFonts w:ascii="Arial Narrow" w:hAnsi="Arial Narrow"/>
          <w:i/>
          <w:sz w:val="18"/>
          <w:szCs w:val="18"/>
        </w:rPr>
        <w:t>$155,000 to &lt; $255,000</w:t>
      </w:r>
      <w:bookmarkEnd w:id="100"/>
    </w:p>
    <w:p w14:paraId="1F91D9F0" w14:textId="171BF408" w:rsidR="00BE4166" w:rsidRPr="009A6D58" w:rsidRDefault="00BE4166" w:rsidP="00BE416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101" w:name="_Hlk135040333"/>
      <w:r w:rsidRPr="00BE4166">
        <w:rPr>
          <w:rFonts w:ascii="Arial Narrow" w:hAnsi="Arial Narrow"/>
          <w:i/>
          <w:sz w:val="18"/>
          <w:szCs w:val="18"/>
        </w:rPr>
        <w:t>$115,000 to &lt; $135,000</w:t>
      </w:r>
      <w:bookmarkEnd w:id="101"/>
    </w:p>
    <w:p w14:paraId="39629D30" w14:textId="7E28AD8B" w:rsidR="00BE4166" w:rsidRDefault="00BE4166" w:rsidP="00BE416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E4166">
        <w:rPr>
          <w:rFonts w:ascii="Arial Narrow" w:hAnsi="Arial Narrow"/>
          <w:i/>
          <w:sz w:val="18"/>
          <w:szCs w:val="18"/>
        </w:rPr>
        <w:t>$135,000 to &lt; $155,000</w:t>
      </w:r>
    </w:p>
    <w:p w14:paraId="1734FB7A" w14:textId="6C8A2E75" w:rsidR="00BE4166" w:rsidRDefault="00BE4166" w:rsidP="00BE416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BE4166">
        <w:rPr>
          <w:rFonts w:ascii="Arial Narrow" w:hAnsi="Arial Narrow"/>
          <w:i/>
          <w:sz w:val="18"/>
          <w:szCs w:val="18"/>
        </w:rPr>
        <w:t>$75,000 to &lt; $95,000</w:t>
      </w:r>
    </w:p>
    <w:p w14:paraId="66A04445" w14:textId="416F8808" w:rsidR="00BE4166" w:rsidRDefault="00BE4166" w:rsidP="00BE4166">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BE4166">
        <w:rPr>
          <w:rFonts w:ascii="Arial Narrow" w:hAnsi="Arial Narrow"/>
          <w:i/>
          <w:sz w:val="18"/>
          <w:szCs w:val="18"/>
        </w:rPr>
        <w:t>$355,000 to &lt; $455,000</w:t>
      </w:r>
    </w:p>
    <w:p w14:paraId="2D67F9D0" w14:textId="438C87B6" w:rsidR="00BE4166" w:rsidRDefault="00BE4166" w:rsidP="00BE4166">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BE4166">
        <w:rPr>
          <w:rFonts w:ascii="Arial Narrow" w:hAnsi="Arial Narrow"/>
          <w:i/>
          <w:sz w:val="18"/>
          <w:szCs w:val="18"/>
        </w:rPr>
        <w:t>$55,000 to &lt; $75,000</w:t>
      </w:r>
    </w:p>
    <w:p w14:paraId="6456B49C" w14:textId="3E1B5E67" w:rsidR="00FC4AC7" w:rsidRDefault="00BE4166" w:rsidP="00FC4AC7">
      <w:pPr>
        <w:spacing w:after="120"/>
      </w:pPr>
      <w:r>
        <w:rPr>
          <w:rFonts w:ascii="Arial Narrow" w:hAnsi="Arial Narrow"/>
          <w:i/>
          <w:sz w:val="18"/>
          <w:szCs w:val="18"/>
          <w:vertAlign w:val="superscript"/>
        </w:rPr>
        <w:t>7</w:t>
      </w:r>
      <w:r>
        <w:rPr>
          <w:rFonts w:ascii="Arial Narrow" w:hAnsi="Arial Narrow"/>
          <w:i/>
          <w:sz w:val="18"/>
          <w:szCs w:val="18"/>
        </w:rPr>
        <w:t xml:space="preserve"> </w:t>
      </w:r>
      <w:r w:rsidRPr="00BE4166">
        <w:rPr>
          <w:rFonts w:ascii="Arial Narrow" w:hAnsi="Arial Narrow"/>
          <w:i/>
          <w:sz w:val="18"/>
          <w:szCs w:val="18"/>
        </w:rPr>
        <w:t>$255,000 to &lt; $355,000</w:t>
      </w:r>
    </w:p>
    <w:p w14:paraId="40529171" w14:textId="77777777" w:rsidR="00FC4AC7" w:rsidRDefault="00FC4AC7" w:rsidP="00CB3E78">
      <w:pPr>
        <w:pStyle w:val="3-BodyText"/>
        <w:sectPr w:rsidR="00FC4AC7" w:rsidSect="00FC4AC7">
          <w:type w:val="continuous"/>
          <w:pgSz w:w="11907" w:h="16840" w:code="9"/>
          <w:pgMar w:top="1440" w:right="1440" w:bottom="1440" w:left="1440" w:header="1440" w:footer="1440" w:gutter="0"/>
          <w:cols w:num="2" w:space="708"/>
          <w:docGrid w:linePitch="360"/>
        </w:sectPr>
      </w:pPr>
    </w:p>
    <w:p w14:paraId="01FB4F6C" w14:textId="47B420AF" w:rsidR="00815B0E" w:rsidRPr="006154DA" w:rsidRDefault="00815B0E" w:rsidP="00CB3E78">
      <w:pPr>
        <w:pStyle w:val="3-BodyText"/>
      </w:pPr>
      <w:r w:rsidRPr="006154DA">
        <w:lastRenderedPageBreak/>
        <w:t>The ESC noted the proposed cost per patient for daratumumab in the first line setting was more than double that accepted as cost-effective in the second line setting (approximately $</w:t>
      </w:r>
      <w:r w:rsidR="006E73CD" w:rsidRPr="00E93FF7">
        <w:rPr>
          <w:color w:val="000000"/>
          <w:w w:val="24"/>
          <w:shd w:val="solid" w:color="000000" w:fill="000000"/>
          <w:fitText w:val="80" w:id="-1236536819"/>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819"/>
          <w14:textFill>
            <w14:solidFill>
              <w14:srgbClr w14:val="000000">
                <w14:alpha w14:val="100000"/>
              </w14:srgbClr>
            </w14:solidFill>
          </w14:textFill>
        </w:rPr>
        <w:t>|</w:t>
      </w:r>
      <w:r w:rsidR="006A0313" w:rsidRPr="006154DA">
        <w:rPr>
          <w:rStyle w:val="FootnoteReference"/>
        </w:rPr>
        <w:footnoteReference w:id="9"/>
      </w:r>
      <w:r w:rsidRPr="006154DA">
        <w:t xml:space="preserve"> versus $</w:t>
      </w:r>
      <w:r w:rsidR="006E73CD" w:rsidRPr="00E93FF7">
        <w:rPr>
          <w:color w:val="000000"/>
          <w:w w:val="24"/>
          <w:shd w:val="solid" w:color="000000" w:fill="000000"/>
          <w:fitText w:val="80" w:id="-1236536818"/>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818"/>
          <w14:textFill>
            <w14:solidFill>
              <w14:srgbClr w14:val="000000">
                <w14:alpha w14:val="100000"/>
              </w14:srgbClr>
            </w14:solidFill>
          </w14:textFill>
        </w:rPr>
        <w:t>|</w:t>
      </w:r>
      <w:r w:rsidR="007A56BC" w:rsidRPr="006154DA">
        <w:t>;</w:t>
      </w:r>
      <w:r w:rsidRPr="006154DA">
        <w:t xml:space="preserve"> discounted</w:t>
      </w:r>
      <w:r w:rsidR="007A56BC" w:rsidRPr="006154DA">
        <w:rPr>
          <w:rStyle w:val="FootnoteReference"/>
        </w:rPr>
        <w:footnoteReference w:id="10"/>
      </w:r>
      <w:r w:rsidRPr="006154DA">
        <w:t>) which was inconsistent with the smaller benefit modelled for first line treatment (1.148 QALYs versus 1.36 QALYs</w:t>
      </w:r>
      <w:r w:rsidR="00394E59" w:rsidRPr="006154DA">
        <w:rPr>
          <w:rStyle w:val="FootnoteReference"/>
        </w:rPr>
        <w:footnoteReference w:id="11"/>
      </w:r>
      <w:r w:rsidRPr="006154DA">
        <w:t>, discounted). The ESC noted the smaller modelled benefit in the first line setting likely reflected the relative benefit being smaller (PFS HR=0.55 for DLd vs Ld versus HR=0.22</w:t>
      </w:r>
      <w:r w:rsidR="00CB10DC" w:rsidRPr="006154DA">
        <w:t> </w:t>
      </w:r>
      <w:r w:rsidRPr="006154DA">
        <w:t>for DBd versus Bd</w:t>
      </w:r>
      <w:r w:rsidR="00394E59" w:rsidRPr="006154DA">
        <w:rPr>
          <w:rStyle w:val="FootnoteReference"/>
        </w:rPr>
        <w:footnoteReference w:id="12"/>
      </w:r>
      <w:r w:rsidRPr="006154DA">
        <w:t>, OS HR=0.66 and HR=0.55</w:t>
      </w:r>
      <w:r w:rsidR="00394E59" w:rsidRPr="006154DA">
        <w:rPr>
          <w:rStyle w:val="FootnoteReference"/>
        </w:rPr>
        <w:footnoteReference w:id="13"/>
      </w:r>
      <w:r w:rsidRPr="006154DA">
        <w:t>, respectively) and patients progressing on first line treatment having access to effective second line treatments.</w:t>
      </w:r>
    </w:p>
    <w:p w14:paraId="207D383D" w14:textId="32580A0D" w:rsidR="00780502" w:rsidRPr="006154DA" w:rsidRDefault="002774EA" w:rsidP="002774EA">
      <w:pPr>
        <w:pStyle w:val="3-BodyText"/>
      </w:pPr>
      <w:bookmarkStart w:id="102" w:name="_Ref127031139"/>
      <w:r w:rsidRPr="006154DA">
        <w:t xml:space="preserve">Overall, the ESC considered that the revised base case presented in the PSCR which updated the subsequent therapy costs </w:t>
      </w:r>
      <w:r w:rsidR="00A123E0" w:rsidRPr="006154DA">
        <w:t xml:space="preserve">remained </w:t>
      </w:r>
      <w:r w:rsidR="00780502" w:rsidRPr="006154DA">
        <w:t xml:space="preserve">highly </w:t>
      </w:r>
      <w:r w:rsidRPr="006154DA">
        <w:t>optimistic</w:t>
      </w:r>
      <w:r w:rsidR="00780502" w:rsidRPr="006154DA">
        <w:t>. The ESC considered that there were two potential options for the Sponsor to consider:</w:t>
      </w:r>
      <w:bookmarkEnd w:id="102"/>
    </w:p>
    <w:p w14:paraId="050711D4" w14:textId="307CCC34" w:rsidR="00780502" w:rsidRPr="006154DA" w:rsidRDefault="00A123E0" w:rsidP="00661C42">
      <w:pPr>
        <w:pStyle w:val="3-BodyText"/>
        <w:numPr>
          <w:ilvl w:val="0"/>
          <w:numId w:val="19"/>
        </w:numPr>
      </w:pPr>
      <w:r w:rsidRPr="006154DA">
        <w:t>A</w:t>
      </w:r>
      <w:r w:rsidR="00780502" w:rsidRPr="006154DA">
        <w:t xml:space="preserve"> combined analysis approach comprising of a cost-effectiveness analysis for the comparison of DLd with Ld and a cost-minimisation approach for the comparison of DLd with BLd (see paragraph </w:t>
      </w:r>
      <w:r w:rsidR="00780502" w:rsidRPr="006154DA">
        <w:fldChar w:fldCharType="begin"/>
      </w:r>
      <w:r w:rsidR="00780502" w:rsidRPr="006154DA">
        <w:instrText xml:space="preserve"> REF _Ref126835192 \r \h  \* MERGEFORMAT </w:instrText>
      </w:r>
      <w:r w:rsidR="00780502" w:rsidRPr="006154DA">
        <w:fldChar w:fldCharType="separate"/>
      </w:r>
      <w:r w:rsidR="008D65C7">
        <w:t>6.39</w:t>
      </w:r>
      <w:r w:rsidR="00780502" w:rsidRPr="006154DA">
        <w:fldChar w:fldCharType="end"/>
      </w:r>
      <w:r w:rsidR="00780502" w:rsidRPr="006154DA">
        <w:t>); or</w:t>
      </w:r>
    </w:p>
    <w:p w14:paraId="30C80EAA" w14:textId="16F49338" w:rsidR="002774EA" w:rsidRPr="006154DA" w:rsidRDefault="00A123E0" w:rsidP="00661C42">
      <w:pPr>
        <w:pStyle w:val="3-BodyText"/>
        <w:numPr>
          <w:ilvl w:val="0"/>
          <w:numId w:val="19"/>
        </w:numPr>
      </w:pPr>
      <w:r w:rsidRPr="006154DA">
        <w:t>A</w:t>
      </w:r>
      <w:r w:rsidR="00780502" w:rsidRPr="006154DA">
        <w:t xml:space="preserve"> re-specified base case which included a treatment effect for BLd, a time horizon of 15 years and </w:t>
      </w:r>
      <w:r w:rsidRPr="006154DA">
        <w:t>revised</w:t>
      </w:r>
      <w:r w:rsidR="00780502" w:rsidRPr="006154DA">
        <w:t xml:space="preserve"> assumptions around the OS extrapolations</w:t>
      </w:r>
      <w:r w:rsidRPr="006154DA">
        <w:t xml:space="preserve"> (see paragraph</w:t>
      </w:r>
      <w:r w:rsidR="00AF133D" w:rsidRPr="006154DA">
        <w:t xml:space="preserve">s </w:t>
      </w:r>
      <w:r w:rsidR="00AF133D" w:rsidRPr="006154DA">
        <w:fldChar w:fldCharType="begin"/>
      </w:r>
      <w:r w:rsidR="00AF133D" w:rsidRPr="006154DA">
        <w:instrText xml:space="preserve"> REF _Ref127532655 \r \h </w:instrText>
      </w:r>
      <w:r w:rsidR="006154DA">
        <w:instrText xml:space="preserve"> \* MERGEFORMAT </w:instrText>
      </w:r>
      <w:r w:rsidR="00AF133D" w:rsidRPr="006154DA">
        <w:fldChar w:fldCharType="separate"/>
      </w:r>
      <w:r w:rsidR="008D65C7">
        <w:t>6.42</w:t>
      </w:r>
      <w:r w:rsidR="00AF133D" w:rsidRPr="006154DA">
        <w:fldChar w:fldCharType="end"/>
      </w:r>
      <w:r w:rsidR="00AF133D" w:rsidRPr="006154DA">
        <w:t xml:space="preserve"> and </w:t>
      </w:r>
      <w:r w:rsidR="00AF133D" w:rsidRPr="006154DA">
        <w:fldChar w:fldCharType="begin"/>
      </w:r>
      <w:r w:rsidR="00AF133D" w:rsidRPr="006154DA">
        <w:instrText xml:space="preserve"> REF _Ref127532657 \r \h </w:instrText>
      </w:r>
      <w:r w:rsidR="006154DA">
        <w:instrText xml:space="preserve"> \* MERGEFORMAT </w:instrText>
      </w:r>
      <w:r w:rsidR="00AF133D" w:rsidRPr="006154DA">
        <w:fldChar w:fldCharType="separate"/>
      </w:r>
      <w:r w:rsidR="008D65C7">
        <w:t>6.43</w:t>
      </w:r>
      <w:r w:rsidR="00AF133D" w:rsidRPr="006154DA">
        <w:fldChar w:fldCharType="end"/>
      </w:r>
      <w:r w:rsidR="00AF133D" w:rsidRPr="006154DA">
        <w:t>)</w:t>
      </w:r>
      <w:r w:rsidR="00780502" w:rsidRPr="006154DA">
        <w:t xml:space="preserve">. The ESC considered that a </w:t>
      </w:r>
      <w:r w:rsidR="00AB368F" w:rsidRPr="006154DA">
        <w:t xml:space="preserve">substantial </w:t>
      </w:r>
      <w:r w:rsidR="00780502" w:rsidRPr="006154DA">
        <w:t>price reduction would be required to achieve a</w:t>
      </w:r>
      <w:r w:rsidR="00D37B11" w:rsidRPr="006154DA">
        <w:t xml:space="preserve"> cost</w:t>
      </w:r>
      <w:r w:rsidR="00416E13" w:rsidRPr="006154DA">
        <w:t>-</w:t>
      </w:r>
      <w:r w:rsidR="00D37B11" w:rsidRPr="006154DA">
        <w:t>effective</w:t>
      </w:r>
      <w:r w:rsidR="00780502" w:rsidRPr="006154DA">
        <w:t xml:space="preserve"> ICER.</w:t>
      </w:r>
    </w:p>
    <w:p w14:paraId="0646FD65" w14:textId="77777777" w:rsidR="001D7ABE" w:rsidRPr="0058247A" w:rsidRDefault="001D7ABE" w:rsidP="001D7ABE">
      <w:pPr>
        <w:pStyle w:val="4-SubsectionHeading"/>
      </w:pPr>
      <w:bookmarkStart w:id="103" w:name="_Toc22897646"/>
      <w:bookmarkStart w:id="104" w:name="_Toc121741818"/>
      <w:bookmarkStart w:id="105" w:name="_Toc124878978"/>
      <w:r w:rsidRPr="0058247A">
        <w:t>Drug cost/patient/course</w:t>
      </w:r>
      <w:bookmarkEnd w:id="103"/>
      <w:bookmarkEnd w:id="104"/>
      <w:bookmarkEnd w:id="105"/>
    </w:p>
    <w:p w14:paraId="6C73C370" w14:textId="7C88EA2F" w:rsidR="001D7ABE" w:rsidRPr="0058247A" w:rsidRDefault="001D7ABE" w:rsidP="00720D59">
      <w:pPr>
        <w:pStyle w:val="3-BodyText"/>
      </w:pPr>
      <w:bookmarkStart w:id="106" w:name="_Ref104805102"/>
      <w:r w:rsidRPr="0058247A">
        <w:t xml:space="preserve">A summary of the drug cost per patient of DLd and SoC is presented in </w:t>
      </w:r>
      <w:r w:rsidRPr="0058247A">
        <w:fldChar w:fldCharType="begin"/>
      </w:r>
      <w:r w:rsidRPr="0058247A">
        <w:instrText xml:space="preserve"> REF _Ref121494202 \h </w:instrText>
      </w:r>
      <w:r w:rsidRPr="0058247A">
        <w:fldChar w:fldCharType="separate"/>
      </w:r>
      <w:r w:rsidR="008D65C7" w:rsidRPr="0058247A">
        <w:t xml:space="preserve">Table </w:t>
      </w:r>
      <w:r w:rsidR="008D65C7">
        <w:rPr>
          <w:noProof/>
        </w:rPr>
        <w:t>19</w:t>
      </w:r>
      <w:r w:rsidRPr="0058247A">
        <w:fldChar w:fldCharType="end"/>
      </w:r>
      <w:r w:rsidRPr="0058247A">
        <w:t>.</w:t>
      </w:r>
    </w:p>
    <w:p w14:paraId="301D7EEC" w14:textId="45308C35" w:rsidR="001D7ABE" w:rsidRPr="0058247A" w:rsidRDefault="001D7ABE" w:rsidP="001D7ABE">
      <w:pPr>
        <w:pStyle w:val="Caption"/>
        <w:rPr>
          <w:rStyle w:val="CommentReference"/>
          <w:b/>
          <w:szCs w:val="24"/>
        </w:rPr>
      </w:pPr>
      <w:bookmarkStart w:id="107" w:name="_Ref121494202"/>
      <w:r w:rsidRPr="0058247A">
        <w:lastRenderedPageBreak/>
        <w:t xml:space="preserve">Table </w:t>
      </w:r>
      <w:fldSimple w:instr=" SEQ Table \* ARABIC ">
        <w:r w:rsidR="008D65C7">
          <w:rPr>
            <w:noProof/>
          </w:rPr>
          <w:t>19</w:t>
        </w:r>
      </w:fldSimple>
      <w:bookmarkEnd w:id="106"/>
      <w:bookmarkEnd w:id="107"/>
      <w:r w:rsidRPr="0058247A">
        <w:t>:</w:t>
      </w:r>
      <w:r w:rsidRPr="0058247A">
        <w:rPr>
          <w:rStyle w:val="CommentReference"/>
          <w:b/>
          <w:szCs w:val="24"/>
        </w:rPr>
        <w:t xml:space="preserve"> Drug cost per patient for proposed and comparator drugs</w:t>
      </w: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0"/>
        <w:gridCol w:w="1158"/>
        <w:gridCol w:w="1134"/>
        <w:gridCol w:w="1276"/>
        <w:gridCol w:w="1276"/>
        <w:gridCol w:w="1418"/>
        <w:gridCol w:w="1414"/>
      </w:tblGrid>
      <w:tr w:rsidR="002205C5" w:rsidRPr="0058247A" w14:paraId="47C0C27E" w14:textId="77777777" w:rsidTr="003D46D8">
        <w:trPr>
          <w:cantSplit/>
          <w:tblHeader/>
          <w:jc w:val="center"/>
        </w:trPr>
        <w:tc>
          <w:tcPr>
            <w:tcW w:w="831" w:type="pct"/>
            <w:vMerge w:val="restart"/>
            <w:shd w:val="clear" w:color="auto" w:fill="auto"/>
            <w:vAlign w:val="center"/>
          </w:tcPr>
          <w:p w14:paraId="017DE43E" w14:textId="77777777" w:rsidR="002205C5" w:rsidRPr="0058247A" w:rsidRDefault="002205C5" w:rsidP="00A25B4A">
            <w:pPr>
              <w:pStyle w:val="In-tableHeading"/>
              <w:jc w:val="center"/>
              <w:rPr>
                <w:lang w:val="en-AU"/>
              </w:rPr>
            </w:pPr>
            <w:bookmarkStart w:id="108" w:name="_Toc22897647"/>
            <w:bookmarkStart w:id="109" w:name="_Toc121741819"/>
          </w:p>
        </w:tc>
        <w:tc>
          <w:tcPr>
            <w:tcW w:w="1938" w:type="pct"/>
            <w:gridSpan w:val="3"/>
            <w:shd w:val="clear" w:color="auto" w:fill="auto"/>
            <w:vAlign w:val="center"/>
          </w:tcPr>
          <w:p w14:paraId="55A9CF27" w14:textId="77777777" w:rsidR="002205C5" w:rsidRPr="0058247A" w:rsidRDefault="002205C5" w:rsidP="00A25B4A">
            <w:pPr>
              <w:pStyle w:val="In-tableHeading"/>
              <w:jc w:val="center"/>
              <w:rPr>
                <w:lang w:val="en-AU"/>
              </w:rPr>
            </w:pPr>
            <w:r w:rsidRPr="0058247A">
              <w:rPr>
                <w:lang w:val="en-AU"/>
              </w:rPr>
              <w:t>DLd</w:t>
            </w:r>
          </w:p>
        </w:tc>
        <w:tc>
          <w:tcPr>
            <w:tcW w:w="2231" w:type="pct"/>
            <w:gridSpan w:val="3"/>
            <w:shd w:val="clear" w:color="auto" w:fill="FFFFFF" w:themeFill="background1"/>
            <w:vAlign w:val="center"/>
          </w:tcPr>
          <w:p w14:paraId="6E7CE096" w14:textId="77777777" w:rsidR="002205C5" w:rsidRPr="0058247A" w:rsidRDefault="002205C5" w:rsidP="00A25B4A">
            <w:pPr>
              <w:pStyle w:val="In-tableHeading"/>
              <w:jc w:val="center"/>
              <w:rPr>
                <w:lang w:val="en-AU"/>
              </w:rPr>
            </w:pPr>
            <w:r w:rsidRPr="0058247A">
              <w:rPr>
                <w:lang w:val="en-AU"/>
              </w:rPr>
              <w:t>SoC</w:t>
            </w:r>
          </w:p>
        </w:tc>
      </w:tr>
      <w:tr w:rsidR="002205C5" w:rsidRPr="0058247A" w14:paraId="1F868DAC" w14:textId="77777777" w:rsidTr="003D46D8">
        <w:trPr>
          <w:cantSplit/>
          <w:tblHeader/>
          <w:jc w:val="center"/>
        </w:trPr>
        <w:tc>
          <w:tcPr>
            <w:tcW w:w="831" w:type="pct"/>
            <w:vMerge/>
            <w:shd w:val="clear" w:color="auto" w:fill="auto"/>
            <w:vAlign w:val="center"/>
          </w:tcPr>
          <w:p w14:paraId="48F23A1C" w14:textId="77777777" w:rsidR="002205C5" w:rsidRPr="0058247A" w:rsidRDefault="002205C5" w:rsidP="00A25B4A">
            <w:pPr>
              <w:pStyle w:val="In-tableHeading"/>
              <w:jc w:val="center"/>
              <w:rPr>
                <w:lang w:val="en-AU"/>
              </w:rPr>
            </w:pPr>
          </w:p>
        </w:tc>
        <w:tc>
          <w:tcPr>
            <w:tcW w:w="629" w:type="pct"/>
            <w:shd w:val="clear" w:color="auto" w:fill="auto"/>
            <w:vAlign w:val="center"/>
          </w:tcPr>
          <w:p w14:paraId="0FAC11F3" w14:textId="77777777" w:rsidR="002205C5" w:rsidRPr="0058247A" w:rsidRDefault="002205C5" w:rsidP="00A25B4A">
            <w:pPr>
              <w:pStyle w:val="In-tableHeading"/>
              <w:jc w:val="center"/>
              <w:rPr>
                <w:lang w:val="en-AU"/>
              </w:rPr>
            </w:pPr>
            <w:r w:rsidRPr="0058247A">
              <w:rPr>
                <w:lang w:val="en-AU"/>
              </w:rPr>
              <w:t xml:space="preserve">Trial </w:t>
            </w:r>
          </w:p>
        </w:tc>
        <w:tc>
          <w:tcPr>
            <w:tcW w:w="616" w:type="pct"/>
            <w:shd w:val="clear" w:color="auto" w:fill="auto"/>
            <w:vAlign w:val="center"/>
          </w:tcPr>
          <w:p w14:paraId="57395F95" w14:textId="77777777" w:rsidR="002205C5" w:rsidRPr="0058247A" w:rsidRDefault="002205C5" w:rsidP="00A25B4A">
            <w:pPr>
              <w:pStyle w:val="In-tableHeading"/>
              <w:jc w:val="center"/>
              <w:rPr>
                <w:lang w:val="en-AU"/>
              </w:rPr>
            </w:pPr>
            <w:r w:rsidRPr="0058247A">
              <w:rPr>
                <w:lang w:val="en-AU"/>
              </w:rPr>
              <w:t>Model</w:t>
            </w:r>
          </w:p>
        </w:tc>
        <w:tc>
          <w:tcPr>
            <w:tcW w:w="692" w:type="pct"/>
          </w:tcPr>
          <w:p w14:paraId="4F14BBD5" w14:textId="77777777" w:rsidR="002205C5" w:rsidRPr="0058247A" w:rsidRDefault="002205C5" w:rsidP="00A25B4A">
            <w:pPr>
              <w:pStyle w:val="In-tableHeading"/>
              <w:jc w:val="center"/>
              <w:rPr>
                <w:lang w:val="en-AU"/>
              </w:rPr>
            </w:pPr>
            <w:r w:rsidRPr="0058247A">
              <w:rPr>
                <w:lang w:val="en-AU"/>
              </w:rPr>
              <w:t>Financial estimates</w:t>
            </w:r>
          </w:p>
        </w:tc>
        <w:tc>
          <w:tcPr>
            <w:tcW w:w="693" w:type="pct"/>
            <w:shd w:val="clear" w:color="auto" w:fill="FFFFFF" w:themeFill="background1"/>
            <w:vAlign w:val="center"/>
          </w:tcPr>
          <w:p w14:paraId="6976B903" w14:textId="77777777" w:rsidR="002205C5" w:rsidRPr="0058247A" w:rsidRDefault="002205C5" w:rsidP="00A25B4A">
            <w:pPr>
              <w:pStyle w:val="In-tableHeading"/>
              <w:jc w:val="center"/>
              <w:rPr>
                <w:lang w:val="en-AU"/>
              </w:rPr>
            </w:pPr>
            <w:r w:rsidRPr="0058247A">
              <w:rPr>
                <w:lang w:val="en-AU"/>
              </w:rPr>
              <w:t xml:space="preserve">Trial </w:t>
            </w:r>
          </w:p>
        </w:tc>
        <w:tc>
          <w:tcPr>
            <w:tcW w:w="770" w:type="pct"/>
            <w:shd w:val="clear" w:color="auto" w:fill="FFFFFF" w:themeFill="background1"/>
            <w:vAlign w:val="center"/>
          </w:tcPr>
          <w:p w14:paraId="0AA491BE" w14:textId="77777777" w:rsidR="002205C5" w:rsidRPr="0058247A" w:rsidRDefault="002205C5" w:rsidP="00A25B4A">
            <w:pPr>
              <w:pStyle w:val="In-tableHeading"/>
              <w:jc w:val="center"/>
              <w:rPr>
                <w:lang w:val="en-AU"/>
              </w:rPr>
            </w:pPr>
            <w:r w:rsidRPr="0058247A">
              <w:rPr>
                <w:lang w:val="en-AU"/>
              </w:rPr>
              <w:t>Model</w:t>
            </w:r>
          </w:p>
        </w:tc>
        <w:tc>
          <w:tcPr>
            <w:tcW w:w="768" w:type="pct"/>
            <w:shd w:val="clear" w:color="auto" w:fill="FFFFFF" w:themeFill="background1"/>
            <w:vAlign w:val="center"/>
          </w:tcPr>
          <w:p w14:paraId="6677DDD8" w14:textId="77777777" w:rsidR="002205C5" w:rsidRPr="0058247A" w:rsidRDefault="002205C5" w:rsidP="00A25B4A">
            <w:pPr>
              <w:pStyle w:val="In-tableHeading"/>
              <w:jc w:val="center"/>
              <w:rPr>
                <w:lang w:val="en-AU"/>
              </w:rPr>
            </w:pPr>
            <w:r w:rsidRPr="0058247A">
              <w:rPr>
                <w:lang w:val="en-AU"/>
              </w:rPr>
              <w:t>Financial estimates</w:t>
            </w:r>
          </w:p>
        </w:tc>
      </w:tr>
      <w:tr w:rsidR="00D0470F" w:rsidRPr="0058247A" w14:paraId="1FFCAE9D" w14:textId="77777777" w:rsidTr="003D46D8">
        <w:trPr>
          <w:cantSplit/>
          <w:jc w:val="center"/>
        </w:trPr>
        <w:tc>
          <w:tcPr>
            <w:tcW w:w="831" w:type="pct"/>
            <w:shd w:val="clear" w:color="auto" w:fill="auto"/>
            <w:vAlign w:val="center"/>
          </w:tcPr>
          <w:p w14:paraId="07F5D009" w14:textId="25A09E95" w:rsidR="00D0470F" w:rsidRPr="0058247A" w:rsidRDefault="00D0470F" w:rsidP="00A25B4A">
            <w:pPr>
              <w:pStyle w:val="TableText0"/>
            </w:pPr>
            <w:r w:rsidRPr="0058247A">
              <w:t xml:space="preserve">Mean dose </w:t>
            </w:r>
            <w:r w:rsidR="00A93EBE" w:rsidRPr="0058247A">
              <w:t xml:space="preserve">intensity </w:t>
            </w:r>
            <w:r w:rsidR="002205C5" w:rsidRPr="0058247A">
              <w:t>(</w:t>
            </w:r>
            <w:r w:rsidRPr="0058247A">
              <w:t>%)</w:t>
            </w:r>
          </w:p>
        </w:tc>
        <w:tc>
          <w:tcPr>
            <w:tcW w:w="629" w:type="pct"/>
            <w:shd w:val="clear" w:color="auto" w:fill="auto"/>
            <w:vAlign w:val="center"/>
          </w:tcPr>
          <w:p w14:paraId="4C6B29EE" w14:textId="2653601E" w:rsidR="003D46D8" w:rsidRPr="0058247A" w:rsidRDefault="003D46D8" w:rsidP="00A25B4A">
            <w:pPr>
              <w:pStyle w:val="TableText0"/>
              <w:jc w:val="center"/>
              <w:rPr>
                <w:u w:val="single"/>
              </w:rPr>
            </w:pPr>
            <w:r w:rsidRPr="0058247A">
              <w:rPr>
                <w:u w:val="single"/>
              </w:rPr>
              <w:t>DLd</w:t>
            </w:r>
          </w:p>
          <w:p w14:paraId="7C3AA6DB" w14:textId="0D493461" w:rsidR="00D0470F" w:rsidRPr="0058247A" w:rsidRDefault="00D0470F" w:rsidP="00A25B4A">
            <w:pPr>
              <w:pStyle w:val="TableText0"/>
              <w:jc w:val="center"/>
            </w:pPr>
            <w:r w:rsidRPr="0058247A">
              <w:t>D: 95.8</w:t>
            </w:r>
          </w:p>
          <w:p w14:paraId="71202B99" w14:textId="77777777" w:rsidR="00D0470F" w:rsidRPr="0058247A" w:rsidRDefault="00D0470F" w:rsidP="00A25B4A">
            <w:pPr>
              <w:pStyle w:val="TableText0"/>
              <w:jc w:val="center"/>
            </w:pPr>
            <w:r w:rsidRPr="0058247A">
              <w:t>L: 73.6</w:t>
            </w:r>
          </w:p>
          <w:p w14:paraId="7A357926" w14:textId="77777777" w:rsidR="00D0470F" w:rsidRPr="0058247A" w:rsidRDefault="00D0470F" w:rsidP="00A25B4A">
            <w:pPr>
              <w:pStyle w:val="TableText0"/>
              <w:jc w:val="center"/>
            </w:pPr>
            <w:r w:rsidRPr="0058247A">
              <w:t>d: 78.4</w:t>
            </w:r>
          </w:p>
        </w:tc>
        <w:tc>
          <w:tcPr>
            <w:tcW w:w="616" w:type="pct"/>
            <w:shd w:val="clear" w:color="auto" w:fill="auto"/>
            <w:vAlign w:val="center"/>
          </w:tcPr>
          <w:p w14:paraId="77EC3570" w14:textId="77C5B7F2" w:rsidR="003D46D8" w:rsidRPr="0058247A" w:rsidRDefault="003D46D8" w:rsidP="00A25B4A">
            <w:pPr>
              <w:pStyle w:val="TableText0"/>
              <w:jc w:val="center"/>
              <w:rPr>
                <w:u w:val="single"/>
              </w:rPr>
            </w:pPr>
            <w:r w:rsidRPr="0058247A">
              <w:rPr>
                <w:u w:val="single"/>
              </w:rPr>
              <w:t>DLd</w:t>
            </w:r>
          </w:p>
          <w:p w14:paraId="7075AEA6" w14:textId="28419B36" w:rsidR="00D0470F" w:rsidRPr="0058247A" w:rsidRDefault="00D0470F" w:rsidP="00A25B4A">
            <w:pPr>
              <w:pStyle w:val="TableText0"/>
              <w:jc w:val="center"/>
            </w:pPr>
            <w:r w:rsidRPr="0058247A">
              <w:t>D: 97.9</w:t>
            </w:r>
          </w:p>
          <w:p w14:paraId="6DB9FC48" w14:textId="77777777" w:rsidR="00D0470F" w:rsidRPr="0058247A" w:rsidRDefault="00D0470F" w:rsidP="00A25B4A">
            <w:pPr>
              <w:pStyle w:val="TableText0"/>
              <w:jc w:val="center"/>
            </w:pPr>
            <w:r w:rsidRPr="0058247A">
              <w:t>L: 67.7</w:t>
            </w:r>
          </w:p>
          <w:p w14:paraId="1310383E" w14:textId="77777777" w:rsidR="00D0470F" w:rsidRPr="0058247A" w:rsidRDefault="00D0470F" w:rsidP="00A25B4A">
            <w:pPr>
              <w:pStyle w:val="TableText0"/>
              <w:jc w:val="center"/>
            </w:pPr>
            <w:r w:rsidRPr="0058247A">
              <w:t>d: 74.1</w:t>
            </w:r>
          </w:p>
        </w:tc>
        <w:tc>
          <w:tcPr>
            <w:tcW w:w="692" w:type="pct"/>
            <w:vAlign w:val="center"/>
          </w:tcPr>
          <w:p w14:paraId="57893218" w14:textId="40403AB6" w:rsidR="003D46D8" w:rsidRPr="0058247A" w:rsidRDefault="003D46D8" w:rsidP="00A25B4A">
            <w:pPr>
              <w:pStyle w:val="TableText0"/>
              <w:jc w:val="center"/>
              <w:rPr>
                <w:u w:val="single"/>
              </w:rPr>
            </w:pPr>
            <w:r w:rsidRPr="0058247A">
              <w:rPr>
                <w:u w:val="single"/>
              </w:rPr>
              <w:t>DLd</w:t>
            </w:r>
          </w:p>
          <w:p w14:paraId="704A4D28" w14:textId="772EC003" w:rsidR="00D0470F" w:rsidRPr="0058247A" w:rsidRDefault="00D0470F" w:rsidP="00A25B4A">
            <w:pPr>
              <w:pStyle w:val="TableText0"/>
              <w:jc w:val="center"/>
            </w:pPr>
            <w:r w:rsidRPr="0058247A">
              <w:t>D: 97.2</w:t>
            </w:r>
          </w:p>
          <w:p w14:paraId="6D7EDEEE" w14:textId="77777777" w:rsidR="00D0470F" w:rsidRPr="0058247A" w:rsidRDefault="00D0470F" w:rsidP="00A25B4A">
            <w:pPr>
              <w:pStyle w:val="TableText0"/>
              <w:jc w:val="center"/>
            </w:pPr>
            <w:r w:rsidRPr="0058247A">
              <w:t>L: 67.7</w:t>
            </w:r>
          </w:p>
          <w:p w14:paraId="373B43C7" w14:textId="77777777" w:rsidR="00D0470F" w:rsidRPr="0058247A" w:rsidRDefault="00D0470F" w:rsidP="00A25B4A">
            <w:pPr>
              <w:pStyle w:val="TableText0"/>
              <w:jc w:val="center"/>
              <w:rPr>
                <w:bCs w:val="0"/>
              </w:rPr>
            </w:pPr>
            <w:r w:rsidRPr="0058247A">
              <w:t>d: 74.1</w:t>
            </w:r>
          </w:p>
        </w:tc>
        <w:tc>
          <w:tcPr>
            <w:tcW w:w="693" w:type="pct"/>
            <w:shd w:val="clear" w:color="auto" w:fill="FFFFFF" w:themeFill="background1"/>
            <w:vAlign w:val="center"/>
          </w:tcPr>
          <w:p w14:paraId="11422E4F" w14:textId="51A258D0" w:rsidR="003D46D8" w:rsidRPr="0058247A" w:rsidRDefault="003D46D8" w:rsidP="00A25B4A">
            <w:pPr>
              <w:pStyle w:val="TableText0"/>
              <w:jc w:val="center"/>
              <w:rPr>
                <w:bCs w:val="0"/>
                <w:u w:val="single"/>
              </w:rPr>
            </w:pPr>
            <w:r w:rsidRPr="0058247A">
              <w:rPr>
                <w:bCs w:val="0"/>
                <w:u w:val="single"/>
              </w:rPr>
              <w:t>Ld</w:t>
            </w:r>
          </w:p>
          <w:p w14:paraId="677E1F06" w14:textId="77777777" w:rsidR="00D0470F" w:rsidRPr="0058247A" w:rsidRDefault="00D0470F" w:rsidP="00A25B4A">
            <w:pPr>
              <w:pStyle w:val="TableText0"/>
              <w:jc w:val="center"/>
              <w:rPr>
                <w:bCs w:val="0"/>
              </w:rPr>
            </w:pPr>
            <w:r w:rsidRPr="0058247A">
              <w:rPr>
                <w:bCs w:val="0"/>
              </w:rPr>
              <w:t>L: 83.5</w:t>
            </w:r>
          </w:p>
          <w:p w14:paraId="6C792615" w14:textId="77777777" w:rsidR="00D0470F" w:rsidRPr="0058247A" w:rsidRDefault="00D0470F" w:rsidP="00A25B4A">
            <w:pPr>
              <w:pStyle w:val="TableText0"/>
              <w:jc w:val="center"/>
              <w:rPr>
                <w:bCs w:val="0"/>
              </w:rPr>
            </w:pPr>
            <w:r w:rsidRPr="0058247A">
              <w:rPr>
                <w:bCs w:val="0"/>
              </w:rPr>
              <w:t>d: 82.6</w:t>
            </w:r>
          </w:p>
        </w:tc>
        <w:tc>
          <w:tcPr>
            <w:tcW w:w="770" w:type="pct"/>
            <w:shd w:val="clear" w:color="auto" w:fill="FFFFFF" w:themeFill="background1"/>
            <w:vAlign w:val="center"/>
          </w:tcPr>
          <w:p w14:paraId="7EB6EBF6" w14:textId="2F9D7776" w:rsidR="00D0470F" w:rsidRPr="0058247A" w:rsidRDefault="00D0470F" w:rsidP="00A25B4A">
            <w:pPr>
              <w:pStyle w:val="TableText0"/>
              <w:jc w:val="center"/>
              <w:rPr>
                <w:bCs w:val="0"/>
              </w:rPr>
            </w:pPr>
            <w:r w:rsidRPr="0058247A">
              <w:rPr>
                <w:bCs w:val="0"/>
                <w:u w:val="single"/>
              </w:rPr>
              <w:t>Ld</w:t>
            </w:r>
          </w:p>
          <w:p w14:paraId="4A8731C8" w14:textId="5C3608A4" w:rsidR="00D0470F" w:rsidRPr="0058247A" w:rsidRDefault="00D0470F" w:rsidP="00A25B4A">
            <w:pPr>
              <w:pStyle w:val="TableText0"/>
              <w:jc w:val="center"/>
              <w:rPr>
                <w:bCs w:val="0"/>
              </w:rPr>
            </w:pPr>
            <w:r w:rsidRPr="0058247A">
              <w:rPr>
                <w:bCs w:val="0"/>
              </w:rPr>
              <w:t xml:space="preserve">L: 80.1 </w:t>
            </w:r>
            <w:r w:rsidR="003D46D8" w:rsidRPr="0058247A">
              <w:rPr>
                <w:bCs w:val="0"/>
              </w:rPr>
              <w:br/>
            </w:r>
            <w:r w:rsidRPr="0058247A">
              <w:rPr>
                <w:bCs w:val="0"/>
              </w:rPr>
              <w:t>d:79.6</w:t>
            </w:r>
          </w:p>
          <w:p w14:paraId="3F8D9169" w14:textId="77777777" w:rsidR="00D0470F" w:rsidRPr="0058247A" w:rsidRDefault="00D0470F" w:rsidP="00A25B4A">
            <w:pPr>
              <w:pStyle w:val="TableText0"/>
              <w:jc w:val="center"/>
              <w:rPr>
                <w:bCs w:val="0"/>
                <w:u w:val="single"/>
              </w:rPr>
            </w:pPr>
            <w:r w:rsidRPr="0058247A">
              <w:rPr>
                <w:bCs w:val="0"/>
                <w:u w:val="single"/>
              </w:rPr>
              <w:t>BLd</w:t>
            </w:r>
          </w:p>
          <w:p w14:paraId="48689958" w14:textId="305C6567" w:rsidR="003D46D8" w:rsidRPr="0058247A" w:rsidRDefault="00D0470F" w:rsidP="003D46D8">
            <w:pPr>
              <w:pStyle w:val="TableText0"/>
              <w:jc w:val="center"/>
              <w:rPr>
                <w:bCs w:val="0"/>
              </w:rPr>
            </w:pPr>
            <w:r w:rsidRPr="0058247A">
              <w:rPr>
                <w:bCs w:val="0"/>
              </w:rPr>
              <w:t>B: 79.9</w:t>
            </w:r>
          </w:p>
          <w:p w14:paraId="0BFAD224" w14:textId="63AAEE57" w:rsidR="003D46D8" w:rsidRPr="0058247A" w:rsidRDefault="00D0470F" w:rsidP="003D46D8">
            <w:pPr>
              <w:pStyle w:val="TableText0"/>
              <w:jc w:val="center"/>
              <w:rPr>
                <w:bCs w:val="0"/>
              </w:rPr>
            </w:pPr>
            <w:r w:rsidRPr="0058247A">
              <w:rPr>
                <w:bCs w:val="0"/>
              </w:rPr>
              <w:t>L: 80.1</w:t>
            </w:r>
          </w:p>
          <w:p w14:paraId="3510351F" w14:textId="6FCFA506" w:rsidR="00D0470F" w:rsidRPr="0058247A" w:rsidRDefault="00D0470F" w:rsidP="003D46D8">
            <w:pPr>
              <w:pStyle w:val="TableText0"/>
              <w:jc w:val="center"/>
              <w:rPr>
                <w:bCs w:val="0"/>
              </w:rPr>
            </w:pPr>
            <w:r w:rsidRPr="0058247A">
              <w:rPr>
                <w:bCs w:val="0"/>
              </w:rPr>
              <w:t>d: 79.6</w:t>
            </w:r>
          </w:p>
        </w:tc>
        <w:tc>
          <w:tcPr>
            <w:tcW w:w="768" w:type="pct"/>
            <w:shd w:val="clear" w:color="auto" w:fill="FFFFFF" w:themeFill="background1"/>
            <w:vAlign w:val="center"/>
          </w:tcPr>
          <w:p w14:paraId="49D2C725" w14:textId="46FCA416" w:rsidR="00D0470F" w:rsidRPr="0058247A" w:rsidRDefault="00D0470F" w:rsidP="00A25B4A">
            <w:pPr>
              <w:pStyle w:val="TableText0"/>
              <w:jc w:val="center"/>
              <w:rPr>
                <w:bCs w:val="0"/>
              </w:rPr>
            </w:pPr>
            <w:r w:rsidRPr="0058247A">
              <w:rPr>
                <w:bCs w:val="0"/>
                <w:u w:val="single"/>
              </w:rPr>
              <w:t>Ld</w:t>
            </w:r>
          </w:p>
          <w:p w14:paraId="55580014" w14:textId="77777777" w:rsidR="003D46D8" w:rsidRPr="0058247A" w:rsidRDefault="00D0470F" w:rsidP="00A25B4A">
            <w:pPr>
              <w:pStyle w:val="TableText0"/>
              <w:jc w:val="center"/>
              <w:rPr>
                <w:bCs w:val="0"/>
              </w:rPr>
            </w:pPr>
            <w:r w:rsidRPr="0058247A">
              <w:rPr>
                <w:bCs w:val="0"/>
              </w:rPr>
              <w:t xml:space="preserve">L: 80.1 </w:t>
            </w:r>
          </w:p>
          <w:p w14:paraId="362EAAF6" w14:textId="2F867C36" w:rsidR="00D0470F" w:rsidRPr="0058247A" w:rsidRDefault="00D0470F" w:rsidP="00A25B4A">
            <w:pPr>
              <w:pStyle w:val="TableText0"/>
              <w:jc w:val="center"/>
              <w:rPr>
                <w:bCs w:val="0"/>
              </w:rPr>
            </w:pPr>
            <w:r w:rsidRPr="0058247A">
              <w:rPr>
                <w:bCs w:val="0"/>
              </w:rPr>
              <w:t>d:79.6</w:t>
            </w:r>
          </w:p>
          <w:p w14:paraId="37617503" w14:textId="77777777" w:rsidR="00D0470F" w:rsidRPr="0058247A" w:rsidRDefault="00D0470F" w:rsidP="00A25B4A">
            <w:pPr>
              <w:pStyle w:val="TableText0"/>
              <w:jc w:val="center"/>
              <w:rPr>
                <w:bCs w:val="0"/>
                <w:u w:val="single"/>
              </w:rPr>
            </w:pPr>
            <w:r w:rsidRPr="0058247A">
              <w:rPr>
                <w:bCs w:val="0"/>
                <w:u w:val="single"/>
              </w:rPr>
              <w:t>BLd</w:t>
            </w:r>
          </w:p>
          <w:p w14:paraId="44F568E9" w14:textId="77777777" w:rsidR="003D46D8" w:rsidRPr="0058247A" w:rsidRDefault="00D0470F" w:rsidP="00A25B4A">
            <w:pPr>
              <w:pStyle w:val="TableText0"/>
              <w:jc w:val="center"/>
              <w:rPr>
                <w:bCs w:val="0"/>
              </w:rPr>
            </w:pPr>
            <w:r w:rsidRPr="0058247A">
              <w:rPr>
                <w:bCs w:val="0"/>
              </w:rPr>
              <w:t xml:space="preserve">B: 79.9 </w:t>
            </w:r>
          </w:p>
          <w:p w14:paraId="7D41C021" w14:textId="77777777" w:rsidR="003D46D8" w:rsidRPr="0058247A" w:rsidRDefault="00D0470F" w:rsidP="00A25B4A">
            <w:pPr>
              <w:pStyle w:val="TableText0"/>
              <w:jc w:val="center"/>
              <w:rPr>
                <w:bCs w:val="0"/>
              </w:rPr>
            </w:pPr>
            <w:r w:rsidRPr="0058247A">
              <w:rPr>
                <w:bCs w:val="0"/>
              </w:rPr>
              <w:t xml:space="preserve">L: 80.1 </w:t>
            </w:r>
          </w:p>
          <w:p w14:paraId="30D2BF2B" w14:textId="15C68DFC" w:rsidR="00D0470F" w:rsidRPr="0058247A" w:rsidRDefault="00D0470F" w:rsidP="00A25B4A">
            <w:pPr>
              <w:pStyle w:val="TableText0"/>
              <w:jc w:val="center"/>
              <w:rPr>
                <w:bCs w:val="0"/>
              </w:rPr>
            </w:pPr>
            <w:r w:rsidRPr="0058247A">
              <w:rPr>
                <w:bCs w:val="0"/>
              </w:rPr>
              <w:t>d: 79.6</w:t>
            </w:r>
          </w:p>
        </w:tc>
      </w:tr>
      <w:tr w:rsidR="00D0470F" w:rsidRPr="0058247A" w14:paraId="60E7D83B" w14:textId="77777777" w:rsidTr="003D46D8">
        <w:trPr>
          <w:cantSplit/>
          <w:jc w:val="center"/>
        </w:trPr>
        <w:tc>
          <w:tcPr>
            <w:tcW w:w="831" w:type="pct"/>
            <w:shd w:val="clear" w:color="auto" w:fill="auto"/>
            <w:vAlign w:val="center"/>
          </w:tcPr>
          <w:p w14:paraId="3BC37648" w14:textId="063658C6" w:rsidR="00D0470F" w:rsidRPr="0058247A" w:rsidRDefault="00D0470F" w:rsidP="00A25B4A">
            <w:pPr>
              <w:pStyle w:val="TableText0"/>
            </w:pPr>
            <w:r w:rsidRPr="0058247A">
              <w:t>Mean duration (month</w:t>
            </w:r>
            <w:r w:rsidR="002205C5" w:rsidRPr="0058247A">
              <w:t>s</w:t>
            </w:r>
            <w:r w:rsidRPr="0058247A">
              <w:t>)</w:t>
            </w:r>
          </w:p>
        </w:tc>
        <w:tc>
          <w:tcPr>
            <w:tcW w:w="629" w:type="pct"/>
            <w:shd w:val="clear" w:color="auto" w:fill="auto"/>
            <w:vAlign w:val="center"/>
          </w:tcPr>
          <w:p w14:paraId="549D794D" w14:textId="77777777" w:rsidR="00D0470F" w:rsidRPr="0058247A" w:rsidRDefault="00D0470F" w:rsidP="00A25B4A">
            <w:pPr>
              <w:pStyle w:val="TableText0"/>
              <w:jc w:val="center"/>
            </w:pPr>
            <w:r w:rsidRPr="0058247A">
              <w:t>42</w:t>
            </w:r>
          </w:p>
        </w:tc>
        <w:tc>
          <w:tcPr>
            <w:tcW w:w="616" w:type="pct"/>
            <w:shd w:val="clear" w:color="auto" w:fill="auto"/>
            <w:vAlign w:val="center"/>
          </w:tcPr>
          <w:p w14:paraId="38437450" w14:textId="77777777" w:rsidR="00D0470F" w:rsidRPr="0058247A" w:rsidRDefault="00D0470F" w:rsidP="00A25B4A">
            <w:pPr>
              <w:pStyle w:val="TableText0"/>
              <w:jc w:val="center"/>
            </w:pPr>
            <w:r w:rsidRPr="0058247A">
              <w:t>60</w:t>
            </w:r>
          </w:p>
        </w:tc>
        <w:tc>
          <w:tcPr>
            <w:tcW w:w="692" w:type="pct"/>
            <w:vAlign w:val="center"/>
          </w:tcPr>
          <w:p w14:paraId="0ED1E5C6" w14:textId="77777777" w:rsidR="00D0470F" w:rsidRPr="0058247A" w:rsidRDefault="00D0470F" w:rsidP="00A25B4A">
            <w:pPr>
              <w:pStyle w:val="TableText0"/>
              <w:jc w:val="center"/>
              <w:rPr>
                <w:bCs w:val="0"/>
              </w:rPr>
            </w:pPr>
            <w:r w:rsidRPr="0058247A">
              <w:rPr>
                <w:bCs w:val="0"/>
              </w:rPr>
              <w:t>60</w:t>
            </w:r>
          </w:p>
        </w:tc>
        <w:tc>
          <w:tcPr>
            <w:tcW w:w="693" w:type="pct"/>
            <w:shd w:val="clear" w:color="auto" w:fill="FFFFFF" w:themeFill="background1"/>
            <w:vAlign w:val="center"/>
          </w:tcPr>
          <w:p w14:paraId="2568A610" w14:textId="77777777" w:rsidR="00D0470F" w:rsidRPr="0058247A" w:rsidRDefault="00D0470F" w:rsidP="00A25B4A">
            <w:pPr>
              <w:pStyle w:val="TableText0"/>
              <w:jc w:val="center"/>
              <w:rPr>
                <w:bCs w:val="0"/>
              </w:rPr>
            </w:pPr>
            <w:r w:rsidRPr="0058247A">
              <w:rPr>
                <w:bCs w:val="0"/>
              </w:rPr>
              <w:t>28</w:t>
            </w:r>
          </w:p>
        </w:tc>
        <w:tc>
          <w:tcPr>
            <w:tcW w:w="770" w:type="pct"/>
            <w:shd w:val="clear" w:color="auto" w:fill="FFFFFF" w:themeFill="background1"/>
            <w:vAlign w:val="center"/>
          </w:tcPr>
          <w:p w14:paraId="3AB77214" w14:textId="77777777" w:rsidR="00D0470F" w:rsidRPr="0058247A" w:rsidRDefault="00D0470F" w:rsidP="00A25B4A">
            <w:pPr>
              <w:pStyle w:val="TableText0"/>
              <w:jc w:val="center"/>
              <w:rPr>
                <w:bCs w:val="0"/>
              </w:rPr>
            </w:pPr>
            <w:r w:rsidRPr="0058247A">
              <w:rPr>
                <w:bCs w:val="0"/>
              </w:rPr>
              <w:t>33</w:t>
            </w:r>
          </w:p>
        </w:tc>
        <w:tc>
          <w:tcPr>
            <w:tcW w:w="768" w:type="pct"/>
            <w:shd w:val="clear" w:color="auto" w:fill="FFFFFF" w:themeFill="background1"/>
            <w:vAlign w:val="center"/>
          </w:tcPr>
          <w:p w14:paraId="2AA040EF" w14:textId="77777777" w:rsidR="00D0470F" w:rsidRPr="0058247A" w:rsidRDefault="00D0470F" w:rsidP="00A25B4A">
            <w:pPr>
              <w:pStyle w:val="TableText0"/>
              <w:jc w:val="center"/>
              <w:rPr>
                <w:bCs w:val="0"/>
              </w:rPr>
            </w:pPr>
            <w:r w:rsidRPr="0058247A">
              <w:rPr>
                <w:bCs w:val="0"/>
              </w:rPr>
              <w:t>33</w:t>
            </w:r>
          </w:p>
        </w:tc>
      </w:tr>
      <w:tr w:rsidR="00D0470F" w:rsidRPr="0058247A" w14:paraId="6174B3FE" w14:textId="77777777" w:rsidTr="003D46D8">
        <w:trPr>
          <w:cantSplit/>
          <w:jc w:val="center"/>
        </w:trPr>
        <w:tc>
          <w:tcPr>
            <w:tcW w:w="831" w:type="pct"/>
            <w:shd w:val="clear" w:color="auto" w:fill="auto"/>
            <w:vAlign w:val="center"/>
          </w:tcPr>
          <w:p w14:paraId="395F2D3F" w14:textId="77777777" w:rsidR="00D0470F" w:rsidRPr="0058247A" w:rsidRDefault="00D0470F" w:rsidP="00A25B4A">
            <w:pPr>
              <w:pStyle w:val="TableText0"/>
            </w:pPr>
            <w:r w:rsidRPr="0058247A">
              <w:t>Cost/patient/month</w:t>
            </w:r>
          </w:p>
        </w:tc>
        <w:tc>
          <w:tcPr>
            <w:tcW w:w="1938" w:type="pct"/>
            <w:gridSpan w:val="3"/>
            <w:shd w:val="clear" w:color="auto" w:fill="auto"/>
            <w:vAlign w:val="center"/>
          </w:tcPr>
          <w:p w14:paraId="13578D40" w14:textId="77777777" w:rsidR="00D0470F" w:rsidRPr="0058247A" w:rsidRDefault="00D0470F" w:rsidP="00A25B4A">
            <w:pPr>
              <w:pStyle w:val="TableText0"/>
              <w:jc w:val="center"/>
            </w:pPr>
            <w:r w:rsidRPr="0058247A">
              <w:t>D:</w:t>
            </w:r>
          </w:p>
          <w:p w14:paraId="20D28F0B" w14:textId="064D20B7" w:rsidR="00D0470F" w:rsidRPr="0058247A" w:rsidRDefault="00D0470F" w:rsidP="00A25B4A">
            <w:pPr>
              <w:pStyle w:val="TableText0"/>
              <w:jc w:val="center"/>
            </w:pPr>
            <w:r w:rsidRPr="0058247A">
              <w:t>Month 1-2 = $</w:t>
            </w:r>
            <w:r w:rsidR="006E73CD" w:rsidRPr="006E73CD">
              <w:rPr>
                <w:color w:val="000000"/>
                <w:shd w:val="solid" w:color="000000" w:fill="000000"/>
                <w14:textFill>
                  <w14:solidFill>
                    <w14:srgbClr w14:val="000000">
                      <w14:alpha w14:val="100000"/>
                    </w14:srgbClr>
                  </w14:solidFill>
                </w14:textFill>
              </w:rPr>
              <w:t>|</w:t>
            </w:r>
          </w:p>
          <w:p w14:paraId="48C654B7" w14:textId="02116261" w:rsidR="00D0470F" w:rsidRPr="0058247A" w:rsidRDefault="00D0470F" w:rsidP="00A25B4A">
            <w:pPr>
              <w:pStyle w:val="TableText0"/>
              <w:jc w:val="center"/>
            </w:pPr>
            <w:r w:rsidRPr="0058247A">
              <w:t>Month 3-6 = $</w:t>
            </w:r>
            <w:r w:rsidR="006E73CD" w:rsidRPr="006E73CD">
              <w:rPr>
                <w:color w:val="000000"/>
                <w:shd w:val="solid" w:color="000000" w:fill="000000"/>
                <w14:textFill>
                  <w14:solidFill>
                    <w14:srgbClr w14:val="000000">
                      <w14:alpha w14:val="100000"/>
                    </w14:srgbClr>
                  </w14:solidFill>
                </w14:textFill>
              </w:rPr>
              <w:t>|</w:t>
            </w:r>
          </w:p>
          <w:p w14:paraId="7BACC166" w14:textId="3B1D5238" w:rsidR="00D0470F" w:rsidRPr="0058247A" w:rsidRDefault="00D0470F" w:rsidP="00A25B4A">
            <w:pPr>
              <w:pStyle w:val="TableText0"/>
              <w:jc w:val="center"/>
            </w:pPr>
            <w:r w:rsidRPr="0058247A">
              <w:t>Month 7+ = $</w:t>
            </w:r>
            <w:r w:rsidR="006E73CD" w:rsidRPr="006E73CD">
              <w:rPr>
                <w:color w:val="000000"/>
                <w:shd w:val="solid" w:color="000000" w:fill="000000"/>
                <w14:textFill>
                  <w14:solidFill>
                    <w14:srgbClr w14:val="000000">
                      <w14:alpha w14:val="100000"/>
                    </w14:srgbClr>
                  </w14:solidFill>
                </w14:textFill>
              </w:rPr>
              <w:t>|</w:t>
            </w:r>
          </w:p>
          <w:p w14:paraId="2D846CDA" w14:textId="66984C12" w:rsidR="00D0470F" w:rsidRPr="0058247A" w:rsidRDefault="00D0470F" w:rsidP="00A25B4A">
            <w:pPr>
              <w:pStyle w:val="TableText0"/>
              <w:jc w:val="center"/>
              <w:rPr>
                <w:vertAlign w:val="superscript"/>
              </w:rPr>
            </w:pPr>
            <w:r w:rsidRPr="0058247A">
              <w:t>L: $3,222</w:t>
            </w:r>
            <w:r w:rsidR="005A3069" w:rsidRPr="0058247A">
              <w:t xml:space="preserve"> </w:t>
            </w:r>
            <w:r w:rsidR="005A3069" w:rsidRPr="0058247A">
              <w:rPr>
                <w:vertAlign w:val="superscript"/>
              </w:rPr>
              <w:t>a</w:t>
            </w:r>
          </w:p>
          <w:p w14:paraId="4C50B858" w14:textId="77777777" w:rsidR="00D0470F" w:rsidRPr="0058247A" w:rsidRDefault="00D0470F" w:rsidP="00A25B4A">
            <w:pPr>
              <w:pStyle w:val="TableText0"/>
              <w:jc w:val="center"/>
              <w:rPr>
                <w:bCs w:val="0"/>
              </w:rPr>
            </w:pPr>
            <w:r w:rsidRPr="0058247A">
              <w:t>d: $7</w:t>
            </w:r>
          </w:p>
        </w:tc>
        <w:tc>
          <w:tcPr>
            <w:tcW w:w="693" w:type="pct"/>
            <w:shd w:val="clear" w:color="auto" w:fill="FFFFFF" w:themeFill="background1"/>
            <w:vAlign w:val="center"/>
          </w:tcPr>
          <w:p w14:paraId="4FBCD6F1" w14:textId="3D4B7465" w:rsidR="00D0470F" w:rsidRPr="0058247A" w:rsidRDefault="00D0470F" w:rsidP="00A25B4A">
            <w:pPr>
              <w:pStyle w:val="TableText0"/>
              <w:jc w:val="center"/>
              <w:rPr>
                <w:bCs w:val="0"/>
                <w:vertAlign w:val="superscript"/>
              </w:rPr>
            </w:pPr>
            <w:r w:rsidRPr="0058247A">
              <w:rPr>
                <w:bCs w:val="0"/>
              </w:rPr>
              <w:t>L: $3,222</w:t>
            </w:r>
            <w:r w:rsidR="005A3069" w:rsidRPr="0058247A">
              <w:rPr>
                <w:bCs w:val="0"/>
              </w:rPr>
              <w:t xml:space="preserve"> </w:t>
            </w:r>
            <w:r w:rsidR="005A3069" w:rsidRPr="0058247A">
              <w:rPr>
                <w:bCs w:val="0"/>
                <w:vertAlign w:val="superscript"/>
              </w:rPr>
              <w:t>a</w:t>
            </w:r>
          </w:p>
          <w:p w14:paraId="1A8EC6A0" w14:textId="77777777" w:rsidR="00D0470F" w:rsidRPr="0058247A" w:rsidRDefault="00D0470F" w:rsidP="00A25B4A">
            <w:pPr>
              <w:pStyle w:val="TableText0"/>
              <w:jc w:val="center"/>
              <w:rPr>
                <w:bCs w:val="0"/>
              </w:rPr>
            </w:pPr>
            <w:r w:rsidRPr="0058247A">
              <w:rPr>
                <w:bCs w:val="0"/>
              </w:rPr>
              <w:t>d: $7</w:t>
            </w:r>
          </w:p>
        </w:tc>
        <w:tc>
          <w:tcPr>
            <w:tcW w:w="770" w:type="pct"/>
            <w:shd w:val="clear" w:color="auto" w:fill="FFFFFF" w:themeFill="background1"/>
            <w:vAlign w:val="center"/>
          </w:tcPr>
          <w:p w14:paraId="7266B141" w14:textId="77777777" w:rsidR="00D0470F" w:rsidRPr="0058247A" w:rsidRDefault="00D0470F" w:rsidP="00A25B4A">
            <w:pPr>
              <w:pStyle w:val="TableText0"/>
              <w:jc w:val="center"/>
              <w:rPr>
                <w:bCs w:val="0"/>
                <w:u w:val="single"/>
              </w:rPr>
            </w:pPr>
            <w:r w:rsidRPr="0058247A">
              <w:rPr>
                <w:bCs w:val="0"/>
                <w:u w:val="single"/>
              </w:rPr>
              <w:t>Ld</w:t>
            </w:r>
          </w:p>
          <w:p w14:paraId="68AAEF3D" w14:textId="5050EED6" w:rsidR="00D0470F" w:rsidRPr="0058247A" w:rsidRDefault="00D0470F" w:rsidP="00A25B4A">
            <w:pPr>
              <w:pStyle w:val="TableText0"/>
              <w:jc w:val="center"/>
              <w:rPr>
                <w:bCs w:val="0"/>
              </w:rPr>
            </w:pPr>
            <w:r w:rsidRPr="0058247A">
              <w:rPr>
                <w:bCs w:val="0"/>
              </w:rPr>
              <w:t>L: $3,222</w:t>
            </w:r>
            <w:r w:rsidR="00317395" w:rsidRPr="0058247A">
              <w:rPr>
                <w:bCs w:val="0"/>
              </w:rPr>
              <w:t xml:space="preserve"> </w:t>
            </w:r>
            <w:r w:rsidR="00317395" w:rsidRPr="0058247A">
              <w:rPr>
                <w:bCs w:val="0"/>
                <w:vertAlign w:val="superscript"/>
              </w:rPr>
              <w:t>a</w:t>
            </w:r>
          </w:p>
          <w:p w14:paraId="00A8F545" w14:textId="77777777" w:rsidR="00D0470F" w:rsidRPr="0058247A" w:rsidRDefault="00D0470F" w:rsidP="00A25B4A">
            <w:pPr>
              <w:pStyle w:val="TableText0"/>
              <w:jc w:val="center"/>
              <w:rPr>
                <w:bCs w:val="0"/>
              </w:rPr>
            </w:pPr>
            <w:r w:rsidRPr="0058247A">
              <w:rPr>
                <w:bCs w:val="0"/>
              </w:rPr>
              <w:t>d: $7</w:t>
            </w:r>
          </w:p>
          <w:p w14:paraId="6CD60013" w14:textId="77777777" w:rsidR="00D0470F" w:rsidRPr="0058247A" w:rsidRDefault="00D0470F" w:rsidP="00A25B4A">
            <w:pPr>
              <w:pStyle w:val="TableText0"/>
              <w:jc w:val="center"/>
              <w:rPr>
                <w:bCs w:val="0"/>
                <w:u w:val="single"/>
              </w:rPr>
            </w:pPr>
            <w:r w:rsidRPr="0058247A">
              <w:rPr>
                <w:bCs w:val="0"/>
                <w:u w:val="single"/>
              </w:rPr>
              <w:t>BLd</w:t>
            </w:r>
          </w:p>
          <w:p w14:paraId="68CDD8F4" w14:textId="3C47033E" w:rsidR="00D0470F" w:rsidRPr="0058247A" w:rsidRDefault="00D0470F" w:rsidP="00A25B4A">
            <w:pPr>
              <w:pStyle w:val="TableText0"/>
              <w:jc w:val="center"/>
              <w:rPr>
                <w:bCs w:val="0"/>
              </w:rPr>
            </w:pPr>
            <w:r w:rsidRPr="0058247A">
              <w:rPr>
                <w:bCs w:val="0"/>
              </w:rPr>
              <w:t>B: Month 1-6 = $2,694</w:t>
            </w:r>
          </w:p>
          <w:p w14:paraId="3C08FE5B" w14:textId="2E1AB5C9" w:rsidR="00D0470F" w:rsidRPr="0058247A" w:rsidRDefault="00D0470F" w:rsidP="00A25B4A">
            <w:pPr>
              <w:pStyle w:val="TableText0"/>
              <w:jc w:val="center"/>
              <w:rPr>
                <w:bCs w:val="0"/>
                <w:vertAlign w:val="superscript"/>
              </w:rPr>
            </w:pPr>
            <w:r w:rsidRPr="0058247A">
              <w:rPr>
                <w:bCs w:val="0"/>
              </w:rPr>
              <w:t>L: $3,222</w:t>
            </w:r>
            <w:r w:rsidR="005A3069" w:rsidRPr="0058247A">
              <w:rPr>
                <w:bCs w:val="0"/>
              </w:rPr>
              <w:t xml:space="preserve"> </w:t>
            </w:r>
            <w:r w:rsidR="005A3069" w:rsidRPr="0058247A">
              <w:rPr>
                <w:bCs w:val="0"/>
                <w:vertAlign w:val="superscript"/>
              </w:rPr>
              <w:t>a</w:t>
            </w:r>
          </w:p>
          <w:p w14:paraId="4012AA3F" w14:textId="77777777" w:rsidR="00D0470F" w:rsidRPr="0058247A" w:rsidRDefault="00D0470F" w:rsidP="00A25B4A">
            <w:pPr>
              <w:pStyle w:val="TableText0"/>
              <w:jc w:val="center"/>
              <w:rPr>
                <w:bCs w:val="0"/>
              </w:rPr>
            </w:pPr>
            <w:r w:rsidRPr="0058247A">
              <w:rPr>
                <w:bCs w:val="0"/>
              </w:rPr>
              <w:t>d: $7</w:t>
            </w:r>
          </w:p>
        </w:tc>
        <w:tc>
          <w:tcPr>
            <w:tcW w:w="768" w:type="pct"/>
            <w:shd w:val="clear" w:color="auto" w:fill="FFFFFF" w:themeFill="background1"/>
            <w:vAlign w:val="center"/>
          </w:tcPr>
          <w:p w14:paraId="271A0DC7" w14:textId="77777777" w:rsidR="00D0470F" w:rsidRPr="0058247A" w:rsidRDefault="00D0470F" w:rsidP="00A25B4A">
            <w:pPr>
              <w:pStyle w:val="TableText0"/>
              <w:jc w:val="center"/>
              <w:rPr>
                <w:bCs w:val="0"/>
                <w:u w:val="single"/>
              </w:rPr>
            </w:pPr>
            <w:r w:rsidRPr="0058247A">
              <w:rPr>
                <w:bCs w:val="0"/>
                <w:u w:val="single"/>
              </w:rPr>
              <w:t>Ld</w:t>
            </w:r>
          </w:p>
          <w:p w14:paraId="2D8F4B6F" w14:textId="07DF2ED2" w:rsidR="00D0470F" w:rsidRPr="0058247A" w:rsidRDefault="00D0470F" w:rsidP="00A25B4A">
            <w:pPr>
              <w:pStyle w:val="TableText0"/>
              <w:jc w:val="center"/>
              <w:rPr>
                <w:bCs w:val="0"/>
                <w:vertAlign w:val="superscript"/>
              </w:rPr>
            </w:pPr>
            <w:r w:rsidRPr="0058247A">
              <w:rPr>
                <w:bCs w:val="0"/>
              </w:rPr>
              <w:t>L: $6,445</w:t>
            </w:r>
            <w:r w:rsidR="00317395" w:rsidRPr="0058247A">
              <w:rPr>
                <w:bCs w:val="0"/>
                <w:vertAlign w:val="superscript"/>
              </w:rPr>
              <w:t xml:space="preserve"> b</w:t>
            </w:r>
          </w:p>
          <w:p w14:paraId="6D4DA761" w14:textId="77777777" w:rsidR="00D0470F" w:rsidRPr="0058247A" w:rsidRDefault="00D0470F" w:rsidP="00A25B4A">
            <w:pPr>
              <w:pStyle w:val="TableText0"/>
              <w:jc w:val="center"/>
              <w:rPr>
                <w:bCs w:val="0"/>
              </w:rPr>
            </w:pPr>
            <w:r w:rsidRPr="0058247A">
              <w:rPr>
                <w:bCs w:val="0"/>
              </w:rPr>
              <w:t>d: $7</w:t>
            </w:r>
          </w:p>
          <w:p w14:paraId="571B2E12" w14:textId="77777777" w:rsidR="00D0470F" w:rsidRPr="0058247A" w:rsidRDefault="00D0470F" w:rsidP="00A25B4A">
            <w:pPr>
              <w:pStyle w:val="TableText0"/>
              <w:jc w:val="center"/>
              <w:rPr>
                <w:bCs w:val="0"/>
                <w:u w:val="single"/>
              </w:rPr>
            </w:pPr>
            <w:r w:rsidRPr="0058247A">
              <w:rPr>
                <w:bCs w:val="0"/>
                <w:u w:val="single"/>
              </w:rPr>
              <w:t>BLd</w:t>
            </w:r>
          </w:p>
          <w:p w14:paraId="48C34FDD" w14:textId="0B543F43" w:rsidR="00D0470F" w:rsidRPr="0058247A" w:rsidRDefault="00D0470F" w:rsidP="00A25B4A">
            <w:pPr>
              <w:pStyle w:val="TableText0"/>
              <w:jc w:val="center"/>
              <w:rPr>
                <w:bCs w:val="0"/>
              </w:rPr>
            </w:pPr>
            <w:r w:rsidRPr="0058247A">
              <w:rPr>
                <w:bCs w:val="0"/>
              </w:rPr>
              <w:t>B: Month 1-6 = $2,694</w:t>
            </w:r>
          </w:p>
          <w:p w14:paraId="07DBBDA3" w14:textId="73BF4920" w:rsidR="00D0470F" w:rsidRPr="0058247A" w:rsidRDefault="00D0470F" w:rsidP="00A25B4A">
            <w:pPr>
              <w:pStyle w:val="TableText0"/>
              <w:jc w:val="center"/>
              <w:rPr>
                <w:bCs w:val="0"/>
                <w:vertAlign w:val="superscript"/>
              </w:rPr>
            </w:pPr>
            <w:r w:rsidRPr="0058247A">
              <w:rPr>
                <w:bCs w:val="0"/>
              </w:rPr>
              <w:t>L: $6,445</w:t>
            </w:r>
            <w:r w:rsidRPr="0058247A">
              <w:rPr>
                <w:bCs w:val="0"/>
                <w:vertAlign w:val="superscript"/>
              </w:rPr>
              <w:t xml:space="preserve"> </w:t>
            </w:r>
            <w:r w:rsidR="005A3069" w:rsidRPr="0058247A">
              <w:rPr>
                <w:bCs w:val="0"/>
                <w:vertAlign w:val="superscript"/>
              </w:rPr>
              <w:t>b</w:t>
            </w:r>
          </w:p>
          <w:p w14:paraId="1406BC5B" w14:textId="77777777" w:rsidR="00D0470F" w:rsidRPr="0058247A" w:rsidRDefault="00D0470F" w:rsidP="00A25B4A">
            <w:pPr>
              <w:pStyle w:val="TableText0"/>
              <w:jc w:val="center"/>
              <w:rPr>
                <w:bCs w:val="0"/>
              </w:rPr>
            </w:pPr>
            <w:r w:rsidRPr="0058247A">
              <w:rPr>
                <w:bCs w:val="0"/>
              </w:rPr>
              <w:t>d: $7</w:t>
            </w:r>
          </w:p>
        </w:tc>
      </w:tr>
      <w:tr w:rsidR="00D0470F" w:rsidRPr="0058247A" w14:paraId="29D60276" w14:textId="77777777" w:rsidTr="003D46D8">
        <w:trPr>
          <w:cantSplit/>
          <w:jc w:val="center"/>
        </w:trPr>
        <w:tc>
          <w:tcPr>
            <w:tcW w:w="831" w:type="pct"/>
            <w:shd w:val="clear" w:color="auto" w:fill="auto"/>
            <w:vAlign w:val="center"/>
          </w:tcPr>
          <w:p w14:paraId="5529F54F" w14:textId="0C654092" w:rsidR="00D0470F" w:rsidRPr="0058247A" w:rsidRDefault="00D0470F" w:rsidP="00A25B4A">
            <w:pPr>
              <w:pStyle w:val="TableText0"/>
              <w:rPr>
                <w:vertAlign w:val="superscript"/>
              </w:rPr>
            </w:pPr>
            <w:r w:rsidRPr="0058247A">
              <w:t>Cost/patient/course</w:t>
            </w:r>
            <w:r w:rsidR="005A3069" w:rsidRPr="0058247A">
              <w:rPr>
                <w:vertAlign w:val="superscript"/>
              </w:rPr>
              <w:t>c</w:t>
            </w:r>
            <w:r w:rsidRPr="0058247A">
              <w:t xml:space="preserve"> </w:t>
            </w:r>
          </w:p>
        </w:tc>
        <w:tc>
          <w:tcPr>
            <w:tcW w:w="629" w:type="pct"/>
            <w:shd w:val="clear" w:color="auto" w:fill="auto"/>
            <w:vAlign w:val="center"/>
          </w:tcPr>
          <w:p w14:paraId="45B4AFF7" w14:textId="65ADC96F" w:rsidR="00D0470F" w:rsidRPr="0058247A" w:rsidRDefault="00D0470F" w:rsidP="00A25B4A">
            <w:pPr>
              <w:pStyle w:val="TableText0"/>
              <w:jc w:val="center"/>
              <w:rPr>
                <w:szCs w:val="20"/>
                <w:vertAlign w:val="superscript"/>
              </w:rPr>
            </w:pPr>
            <w:r w:rsidRPr="0058247A">
              <w:rPr>
                <w:rFonts w:cs="Calibri"/>
                <w:color w:val="000000"/>
                <w:szCs w:val="20"/>
              </w:rPr>
              <w:t>$</w:t>
            </w:r>
            <w:r w:rsidR="006E73CD" w:rsidRPr="00E93FF7">
              <w:rPr>
                <w:rFonts w:cs="Calibri"/>
                <w:color w:val="000000"/>
                <w:spacing w:val="67"/>
                <w:szCs w:val="20"/>
                <w:shd w:val="solid" w:color="000000" w:fill="000000"/>
                <w:fitText w:val="374" w:id="-1236536817"/>
                <w14:textFill>
                  <w14:solidFill>
                    <w14:srgbClr w14:val="000000">
                      <w14:alpha w14:val="100000"/>
                    </w14:srgbClr>
                  </w14:solidFill>
                </w14:textFill>
              </w:rPr>
              <w:t>|||</w:t>
            </w:r>
            <w:r w:rsidR="006E73CD" w:rsidRPr="00E93FF7">
              <w:rPr>
                <w:rFonts w:cs="Calibri"/>
                <w:color w:val="000000"/>
                <w:spacing w:val="3"/>
                <w:szCs w:val="20"/>
                <w:shd w:val="solid" w:color="000000" w:fill="000000"/>
                <w:fitText w:val="374" w:id="-1236536817"/>
                <w14:textFill>
                  <w14:solidFill>
                    <w14:srgbClr w14:val="000000">
                      <w14:alpha w14:val="100000"/>
                    </w14:srgbClr>
                  </w14:solidFill>
                </w14:textFill>
              </w:rPr>
              <w:t>|</w:t>
            </w:r>
          </w:p>
        </w:tc>
        <w:tc>
          <w:tcPr>
            <w:tcW w:w="616" w:type="pct"/>
            <w:shd w:val="clear" w:color="auto" w:fill="auto"/>
            <w:vAlign w:val="center"/>
          </w:tcPr>
          <w:p w14:paraId="3FCF6F85" w14:textId="7DC6E9C5" w:rsidR="00D0470F" w:rsidRPr="0058247A" w:rsidRDefault="00D0470F" w:rsidP="00A25B4A">
            <w:pPr>
              <w:pStyle w:val="TableText0"/>
              <w:jc w:val="center"/>
              <w:rPr>
                <w:szCs w:val="20"/>
              </w:rPr>
            </w:pPr>
            <w:r w:rsidRPr="0058247A">
              <w:rPr>
                <w:rFonts w:cs="Calibri"/>
                <w:color w:val="000000"/>
                <w:szCs w:val="20"/>
              </w:rPr>
              <w:t>$</w:t>
            </w:r>
            <w:r w:rsidR="006E73CD" w:rsidRPr="006E73CD">
              <w:rPr>
                <w:rFonts w:cs="Calibri"/>
                <w:color w:val="000000"/>
                <w:spacing w:val="70"/>
                <w:szCs w:val="20"/>
                <w:shd w:val="solid" w:color="000000" w:fill="000000"/>
                <w:fitText w:val="382" w:id="-1236536816"/>
                <w14:textFill>
                  <w14:solidFill>
                    <w14:srgbClr w14:val="000000">
                      <w14:alpha w14:val="100000"/>
                    </w14:srgbClr>
                  </w14:solidFill>
                </w14:textFill>
              </w:rPr>
              <w:t>|||</w:t>
            </w:r>
            <w:r w:rsidR="006E73CD" w:rsidRPr="006E73CD">
              <w:rPr>
                <w:rFonts w:cs="Calibri"/>
                <w:color w:val="000000"/>
                <w:spacing w:val="2"/>
                <w:szCs w:val="20"/>
                <w:shd w:val="solid" w:color="000000" w:fill="000000"/>
                <w:fitText w:val="382" w:id="-1236536816"/>
                <w14:textFill>
                  <w14:solidFill>
                    <w14:srgbClr w14:val="000000">
                      <w14:alpha w14:val="100000"/>
                    </w14:srgbClr>
                  </w14:solidFill>
                </w14:textFill>
              </w:rPr>
              <w:t>|</w:t>
            </w:r>
            <w:r w:rsidRPr="0058247A">
              <w:rPr>
                <w:rFonts w:cs="Calibri"/>
                <w:color w:val="000000"/>
                <w:szCs w:val="20"/>
              </w:rPr>
              <w:t xml:space="preserve"> </w:t>
            </w:r>
          </w:p>
        </w:tc>
        <w:tc>
          <w:tcPr>
            <w:tcW w:w="692" w:type="pct"/>
            <w:vAlign w:val="center"/>
          </w:tcPr>
          <w:p w14:paraId="13F62486" w14:textId="00F8B937" w:rsidR="00D0470F" w:rsidRPr="0058247A" w:rsidRDefault="00D0470F" w:rsidP="00A25B4A">
            <w:pPr>
              <w:pStyle w:val="TableText0"/>
              <w:jc w:val="center"/>
              <w:rPr>
                <w:szCs w:val="20"/>
              </w:rPr>
            </w:pPr>
            <w:r w:rsidRPr="0058247A">
              <w:rPr>
                <w:rFonts w:cs="Calibri"/>
                <w:color w:val="000000"/>
                <w:szCs w:val="20"/>
              </w:rPr>
              <w:t>$</w:t>
            </w:r>
            <w:r w:rsidR="006E73CD" w:rsidRPr="006E73CD">
              <w:rPr>
                <w:rFonts w:cs="Calibri"/>
                <w:color w:val="000000"/>
                <w:spacing w:val="48"/>
                <w:szCs w:val="20"/>
                <w:shd w:val="solid" w:color="000000" w:fill="000000"/>
                <w:fitText w:val="316" w:id="-1236536832"/>
                <w14:textFill>
                  <w14:solidFill>
                    <w14:srgbClr w14:val="000000">
                      <w14:alpha w14:val="100000"/>
                    </w14:srgbClr>
                  </w14:solidFill>
                </w14:textFill>
              </w:rPr>
              <w:t>|||</w:t>
            </w:r>
            <w:r w:rsidR="006E73CD" w:rsidRPr="006E73CD">
              <w:rPr>
                <w:rFonts w:cs="Calibri"/>
                <w:color w:val="000000"/>
                <w:spacing w:val="2"/>
                <w:szCs w:val="20"/>
                <w:shd w:val="solid" w:color="000000" w:fill="000000"/>
                <w:fitText w:val="316" w:id="-1236536832"/>
                <w14:textFill>
                  <w14:solidFill>
                    <w14:srgbClr w14:val="000000">
                      <w14:alpha w14:val="100000"/>
                    </w14:srgbClr>
                  </w14:solidFill>
                </w14:textFill>
              </w:rPr>
              <w:t>|</w:t>
            </w:r>
            <w:r w:rsidRPr="0058247A">
              <w:rPr>
                <w:rFonts w:cs="Calibri"/>
                <w:color w:val="000000"/>
                <w:szCs w:val="20"/>
              </w:rPr>
              <w:t xml:space="preserve"> </w:t>
            </w:r>
          </w:p>
        </w:tc>
        <w:tc>
          <w:tcPr>
            <w:tcW w:w="693" w:type="pct"/>
            <w:shd w:val="clear" w:color="auto" w:fill="FFFFFF" w:themeFill="background1"/>
            <w:vAlign w:val="center"/>
          </w:tcPr>
          <w:p w14:paraId="64E3EF09" w14:textId="77777777" w:rsidR="00D0470F" w:rsidRPr="0058247A" w:rsidRDefault="00D0470F" w:rsidP="00A25B4A">
            <w:pPr>
              <w:pStyle w:val="TableText0"/>
              <w:jc w:val="center"/>
              <w:rPr>
                <w:bCs w:val="0"/>
              </w:rPr>
            </w:pPr>
            <w:r w:rsidRPr="0058247A">
              <w:rPr>
                <w:bCs w:val="0"/>
              </w:rPr>
              <w:t>$75,492</w:t>
            </w:r>
          </w:p>
        </w:tc>
        <w:tc>
          <w:tcPr>
            <w:tcW w:w="770" w:type="pct"/>
            <w:shd w:val="clear" w:color="auto" w:fill="FFFFFF" w:themeFill="background1"/>
            <w:vAlign w:val="center"/>
          </w:tcPr>
          <w:p w14:paraId="17561B9E" w14:textId="77777777" w:rsidR="00D0470F" w:rsidRPr="0058247A" w:rsidRDefault="00D0470F" w:rsidP="00A25B4A">
            <w:pPr>
              <w:pStyle w:val="TableText0"/>
              <w:jc w:val="center"/>
              <w:rPr>
                <w:bCs w:val="0"/>
              </w:rPr>
            </w:pPr>
            <w:r w:rsidRPr="0058247A">
              <w:rPr>
                <w:bCs w:val="0"/>
              </w:rPr>
              <w:t>Ld: $85,351</w:t>
            </w:r>
          </w:p>
          <w:p w14:paraId="5D6E2CBA" w14:textId="77777777" w:rsidR="00D0470F" w:rsidRPr="0058247A" w:rsidRDefault="00D0470F" w:rsidP="00A25B4A">
            <w:pPr>
              <w:pStyle w:val="TableText0"/>
              <w:jc w:val="center"/>
              <w:rPr>
                <w:bCs w:val="0"/>
              </w:rPr>
            </w:pPr>
            <w:r w:rsidRPr="0058247A">
              <w:rPr>
                <w:bCs w:val="0"/>
              </w:rPr>
              <w:t>BLd: $98,266</w:t>
            </w:r>
          </w:p>
        </w:tc>
        <w:tc>
          <w:tcPr>
            <w:tcW w:w="768" w:type="pct"/>
            <w:shd w:val="clear" w:color="auto" w:fill="FFFFFF" w:themeFill="background1"/>
            <w:vAlign w:val="center"/>
          </w:tcPr>
          <w:p w14:paraId="66B6BB7A" w14:textId="77777777" w:rsidR="00D0470F" w:rsidRPr="0058247A" w:rsidRDefault="00D0470F" w:rsidP="00A25B4A">
            <w:pPr>
              <w:pStyle w:val="TableText0"/>
              <w:jc w:val="center"/>
              <w:rPr>
                <w:bCs w:val="0"/>
              </w:rPr>
            </w:pPr>
            <w:r w:rsidRPr="0058247A">
              <w:rPr>
                <w:bCs w:val="0"/>
              </w:rPr>
              <w:t>Ld: $170,545</w:t>
            </w:r>
          </w:p>
          <w:p w14:paraId="0B432458" w14:textId="77777777" w:rsidR="00D0470F" w:rsidRPr="0058247A" w:rsidRDefault="00D0470F" w:rsidP="00A25B4A">
            <w:pPr>
              <w:pStyle w:val="TableText0"/>
              <w:jc w:val="center"/>
              <w:rPr>
                <w:bCs w:val="0"/>
              </w:rPr>
            </w:pPr>
            <w:r w:rsidRPr="0058247A">
              <w:rPr>
                <w:bCs w:val="0"/>
              </w:rPr>
              <w:t>BLd: $98,266</w:t>
            </w:r>
          </w:p>
        </w:tc>
      </w:tr>
    </w:tbl>
    <w:p w14:paraId="12292F14" w14:textId="77777777" w:rsidR="00D0470F" w:rsidRPr="0058247A" w:rsidRDefault="00D0470F" w:rsidP="00D0470F">
      <w:pPr>
        <w:pStyle w:val="FooterTableFigure"/>
        <w:rPr>
          <w:szCs w:val="18"/>
        </w:rPr>
      </w:pPr>
      <w:r w:rsidRPr="0058247A">
        <w:t xml:space="preserve">Source: </w:t>
      </w:r>
      <w:r w:rsidRPr="0058247A">
        <w:rPr>
          <w:szCs w:val="18"/>
        </w:rPr>
        <w:t>Compiled during the evaluation using the information from the economic model; Table 8, p41 of Attachment 2.5 MAIA CSR (primary analysis for actual dose in MAIA</w:t>
      </w:r>
    </w:p>
    <w:p w14:paraId="50FFCD4F" w14:textId="77777777" w:rsidR="00D0470F" w:rsidRPr="0058247A" w:rsidRDefault="00D0470F" w:rsidP="00D0470F">
      <w:pPr>
        <w:pStyle w:val="FooterTableFigure"/>
        <w:rPr>
          <w:szCs w:val="18"/>
        </w:rPr>
      </w:pPr>
      <w:r w:rsidRPr="0058247A">
        <w:rPr>
          <w:rFonts w:eastAsia="Calibri"/>
          <w:szCs w:val="20"/>
        </w:rPr>
        <w:t xml:space="preserve">B = bortezomib; BLd = bortezomib, lenalidomide and dexamethasone; d = dexamethasone; </w:t>
      </w:r>
      <w:r w:rsidRPr="0058247A">
        <w:rPr>
          <w:szCs w:val="18"/>
        </w:rPr>
        <w:t xml:space="preserve">DLd = daratumumab with lenalidomide and dexamethasone; </w:t>
      </w:r>
      <w:r w:rsidRPr="0058247A">
        <w:rPr>
          <w:rFonts w:eastAsia="Calibri"/>
          <w:szCs w:val="20"/>
        </w:rPr>
        <w:t>L = lenalidomide</w:t>
      </w:r>
      <w:r w:rsidRPr="0058247A">
        <w:rPr>
          <w:szCs w:val="18"/>
        </w:rPr>
        <w:t xml:space="preserve">; </w:t>
      </w:r>
      <w:r w:rsidRPr="0058247A">
        <w:rPr>
          <w:rFonts w:eastAsia="Calibri"/>
          <w:szCs w:val="20"/>
        </w:rPr>
        <w:t>Ld = lenalidomide and dexamethasone;</w:t>
      </w:r>
      <w:r w:rsidRPr="0058247A">
        <w:rPr>
          <w:szCs w:val="18"/>
        </w:rPr>
        <w:t xml:space="preserve"> NA = not applicable; SoC = standard of care</w:t>
      </w:r>
    </w:p>
    <w:p w14:paraId="2AA83F00" w14:textId="07B2257D" w:rsidR="005A3069" w:rsidRPr="0058247A" w:rsidRDefault="005A3069" w:rsidP="00D0470F">
      <w:pPr>
        <w:pStyle w:val="FooterTableFigure"/>
        <w:rPr>
          <w:szCs w:val="18"/>
        </w:rPr>
      </w:pPr>
      <w:r w:rsidRPr="0058247A">
        <w:rPr>
          <w:szCs w:val="18"/>
          <w:vertAlign w:val="superscript"/>
        </w:rPr>
        <w:t xml:space="preserve">a </w:t>
      </w:r>
      <w:r w:rsidRPr="0058247A">
        <w:rPr>
          <w:szCs w:val="18"/>
        </w:rPr>
        <w:t>assumed effective price (50% of the published price)</w:t>
      </w:r>
    </w:p>
    <w:p w14:paraId="00742EA3" w14:textId="79120540" w:rsidR="00D0470F" w:rsidRPr="0058247A" w:rsidRDefault="005A3069" w:rsidP="00D0470F">
      <w:pPr>
        <w:pStyle w:val="FooterTableFigure"/>
        <w:rPr>
          <w:szCs w:val="18"/>
        </w:rPr>
      </w:pPr>
      <w:r w:rsidRPr="0058247A">
        <w:rPr>
          <w:szCs w:val="18"/>
          <w:vertAlign w:val="superscript"/>
        </w:rPr>
        <w:t>b</w:t>
      </w:r>
      <w:r w:rsidR="00D0470F" w:rsidRPr="0058247A">
        <w:rPr>
          <w:szCs w:val="18"/>
          <w:vertAlign w:val="superscript"/>
        </w:rPr>
        <w:t xml:space="preserve"> </w:t>
      </w:r>
      <w:r w:rsidR="00D0470F" w:rsidRPr="0058247A">
        <w:rPr>
          <w:szCs w:val="18"/>
        </w:rPr>
        <w:t>the submission used the published price of lenalidomide in the financial estimate.</w:t>
      </w:r>
    </w:p>
    <w:p w14:paraId="5CCD70D5" w14:textId="06D28192" w:rsidR="00A93EBE" w:rsidRPr="0058247A" w:rsidRDefault="005A3069" w:rsidP="00D0470F">
      <w:pPr>
        <w:pStyle w:val="FooterTableFigure"/>
      </w:pPr>
      <w:r w:rsidRPr="0058247A">
        <w:rPr>
          <w:szCs w:val="18"/>
          <w:vertAlign w:val="superscript"/>
        </w:rPr>
        <w:t>c</w:t>
      </w:r>
      <w:r w:rsidR="00A93EBE" w:rsidRPr="0058247A">
        <w:rPr>
          <w:szCs w:val="18"/>
        </w:rPr>
        <w:t xml:space="preserve"> the estimates shown are derived by multiplying the mean dose (expressed as proportion i.e. 0.958) by the cost per patient per month (based on a full month of treatment) by the mean duration of treatment in months.</w:t>
      </w:r>
    </w:p>
    <w:p w14:paraId="687E05A7" w14:textId="77777777" w:rsidR="001D7ABE" w:rsidRPr="0058247A" w:rsidRDefault="001D7ABE" w:rsidP="001D7ABE">
      <w:pPr>
        <w:pStyle w:val="4-SubsectionHeading"/>
      </w:pPr>
      <w:bookmarkStart w:id="110" w:name="_Toc124878979"/>
      <w:r w:rsidRPr="0058247A">
        <w:t>Estimated PBS usage &amp; financial implications</w:t>
      </w:r>
      <w:bookmarkEnd w:id="108"/>
      <w:bookmarkEnd w:id="109"/>
      <w:bookmarkEnd w:id="110"/>
    </w:p>
    <w:p w14:paraId="45ABD5C6" w14:textId="038759E2" w:rsidR="001D7ABE" w:rsidRPr="0058247A" w:rsidRDefault="001D7ABE" w:rsidP="00720D59">
      <w:pPr>
        <w:pStyle w:val="3-BodyText"/>
        <w:rPr>
          <w:color w:val="0066FF"/>
        </w:rPr>
      </w:pPr>
      <w:r w:rsidRPr="0058247A">
        <w:t xml:space="preserve">This submission </w:t>
      </w:r>
      <w:r w:rsidR="00E144C1" w:rsidRPr="0058247A">
        <w:t xml:space="preserve">was </w:t>
      </w:r>
      <w:r w:rsidR="00FD1561" w:rsidRPr="0058247A">
        <w:t xml:space="preserve">not </w:t>
      </w:r>
      <w:r w:rsidRPr="0058247A">
        <w:t>considered by DUSC.</w:t>
      </w:r>
      <w:r w:rsidRPr="0058247A">
        <w:rPr>
          <w:color w:val="0070C0"/>
        </w:rPr>
        <w:t xml:space="preserve"> </w:t>
      </w:r>
      <w:r w:rsidRPr="0058247A">
        <w:t xml:space="preserve">The submission used an epidemiological approach to estimate the financial implications. A summary of the key inputs used in the estimation is presented in </w:t>
      </w:r>
      <w:r w:rsidRPr="0058247A">
        <w:fldChar w:fldCharType="begin"/>
      </w:r>
      <w:r w:rsidRPr="0058247A">
        <w:instrText xml:space="preserve"> REF _Ref104805262 \h  \* MERGEFORMAT </w:instrText>
      </w:r>
      <w:r w:rsidRPr="0058247A">
        <w:fldChar w:fldCharType="separate"/>
      </w:r>
      <w:r w:rsidR="008D65C7" w:rsidRPr="0058247A">
        <w:t xml:space="preserve">Table </w:t>
      </w:r>
      <w:r w:rsidR="008D65C7">
        <w:t>20</w:t>
      </w:r>
      <w:r w:rsidRPr="0058247A">
        <w:fldChar w:fldCharType="end"/>
      </w:r>
      <w:r w:rsidRPr="0058247A">
        <w:t xml:space="preserve">. </w:t>
      </w:r>
    </w:p>
    <w:p w14:paraId="6C34DB4D" w14:textId="45863288" w:rsidR="001D7ABE" w:rsidRPr="0058247A" w:rsidRDefault="001D7ABE" w:rsidP="001D7ABE">
      <w:pPr>
        <w:pStyle w:val="Caption"/>
        <w:rPr>
          <w:rStyle w:val="CommentReference"/>
          <w:b/>
          <w:szCs w:val="24"/>
        </w:rPr>
      </w:pPr>
      <w:bookmarkStart w:id="111" w:name="_Ref104805262"/>
      <w:r w:rsidRPr="0058247A">
        <w:lastRenderedPageBreak/>
        <w:t xml:space="preserve">Table </w:t>
      </w:r>
      <w:fldSimple w:instr=" SEQ Table \* ARABIC ">
        <w:r w:rsidR="008D65C7">
          <w:rPr>
            <w:noProof/>
          </w:rPr>
          <w:t>20</w:t>
        </w:r>
      </w:fldSimple>
      <w:bookmarkEnd w:id="111"/>
      <w:r w:rsidRPr="0058247A">
        <w:t>:</w:t>
      </w:r>
      <w:r w:rsidRPr="0058247A">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4112"/>
        <w:gridCol w:w="3634"/>
      </w:tblGrid>
      <w:tr w:rsidR="001D7ABE" w:rsidRPr="006154DA" w14:paraId="6BA3AAF6" w14:textId="77777777" w:rsidTr="0015148F">
        <w:trPr>
          <w:tblHeader/>
        </w:trPr>
        <w:tc>
          <w:tcPr>
            <w:tcW w:w="705" w:type="pct"/>
            <w:shd w:val="clear" w:color="auto" w:fill="auto"/>
          </w:tcPr>
          <w:p w14:paraId="42CE1906" w14:textId="77777777" w:rsidR="001D7ABE" w:rsidRPr="006154DA" w:rsidRDefault="001D7ABE" w:rsidP="0015148F">
            <w:pPr>
              <w:pStyle w:val="In-tableHeading"/>
              <w:rPr>
                <w:lang w:val="en-AU"/>
              </w:rPr>
            </w:pPr>
            <w:r w:rsidRPr="006154DA">
              <w:rPr>
                <w:lang w:val="en-AU"/>
              </w:rPr>
              <w:t>Parameter</w:t>
            </w:r>
          </w:p>
        </w:tc>
        <w:tc>
          <w:tcPr>
            <w:tcW w:w="2280" w:type="pct"/>
            <w:shd w:val="clear" w:color="auto" w:fill="auto"/>
          </w:tcPr>
          <w:p w14:paraId="77A2E55A" w14:textId="77777777" w:rsidR="001D7ABE" w:rsidRPr="006154DA" w:rsidRDefault="001D7ABE" w:rsidP="0015148F">
            <w:pPr>
              <w:pStyle w:val="In-tableHeading"/>
              <w:rPr>
                <w:lang w:val="en-AU"/>
              </w:rPr>
            </w:pPr>
            <w:r w:rsidRPr="006154DA">
              <w:rPr>
                <w:lang w:val="en-AU"/>
              </w:rPr>
              <w:t>Value applied and source</w:t>
            </w:r>
          </w:p>
        </w:tc>
        <w:tc>
          <w:tcPr>
            <w:tcW w:w="2016" w:type="pct"/>
            <w:shd w:val="clear" w:color="auto" w:fill="auto"/>
          </w:tcPr>
          <w:p w14:paraId="3F45964C" w14:textId="77777777" w:rsidR="001D7ABE" w:rsidRPr="006154DA" w:rsidRDefault="001D7ABE" w:rsidP="0015148F">
            <w:pPr>
              <w:pStyle w:val="In-tableHeading"/>
              <w:rPr>
                <w:lang w:val="en-AU"/>
              </w:rPr>
            </w:pPr>
            <w:r w:rsidRPr="006154DA">
              <w:rPr>
                <w:lang w:val="en-AU"/>
              </w:rPr>
              <w:t>Comment</w:t>
            </w:r>
          </w:p>
        </w:tc>
      </w:tr>
      <w:tr w:rsidR="001D7ABE" w:rsidRPr="006154DA" w14:paraId="7B9F66AF" w14:textId="77777777" w:rsidTr="0015148F">
        <w:tc>
          <w:tcPr>
            <w:tcW w:w="705" w:type="pct"/>
            <w:shd w:val="clear" w:color="auto" w:fill="auto"/>
          </w:tcPr>
          <w:p w14:paraId="00E298E8" w14:textId="77777777" w:rsidR="001D7ABE" w:rsidRPr="006154DA" w:rsidRDefault="001D7ABE" w:rsidP="0015148F">
            <w:pPr>
              <w:pStyle w:val="TableText0"/>
            </w:pPr>
            <w:r w:rsidRPr="006154DA">
              <w:t>Incident patients</w:t>
            </w:r>
          </w:p>
        </w:tc>
        <w:tc>
          <w:tcPr>
            <w:tcW w:w="2280" w:type="pct"/>
            <w:shd w:val="clear" w:color="auto" w:fill="auto"/>
          </w:tcPr>
          <w:p w14:paraId="1010A160" w14:textId="77777777" w:rsidR="001D7ABE" w:rsidRPr="006154DA" w:rsidRDefault="001D7ABE" w:rsidP="0015148F">
            <w:pPr>
              <w:pStyle w:val="TableText0"/>
            </w:pPr>
            <w:r w:rsidRPr="006154DA">
              <w:t xml:space="preserve">1,574 in Yr 1 increased to 1,848 in Yr 6. A total of 17% increase or 3.3% annually. </w:t>
            </w:r>
            <w:r w:rsidRPr="006154DA">
              <w:rPr>
                <w:szCs w:val="20"/>
              </w:rPr>
              <w:t>Projected based on DUSC 2014 to 2019 data requested by the sponsor (BLd TI, Ld TI, and thalidomide)</w:t>
            </w:r>
          </w:p>
        </w:tc>
        <w:tc>
          <w:tcPr>
            <w:tcW w:w="2016" w:type="pct"/>
            <w:shd w:val="clear" w:color="auto" w:fill="auto"/>
          </w:tcPr>
          <w:p w14:paraId="690B8FFA" w14:textId="2D70102C" w:rsidR="001D7ABE" w:rsidRPr="006154DA" w:rsidRDefault="001D7ABE" w:rsidP="0015148F">
            <w:pPr>
              <w:pStyle w:val="TableText0"/>
            </w:pPr>
            <w:r w:rsidRPr="006154DA">
              <w:rPr>
                <w:szCs w:val="20"/>
              </w:rPr>
              <w:t>Likely overestimate. The total growth of incident patients projected over the 6 years (17%) is higher than a previous estimate for a similar setting in MM seen by the PBAC (11%; paragraph 5.37, daratumumab, PBAC minute</w:t>
            </w:r>
            <w:r w:rsidR="00B310A8" w:rsidRPr="006154DA">
              <w:rPr>
                <w:szCs w:val="20"/>
              </w:rPr>
              <w:t>,</w:t>
            </w:r>
            <w:r w:rsidRPr="006154DA">
              <w:rPr>
                <w:szCs w:val="20"/>
              </w:rPr>
              <w:t xml:space="preserve"> Jul</w:t>
            </w:r>
            <w:r w:rsidR="00B310A8" w:rsidRPr="006154DA">
              <w:rPr>
                <w:szCs w:val="20"/>
              </w:rPr>
              <w:t>y</w:t>
            </w:r>
            <w:r w:rsidRPr="006154DA">
              <w:rPr>
                <w:szCs w:val="20"/>
              </w:rPr>
              <w:t xml:space="preserve"> 2020). </w:t>
            </w:r>
            <w:r w:rsidR="00305A0E" w:rsidRPr="006154DA">
              <w:rPr>
                <w:szCs w:val="20"/>
              </w:rPr>
              <w:t>The PSCR state</w:t>
            </w:r>
            <w:r w:rsidR="00B310A8" w:rsidRPr="006154DA">
              <w:rPr>
                <w:szCs w:val="20"/>
              </w:rPr>
              <w:t>d</w:t>
            </w:r>
            <w:r w:rsidR="00305A0E" w:rsidRPr="006154DA">
              <w:rPr>
                <w:szCs w:val="20"/>
              </w:rPr>
              <w:t xml:space="preserve"> that the growth rate in the second-line setting </w:t>
            </w:r>
            <w:r w:rsidR="00B310A8" w:rsidRPr="006154DA">
              <w:rPr>
                <w:szCs w:val="20"/>
              </w:rPr>
              <w:t>wa</w:t>
            </w:r>
            <w:r w:rsidR="00305A0E" w:rsidRPr="006154DA">
              <w:rPr>
                <w:szCs w:val="20"/>
              </w:rPr>
              <w:t>s not comparable as it was informed by all patients with NDMM, not just those with TI NDMM.</w:t>
            </w:r>
          </w:p>
        </w:tc>
      </w:tr>
      <w:tr w:rsidR="001D7ABE" w:rsidRPr="006154DA" w14:paraId="1F92FFC8" w14:textId="77777777" w:rsidTr="0015148F">
        <w:tc>
          <w:tcPr>
            <w:tcW w:w="705" w:type="pct"/>
            <w:shd w:val="clear" w:color="auto" w:fill="auto"/>
          </w:tcPr>
          <w:p w14:paraId="2D334FA5" w14:textId="77777777" w:rsidR="001D7ABE" w:rsidRPr="006154DA" w:rsidRDefault="001D7ABE" w:rsidP="0015148F">
            <w:pPr>
              <w:pStyle w:val="TableText0"/>
            </w:pPr>
            <w:r w:rsidRPr="006154DA">
              <w:rPr>
                <w:szCs w:val="20"/>
              </w:rPr>
              <w:t>Grandfather patients</w:t>
            </w:r>
          </w:p>
        </w:tc>
        <w:tc>
          <w:tcPr>
            <w:tcW w:w="2280" w:type="pct"/>
            <w:shd w:val="clear" w:color="auto" w:fill="auto"/>
          </w:tcPr>
          <w:p w14:paraId="24834163" w14:textId="20984C38" w:rsidR="001D7ABE" w:rsidRPr="006154DA" w:rsidRDefault="00317395" w:rsidP="0015148F">
            <w:pPr>
              <w:pStyle w:val="TableText0"/>
            </w:pPr>
            <w:r>
              <w:rPr>
                <w:szCs w:val="20"/>
              </w:rPr>
              <w:t>&lt; 500</w:t>
            </w:r>
            <w:r w:rsidRPr="006154DA">
              <w:rPr>
                <w:szCs w:val="20"/>
              </w:rPr>
              <w:t xml:space="preserve"> </w:t>
            </w:r>
            <w:r w:rsidR="001D7ABE" w:rsidRPr="006154DA">
              <w:rPr>
                <w:szCs w:val="20"/>
              </w:rPr>
              <w:t>patients. Internal data from the submission.</w:t>
            </w:r>
          </w:p>
        </w:tc>
        <w:tc>
          <w:tcPr>
            <w:tcW w:w="2016" w:type="pct"/>
            <w:shd w:val="clear" w:color="auto" w:fill="auto"/>
          </w:tcPr>
          <w:p w14:paraId="5A7041A3" w14:textId="57E34D02" w:rsidR="001D7ABE" w:rsidRPr="006154DA" w:rsidRDefault="001D7ABE" w:rsidP="0015148F">
            <w:pPr>
              <w:pStyle w:val="TableText0"/>
            </w:pPr>
            <w:r w:rsidRPr="006154DA">
              <w:rPr>
                <w:szCs w:val="20"/>
              </w:rPr>
              <w:t>Inadequate details were provided in the submission as to whether these patients will meet the proposed PBS criteria, noting that the expanded access program into which these patients would be recruited has not yet commenced.</w:t>
            </w:r>
          </w:p>
        </w:tc>
      </w:tr>
      <w:tr w:rsidR="001D7ABE" w:rsidRPr="006154DA" w14:paraId="6E3966A7" w14:textId="77777777" w:rsidTr="0015148F">
        <w:tc>
          <w:tcPr>
            <w:tcW w:w="705" w:type="pct"/>
            <w:shd w:val="clear" w:color="auto" w:fill="auto"/>
          </w:tcPr>
          <w:p w14:paraId="656B4EE8" w14:textId="5AE64785" w:rsidR="001D7ABE" w:rsidRPr="006154DA" w:rsidRDefault="000F28E3" w:rsidP="0015148F">
            <w:pPr>
              <w:pStyle w:val="TableText0"/>
            </w:pPr>
            <w:r w:rsidRPr="006154DA">
              <w:t>Uptake rate</w:t>
            </w:r>
          </w:p>
        </w:tc>
        <w:tc>
          <w:tcPr>
            <w:tcW w:w="2280" w:type="pct"/>
            <w:shd w:val="clear" w:color="auto" w:fill="auto"/>
          </w:tcPr>
          <w:p w14:paraId="60BEFD69" w14:textId="460E3226" w:rsidR="001D7ABE" w:rsidRPr="006154DA" w:rsidRDefault="001D7ABE" w:rsidP="0015148F">
            <w:pPr>
              <w:pStyle w:val="TableText0"/>
            </w:pPr>
            <w:r w:rsidRPr="006154DA">
              <w:t xml:space="preserve">Assumed 75% in Yr 1 increasing to 85% in Yr 2, and 90% in Yr 3 to Yr 6. 89.6% over 6 years. </w:t>
            </w:r>
          </w:p>
        </w:tc>
        <w:tc>
          <w:tcPr>
            <w:tcW w:w="2016" w:type="pct"/>
            <w:shd w:val="clear" w:color="auto" w:fill="auto"/>
          </w:tcPr>
          <w:p w14:paraId="1A0C8AE6" w14:textId="3A0BA9BC" w:rsidR="001D7ABE" w:rsidRPr="006154DA" w:rsidRDefault="00B310A8" w:rsidP="0015148F">
            <w:pPr>
              <w:pStyle w:val="TableText0"/>
              <w:rPr>
                <w:szCs w:val="20"/>
              </w:rPr>
            </w:pPr>
            <w:r w:rsidRPr="006154DA">
              <w:rPr>
                <w:szCs w:val="20"/>
              </w:rPr>
              <w:t>The ESC considered that uptake of DLd was likely to be high.</w:t>
            </w:r>
          </w:p>
        </w:tc>
      </w:tr>
      <w:tr w:rsidR="001D7ABE" w:rsidRPr="006154DA" w14:paraId="1907876B" w14:textId="77777777" w:rsidTr="0015148F">
        <w:tc>
          <w:tcPr>
            <w:tcW w:w="705" w:type="pct"/>
            <w:shd w:val="clear" w:color="auto" w:fill="auto"/>
          </w:tcPr>
          <w:p w14:paraId="2B24115A" w14:textId="77777777" w:rsidR="001D7ABE" w:rsidRPr="006154DA" w:rsidRDefault="001D7ABE" w:rsidP="0015148F">
            <w:pPr>
              <w:pStyle w:val="TableText0"/>
            </w:pPr>
            <w:r w:rsidRPr="006154DA">
              <w:t>Persistence</w:t>
            </w:r>
          </w:p>
        </w:tc>
        <w:tc>
          <w:tcPr>
            <w:tcW w:w="2280" w:type="pct"/>
            <w:shd w:val="clear" w:color="auto" w:fill="auto"/>
          </w:tcPr>
          <w:p w14:paraId="21BA66C4" w14:textId="77777777" w:rsidR="001D7ABE" w:rsidRPr="006154DA" w:rsidRDefault="001D7ABE" w:rsidP="0015148F">
            <w:pPr>
              <w:pStyle w:val="TableText0"/>
              <w:rPr>
                <w:szCs w:val="20"/>
              </w:rPr>
            </w:pPr>
            <w:r w:rsidRPr="006154DA">
              <w:rPr>
                <w:szCs w:val="20"/>
              </w:rPr>
              <w:t>Yr 1: 91%, Yr 2: 77%, Yr 3: 65%, Yr 4: 53%, Yr 5: 42%,</w:t>
            </w:r>
          </w:p>
          <w:p w14:paraId="0705221B" w14:textId="77777777" w:rsidR="001D7ABE" w:rsidRPr="006154DA" w:rsidRDefault="001D7ABE" w:rsidP="0015148F">
            <w:pPr>
              <w:pStyle w:val="TableText0"/>
            </w:pPr>
            <w:r w:rsidRPr="006154DA">
              <w:rPr>
                <w:szCs w:val="20"/>
              </w:rPr>
              <w:t>Yr 6: 32%. The economic model (TTD)</w:t>
            </w:r>
          </w:p>
        </w:tc>
        <w:tc>
          <w:tcPr>
            <w:tcW w:w="2016" w:type="pct"/>
            <w:shd w:val="clear" w:color="auto" w:fill="auto"/>
          </w:tcPr>
          <w:p w14:paraId="6AFA226C" w14:textId="6C7B5435" w:rsidR="001D7ABE" w:rsidRPr="006154DA" w:rsidRDefault="007D5A7A" w:rsidP="0015148F">
            <w:pPr>
              <w:pStyle w:val="TableText0"/>
            </w:pPr>
            <w:r>
              <w:rPr>
                <w:szCs w:val="20"/>
              </w:rPr>
              <w:t>-</w:t>
            </w:r>
          </w:p>
        </w:tc>
      </w:tr>
      <w:tr w:rsidR="001D7ABE" w:rsidRPr="006154DA" w14:paraId="4AD0DC2C" w14:textId="77777777" w:rsidTr="0015148F">
        <w:tc>
          <w:tcPr>
            <w:tcW w:w="705" w:type="pct"/>
            <w:shd w:val="clear" w:color="auto" w:fill="auto"/>
          </w:tcPr>
          <w:p w14:paraId="50E2C2DA" w14:textId="77777777" w:rsidR="001D7ABE" w:rsidRPr="006154DA" w:rsidRDefault="001D7ABE" w:rsidP="0015148F">
            <w:pPr>
              <w:pStyle w:val="TableText0"/>
            </w:pPr>
            <w:r w:rsidRPr="006154DA">
              <w:t>Number of scripts</w:t>
            </w:r>
          </w:p>
        </w:tc>
        <w:tc>
          <w:tcPr>
            <w:tcW w:w="2280" w:type="pct"/>
            <w:shd w:val="clear" w:color="auto" w:fill="auto"/>
          </w:tcPr>
          <w:p w14:paraId="2659FAC4" w14:textId="3F8DD3B8" w:rsidR="001D7ABE" w:rsidRPr="006154DA" w:rsidRDefault="001D7ABE" w:rsidP="0015148F">
            <w:pPr>
              <w:pStyle w:val="TableText0"/>
            </w:pPr>
            <w:r w:rsidRPr="006154DA">
              <w:rPr>
                <w:szCs w:val="20"/>
              </w:rPr>
              <w:t>1</w:t>
            </w:r>
            <w:r w:rsidRPr="006154DA">
              <w:rPr>
                <w:szCs w:val="20"/>
                <w:vertAlign w:val="superscript"/>
              </w:rPr>
              <w:t>st</w:t>
            </w:r>
            <w:r w:rsidRPr="006154DA">
              <w:rPr>
                <w:szCs w:val="20"/>
              </w:rPr>
              <w:t xml:space="preserve"> Yr of treatment: 16 scripts (initial) + 7 scripts (continuing), from 2</w:t>
            </w:r>
            <w:r w:rsidRPr="006154DA">
              <w:rPr>
                <w:szCs w:val="20"/>
                <w:vertAlign w:val="superscript"/>
              </w:rPr>
              <w:t>nd</w:t>
            </w:r>
            <w:r w:rsidRPr="006154DA">
              <w:rPr>
                <w:szCs w:val="20"/>
              </w:rPr>
              <w:t xml:space="preserve"> year of treatment: 13 per year. As per PI</w:t>
            </w:r>
          </w:p>
        </w:tc>
        <w:tc>
          <w:tcPr>
            <w:tcW w:w="2016" w:type="pct"/>
            <w:shd w:val="clear" w:color="auto" w:fill="auto"/>
          </w:tcPr>
          <w:p w14:paraId="64F5F550" w14:textId="525A56F6" w:rsidR="001D7ABE" w:rsidRPr="006154DA" w:rsidRDefault="007D5A7A" w:rsidP="0015148F">
            <w:pPr>
              <w:pStyle w:val="TableText0"/>
            </w:pPr>
            <w:r>
              <w:t>-</w:t>
            </w:r>
          </w:p>
        </w:tc>
      </w:tr>
      <w:tr w:rsidR="001D7ABE" w:rsidRPr="006154DA" w14:paraId="4DE27752" w14:textId="77777777" w:rsidTr="0015148F">
        <w:tc>
          <w:tcPr>
            <w:tcW w:w="705" w:type="pct"/>
            <w:shd w:val="clear" w:color="auto" w:fill="auto"/>
          </w:tcPr>
          <w:p w14:paraId="499B6338" w14:textId="77777777" w:rsidR="001D7ABE" w:rsidRPr="006154DA" w:rsidRDefault="001D7ABE" w:rsidP="0015148F">
            <w:pPr>
              <w:pStyle w:val="TableText0"/>
            </w:pPr>
            <w:r w:rsidRPr="006154DA">
              <w:t>Compliance</w:t>
            </w:r>
          </w:p>
        </w:tc>
        <w:tc>
          <w:tcPr>
            <w:tcW w:w="2280" w:type="pct"/>
            <w:shd w:val="clear" w:color="auto" w:fill="auto"/>
          </w:tcPr>
          <w:p w14:paraId="693A3003" w14:textId="77777777" w:rsidR="001D7ABE" w:rsidRPr="006154DA" w:rsidRDefault="001D7ABE" w:rsidP="0015148F">
            <w:pPr>
              <w:pStyle w:val="TableText0"/>
            </w:pPr>
            <w:r w:rsidRPr="006154DA">
              <w:rPr>
                <w:szCs w:val="20"/>
              </w:rPr>
              <w:t>95.6% (IV), 98.7% (SC). Dose intensity from MAIA</w:t>
            </w:r>
          </w:p>
        </w:tc>
        <w:tc>
          <w:tcPr>
            <w:tcW w:w="2016" w:type="pct"/>
            <w:shd w:val="clear" w:color="auto" w:fill="auto"/>
          </w:tcPr>
          <w:p w14:paraId="7850C6AB" w14:textId="6EC6EFCF" w:rsidR="001D7ABE" w:rsidRPr="006154DA" w:rsidRDefault="007D5A7A" w:rsidP="0015148F">
            <w:pPr>
              <w:pStyle w:val="TableText0"/>
            </w:pPr>
            <w:r>
              <w:t>-</w:t>
            </w:r>
          </w:p>
        </w:tc>
      </w:tr>
      <w:tr w:rsidR="001D7ABE" w:rsidRPr="006154DA" w14:paraId="55D2EEEF" w14:textId="77777777" w:rsidTr="0015148F">
        <w:tc>
          <w:tcPr>
            <w:tcW w:w="705" w:type="pct"/>
            <w:shd w:val="clear" w:color="auto" w:fill="auto"/>
          </w:tcPr>
          <w:p w14:paraId="04085F88" w14:textId="77777777" w:rsidR="001D7ABE" w:rsidRPr="006154DA" w:rsidRDefault="001D7ABE" w:rsidP="0015148F">
            <w:pPr>
              <w:pStyle w:val="TableText0"/>
            </w:pPr>
            <w:r w:rsidRPr="006154DA">
              <w:t>Price of daratumumab</w:t>
            </w:r>
          </w:p>
        </w:tc>
        <w:tc>
          <w:tcPr>
            <w:tcW w:w="2280" w:type="pct"/>
            <w:shd w:val="clear" w:color="auto" w:fill="auto"/>
          </w:tcPr>
          <w:p w14:paraId="5045969C" w14:textId="56665055" w:rsidR="001D7ABE" w:rsidRPr="006154DA" w:rsidRDefault="001D7ABE" w:rsidP="0015148F">
            <w:pPr>
              <w:pStyle w:val="TableText0"/>
              <w:rPr>
                <w:szCs w:val="18"/>
              </w:rPr>
            </w:pPr>
            <w:r w:rsidRPr="006154DA">
              <w:rPr>
                <w:szCs w:val="18"/>
              </w:rPr>
              <w:t>IV 100 mg vial: $</w:t>
            </w:r>
            <w:r w:rsidR="006E73CD" w:rsidRPr="006E73CD">
              <w:rPr>
                <w:color w:val="000000"/>
                <w:spacing w:val="29"/>
                <w:szCs w:val="18"/>
                <w:shd w:val="solid" w:color="000000" w:fill="000000"/>
                <w:fitText w:val="549" w:id="-1236536831"/>
                <w14:textFill>
                  <w14:solidFill>
                    <w14:srgbClr w14:val="000000">
                      <w14:alpha w14:val="100000"/>
                    </w14:srgbClr>
                  </w14:solidFill>
                </w14:textFill>
              </w:rPr>
              <w:t>|||||||</w:t>
            </w:r>
            <w:r w:rsidR="006E73CD" w:rsidRPr="006E73CD">
              <w:rPr>
                <w:color w:val="000000"/>
                <w:spacing w:val="6"/>
                <w:szCs w:val="18"/>
                <w:shd w:val="solid" w:color="000000" w:fill="000000"/>
                <w:fitText w:val="549" w:id="-1236536831"/>
                <w14:textFill>
                  <w14:solidFill>
                    <w14:srgbClr w14:val="000000">
                      <w14:alpha w14:val="100000"/>
                    </w14:srgbClr>
                  </w14:solidFill>
                </w14:textFill>
              </w:rPr>
              <w:t>|</w:t>
            </w:r>
          </w:p>
          <w:p w14:paraId="18AFACFA" w14:textId="12498423" w:rsidR="001D7ABE" w:rsidRPr="006154DA" w:rsidRDefault="001D7ABE" w:rsidP="0015148F">
            <w:pPr>
              <w:pStyle w:val="TableText0"/>
              <w:rPr>
                <w:szCs w:val="18"/>
              </w:rPr>
            </w:pPr>
            <w:r w:rsidRPr="006154DA">
              <w:rPr>
                <w:szCs w:val="18"/>
              </w:rPr>
              <w:t>IV 400 mg vial: $</w:t>
            </w:r>
            <w:r w:rsidR="006E73CD" w:rsidRPr="006E73CD">
              <w:rPr>
                <w:color w:val="000000"/>
                <w:spacing w:val="29"/>
                <w:szCs w:val="18"/>
                <w:shd w:val="solid" w:color="000000" w:fill="000000"/>
                <w:fitText w:val="549" w:id="-1236536830"/>
                <w14:textFill>
                  <w14:solidFill>
                    <w14:srgbClr w14:val="000000">
                      <w14:alpha w14:val="100000"/>
                    </w14:srgbClr>
                  </w14:solidFill>
                </w14:textFill>
              </w:rPr>
              <w:t>|||||||</w:t>
            </w:r>
            <w:r w:rsidR="006E73CD" w:rsidRPr="006E73CD">
              <w:rPr>
                <w:color w:val="000000"/>
                <w:spacing w:val="6"/>
                <w:szCs w:val="18"/>
                <w:shd w:val="solid" w:color="000000" w:fill="000000"/>
                <w:fitText w:val="549" w:id="-1236536830"/>
                <w14:textFill>
                  <w14:solidFill>
                    <w14:srgbClr w14:val="000000">
                      <w14:alpha w14:val="100000"/>
                    </w14:srgbClr>
                  </w14:solidFill>
                </w14:textFill>
              </w:rPr>
              <w:t>|</w:t>
            </w:r>
          </w:p>
          <w:p w14:paraId="268B9F2E" w14:textId="13EB8666" w:rsidR="001D7ABE" w:rsidRPr="006154DA" w:rsidRDefault="001D7ABE" w:rsidP="0015148F">
            <w:pPr>
              <w:pStyle w:val="TableText0"/>
            </w:pPr>
            <w:r w:rsidRPr="006154DA">
              <w:rPr>
                <w:szCs w:val="18"/>
              </w:rPr>
              <w:t>SC 1,800 mg vial: $</w:t>
            </w:r>
            <w:r w:rsidR="006E73CD" w:rsidRPr="00E93FF7">
              <w:rPr>
                <w:color w:val="000000"/>
                <w:spacing w:val="29"/>
                <w:szCs w:val="18"/>
                <w:shd w:val="solid" w:color="000000" w:fill="000000"/>
                <w:fitText w:val="549" w:id="-1236536829"/>
                <w14:textFill>
                  <w14:solidFill>
                    <w14:srgbClr w14:val="000000">
                      <w14:alpha w14:val="100000"/>
                    </w14:srgbClr>
                  </w14:solidFill>
                </w14:textFill>
              </w:rPr>
              <w:t>|||||||</w:t>
            </w:r>
            <w:r w:rsidR="006E73CD" w:rsidRPr="00E93FF7">
              <w:rPr>
                <w:color w:val="000000"/>
                <w:spacing w:val="6"/>
                <w:szCs w:val="18"/>
                <w:shd w:val="solid" w:color="000000" w:fill="000000"/>
                <w:fitText w:val="549" w:id="-1236536829"/>
                <w14:textFill>
                  <w14:solidFill>
                    <w14:srgbClr w14:val="000000">
                      <w14:alpha w14:val="100000"/>
                    </w14:srgbClr>
                  </w14:solidFill>
                </w14:textFill>
              </w:rPr>
              <w:t>|</w:t>
            </w:r>
          </w:p>
        </w:tc>
        <w:tc>
          <w:tcPr>
            <w:tcW w:w="2016" w:type="pct"/>
            <w:shd w:val="clear" w:color="auto" w:fill="auto"/>
          </w:tcPr>
          <w:p w14:paraId="55666F91" w14:textId="0A66038F" w:rsidR="001D7ABE" w:rsidRPr="006154DA" w:rsidRDefault="00271099" w:rsidP="0015148F">
            <w:pPr>
              <w:pStyle w:val="TableText0"/>
            </w:pPr>
            <w:r w:rsidRPr="006154DA">
              <w:t>Reflects proposed prices.</w:t>
            </w:r>
          </w:p>
        </w:tc>
      </w:tr>
      <w:tr w:rsidR="001D7ABE" w:rsidRPr="006154DA" w14:paraId="2B68617A" w14:textId="77777777" w:rsidTr="0015148F">
        <w:tc>
          <w:tcPr>
            <w:tcW w:w="705" w:type="pct"/>
            <w:vMerge w:val="restart"/>
            <w:shd w:val="clear" w:color="auto" w:fill="auto"/>
          </w:tcPr>
          <w:p w14:paraId="182517D3" w14:textId="77777777" w:rsidR="001D7ABE" w:rsidRPr="006154DA" w:rsidRDefault="001D7ABE" w:rsidP="0015148F">
            <w:pPr>
              <w:pStyle w:val="TableText0"/>
            </w:pPr>
            <w:r w:rsidRPr="006154DA">
              <w:t xml:space="preserve">Offsets </w:t>
            </w:r>
          </w:p>
        </w:tc>
        <w:tc>
          <w:tcPr>
            <w:tcW w:w="2280" w:type="pct"/>
            <w:shd w:val="clear" w:color="auto" w:fill="auto"/>
          </w:tcPr>
          <w:p w14:paraId="620FBAB0" w14:textId="54824B06" w:rsidR="001D7ABE" w:rsidRPr="006154DA" w:rsidRDefault="001D7ABE" w:rsidP="0015148F">
            <w:pPr>
              <w:pStyle w:val="TableText0"/>
              <w:rPr>
                <w:szCs w:val="20"/>
              </w:rPr>
            </w:pPr>
            <w:r w:rsidRPr="006154DA">
              <w:rPr>
                <w:szCs w:val="20"/>
                <w:u w:val="single"/>
              </w:rPr>
              <w:t xml:space="preserve">Reduction in the use of existing treatment regimens in TI NDMM patients </w:t>
            </w:r>
            <w:r w:rsidR="009A5D7B" w:rsidRPr="006154DA">
              <w:rPr>
                <w:szCs w:val="20"/>
                <w:u w:val="single"/>
                <w:vertAlign w:val="superscript"/>
              </w:rPr>
              <w:t>b</w:t>
            </w:r>
            <w:r w:rsidRPr="006154DA">
              <w:rPr>
                <w:szCs w:val="20"/>
              </w:rPr>
              <w:t xml:space="preserve">: </w:t>
            </w:r>
          </w:p>
          <w:p w14:paraId="1079E541" w14:textId="77777777" w:rsidR="001D7ABE" w:rsidRPr="006154DA" w:rsidRDefault="001D7ABE" w:rsidP="0015148F">
            <w:pPr>
              <w:pStyle w:val="TableText0"/>
              <w:rPr>
                <w:szCs w:val="20"/>
              </w:rPr>
            </w:pPr>
            <w:r w:rsidRPr="006154DA">
              <w:rPr>
                <w:szCs w:val="20"/>
              </w:rPr>
              <w:t>BLd: -55.0% (0.3%)</w:t>
            </w:r>
          </w:p>
          <w:p w14:paraId="2F5CB6FF" w14:textId="77777777" w:rsidR="001D7ABE" w:rsidRPr="006154DA" w:rsidRDefault="001D7ABE" w:rsidP="0015148F">
            <w:pPr>
              <w:pStyle w:val="TableText0"/>
              <w:rPr>
                <w:szCs w:val="20"/>
              </w:rPr>
            </w:pPr>
            <w:r w:rsidRPr="006154DA">
              <w:rPr>
                <w:szCs w:val="20"/>
              </w:rPr>
              <w:t>Ld: -23.9% (3.3%)</w:t>
            </w:r>
          </w:p>
          <w:p w14:paraId="12E519F3" w14:textId="77777777" w:rsidR="001D7ABE" w:rsidRPr="006154DA" w:rsidRDefault="001D7ABE" w:rsidP="0015148F">
            <w:pPr>
              <w:pStyle w:val="TableText0"/>
              <w:rPr>
                <w:szCs w:val="20"/>
              </w:rPr>
            </w:pPr>
            <w:r w:rsidRPr="006154DA">
              <w:rPr>
                <w:szCs w:val="20"/>
              </w:rPr>
              <w:t>Bd: -3.4% (6.0%)</w:t>
            </w:r>
          </w:p>
          <w:p w14:paraId="7A21336D" w14:textId="77777777" w:rsidR="001D7ABE" w:rsidRPr="006154DA" w:rsidRDefault="001D7ABE" w:rsidP="0015148F">
            <w:pPr>
              <w:pStyle w:val="TableText0"/>
              <w:rPr>
                <w:szCs w:val="20"/>
              </w:rPr>
            </w:pPr>
            <w:r w:rsidRPr="006154DA">
              <w:rPr>
                <w:szCs w:val="20"/>
              </w:rPr>
              <w:t xml:space="preserve">BCd: -4.6% (3.4%) </w:t>
            </w:r>
          </w:p>
          <w:p w14:paraId="66BEC69F" w14:textId="77777777" w:rsidR="001D7ABE" w:rsidRPr="006154DA" w:rsidRDefault="001D7ABE" w:rsidP="0015148F">
            <w:pPr>
              <w:pStyle w:val="TableText0"/>
              <w:rPr>
                <w:szCs w:val="20"/>
              </w:rPr>
            </w:pPr>
            <w:r w:rsidRPr="006154DA">
              <w:rPr>
                <w:szCs w:val="20"/>
              </w:rPr>
              <w:t>Total: -89.6% (13.1%).</w:t>
            </w:r>
          </w:p>
          <w:p w14:paraId="3FD69C80" w14:textId="77777777" w:rsidR="001D7ABE" w:rsidRPr="006154DA" w:rsidRDefault="001D7ABE" w:rsidP="0015148F">
            <w:pPr>
              <w:pStyle w:val="TableText0"/>
              <w:rPr>
                <w:szCs w:val="20"/>
              </w:rPr>
            </w:pPr>
            <w:r w:rsidRPr="006154DA">
              <w:rPr>
                <w:szCs w:val="20"/>
              </w:rPr>
              <w:t>Projected from the MRDR report for TI NDMM</w:t>
            </w:r>
          </w:p>
        </w:tc>
        <w:tc>
          <w:tcPr>
            <w:tcW w:w="2016" w:type="pct"/>
            <w:shd w:val="clear" w:color="auto" w:fill="auto"/>
          </w:tcPr>
          <w:p w14:paraId="273EB311" w14:textId="77777777" w:rsidR="001D7ABE" w:rsidRPr="006154DA" w:rsidRDefault="001D7ABE" w:rsidP="0015148F">
            <w:pPr>
              <w:pStyle w:val="TableText0"/>
            </w:pPr>
            <w:r w:rsidRPr="006154DA">
              <w:rPr>
                <w:szCs w:val="20"/>
              </w:rPr>
              <w:t>Likely overestimated change in use of the current options. Doublet treatment is likely to remain an option for those not fit for triplet treatment.</w:t>
            </w:r>
          </w:p>
        </w:tc>
      </w:tr>
      <w:tr w:rsidR="001D7ABE" w:rsidRPr="006154DA" w14:paraId="0A3155DA" w14:textId="77777777" w:rsidTr="0015148F">
        <w:tc>
          <w:tcPr>
            <w:tcW w:w="705" w:type="pct"/>
            <w:vMerge/>
            <w:shd w:val="clear" w:color="auto" w:fill="auto"/>
          </w:tcPr>
          <w:p w14:paraId="5E70580A" w14:textId="77777777" w:rsidR="001D7ABE" w:rsidRPr="006154DA" w:rsidRDefault="001D7ABE" w:rsidP="0015148F">
            <w:pPr>
              <w:pStyle w:val="TableText0"/>
            </w:pPr>
          </w:p>
        </w:tc>
        <w:tc>
          <w:tcPr>
            <w:tcW w:w="2280" w:type="pct"/>
            <w:shd w:val="clear" w:color="auto" w:fill="auto"/>
          </w:tcPr>
          <w:p w14:paraId="16EE65DB" w14:textId="77777777" w:rsidR="001D7ABE" w:rsidRPr="006154DA" w:rsidRDefault="001D7ABE" w:rsidP="0015148F">
            <w:pPr>
              <w:pStyle w:val="TableText0"/>
              <w:rPr>
                <w:szCs w:val="20"/>
              </w:rPr>
            </w:pPr>
            <w:r w:rsidRPr="006154DA">
              <w:rPr>
                <w:u w:val="single"/>
              </w:rPr>
              <w:t>Reduction in the use of DBd in second-line MM</w:t>
            </w:r>
            <w:r w:rsidRPr="006154DA">
              <w:t xml:space="preserve">: </w:t>
            </w:r>
          </w:p>
          <w:p w14:paraId="52C63D74" w14:textId="77777777" w:rsidR="001D7ABE" w:rsidRPr="006154DA" w:rsidRDefault="001D7ABE" w:rsidP="0015148F">
            <w:pPr>
              <w:pStyle w:val="TableText0"/>
              <w:rPr>
                <w:szCs w:val="20"/>
              </w:rPr>
            </w:pPr>
            <w:r w:rsidRPr="006154DA">
              <w:rPr>
                <w:szCs w:val="20"/>
              </w:rPr>
              <w:t>Yr 1 of 55 initial patients, increased to 77 initial patients and 856 continuing patients in Yr 6.</w:t>
            </w:r>
          </w:p>
          <w:p w14:paraId="1A305C24" w14:textId="77777777" w:rsidR="001D7ABE" w:rsidRPr="006154DA" w:rsidRDefault="001D7ABE" w:rsidP="0015148F">
            <w:pPr>
              <w:pStyle w:val="TableText0"/>
              <w:rPr>
                <w:szCs w:val="20"/>
              </w:rPr>
            </w:pPr>
            <w:r w:rsidRPr="006154DA">
              <w:rPr>
                <w:szCs w:val="18"/>
              </w:rPr>
              <w:t>Projected DLd progressed patients</w:t>
            </w:r>
          </w:p>
        </w:tc>
        <w:tc>
          <w:tcPr>
            <w:tcW w:w="2016" w:type="pct"/>
            <w:shd w:val="clear" w:color="auto" w:fill="auto"/>
          </w:tcPr>
          <w:p w14:paraId="4C4B921E" w14:textId="3E85919F" w:rsidR="001D7ABE" w:rsidRPr="0015148F" w:rsidRDefault="001D7ABE" w:rsidP="0015148F">
            <w:pPr>
              <w:pStyle w:val="TableText0"/>
              <w:rPr>
                <w:szCs w:val="18"/>
              </w:rPr>
            </w:pPr>
            <w:r w:rsidRPr="006154DA">
              <w:rPr>
                <w:szCs w:val="18"/>
              </w:rPr>
              <w:t>Likely underestimate.</w:t>
            </w:r>
            <w:r w:rsidR="00594DDB" w:rsidRPr="006154DA">
              <w:rPr>
                <w:szCs w:val="18"/>
              </w:rPr>
              <w:t xml:space="preserve"> </w:t>
            </w:r>
            <w:r w:rsidR="000D10BD" w:rsidRPr="006154DA">
              <w:t>The submission only estimated offsets for those who progress following first</w:t>
            </w:r>
            <w:r w:rsidR="0015148F">
              <w:t xml:space="preserve"> </w:t>
            </w:r>
            <w:r w:rsidR="000D10BD" w:rsidRPr="006154DA">
              <w:t>line DLd, rather than considering those who would have been treated with second</w:t>
            </w:r>
            <w:r w:rsidR="0015148F">
              <w:t xml:space="preserve"> </w:t>
            </w:r>
            <w:r w:rsidR="000D10BD" w:rsidRPr="006154DA">
              <w:t>line daratumumab if they had not been treated with DLd in the first-line setting.</w:t>
            </w:r>
          </w:p>
        </w:tc>
      </w:tr>
      <w:tr w:rsidR="001D7ABE" w:rsidRPr="006154DA" w14:paraId="4B6F4288" w14:textId="77777777" w:rsidTr="0015148F">
        <w:tc>
          <w:tcPr>
            <w:tcW w:w="705" w:type="pct"/>
            <w:vMerge/>
            <w:shd w:val="clear" w:color="auto" w:fill="auto"/>
          </w:tcPr>
          <w:p w14:paraId="21B75494" w14:textId="77777777" w:rsidR="001D7ABE" w:rsidRPr="006154DA" w:rsidRDefault="001D7ABE" w:rsidP="0015148F">
            <w:pPr>
              <w:pStyle w:val="TableText0"/>
            </w:pPr>
          </w:p>
        </w:tc>
        <w:tc>
          <w:tcPr>
            <w:tcW w:w="2280" w:type="pct"/>
            <w:shd w:val="clear" w:color="auto" w:fill="auto"/>
          </w:tcPr>
          <w:p w14:paraId="11347714" w14:textId="3F000E97" w:rsidR="001D7ABE" w:rsidRPr="006154DA" w:rsidRDefault="001D7ABE" w:rsidP="0015148F">
            <w:pPr>
              <w:pStyle w:val="TableText0"/>
              <w:rPr>
                <w:highlight w:val="yellow"/>
              </w:rPr>
            </w:pPr>
            <w:r w:rsidRPr="006154DA">
              <w:rPr>
                <w:u w:val="single"/>
              </w:rPr>
              <w:t>Increase in use of lenalidomide and dexamethasone when used as DLd</w:t>
            </w:r>
            <w:r w:rsidRPr="006154DA">
              <w:t>: based on increase in DLd use</w:t>
            </w:r>
          </w:p>
        </w:tc>
        <w:tc>
          <w:tcPr>
            <w:tcW w:w="2016" w:type="pct"/>
            <w:shd w:val="clear" w:color="auto" w:fill="auto"/>
          </w:tcPr>
          <w:p w14:paraId="24C8EE6B" w14:textId="3D6AC1F5" w:rsidR="001D7ABE" w:rsidRPr="006154DA" w:rsidRDefault="007D5A7A" w:rsidP="0015148F">
            <w:pPr>
              <w:pStyle w:val="TableText0"/>
            </w:pPr>
            <w:r>
              <w:t>S</w:t>
            </w:r>
            <w:r w:rsidR="00F76AC8" w:rsidRPr="006154DA">
              <w:t>light increase in t</w:t>
            </w:r>
            <w:r w:rsidR="0007511D" w:rsidRPr="006154DA">
              <w:t>he ne</w:t>
            </w:r>
            <w:r w:rsidR="00564703" w:rsidRPr="006154DA">
              <w:t xml:space="preserve">t </w:t>
            </w:r>
            <w:r w:rsidR="0007511D" w:rsidRPr="006154DA">
              <w:t xml:space="preserve">use of lenalidomide and dexamethasone </w:t>
            </w:r>
            <w:r w:rsidR="00F76AC8" w:rsidRPr="006154DA">
              <w:t>after listing of DLd</w:t>
            </w:r>
            <w:r>
              <w:t xml:space="preserve"> was reasonable</w:t>
            </w:r>
            <w:r w:rsidR="00F76AC8" w:rsidRPr="006154DA">
              <w:t>.</w:t>
            </w:r>
          </w:p>
        </w:tc>
      </w:tr>
    </w:tbl>
    <w:p w14:paraId="06583613" w14:textId="77777777" w:rsidR="001D7ABE" w:rsidRPr="0058247A" w:rsidRDefault="001D7ABE" w:rsidP="001D7ABE">
      <w:pPr>
        <w:pStyle w:val="FooterTableFigure"/>
      </w:pPr>
      <w:r w:rsidRPr="0058247A">
        <w:t xml:space="preserve">Source: Table 4.2, pp256-257; Table 4.3, p258; Table 4.6, p260; Table 4.11, p265 of the submission; </w:t>
      </w:r>
      <w:r w:rsidRPr="0058247A">
        <w:rPr>
          <w:szCs w:val="18"/>
        </w:rPr>
        <w:t xml:space="preserve">Compiled during the evaluation using the information from the financial model. </w:t>
      </w:r>
    </w:p>
    <w:p w14:paraId="011F2224" w14:textId="7B4236A1" w:rsidR="001D7ABE" w:rsidRPr="0058247A" w:rsidRDefault="001D7ABE" w:rsidP="001D7ABE">
      <w:pPr>
        <w:pStyle w:val="FooterTableFigure"/>
        <w:rPr>
          <w:sz w:val="20"/>
        </w:rPr>
      </w:pPr>
      <w:r w:rsidRPr="0058247A">
        <w:t>BCd = Bortezomib, cyclophosphamide and dexamethasone; Bd = bortezomib and dexamethasone; BLd = bortezomib, lenalidomide and dexamethasone; DBd = daratumumab, bortezomib and dexamethasone; DLd = daratumumab, lenalidomide and dexamethasone; DUSC = Drug Utilisation Sub Committee; IV = intravenous; Ld = lenalidomide and dexamethasone; MM = multiple myeloma; MRDR = Myeloma and Related Diseases Registry; NDMM = newly diagnosed multiple myeloma; PBAC = Pharmaceutical Benefits Advisory Committee; PBS = Pharmaceutical Benefits Scheme; PI = product information; RRMM = relapsed/refractory multiple myeloma; SC = subcutaneous; SoC = standard of care; TI = transplant ineligible; TTD = time-to-treatment discontinuation; Yr = Year</w:t>
      </w:r>
    </w:p>
    <w:p w14:paraId="226D6B23" w14:textId="56FD0AA4" w:rsidR="001D7ABE" w:rsidRPr="0058247A" w:rsidRDefault="009A5D7B" w:rsidP="001D7ABE">
      <w:pPr>
        <w:pStyle w:val="FooterTableFigure"/>
        <w:rPr>
          <w:sz w:val="16"/>
          <w:szCs w:val="20"/>
        </w:rPr>
      </w:pPr>
      <w:r w:rsidRPr="0058247A">
        <w:rPr>
          <w:szCs w:val="20"/>
          <w:vertAlign w:val="superscript"/>
        </w:rPr>
        <w:t>b</w:t>
      </w:r>
      <w:r w:rsidRPr="0058247A">
        <w:t xml:space="preserve"> </w:t>
      </w:r>
      <w:r w:rsidR="001D7ABE" w:rsidRPr="0058247A">
        <w:t>% in parentheses show the anticipated market share after listing of DLd</w:t>
      </w:r>
      <w:r w:rsidR="001D7ABE" w:rsidRPr="0058247A">
        <w:rPr>
          <w:szCs w:val="18"/>
        </w:rPr>
        <w:t>.</w:t>
      </w:r>
    </w:p>
    <w:p w14:paraId="5AB3F010" w14:textId="2DDBAB66" w:rsidR="001D7ABE" w:rsidRPr="006154DA" w:rsidRDefault="001D7ABE" w:rsidP="00720D59">
      <w:pPr>
        <w:pStyle w:val="3-BodyText"/>
        <w:rPr>
          <w:color w:val="0066FF"/>
        </w:rPr>
      </w:pPr>
      <w:bookmarkStart w:id="112" w:name="_Ref127529623"/>
      <w:r w:rsidRPr="006154DA">
        <w:lastRenderedPageBreak/>
        <w:t xml:space="preserve">The </w:t>
      </w:r>
      <w:r w:rsidR="00B310A8" w:rsidRPr="006154DA">
        <w:t xml:space="preserve">ESC considered that the </w:t>
      </w:r>
      <w:r w:rsidRPr="006154DA">
        <w:t>submission overestimate</w:t>
      </w:r>
      <w:r w:rsidR="00B310A8" w:rsidRPr="006154DA">
        <w:t>d</w:t>
      </w:r>
      <w:r w:rsidRPr="006154DA">
        <w:t xml:space="preserve"> the number of patients treated with DLd, </w:t>
      </w:r>
      <w:r w:rsidR="00B310A8" w:rsidRPr="006154DA">
        <w:t>as</w:t>
      </w:r>
      <w:r w:rsidRPr="006154DA">
        <w:t>:</w:t>
      </w:r>
      <w:bookmarkEnd w:id="112"/>
    </w:p>
    <w:p w14:paraId="440D6CB1" w14:textId="53D5900E" w:rsidR="001D7ABE" w:rsidRPr="006154DA" w:rsidRDefault="001D7ABE" w:rsidP="00661C42">
      <w:pPr>
        <w:pStyle w:val="3-BodyText"/>
        <w:numPr>
          <w:ilvl w:val="1"/>
          <w:numId w:val="12"/>
        </w:numPr>
        <w:ind w:left="1134"/>
      </w:pPr>
      <w:r w:rsidRPr="006154DA">
        <w:t xml:space="preserve">The submission applied an annual growth rate of 3.3% for the projected incident patients based on 2014 to 2019 data for the use of </w:t>
      </w:r>
      <w:r w:rsidR="00312AE7" w:rsidRPr="006154DA">
        <w:t>first-line</w:t>
      </w:r>
      <w:r w:rsidRPr="006154DA">
        <w:t xml:space="preserve"> treatments for TI NDMM obtained from the DUSC. This exceeds the annual growth of the Australian population </w:t>
      </w:r>
      <w:r w:rsidR="00B46AD6" w:rsidRPr="006154DA">
        <w:t xml:space="preserve">(e.g. </w:t>
      </w:r>
      <w:r w:rsidRPr="006154DA">
        <w:t>at 0.9%</w:t>
      </w:r>
      <w:r w:rsidR="00C03B0E" w:rsidRPr="006154DA">
        <w:t xml:space="preserve"> for 2021 </w:t>
      </w:r>
      <w:r w:rsidR="00B46AD6" w:rsidRPr="006154DA">
        <w:t xml:space="preserve">reported by the </w:t>
      </w:r>
      <w:r w:rsidR="00C03B0E" w:rsidRPr="006154DA">
        <w:t>Australian Bureau of Statistics; ABS)</w:t>
      </w:r>
      <w:r w:rsidRPr="006154DA">
        <w:t>. The 3.3% growth results in a</w:t>
      </w:r>
      <w:r w:rsidR="00704D50" w:rsidRPr="006154DA">
        <w:t>n extra</w:t>
      </w:r>
      <w:r w:rsidRPr="006154DA">
        <w:t xml:space="preserve"> 274 </w:t>
      </w:r>
      <w:r w:rsidR="00704D50" w:rsidRPr="006154DA">
        <w:t xml:space="preserve">incident </w:t>
      </w:r>
      <w:r w:rsidRPr="006154DA">
        <w:t>patients</w:t>
      </w:r>
      <w:r w:rsidR="00704D50" w:rsidRPr="006154DA">
        <w:t xml:space="preserve"> (a 17% increase) </w:t>
      </w:r>
      <w:r w:rsidR="004950DE" w:rsidRPr="006154DA">
        <w:t xml:space="preserve">up </w:t>
      </w:r>
      <w:r w:rsidR="00704D50" w:rsidRPr="006154DA">
        <w:t>to Year 6</w:t>
      </w:r>
      <w:r w:rsidRPr="006154DA">
        <w:t>. Previously, the PBAC has seen an estimate of 11% for growth in the incident MM patient population over the 6</w:t>
      </w:r>
      <w:r w:rsidR="00A45DA8" w:rsidRPr="006154DA">
        <w:t>-</w:t>
      </w:r>
      <w:r w:rsidRPr="006154DA">
        <w:t xml:space="preserve">year forward estimates period (para 5.37, daratumumab, PBAC </w:t>
      </w:r>
      <w:r w:rsidR="006B5E2A">
        <w:t xml:space="preserve">PSD </w:t>
      </w:r>
      <w:r w:rsidRPr="006154DA">
        <w:t>July 2020).</w:t>
      </w:r>
      <w:r w:rsidR="00334D71" w:rsidRPr="006154DA">
        <w:t xml:space="preserve"> </w:t>
      </w:r>
      <w:r w:rsidR="00B579C4" w:rsidRPr="006154DA">
        <w:t xml:space="preserve">Using this growth </w:t>
      </w:r>
      <w:r w:rsidR="002974DC" w:rsidRPr="006154DA">
        <w:t xml:space="preserve">rate </w:t>
      </w:r>
      <w:r w:rsidR="00B579C4" w:rsidRPr="006154DA">
        <w:t xml:space="preserve">would </w:t>
      </w:r>
      <w:r w:rsidR="002974DC" w:rsidRPr="006154DA">
        <w:t xml:space="preserve">have </w:t>
      </w:r>
      <w:r w:rsidR="00B579C4" w:rsidRPr="006154DA">
        <w:t>result</w:t>
      </w:r>
      <w:r w:rsidR="002974DC" w:rsidRPr="006154DA">
        <w:t>ed</w:t>
      </w:r>
      <w:r w:rsidR="00B579C4" w:rsidRPr="006154DA">
        <w:t xml:space="preserve"> in a</w:t>
      </w:r>
      <w:r w:rsidR="00ED220A" w:rsidRPr="006154DA">
        <w:t>n increase o</w:t>
      </w:r>
      <w:r w:rsidR="00B579C4" w:rsidRPr="006154DA">
        <w:t>f 173 patients over</w:t>
      </w:r>
      <w:r w:rsidR="00485EA0" w:rsidRPr="006154DA">
        <w:t xml:space="preserve"> the 6 years.</w:t>
      </w:r>
      <w:r w:rsidR="00305A0E" w:rsidRPr="006154DA">
        <w:t xml:space="preserve"> </w:t>
      </w:r>
      <w:r w:rsidR="00305A0E" w:rsidRPr="006154DA">
        <w:rPr>
          <w:szCs w:val="20"/>
        </w:rPr>
        <w:t>The PSCR state</w:t>
      </w:r>
      <w:r w:rsidR="003D267E" w:rsidRPr="006154DA">
        <w:rPr>
          <w:szCs w:val="20"/>
        </w:rPr>
        <w:t>d</w:t>
      </w:r>
      <w:r w:rsidR="00305A0E" w:rsidRPr="006154DA">
        <w:rPr>
          <w:szCs w:val="20"/>
        </w:rPr>
        <w:t xml:space="preserve"> </w:t>
      </w:r>
      <w:r w:rsidR="003D267E" w:rsidRPr="006154DA">
        <w:rPr>
          <w:szCs w:val="20"/>
        </w:rPr>
        <w:t>that an exponential function was applied to the PBS 10% data</w:t>
      </w:r>
      <w:r w:rsidR="00B310A8" w:rsidRPr="006154DA">
        <w:rPr>
          <w:szCs w:val="20"/>
        </w:rPr>
        <w:t>, and</w:t>
      </w:r>
      <w:r w:rsidR="003D267E" w:rsidRPr="006154DA">
        <w:rPr>
          <w:szCs w:val="20"/>
        </w:rPr>
        <w:t xml:space="preserve"> </w:t>
      </w:r>
      <w:r w:rsidR="00B310A8" w:rsidRPr="006154DA">
        <w:rPr>
          <w:szCs w:val="20"/>
        </w:rPr>
        <w:t xml:space="preserve">as it </w:t>
      </w:r>
      <w:r w:rsidR="003D267E" w:rsidRPr="006154DA">
        <w:rPr>
          <w:szCs w:val="20"/>
        </w:rPr>
        <w:t>was the best statistical fit</w:t>
      </w:r>
      <w:r w:rsidR="00B310A8" w:rsidRPr="006154DA">
        <w:rPr>
          <w:szCs w:val="20"/>
        </w:rPr>
        <w:t xml:space="preserve"> it </w:t>
      </w:r>
      <w:r w:rsidR="003D267E" w:rsidRPr="006154DA">
        <w:rPr>
          <w:szCs w:val="20"/>
        </w:rPr>
        <w:t xml:space="preserve">was appropriate for determining the 3.3% growth. </w:t>
      </w:r>
      <w:r w:rsidR="00B310A8" w:rsidRPr="006154DA">
        <w:rPr>
          <w:szCs w:val="20"/>
        </w:rPr>
        <w:t xml:space="preserve">The </w:t>
      </w:r>
      <w:r w:rsidR="003D267E" w:rsidRPr="006154DA">
        <w:rPr>
          <w:szCs w:val="20"/>
        </w:rPr>
        <w:t xml:space="preserve">ESC noted that no statistics were provided to justify the choice of the exponential function. </w:t>
      </w:r>
      <w:r w:rsidR="00B310A8" w:rsidRPr="006154DA">
        <w:rPr>
          <w:szCs w:val="20"/>
        </w:rPr>
        <w:t>T</w:t>
      </w:r>
      <w:r w:rsidR="003D267E" w:rsidRPr="006154DA">
        <w:rPr>
          <w:szCs w:val="20"/>
        </w:rPr>
        <w:t xml:space="preserve">he PSCR </w:t>
      </w:r>
      <w:r w:rsidR="00B310A8" w:rsidRPr="006154DA">
        <w:rPr>
          <w:szCs w:val="20"/>
        </w:rPr>
        <w:t xml:space="preserve">also </w:t>
      </w:r>
      <w:r w:rsidR="003D267E" w:rsidRPr="006154DA">
        <w:rPr>
          <w:szCs w:val="20"/>
        </w:rPr>
        <w:t xml:space="preserve">stated </w:t>
      </w:r>
      <w:r w:rsidR="00305A0E" w:rsidRPr="006154DA">
        <w:rPr>
          <w:szCs w:val="20"/>
        </w:rPr>
        <w:t xml:space="preserve">that the growth rate in the second-line setting </w:t>
      </w:r>
      <w:r w:rsidR="00B310A8" w:rsidRPr="006154DA">
        <w:rPr>
          <w:szCs w:val="20"/>
        </w:rPr>
        <w:t>wa</w:t>
      </w:r>
      <w:r w:rsidR="00305A0E" w:rsidRPr="006154DA">
        <w:rPr>
          <w:szCs w:val="20"/>
        </w:rPr>
        <w:t>s not comparable as it was informed by all patients with NDMM, not just those with TI NDMM.</w:t>
      </w:r>
      <w:r w:rsidR="00B310A8" w:rsidRPr="006154DA">
        <w:rPr>
          <w:szCs w:val="20"/>
        </w:rPr>
        <w:t xml:space="preserve"> The ESC considered that although this argument was reasonable there was no justification as to why the growth rate in the TI NDMM population should exceed that of NDMM.</w:t>
      </w:r>
    </w:p>
    <w:p w14:paraId="520FA069" w14:textId="4304476C" w:rsidR="001D7ABE" w:rsidRPr="006154DA" w:rsidRDefault="001D7ABE" w:rsidP="00661C42">
      <w:pPr>
        <w:pStyle w:val="3-BodyText"/>
        <w:numPr>
          <w:ilvl w:val="1"/>
          <w:numId w:val="12"/>
        </w:numPr>
        <w:ind w:left="1134"/>
      </w:pPr>
      <w:r w:rsidRPr="006154DA">
        <w:t xml:space="preserve">The </w:t>
      </w:r>
      <w:r w:rsidR="00F01C06" w:rsidRPr="006154DA">
        <w:t xml:space="preserve">commentary considered the </w:t>
      </w:r>
      <w:r w:rsidRPr="006154DA">
        <w:t xml:space="preserve">assumed </w:t>
      </w:r>
      <w:r w:rsidR="00704D50" w:rsidRPr="006154DA">
        <w:t>uptake</w:t>
      </w:r>
      <w:r w:rsidRPr="006154DA">
        <w:t xml:space="preserve"> of DLd (almost 90% by </w:t>
      </w:r>
      <w:r w:rsidR="00A45DA8" w:rsidRPr="006154DA">
        <w:t xml:space="preserve">Year </w:t>
      </w:r>
      <w:r w:rsidRPr="006154DA">
        <w:t>6</w:t>
      </w:r>
      <w:r w:rsidR="00F278CD" w:rsidRPr="006154DA">
        <w:t>; 86.9% on average over the 6 years</w:t>
      </w:r>
      <w:r w:rsidRPr="006154DA">
        <w:t xml:space="preserve">) likely to be overestimated, </w:t>
      </w:r>
      <w:r w:rsidR="00704D50" w:rsidRPr="006154DA">
        <w:t>as</w:t>
      </w:r>
      <w:r w:rsidRPr="006154DA">
        <w:t xml:space="preserve"> some patients w</w:t>
      </w:r>
      <w:r w:rsidR="00704D50" w:rsidRPr="006154DA">
        <w:t xml:space="preserve">ould </w:t>
      </w:r>
      <w:r w:rsidRPr="006154DA">
        <w:t>not be fit enough</w:t>
      </w:r>
      <w:r w:rsidR="00704D50" w:rsidRPr="006154DA">
        <w:t>/eligible</w:t>
      </w:r>
      <w:r w:rsidRPr="006154DA">
        <w:t xml:space="preserve"> for triplet treatment. In considering the </w:t>
      </w:r>
      <w:r w:rsidR="00704D50" w:rsidRPr="006154DA">
        <w:t xml:space="preserve">submission </w:t>
      </w:r>
      <w:r w:rsidRPr="006154DA">
        <w:t xml:space="preserve">to list DBd, the PBAC advised a 50% </w:t>
      </w:r>
      <w:r w:rsidR="00704D50" w:rsidRPr="006154DA">
        <w:t xml:space="preserve">uptake rate </w:t>
      </w:r>
      <w:r w:rsidRPr="006154DA">
        <w:t xml:space="preserve">for DBd in the </w:t>
      </w:r>
      <w:r w:rsidR="00312AE7" w:rsidRPr="006154DA">
        <w:t>second</w:t>
      </w:r>
      <w:r w:rsidR="0015148F">
        <w:t xml:space="preserve"> </w:t>
      </w:r>
      <w:r w:rsidR="00312AE7" w:rsidRPr="006154DA">
        <w:t>line</w:t>
      </w:r>
      <w:r w:rsidRPr="006154DA">
        <w:t xml:space="preserve"> setting for Year 1</w:t>
      </w:r>
      <w:r w:rsidR="004950DE" w:rsidRPr="006154DA">
        <w:t xml:space="preserve"> was reasonable</w:t>
      </w:r>
      <w:r w:rsidRPr="006154DA">
        <w:t xml:space="preserve"> (para 5.25, daratumumab, PBAC </w:t>
      </w:r>
      <w:r w:rsidR="006B5E2A">
        <w:t>PSD</w:t>
      </w:r>
      <w:r w:rsidR="006B5E2A" w:rsidRPr="006154DA">
        <w:t xml:space="preserve"> </w:t>
      </w:r>
      <w:r w:rsidRPr="006154DA">
        <w:t>Jul</w:t>
      </w:r>
      <w:r w:rsidR="006B5E2A">
        <w:t>y</w:t>
      </w:r>
      <w:r w:rsidRPr="006154DA">
        <w:t xml:space="preserve"> 2020). In addition, according to the </w:t>
      </w:r>
      <w:r w:rsidR="00704D50" w:rsidRPr="006154DA">
        <w:t xml:space="preserve">MRDR </w:t>
      </w:r>
      <w:r w:rsidR="00BC49ED" w:rsidRPr="006154DA">
        <w:t>data</w:t>
      </w:r>
      <w:r w:rsidRPr="006154DA">
        <w:t xml:space="preserve">, </w:t>
      </w:r>
      <w:r w:rsidR="00704D50" w:rsidRPr="006154DA">
        <w:t>3</w:t>
      </w:r>
      <w:r w:rsidR="00FA2C37" w:rsidRPr="006154DA">
        <w:t>7</w:t>
      </w:r>
      <w:r w:rsidR="00704D50" w:rsidRPr="006154DA">
        <w:t xml:space="preserve">% of TI NDMM patients still receive </w:t>
      </w:r>
      <w:r w:rsidRPr="006154DA">
        <w:t xml:space="preserve">Ld </w:t>
      </w:r>
      <w:r w:rsidR="00704D50" w:rsidRPr="006154DA">
        <w:t xml:space="preserve">or </w:t>
      </w:r>
      <w:r w:rsidRPr="006154DA">
        <w:t>Bd</w:t>
      </w:r>
      <w:r w:rsidR="00704D50" w:rsidRPr="006154DA">
        <w:t>, despite the availability of triplet BLd treatment on the PBS</w:t>
      </w:r>
      <w:r w:rsidRPr="006154DA">
        <w:t xml:space="preserve">. </w:t>
      </w:r>
      <w:r w:rsidR="00305A0E" w:rsidRPr="006154DA">
        <w:t xml:space="preserve">The PSCR stated that uptake is expected to be high, noting that the MSAG Guidelines (2022) state that </w:t>
      </w:r>
      <w:r w:rsidR="0015148F">
        <w:t>“</w:t>
      </w:r>
      <w:r w:rsidR="00305A0E" w:rsidRPr="006154DA">
        <w:t>maximising the effectiveness of first-line therapy remains the best opportunity to optim</w:t>
      </w:r>
      <w:r w:rsidR="00F01C06" w:rsidRPr="006154DA">
        <w:t>i</w:t>
      </w:r>
      <w:r w:rsidR="00305A0E" w:rsidRPr="006154DA">
        <w:t>se long term patient outcomes</w:t>
      </w:r>
      <w:r w:rsidR="0015148F">
        <w:t>”</w:t>
      </w:r>
      <w:r w:rsidR="00305A0E" w:rsidRPr="006154DA">
        <w:t>.</w:t>
      </w:r>
      <w:r w:rsidR="00B310A8" w:rsidRPr="006154DA">
        <w:t xml:space="preserve"> The ESC agreed that uptake of DLd was likely to be high.</w:t>
      </w:r>
    </w:p>
    <w:p w14:paraId="3C89BB61" w14:textId="1634C803" w:rsidR="001D7ABE" w:rsidRPr="006154DA" w:rsidRDefault="001D7ABE" w:rsidP="00661C42">
      <w:pPr>
        <w:pStyle w:val="3-BodyText"/>
        <w:numPr>
          <w:ilvl w:val="1"/>
          <w:numId w:val="12"/>
        </w:numPr>
        <w:ind w:left="1134"/>
      </w:pPr>
      <w:r w:rsidRPr="006154DA">
        <w:t xml:space="preserve">The submission included </w:t>
      </w:r>
      <w:r w:rsidR="00317395">
        <w:t>&lt; 500</w:t>
      </w:r>
      <w:r w:rsidR="00317395" w:rsidRPr="006154DA">
        <w:t xml:space="preserve"> </w:t>
      </w:r>
      <w:r w:rsidRPr="006154DA">
        <w:t xml:space="preserve">grandfathered patients in Year 1. The inclusion of these patients was not adequately justified given that the access program from which grandfathered patients has not yet commenced. </w:t>
      </w:r>
    </w:p>
    <w:p w14:paraId="4F39B6F8" w14:textId="69A73A9C" w:rsidR="00976595" w:rsidRPr="006154DA" w:rsidRDefault="00976595" w:rsidP="0021164A">
      <w:pPr>
        <w:pStyle w:val="3-BodyText"/>
        <w:numPr>
          <w:ilvl w:val="1"/>
          <w:numId w:val="12"/>
        </w:numPr>
        <w:ind w:left="1134"/>
      </w:pPr>
      <w:r w:rsidRPr="006154DA">
        <w:t>The submission appeared to underestimate the reduction in use of DBd in second-line treatment. The submission estimated offsets based on the proportion of patients who progressed following first</w:t>
      </w:r>
      <w:r w:rsidR="0015148F">
        <w:t xml:space="preserve"> </w:t>
      </w:r>
      <w:r w:rsidRPr="006154DA">
        <w:t xml:space="preserve">line DLd of 9% (e.g. Year 1), rather than considering the proportion who would have progressed to second-line daratumumab if they did not receive DLd in the first-line setting of 42% (e.g. Year 1; based on SoC of the economic model). This might result in up to 33% underestimate in the reduction of use for DBd. The PSCR disagreed with the concern raised by the evaluation, maintaining that the approach used in the </w:t>
      </w:r>
      <w:r w:rsidRPr="006154DA">
        <w:lastRenderedPageBreak/>
        <w:t xml:space="preserve">submission was appropriate. The ESC agreed with the evaluation that the reduction in use of DBd in second-line treatment had been underestimated, because the submission incorrectly modelled the reduction based on the assumed efficacy of DLd in the entire population, regardless of the proportion assumed to receive DLd rather than SOC. The submission estimated a reduction in daratumumab scripts in second line use between </w:t>
      </w:r>
      <w:bookmarkStart w:id="113" w:name="_Hlk135042307"/>
      <w:r w:rsidR="000177D8" w:rsidRPr="000177D8">
        <w:t>500 to &lt; 5,000</w:t>
      </w:r>
      <w:bookmarkEnd w:id="113"/>
      <w:r w:rsidR="000177D8">
        <w:t xml:space="preserve"> </w:t>
      </w:r>
      <w:r w:rsidRPr="006154DA">
        <w:t xml:space="preserve">(in year 1) and </w:t>
      </w:r>
      <w:bookmarkStart w:id="114" w:name="_Hlk135042321"/>
      <w:r w:rsidR="000177D8" w:rsidRPr="000177D8">
        <w:t>20,000 to &lt; 30,000</w:t>
      </w:r>
      <w:bookmarkEnd w:id="114"/>
      <w:r w:rsidR="000177D8" w:rsidRPr="000177D8">
        <w:t xml:space="preserve"> </w:t>
      </w:r>
      <w:r w:rsidRPr="006154DA">
        <w:t>(in year 6; Submission Table 4.10), which appeared low in comparison to the estimated number of daratumumab scripts for the proposed listing in first line use (</w:t>
      </w:r>
      <w:r w:rsidR="000177D8" w:rsidRPr="000177D8">
        <w:t xml:space="preserve">20,000 to &lt; 30,000 </w:t>
      </w:r>
      <w:r w:rsidRPr="006154DA">
        <w:t xml:space="preserve">in year 1 to </w:t>
      </w:r>
      <w:bookmarkStart w:id="115" w:name="_Hlk135042453"/>
      <w:r w:rsidR="000177D8" w:rsidRPr="000177D8">
        <w:t>90,000 to &lt; 100,000</w:t>
      </w:r>
      <w:bookmarkEnd w:id="115"/>
      <w:r w:rsidR="000177D8">
        <w:t xml:space="preserve"> </w:t>
      </w:r>
      <w:r w:rsidRPr="006154DA">
        <w:t>in year 6; Submission Table 4.10)</w:t>
      </w:r>
      <w:r w:rsidR="00910B9B" w:rsidRPr="006154DA">
        <w:t xml:space="preserve">. </w:t>
      </w:r>
      <w:r w:rsidRPr="006154DA">
        <w:t xml:space="preserve">Although duration of treatment is expected to be longer in the first line setting, it appeared the submission did not take account of additional patients that would no longer be eligible for DBd in second line, including patients that received DLd and did not progress to second line (but in the absence of DLd would have received DBd in second line). </w:t>
      </w:r>
    </w:p>
    <w:p w14:paraId="0AE64CE9" w14:textId="03D1CCC7" w:rsidR="001D7ABE" w:rsidRPr="00551781" w:rsidRDefault="001D7ABE" w:rsidP="008A1D6B">
      <w:pPr>
        <w:pStyle w:val="3-BodyText"/>
        <w:numPr>
          <w:ilvl w:val="1"/>
          <w:numId w:val="15"/>
        </w:numPr>
        <w:ind w:left="1134"/>
      </w:pPr>
      <w:r w:rsidRPr="006154DA">
        <w:t xml:space="preserve">The submission did not estimate changes in the use of other medicines in the second and third-line settings. Since </w:t>
      </w:r>
      <w:r w:rsidR="00FB16DB" w:rsidRPr="006154DA">
        <w:t>the submission</w:t>
      </w:r>
      <w:r w:rsidRPr="006154DA">
        <w:t xml:space="preserve"> anticipated that patients receiving DLd will remain </w:t>
      </w:r>
      <w:r w:rsidR="00D92611" w:rsidRPr="006154DA">
        <w:t>o</w:t>
      </w:r>
      <w:r w:rsidRPr="006154DA">
        <w:t xml:space="preserve">n treatment longer (compared to those receiving current first-line options), it </w:t>
      </w:r>
      <w:r w:rsidR="00FB16DB" w:rsidRPr="006154DA">
        <w:t>was argued that there would be</w:t>
      </w:r>
      <w:r w:rsidRPr="006154DA">
        <w:t xml:space="preserve"> further reductions in the use of second and third-line treatments not captured within the submission</w:t>
      </w:r>
      <w:r w:rsidR="00FB16DB" w:rsidRPr="006154DA">
        <w:t xml:space="preserve"> over the 6-year time frame of the financial estimates</w:t>
      </w:r>
      <w:r w:rsidRPr="006154DA">
        <w:t xml:space="preserve">. </w:t>
      </w:r>
      <w:r w:rsidR="00FB16DB" w:rsidRPr="006154DA">
        <w:t>However, the ESC considered this was not accurate, because there may be a change in patterns of use of therapies currently used in later line settings after DBd</w:t>
      </w:r>
      <w:r w:rsidR="008A1D6B" w:rsidRPr="006154DA">
        <w:t>, both in terms of mix of therapies and timing which may both impact costs</w:t>
      </w:r>
      <w:r w:rsidR="00E958A5" w:rsidRPr="006154DA">
        <w:t>. The ESC considered that medicines currently used in lines after DBd may be used one line earlier</w:t>
      </w:r>
      <w:r w:rsidR="008A1D6B" w:rsidRPr="006154DA">
        <w:t xml:space="preserve"> on average, because </w:t>
      </w:r>
      <w:r w:rsidR="00FB16DB" w:rsidRPr="006154DA">
        <w:t>DBd will not be applicable for patients that received DLd in first line, and similar flow on impacts to later lines.</w:t>
      </w:r>
      <w:r w:rsidR="008A1D6B" w:rsidRPr="006154DA">
        <w:t xml:space="preserve"> In addition</w:t>
      </w:r>
      <w:r w:rsidR="003B3112">
        <w:t>,</w:t>
      </w:r>
      <w:r w:rsidR="008A1D6B" w:rsidRPr="006154DA">
        <w:t xml:space="preserve"> there may be a change to timing, where patients may remain in first line treatment for a longer period on average (due to extended treatment duration for DLd compared with SOC). </w:t>
      </w:r>
      <w:r w:rsidR="008A1D6B" w:rsidRPr="00551781">
        <w:t>This may lead to a reduction in use of other treatments over the 6 year forecast period, which was not estimated by the submission.</w:t>
      </w:r>
    </w:p>
    <w:p w14:paraId="402143DC" w14:textId="28FF2BDA" w:rsidR="001D7ABE" w:rsidRPr="00551781" w:rsidRDefault="001D7ABE" w:rsidP="00720D59">
      <w:pPr>
        <w:pStyle w:val="3-BodyText"/>
      </w:pPr>
      <w:r w:rsidRPr="00551781">
        <w:t xml:space="preserve">A summary of the estimated use and financial implications of DLd is presented in </w:t>
      </w:r>
      <w:r w:rsidRPr="00551781">
        <w:fldChar w:fldCharType="begin"/>
      </w:r>
      <w:r w:rsidRPr="00551781">
        <w:instrText xml:space="preserve"> REF _Ref104805295 \h  \* MERGEFORMAT </w:instrText>
      </w:r>
      <w:r w:rsidRPr="00551781">
        <w:fldChar w:fldCharType="separate"/>
      </w:r>
      <w:r w:rsidR="008D65C7" w:rsidRPr="00551781">
        <w:t xml:space="preserve">Table </w:t>
      </w:r>
      <w:r w:rsidR="008D65C7">
        <w:t>21</w:t>
      </w:r>
      <w:r w:rsidRPr="00551781">
        <w:fldChar w:fldCharType="end"/>
      </w:r>
      <w:r w:rsidRPr="00551781">
        <w:t>.</w:t>
      </w:r>
      <w:r w:rsidR="000F28E3" w:rsidRPr="00551781">
        <w:t xml:space="preserve"> </w:t>
      </w:r>
    </w:p>
    <w:p w14:paraId="5735381F" w14:textId="65B5B866" w:rsidR="001D7ABE" w:rsidRPr="0058247A" w:rsidRDefault="001D7ABE" w:rsidP="001D7ABE">
      <w:pPr>
        <w:pStyle w:val="Caption"/>
      </w:pPr>
      <w:bookmarkStart w:id="116" w:name="_Ref104805295"/>
      <w:r w:rsidRPr="00551781">
        <w:lastRenderedPageBreak/>
        <w:t xml:space="preserve">Table </w:t>
      </w:r>
      <w:fldSimple w:instr=" SEQ Table \* ARABIC ">
        <w:r w:rsidR="008D65C7">
          <w:rPr>
            <w:noProof/>
          </w:rPr>
          <w:t>21</w:t>
        </w:r>
      </w:fldSimple>
      <w:bookmarkEnd w:id="116"/>
      <w:r w:rsidRPr="00551781">
        <w:t>:</w:t>
      </w:r>
      <w:r w:rsidRPr="00551781">
        <w:rPr>
          <w:rStyle w:val="CommentReference"/>
          <w:b/>
          <w:szCs w:val="24"/>
        </w:rPr>
        <w:t xml:space="preserve"> Estimated use and financial</w:t>
      </w:r>
      <w:r w:rsidRPr="0058247A">
        <w:rPr>
          <w:rStyle w:val="CommentReference"/>
          <w:b/>
          <w:szCs w:val="24"/>
        </w:rPr>
        <w:t xml:space="preserve"> implications</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417"/>
        <w:gridCol w:w="1275"/>
        <w:gridCol w:w="1277"/>
        <w:gridCol w:w="1275"/>
        <w:gridCol w:w="1277"/>
        <w:gridCol w:w="1275"/>
      </w:tblGrid>
      <w:tr w:rsidR="006E73CD" w:rsidRPr="0058247A" w14:paraId="6C0CF39E" w14:textId="77777777" w:rsidTr="00DB1A3A">
        <w:trPr>
          <w:tblHeader/>
        </w:trPr>
        <w:tc>
          <w:tcPr>
            <w:tcW w:w="1013" w:type="pct"/>
            <w:shd w:val="clear" w:color="auto" w:fill="auto"/>
            <w:vAlign w:val="center"/>
          </w:tcPr>
          <w:p w14:paraId="2FB6D800" w14:textId="77777777" w:rsidR="001D7ABE" w:rsidRPr="0058247A" w:rsidRDefault="001D7ABE">
            <w:pPr>
              <w:pStyle w:val="In-tableHeading"/>
              <w:jc w:val="center"/>
              <w:rPr>
                <w:szCs w:val="20"/>
                <w:lang w:val="en-AU"/>
              </w:rPr>
            </w:pPr>
          </w:p>
        </w:tc>
        <w:tc>
          <w:tcPr>
            <w:tcW w:w="725" w:type="pct"/>
            <w:shd w:val="clear" w:color="auto" w:fill="auto"/>
            <w:vAlign w:val="center"/>
          </w:tcPr>
          <w:p w14:paraId="14895091" w14:textId="77777777" w:rsidR="001D7ABE" w:rsidRPr="0058247A" w:rsidRDefault="001D7ABE">
            <w:pPr>
              <w:pStyle w:val="In-tableHeading"/>
              <w:jc w:val="center"/>
              <w:rPr>
                <w:szCs w:val="20"/>
                <w:lang w:val="en-AU"/>
              </w:rPr>
            </w:pPr>
            <w:r w:rsidRPr="0058247A">
              <w:rPr>
                <w:szCs w:val="20"/>
                <w:lang w:val="en-AU"/>
              </w:rPr>
              <w:t>Year 1</w:t>
            </w:r>
          </w:p>
        </w:tc>
        <w:tc>
          <w:tcPr>
            <w:tcW w:w="652" w:type="pct"/>
            <w:shd w:val="clear" w:color="auto" w:fill="auto"/>
            <w:vAlign w:val="center"/>
          </w:tcPr>
          <w:p w14:paraId="72E498F9" w14:textId="77777777" w:rsidR="001D7ABE" w:rsidRPr="0058247A" w:rsidRDefault="001D7ABE">
            <w:pPr>
              <w:pStyle w:val="In-tableHeading"/>
              <w:jc w:val="center"/>
              <w:rPr>
                <w:szCs w:val="20"/>
                <w:lang w:val="en-AU"/>
              </w:rPr>
            </w:pPr>
            <w:r w:rsidRPr="0058247A">
              <w:rPr>
                <w:szCs w:val="20"/>
                <w:lang w:val="en-AU"/>
              </w:rPr>
              <w:t>Year 2</w:t>
            </w:r>
          </w:p>
        </w:tc>
        <w:tc>
          <w:tcPr>
            <w:tcW w:w="653" w:type="pct"/>
            <w:shd w:val="clear" w:color="auto" w:fill="auto"/>
            <w:vAlign w:val="center"/>
          </w:tcPr>
          <w:p w14:paraId="46CD818B" w14:textId="77777777" w:rsidR="001D7ABE" w:rsidRPr="0058247A" w:rsidRDefault="001D7ABE">
            <w:pPr>
              <w:pStyle w:val="In-tableHeading"/>
              <w:jc w:val="center"/>
              <w:rPr>
                <w:szCs w:val="20"/>
                <w:lang w:val="en-AU"/>
              </w:rPr>
            </w:pPr>
            <w:r w:rsidRPr="0058247A">
              <w:rPr>
                <w:szCs w:val="20"/>
                <w:lang w:val="en-AU"/>
              </w:rPr>
              <w:t>Year 3</w:t>
            </w:r>
          </w:p>
        </w:tc>
        <w:tc>
          <w:tcPr>
            <w:tcW w:w="652" w:type="pct"/>
            <w:shd w:val="clear" w:color="auto" w:fill="auto"/>
            <w:vAlign w:val="center"/>
          </w:tcPr>
          <w:p w14:paraId="54EF795A" w14:textId="77777777" w:rsidR="001D7ABE" w:rsidRPr="0058247A" w:rsidRDefault="001D7ABE">
            <w:pPr>
              <w:pStyle w:val="In-tableHeading"/>
              <w:jc w:val="center"/>
              <w:rPr>
                <w:szCs w:val="20"/>
                <w:lang w:val="en-AU"/>
              </w:rPr>
            </w:pPr>
            <w:r w:rsidRPr="0058247A">
              <w:rPr>
                <w:szCs w:val="20"/>
                <w:lang w:val="en-AU"/>
              </w:rPr>
              <w:t>Year 4</w:t>
            </w:r>
          </w:p>
        </w:tc>
        <w:tc>
          <w:tcPr>
            <w:tcW w:w="653" w:type="pct"/>
            <w:shd w:val="clear" w:color="auto" w:fill="auto"/>
            <w:vAlign w:val="center"/>
          </w:tcPr>
          <w:p w14:paraId="020F52F5" w14:textId="77777777" w:rsidR="001D7ABE" w:rsidRPr="0058247A" w:rsidRDefault="001D7ABE">
            <w:pPr>
              <w:pStyle w:val="In-tableHeading"/>
              <w:jc w:val="center"/>
              <w:rPr>
                <w:szCs w:val="20"/>
                <w:lang w:val="en-AU"/>
              </w:rPr>
            </w:pPr>
            <w:r w:rsidRPr="0058247A">
              <w:rPr>
                <w:szCs w:val="20"/>
                <w:lang w:val="en-AU"/>
              </w:rPr>
              <w:t>Year 5</w:t>
            </w:r>
          </w:p>
        </w:tc>
        <w:tc>
          <w:tcPr>
            <w:tcW w:w="652" w:type="pct"/>
          </w:tcPr>
          <w:p w14:paraId="20EE2BA4" w14:textId="77777777" w:rsidR="001D7ABE" w:rsidRPr="0058247A" w:rsidRDefault="001D7ABE">
            <w:pPr>
              <w:pStyle w:val="In-tableHeading"/>
              <w:jc w:val="center"/>
              <w:rPr>
                <w:szCs w:val="20"/>
                <w:lang w:val="en-AU"/>
              </w:rPr>
            </w:pPr>
            <w:r w:rsidRPr="0058247A">
              <w:rPr>
                <w:szCs w:val="20"/>
                <w:lang w:val="en-AU"/>
              </w:rPr>
              <w:t>Year 6</w:t>
            </w:r>
          </w:p>
        </w:tc>
      </w:tr>
      <w:tr w:rsidR="001D7ABE" w:rsidRPr="0058247A" w14:paraId="177ADA87" w14:textId="77777777" w:rsidTr="006E73CD">
        <w:tc>
          <w:tcPr>
            <w:tcW w:w="5000" w:type="pct"/>
            <w:gridSpan w:val="7"/>
            <w:shd w:val="clear" w:color="auto" w:fill="auto"/>
            <w:vAlign w:val="center"/>
          </w:tcPr>
          <w:p w14:paraId="47EAD85A" w14:textId="77777777" w:rsidR="001D7ABE" w:rsidRPr="0058247A" w:rsidRDefault="001D7ABE">
            <w:pPr>
              <w:pStyle w:val="In-tableHeading"/>
              <w:rPr>
                <w:bCs/>
                <w:color w:val="000000"/>
                <w:szCs w:val="20"/>
                <w:lang w:val="en-AU"/>
              </w:rPr>
            </w:pPr>
            <w:r w:rsidRPr="0058247A">
              <w:rPr>
                <w:bCs/>
                <w:color w:val="000000"/>
                <w:szCs w:val="20"/>
                <w:lang w:val="en-AU"/>
              </w:rPr>
              <w:t>Estimated extent of use</w:t>
            </w:r>
          </w:p>
        </w:tc>
      </w:tr>
      <w:tr w:rsidR="006E73CD" w:rsidRPr="0058247A" w14:paraId="72873070" w14:textId="77777777" w:rsidTr="00DB1A3A">
        <w:tc>
          <w:tcPr>
            <w:tcW w:w="1013" w:type="pct"/>
            <w:shd w:val="clear" w:color="auto" w:fill="auto"/>
            <w:vAlign w:val="center"/>
          </w:tcPr>
          <w:p w14:paraId="5F1E1ABF" w14:textId="77777777" w:rsidR="001D7ABE" w:rsidRPr="0058247A" w:rsidRDefault="001D7ABE">
            <w:pPr>
              <w:pStyle w:val="TableText0"/>
              <w:rPr>
                <w:rFonts w:ascii="Times" w:hAnsi="Times"/>
                <w:szCs w:val="20"/>
              </w:rPr>
            </w:pPr>
            <w:r w:rsidRPr="0058247A">
              <w:rPr>
                <w:szCs w:val="20"/>
              </w:rPr>
              <w:t xml:space="preserve">Initiating patients treated </w:t>
            </w:r>
          </w:p>
        </w:tc>
        <w:tc>
          <w:tcPr>
            <w:tcW w:w="725" w:type="pct"/>
            <w:shd w:val="clear" w:color="auto" w:fill="auto"/>
          </w:tcPr>
          <w:p w14:paraId="20F509F3" w14:textId="587A3CDF" w:rsidR="001D7ABE" w:rsidRPr="00317395" w:rsidRDefault="006E73CD">
            <w:pPr>
              <w:pStyle w:val="TableText0"/>
              <w:jc w:val="center"/>
              <w:rPr>
                <w:color w:val="000000"/>
                <w:szCs w:val="20"/>
                <w:vertAlign w:val="superscript"/>
              </w:rPr>
            </w:pPr>
            <w:r w:rsidRPr="006E73CD">
              <w:rPr>
                <w:rFonts w:cs="Arial"/>
                <w:bCs w:val="0"/>
                <w:color w:val="000000"/>
                <w:spacing w:val="206"/>
                <w:szCs w:val="20"/>
                <w:shd w:val="solid" w:color="000000" w:fill="000000"/>
                <w:fitText w:val="292" w:id="-1236536828"/>
                <w14:textFill>
                  <w14:solidFill>
                    <w14:srgbClr w14:val="000000">
                      <w14:alpha w14:val="100000"/>
                    </w14:srgbClr>
                  </w14:solidFill>
                </w14:textFill>
              </w:rPr>
              <w:t>|</w:t>
            </w:r>
            <w:r w:rsidRPr="006E73CD">
              <w:rPr>
                <w:rFonts w:cs="Arial"/>
                <w:bCs w:val="0"/>
                <w:color w:val="000000"/>
                <w:spacing w:val="1"/>
                <w:szCs w:val="20"/>
                <w:shd w:val="solid" w:color="000000" w:fill="000000"/>
                <w:fitText w:val="292" w:id="-1236536828"/>
                <w14:textFill>
                  <w14:solidFill>
                    <w14:srgbClr w14:val="000000">
                      <w14:alpha w14:val="100000"/>
                    </w14:srgbClr>
                  </w14:solidFill>
                </w14:textFill>
              </w:rPr>
              <w:t>|</w:t>
            </w:r>
            <w:r w:rsidR="00317395">
              <w:rPr>
                <w:rFonts w:cs="Arial"/>
                <w:bCs w:val="0"/>
                <w:color w:val="000000"/>
                <w:szCs w:val="20"/>
                <w:vertAlign w:val="superscript"/>
              </w:rPr>
              <w:t>1</w:t>
            </w:r>
          </w:p>
        </w:tc>
        <w:tc>
          <w:tcPr>
            <w:tcW w:w="652" w:type="pct"/>
            <w:shd w:val="clear" w:color="auto" w:fill="auto"/>
          </w:tcPr>
          <w:p w14:paraId="738B6CB7" w14:textId="7CEF1DB2" w:rsidR="001D7ABE" w:rsidRPr="0058247A" w:rsidRDefault="006E73CD">
            <w:pPr>
              <w:pStyle w:val="TableText0"/>
              <w:jc w:val="center"/>
              <w:rPr>
                <w:color w:val="000000"/>
                <w:szCs w:val="20"/>
              </w:rPr>
            </w:pPr>
            <w:r w:rsidRPr="006E73CD">
              <w:rPr>
                <w:rFonts w:cs="Arial"/>
                <w:bCs w:val="0"/>
                <w:color w:val="000000"/>
                <w:spacing w:val="48"/>
                <w:szCs w:val="20"/>
                <w:shd w:val="solid" w:color="000000" w:fill="000000"/>
                <w:fitText w:val="224" w:id="-1236536827"/>
                <w14:textFill>
                  <w14:solidFill>
                    <w14:srgbClr w14:val="000000">
                      <w14:alpha w14:val="100000"/>
                    </w14:srgbClr>
                  </w14:solidFill>
                </w14:textFill>
              </w:rPr>
              <w:t>||</w:t>
            </w:r>
            <w:r w:rsidRPr="006E73CD">
              <w:rPr>
                <w:rFonts w:cs="Arial"/>
                <w:bCs w:val="0"/>
                <w:color w:val="000000"/>
                <w:spacing w:val="1"/>
                <w:szCs w:val="20"/>
                <w:shd w:val="solid" w:color="000000" w:fill="000000"/>
                <w:fitText w:val="224" w:id="-1236536827"/>
                <w14:textFill>
                  <w14:solidFill>
                    <w14:srgbClr w14:val="000000">
                      <w14:alpha w14:val="100000"/>
                    </w14:srgbClr>
                  </w14:solidFill>
                </w14:textFill>
              </w:rPr>
              <w:t>|</w:t>
            </w:r>
            <w:r w:rsidR="00317395">
              <w:rPr>
                <w:rFonts w:cs="Arial"/>
                <w:bCs w:val="0"/>
                <w:color w:val="000000"/>
                <w:szCs w:val="20"/>
                <w:vertAlign w:val="superscript"/>
              </w:rPr>
              <w:t>1</w:t>
            </w:r>
          </w:p>
        </w:tc>
        <w:tc>
          <w:tcPr>
            <w:tcW w:w="653" w:type="pct"/>
            <w:shd w:val="clear" w:color="auto" w:fill="auto"/>
          </w:tcPr>
          <w:p w14:paraId="46D6A696" w14:textId="5D76D7F8" w:rsidR="001D7ABE" w:rsidRPr="0058247A" w:rsidRDefault="006E73CD">
            <w:pPr>
              <w:pStyle w:val="TableText0"/>
              <w:jc w:val="center"/>
              <w:rPr>
                <w:color w:val="000000"/>
                <w:szCs w:val="20"/>
              </w:rPr>
            </w:pPr>
            <w:r w:rsidRPr="006E73CD">
              <w:rPr>
                <w:rFonts w:cs="Arial"/>
                <w:bCs w:val="0"/>
                <w:color w:val="000000"/>
                <w:spacing w:val="44"/>
                <w:szCs w:val="20"/>
                <w:shd w:val="solid" w:color="000000" w:fill="000000"/>
                <w:fitText w:val="216" w:id="-1236536826"/>
                <w14:textFill>
                  <w14:solidFill>
                    <w14:srgbClr w14:val="000000">
                      <w14:alpha w14:val="100000"/>
                    </w14:srgbClr>
                  </w14:solidFill>
                </w14:textFill>
              </w:rPr>
              <w:t>||</w:t>
            </w:r>
            <w:r w:rsidRPr="006E73CD">
              <w:rPr>
                <w:rFonts w:cs="Arial"/>
                <w:bCs w:val="0"/>
                <w:color w:val="000000"/>
                <w:spacing w:val="1"/>
                <w:szCs w:val="20"/>
                <w:shd w:val="solid" w:color="000000" w:fill="000000"/>
                <w:fitText w:val="216" w:id="-1236536826"/>
                <w14:textFill>
                  <w14:solidFill>
                    <w14:srgbClr w14:val="000000">
                      <w14:alpha w14:val="100000"/>
                    </w14:srgbClr>
                  </w14:solidFill>
                </w14:textFill>
              </w:rPr>
              <w:t>|</w:t>
            </w:r>
            <w:r w:rsidR="00317395">
              <w:rPr>
                <w:rFonts w:cs="Arial"/>
                <w:bCs w:val="0"/>
                <w:color w:val="000000"/>
                <w:szCs w:val="20"/>
                <w:vertAlign w:val="superscript"/>
              </w:rPr>
              <w:t>1</w:t>
            </w:r>
          </w:p>
        </w:tc>
        <w:tc>
          <w:tcPr>
            <w:tcW w:w="652" w:type="pct"/>
            <w:shd w:val="clear" w:color="auto" w:fill="auto"/>
          </w:tcPr>
          <w:p w14:paraId="33C196F1" w14:textId="132991C9" w:rsidR="001D7ABE" w:rsidRPr="0058247A" w:rsidRDefault="006E73CD">
            <w:pPr>
              <w:pStyle w:val="TableText0"/>
              <w:jc w:val="center"/>
              <w:rPr>
                <w:color w:val="000000"/>
                <w:szCs w:val="20"/>
              </w:rPr>
            </w:pPr>
            <w:r w:rsidRPr="006E73CD">
              <w:rPr>
                <w:rFonts w:cs="Arial"/>
                <w:bCs w:val="0"/>
                <w:color w:val="000000"/>
                <w:spacing w:val="205"/>
                <w:szCs w:val="20"/>
                <w:shd w:val="solid" w:color="000000" w:fill="000000"/>
                <w:fitText w:val="291" w:id="-1236536825"/>
                <w14:textFill>
                  <w14:solidFill>
                    <w14:srgbClr w14:val="000000">
                      <w14:alpha w14:val="100000"/>
                    </w14:srgbClr>
                  </w14:solidFill>
                </w14:textFill>
              </w:rPr>
              <w:t>|</w:t>
            </w:r>
            <w:r w:rsidRPr="006E73CD">
              <w:rPr>
                <w:rFonts w:cs="Arial"/>
                <w:bCs w:val="0"/>
                <w:color w:val="000000"/>
                <w:spacing w:val="1"/>
                <w:szCs w:val="20"/>
                <w:shd w:val="solid" w:color="000000" w:fill="000000"/>
                <w:fitText w:val="291" w:id="-1236536825"/>
                <w14:textFill>
                  <w14:solidFill>
                    <w14:srgbClr w14:val="000000">
                      <w14:alpha w14:val="100000"/>
                    </w14:srgbClr>
                  </w14:solidFill>
                </w14:textFill>
              </w:rPr>
              <w:t>|</w:t>
            </w:r>
            <w:r w:rsidR="00317395">
              <w:rPr>
                <w:rFonts w:cs="Arial"/>
                <w:bCs w:val="0"/>
                <w:color w:val="000000"/>
                <w:szCs w:val="20"/>
                <w:vertAlign w:val="superscript"/>
              </w:rPr>
              <w:t>1</w:t>
            </w:r>
          </w:p>
        </w:tc>
        <w:tc>
          <w:tcPr>
            <w:tcW w:w="653" w:type="pct"/>
            <w:shd w:val="clear" w:color="auto" w:fill="auto"/>
          </w:tcPr>
          <w:p w14:paraId="24C87C36" w14:textId="094543F7" w:rsidR="001D7ABE" w:rsidRPr="0058247A" w:rsidRDefault="006E73CD">
            <w:pPr>
              <w:pStyle w:val="TableText0"/>
              <w:jc w:val="center"/>
              <w:rPr>
                <w:color w:val="000000"/>
                <w:szCs w:val="20"/>
              </w:rPr>
            </w:pPr>
            <w:r w:rsidRPr="006E73CD">
              <w:rPr>
                <w:rFonts w:cs="Arial"/>
                <w:bCs w:val="0"/>
                <w:color w:val="000000"/>
                <w:spacing w:val="205"/>
                <w:szCs w:val="20"/>
                <w:shd w:val="solid" w:color="000000" w:fill="000000"/>
                <w:fitText w:val="291" w:id="-1236536824"/>
                <w14:textFill>
                  <w14:solidFill>
                    <w14:srgbClr w14:val="000000">
                      <w14:alpha w14:val="100000"/>
                    </w14:srgbClr>
                  </w14:solidFill>
                </w14:textFill>
              </w:rPr>
              <w:t>|</w:t>
            </w:r>
            <w:r w:rsidRPr="006E73CD">
              <w:rPr>
                <w:rFonts w:cs="Arial"/>
                <w:bCs w:val="0"/>
                <w:color w:val="000000"/>
                <w:spacing w:val="1"/>
                <w:szCs w:val="20"/>
                <w:shd w:val="solid" w:color="000000" w:fill="000000"/>
                <w:fitText w:val="291" w:id="-1236536824"/>
                <w14:textFill>
                  <w14:solidFill>
                    <w14:srgbClr w14:val="000000">
                      <w14:alpha w14:val="100000"/>
                    </w14:srgbClr>
                  </w14:solidFill>
                </w14:textFill>
              </w:rPr>
              <w:t>|</w:t>
            </w:r>
            <w:r w:rsidR="00317395">
              <w:rPr>
                <w:rFonts w:cs="Arial"/>
                <w:bCs w:val="0"/>
                <w:color w:val="000000"/>
                <w:szCs w:val="20"/>
                <w:vertAlign w:val="superscript"/>
              </w:rPr>
              <w:t>1</w:t>
            </w:r>
          </w:p>
        </w:tc>
        <w:tc>
          <w:tcPr>
            <w:tcW w:w="652" w:type="pct"/>
          </w:tcPr>
          <w:p w14:paraId="3A51E33B" w14:textId="612DF6BF" w:rsidR="001D7ABE" w:rsidRPr="0058247A" w:rsidRDefault="006E73CD">
            <w:pPr>
              <w:pStyle w:val="TableText0"/>
              <w:jc w:val="center"/>
              <w:rPr>
                <w:color w:val="000000"/>
                <w:szCs w:val="20"/>
              </w:rPr>
            </w:pPr>
            <w:r w:rsidRPr="006E73CD">
              <w:rPr>
                <w:rFonts w:cs="Arial"/>
                <w:bCs w:val="0"/>
                <w:color w:val="000000"/>
                <w:spacing w:val="164"/>
                <w:szCs w:val="20"/>
                <w:shd w:val="solid" w:color="000000" w:fill="000000"/>
                <w:fitText w:val="250" w:id="-1236536823"/>
                <w14:textFill>
                  <w14:solidFill>
                    <w14:srgbClr w14:val="000000">
                      <w14:alpha w14:val="100000"/>
                    </w14:srgbClr>
                  </w14:solidFill>
                </w14:textFill>
              </w:rPr>
              <w:t>|</w:t>
            </w:r>
            <w:r w:rsidRPr="006E73CD">
              <w:rPr>
                <w:rFonts w:cs="Arial"/>
                <w:bCs w:val="0"/>
                <w:color w:val="000000"/>
                <w:spacing w:val="1"/>
                <w:szCs w:val="20"/>
                <w:shd w:val="solid" w:color="000000" w:fill="000000"/>
                <w:fitText w:val="250" w:id="-1236536823"/>
                <w14:textFill>
                  <w14:solidFill>
                    <w14:srgbClr w14:val="000000">
                      <w14:alpha w14:val="100000"/>
                    </w14:srgbClr>
                  </w14:solidFill>
                </w14:textFill>
              </w:rPr>
              <w:t>|</w:t>
            </w:r>
            <w:r w:rsidR="00E76201">
              <w:rPr>
                <w:rFonts w:cs="Arial"/>
                <w:bCs w:val="0"/>
                <w:color w:val="000000"/>
                <w:szCs w:val="20"/>
              </w:rPr>
              <w:t xml:space="preserve"> </w:t>
            </w:r>
            <w:r w:rsidR="00317395">
              <w:rPr>
                <w:rFonts w:cs="Arial"/>
                <w:bCs w:val="0"/>
                <w:color w:val="000000"/>
                <w:szCs w:val="20"/>
                <w:vertAlign w:val="superscript"/>
              </w:rPr>
              <w:t>1</w:t>
            </w:r>
          </w:p>
        </w:tc>
      </w:tr>
      <w:tr w:rsidR="006E73CD" w:rsidRPr="0058247A" w14:paraId="53FEC091" w14:textId="77777777" w:rsidTr="00DB1A3A">
        <w:tc>
          <w:tcPr>
            <w:tcW w:w="1013" w:type="pct"/>
            <w:shd w:val="clear" w:color="auto" w:fill="auto"/>
            <w:vAlign w:val="center"/>
          </w:tcPr>
          <w:p w14:paraId="475A2901" w14:textId="77777777" w:rsidR="001D7ABE" w:rsidRPr="0058247A" w:rsidRDefault="001D7ABE">
            <w:pPr>
              <w:pStyle w:val="TableText0"/>
              <w:rPr>
                <w:szCs w:val="20"/>
              </w:rPr>
            </w:pPr>
            <w:r w:rsidRPr="0058247A">
              <w:rPr>
                <w:szCs w:val="20"/>
              </w:rPr>
              <w:t>Continuing patients treated</w:t>
            </w:r>
          </w:p>
        </w:tc>
        <w:tc>
          <w:tcPr>
            <w:tcW w:w="725" w:type="pct"/>
            <w:shd w:val="clear" w:color="auto" w:fill="auto"/>
            <w:vAlign w:val="center"/>
          </w:tcPr>
          <w:p w14:paraId="68E3EFFD" w14:textId="77777777" w:rsidR="001D7ABE" w:rsidRPr="0058247A" w:rsidRDefault="001D7ABE">
            <w:pPr>
              <w:pStyle w:val="TableText0"/>
              <w:jc w:val="center"/>
              <w:rPr>
                <w:color w:val="000000"/>
                <w:szCs w:val="20"/>
              </w:rPr>
            </w:pPr>
            <w:r w:rsidRPr="0058247A">
              <w:rPr>
                <w:color w:val="000000"/>
                <w:szCs w:val="20"/>
              </w:rPr>
              <w:t>-</w:t>
            </w:r>
          </w:p>
        </w:tc>
        <w:tc>
          <w:tcPr>
            <w:tcW w:w="652" w:type="pct"/>
            <w:shd w:val="clear" w:color="auto" w:fill="auto"/>
          </w:tcPr>
          <w:p w14:paraId="0B7ABAF1" w14:textId="20A2880A" w:rsidR="001D7ABE" w:rsidRPr="0058247A" w:rsidRDefault="006E73CD">
            <w:pPr>
              <w:pStyle w:val="TableText0"/>
              <w:jc w:val="center"/>
              <w:rPr>
                <w:color w:val="000000"/>
                <w:szCs w:val="20"/>
              </w:rPr>
            </w:pPr>
            <w:r w:rsidRPr="006E73CD">
              <w:rPr>
                <w:rFonts w:cs="Arial"/>
                <w:color w:val="000000"/>
                <w:spacing w:val="48"/>
                <w:szCs w:val="20"/>
                <w:shd w:val="solid" w:color="000000" w:fill="000000"/>
                <w:fitText w:val="224" w:id="-1236536822"/>
                <w14:textFill>
                  <w14:solidFill>
                    <w14:srgbClr w14:val="000000">
                      <w14:alpha w14:val="100000"/>
                    </w14:srgbClr>
                  </w14:solidFill>
                </w14:textFill>
              </w:rPr>
              <w:t>||</w:t>
            </w:r>
            <w:r w:rsidRPr="006E73CD">
              <w:rPr>
                <w:rFonts w:cs="Arial"/>
                <w:color w:val="000000"/>
                <w:spacing w:val="1"/>
                <w:szCs w:val="20"/>
                <w:shd w:val="solid" w:color="000000" w:fill="000000"/>
                <w:fitText w:val="224" w:id="-1236536822"/>
                <w14:textFill>
                  <w14:solidFill>
                    <w14:srgbClr w14:val="000000">
                      <w14:alpha w14:val="100000"/>
                    </w14:srgbClr>
                  </w14:solidFill>
                </w14:textFill>
              </w:rPr>
              <w:t>|</w:t>
            </w:r>
            <w:r w:rsidR="00317395">
              <w:rPr>
                <w:rFonts w:cs="Arial"/>
                <w:bCs w:val="0"/>
                <w:color w:val="000000"/>
                <w:szCs w:val="20"/>
                <w:vertAlign w:val="superscript"/>
              </w:rPr>
              <w:t>1</w:t>
            </w:r>
          </w:p>
        </w:tc>
        <w:tc>
          <w:tcPr>
            <w:tcW w:w="653" w:type="pct"/>
            <w:shd w:val="clear" w:color="auto" w:fill="auto"/>
          </w:tcPr>
          <w:p w14:paraId="7E6276F4" w14:textId="2FD57A00" w:rsidR="001D7ABE" w:rsidRPr="0058247A" w:rsidRDefault="006E73CD">
            <w:pPr>
              <w:pStyle w:val="TableText0"/>
              <w:jc w:val="center"/>
              <w:rPr>
                <w:color w:val="000000"/>
                <w:szCs w:val="20"/>
              </w:rPr>
            </w:pPr>
            <w:r w:rsidRPr="006E73CD">
              <w:rPr>
                <w:rFonts w:cs="Arial"/>
                <w:color w:val="000000"/>
                <w:spacing w:val="44"/>
                <w:szCs w:val="20"/>
                <w:shd w:val="solid" w:color="000000" w:fill="000000"/>
                <w:fitText w:val="216" w:id="-1236536821"/>
                <w14:textFill>
                  <w14:solidFill>
                    <w14:srgbClr w14:val="000000">
                      <w14:alpha w14:val="100000"/>
                    </w14:srgbClr>
                  </w14:solidFill>
                </w14:textFill>
              </w:rPr>
              <w:t>||</w:t>
            </w:r>
            <w:r w:rsidRPr="006E73CD">
              <w:rPr>
                <w:rFonts w:cs="Arial"/>
                <w:color w:val="000000"/>
                <w:spacing w:val="1"/>
                <w:szCs w:val="20"/>
                <w:shd w:val="solid" w:color="000000" w:fill="000000"/>
                <w:fitText w:val="216" w:id="-1236536821"/>
                <w14:textFill>
                  <w14:solidFill>
                    <w14:srgbClr w14:val="000000">
                      <w14:alpha w14:val="100000"/>
                    </w14:srgbClr>
                  </w14:solidFill>
                </w14:textFill>
              </w:rPr>
              <w:t>|</w:t>
            </w:r>
            <w:r w:rsidR="00317395">
              <w:rPr>
                <w:rFonts w:cs="Arial"/>
                <w:bCs w:val="0"/>
                <w:color w:val="000000"/>
                <w:szCs w:val="20"/>
                <w:vertAlign w:val="superscript"/>
              </w:rPr>
              <w:t>1</w:t>
            </w:r>
          </w:p>
        </w:tc>
        <w:tc>
          <w:tcPr>
            <w:tcW w:w="652" w:type="pct"/>
            <w:shd w:val="clear" w:color="auto" w:fill="auto"/>
          </w:tcPr>
          <w:p w14:paraId="227A72D1" w14:textId="738E120A" w:rsidR="001D7ABE" w:rsidRPr="0058247A" w:rsidRDefault="006E73CD">
            <w:pPr>
              <w:pStyle w:val="TableText0"/>
              <w:jc w:val="center"/>
              <w:rPr>
                <w:color w:val="000000"/>
                <w:szCs w:val="20"/>
              </w:rPr>
            </w:pPr>
            <w:r w:rsidRPr="006E73CD">
              <w:rPr>
                <w:rFonts w:cs="Arial"/>
                <w:color w:val="000000"/>
                <w:spacing w:val="205"/>
                <w:szCs w:val="20"/>
                <w:shd w:val="solid" w:color="000000" w:fill="000000"/>
                <w:fitText w:val="291" w:id="-1236536820"/>
                <w14:textFill>
                  <w14:solidFill>
                    <w14:srgbClr w14:val="000000">
                      <w14:alpha w14:val="100000"/>
                    </w14:srgbClr>
                  </w14:solidFill>
                </w14:textFill>
              </w:rPr>
              <w:t>|</w:t>
            </w:r>
            <w:r w:rsidRPr="006E73CD">
              <w:rPr>
                <w:rFonts w:cs="Arial"/>
                <w:color w:val="000000"/>
                <w:spacing w:val="1"/>
                <w:szCs w:val="20"/>
                <w:shd w:val="solid" w:color="000000" w:fill="000000"/>
                <w:fitText w:val="291" w:id="-1236536820"/>
                <w14:textFill>
                  <w14:solidFill>
                    <w14:srgbClr w14:val="000000">
                      <w14:alpha w14:val="100000"/>
                    </w14:srgbClr>
                  </w14:solidFill>
                </w14:textFill>
              </w:rPr>
              <w:t>|</w:t>
            </w:r>
            <w:r w:rsidR="00317395">
              <w:rPr>
                <w:rFonts w:cs="Arial"/>
                <w:bCs w:val="0"/>
                <w:color w:val="000000"/>
                <w:szCs w:val="20"/>
                <w:vertAlign w:val="superscript"/>
              </w:rPr>
              <w:t>1</w:t>
            </w:r>
          </w:p>
        </w:tc>
        <w:tc>
          <w:tcPr>
            <w:tcW w:w="653" w:type="pct"/>
            <w:shd w:val="clear" w:color="auto" w:fill="auto"/>
          </w:tcPr>
          <w:p w14:paraId="4E937F49" w14:textId="03BF5BA5" w:rsidR="001D7ABE" w:rsidRPr="0058247A" w:rsidRDefault="006E73CD">
            <w:pPr>
              <w:pStyle w:val="TableText0"/>
              <w:jc w:val="center"/>
              <w:rPr>
                <w:color w:val="000000"/>
                <w:szCs w:val="20"/>
              </w:rPr>
            </w:pPr>
            <w:r w:rsidRPr="006E73CD">
              <w:rPr>
                <w:rFonts w:cs="Arial"/>
                <w:color w:val="000000"/>
                <w:spacing w:val="205"/>
                <w:szCs w:val="20"/>
                <w:shd w:val="solid" w:color="000000" w:fill="000000"/>
                <w:fitText w:val="291" w:id="-1236536819"/>
                <w14:textFill>
                  <w14:solidFill>
                    <w14:srgbClr w14:val="000000">
                      <w14:alpha w14:val="100000"/>
                    </w14:srgbClr>
                  </w14:solidFill>
                </w14:textFill>
              </w:rPr>
              <w:t>|</w:t>
            </w:r>
            <w:r w:rsidRPr="006E73CD">
              <w:rPr>
                <w:rFonts w:cs="Arial"/>
                <w:color w:val="000000"/>
                <w:spacing w:val="1"/>
                <w:szCs w:val="20"/>
                <w:shd w:val="solid" w:color="000000" w:fill="000000"/>
                <w:fitText w:val="291" w:id="-1236536819"/>
                <w14:textFill>
                  <w14:solidFill>
                    <w14:srgbClr w14:val="000000">
                      <w14:alpha w14:val="100000"/>
                    </w14:srgbClr>
                  </w14:solidFill>
                </w14:textFill>
              </w:rPr>
              <w:t>|</w:t>
            </w:r>
            <w:r w:rsidR="00317395">
              <w:rPr>
                <w:rFonts w:cs="Arial"/>
                <w:bCs w:val="0"/>
                <w:color w:val="000000"/>
                <w:szCs w:val="20"/>
                <w:vertAlign w:val="superscript"/>
              </w:rPr>
              <w:t>1</w:t>
            </w:r>
          </w:p>
        </w:tc>
        <w:tc>
          <w:tcPr>
            <w:tcW w:w="652" w:type="pct"/>
          </w:tcPr>
          <w:p w14:paraId="0B86F8AD" w14:textId="4F46DA9B" w:rsidR="001D7ABE" w:rsidRPr="0058247A" w:rsidRDefault="006E73CD">
            <w:pPr>
              <w:pStyle w:val="TableText0"/>
              <w:jc w:val="center"/>
              <w:rPr>
                <w:color w:val="000000"/>
                <w:szCs w:val="20"/>
              </w:rPr>
            </w:pPr>
            <w:r w:rsidRPr="006E73CD">
              <w:rPr>
                <w:rFonts w:cs="Arial"/>
                <w:color w:val="000000"/>
                <w:spacing w:val="164"/>
                <w:szCs w:val="20"/>
                <w:shd w:val="solid" w:color="000000" w:fill="000000"/>
                <w:fitText w:val="250" w:id="-1236536818"/>
                <w14:textFill>
                  <w14:solidFill>
                    <w14:srgbClr w14:val="000000">
                      <w14:alpha w14:val="100000"/>
                    </w14:srgbClr>
                  </w14:solidFill>
                </w14:textFill>
              </w:rPr>
              <w:t>|</w:t>
            </w:r>
            <w:r w:rsidRPr="006E73CD">
              <w:rPr>
                <w:rFonts w:cs="Arial"/>
                <w:color w:val="000000"/>
                <w:spacing w:val="1"/>
                <w:szCs w:val="20"/>
                <w:shd w:val="solid" w:color="000000" w:fill="000000"/>
                <w:fitText w:val="250" w:id="-1236536818"/>
                <w14:textFill>
                  <w14:solidFill>
                    <w14:srgbClr w14:val="000000">
                      <w14:alpha w14:val="100000"/>
                    </w14:srgbClr>
                  </w14:solidFill>
                </w14:textFill>
              </w:rPr>
              <w:t>|</w:t>
            </w:r>
            <w:r w:rsidR="00E76201">
              <w:rPr>
                <w:rFonts w:cs="Arial"/>
                <w:color w:val="000000"/>
                <w:szCs w:val="20"/>
              </w:rPr>
              <w:t xml:space="preserve"> </w:t>
            </w:r>
            <w:r w:rsidR="00317395">
              <w:rPr>
                <w:rFonts w:cs="Arial"/>
                <w:bCs w:val="0"/>
                <w:color w:val="000000"/>
                <w:szCs w:val="20"/>
                <w:vertAlign w:val="superscript"/>
              </w:rPr>
              <w:t>1</w:t>
            </w:r>
          </w:p>
        </w:tc>
      </w:tr>
      <w:tr w:rsidR="006E73CD" w:rsidRPr="0058247A" w14:paraId="0EEEB94B" w14:textId="77777777" w:rsidTr="00DB1A3A">
        <w:tc>
          <w:tcPr>
            <w:tcW w:w="1013" w:type="pct"/>
            <w:shd w:val="clear" w:color="auto" w:fill="auto"/>
            <w:vAlign w:val="center"/>
          </w:tcPr>
          <w:p w14:paraId="6F2E4B99" w14:textId="77777777" w:rsidR="001D7ABE" w:rsidRPr="0058247A" w:rsidRDefault="001D7ABE">
            <w:pPr>
              <w:pStyle w:val="TableText0"/>
              <w:rPr>
                <w:rFonts w:ascii="Times" w:hAnsi="Times"/>
                <w:szCs w:val="20"/>
              </w:rPr>
            </w:pPr>
            <w:r w:rsidRPr="0058247A">
              <w:rPr>
                <w:szCs w:val="20"/>
              </w:rPr>
              <w:t xml:space="preserve">Scripts dispensed: initial </w:t>
            </w:r>
          </w:p>
        </w:tc>
        <w:tc>
          <w:tcPr>
            <w:tcW w:w="725" w:type="pct"/>
            <w:shd w:val="clear" w:color="auto" w:fill="auto"/>
            <w:vAlign w:val="center"/>
          </w:tcPr>
          <w:p w14:paraId="5E170D03" w14:textId="024EE263" w:rsidR="001D7ABE" w:rsidRPr="00317395" w:rsidRDefault="006E73CD">
            <w:pPr>
              <w:pStyle w:val="TableText0"/>
              <w:jc w:val="center"/>
              <w:rPr>
                <w:color w:val="000000"/>
                <w:szCs w:val="20"/>
                <w:vertAlign w:val="superscript"/>
              </w:rPr>
            </w:pPr>
            <w:r w:rsidRPr="006E73CD">
              <w:rPr>
                <w:rFonts w:cs="Arial"/>
                <w:color w:val="000000"/>
                <w:spacing w:val="206"/>
                <w:szCs w:val="20"/>
                <w:shd w:val="solid" w:color="000000" w:fill="000000"/>
                <w:fitText w:val="292" w:id="-1236536817"/>
                <w14:textFill>
                  <w14:solidFill>
                    <w14:srgbClr w14:val="000000">
                      <w14:alpha w14:val="100000"/>
                    </w14:srgbClr>
                  </w14:solidFill>
                </w14:textFill>
              </w:rPr>
              <w:t>|</w:t>
            </w:r>
            <w:r w:rsidRPr="006E73CD">
              <w:rPr>
                <w:rFonts w:cs="Arial"/>
                <w:color w:val="000000"/>
                <w:spacing w:val="1"/>
                <w:szCs w:val="20"/>
                <w:shd w:val="solid" w:color="000000" w:fill="000000"/>
                <w:fitText w:val="292" w:id="-1236536817"/>
                <w14:textFill>
                  <w14:solidFill>
                    <w14:srgbClr w14:val="000000">
                      <w14:alpha w14:val="100000"/>
                    </w14:srgbClr>
                  </w14:solidFill>
                </w14:textFill>
              </w:rPr>
              <w:t>|</w:t>
            </w:r>
            <w:r w:rsidR="00317395">
              <w:rPr>
                <w:rFonts w:cs="Arial"/>
                <w:color w:val="000000"/>
                <w:szCs w:val="20"/>
                <w:vertAlign w:val="superscript"/>
              </w:rPr>
              <w:t>2</w:t>
            </w:r>
          </w:p>
        </w:tc>
        <w:tc>
          <w:tcPr>
            <w:tcW w:w="652" w:type="pct"/>
            <w:shd w:val="clear" w:color="auto" w:fill="auto"/>
            <w:vAlign w:val="center"/>
          </w:tcPr>
          <w:p w14:paraId="355B239A" w14:textId="6E2D0326" w:rsidR="001D7ABE" w:rsidRPr="0058247A" w:rsidRDefault="006E73CD">
            <w:pPr>
              <w:pStyle w:val="TableText0"/>
              <w:jc w:val="center"/>
              <w:rPr>
                <w:color w:val="000000"/>
                <w:szCs w:val="20"/>
              </w:rPr>
            </w:pPr>
            <w:r w:rsidRPr="006E73CD">
              <w:rPr>
                <w:rFonts w:cs="Arial"/>
                <w:color w:val="000000"/>
                <w:spacing w:val="48"/>
                <w:szCs w:val="20"/>
                <w:shd w:val="solid" w:color="000000" w:fill="000000"/>
                <w:fitText w:val="224" w:id="-1236536816"/>
                <w14:textFill>
                  <w14:solidFill>
                    <w14:srgbClr w14:val="000000">
                      <w14:alpha w14:val="100000"/>
                    </w14:srgbClr>
                  </w14:solidFill>
                </w14:textFill>
              </w:rPr>
              <w:t>||</w:t>
            </w:r>
            <w:r w:rsidRPr="006E73CD">
              <w:rPr>
                <w:rFonts w:cs="Arial"/>
                <w:color w:val="000000"/>
                <w:spacing w:val="1"/>
                <w:szCs w:val="20"/>
                <w:shd w:val="solid" w:color="000000" w:fill="000000"/>
                <w:fitText w:val="224" w:id="-1236536816"/>
                <w14:textFill>
                  <w14:solidFill>
                    <w14:srgbClr w14:val="000000">
                      <w14:alpha w14:val="100000"/>
                    </w14:srgbClr>
                  </w14:solidFill>
                </w14:textFill>
              </w:rPr>
              <w:t>|</w:t>
            </w:r>
            <w:r w:rsidR="00317395">
              <w:rPr>
                <w:rFonts w:cs="Arial"/>
                <w:color w:val="000000"/>
                <w:szCs w:val="20"/>
                <w:vertAlign w:val="superscript"/>
              </w:rPr>
              <w:t>2</w:t>
            </w:r>
          </w:p>
        </w:tc>
        <w:tc>
          <w:tcPr>
            <w:tcW w:w="653" w:type="pct"/>
            <w:shd w:val="clear" w:color="auto" w:fill="auto"/>
            <w:vAlign w:val="center"/>
          </w:tcPr>
          <w:p w14:paraId="047199EC" w14:textId="53F0AD4E" w:rsidR="001D7ABE" w:rsidRPr="0058247A" w:rsidRDefault="006E73CD">
            <w:pPr>
              <w:pStyle w:val="TableText0"/>
              <w:jc w:val="center"/>
              <w:rPr>
                <w:color w:val="000000"/>
                <w:szCs w:val="20"/>
              </w:rPr>
            </w:pPr>
            <w:r w:rsidRPr="006E73CD">
              <w:rPr>
                <w:rFonts w:cs="Arial"/>
                <w:color w:val="000000"/>
                <w:spacing w:val="44"/>
                <w:szCs w:val="20"/>
                <w:shd w:val="solid" w:color="000000" w:fill="000000"/>
                <w:fitText w:val="216" w:id="-1236536832"/>
                <w14:textFill>
                  <w14:solidFill>
                    <w14:srgbClr w14:val="000000">
                      <w14:alpha w14:val="100000"/>
                    </w14:srgbClr>
                  </w14:solidFill>
                </w14:textFill>
              </w:rPr>
              <w:t>||</w:t>
            </w:r>
            <w:r w:rsidRPr="006E73CD">
              <w:rPr>
                <w:rFonts w:cs="Arial"/>
                <w:color w:val="000000"/>
                <w:spacing w:val="1"/>
                <w:szCs w:val="20"/>
                <w:shd w:val="solid" w:color="000000" w:fill="000000"/>
                <w:fitText w:val="216" w:id="-1236536832"/>
                <w14:textFill>
                  <w14:solidFill>
                    <w14:srgbClr w14:val="000000">
                      <w14:alpha w14:val="100000"/>
                    </w14:srgbClr>
                  </w14:solidFill>
                </w14:textFill>
              </w:rPr>
              <w:t>|</w:t>
            </w:r>
            <w:r w:rsidR="00317395">
              <w:rPr>
                <w:rFonts w:cs="Arial"/>
                <w:color w:val="000000"/>
                <w:szCs w:val="20"/>
                <w:vertAlign w:val="superscript"/>
              </w:rPr>
              <w:t>2</w:t>
            </w:r>
          </w:p>
        </w:tc>
        <w:tc>
          <w:tcPr>
            <w:tcW w:w="652" w:type="pct"/>
            <w:shd w:val="clear" w:color="auto" w:fill="auto"/>
            <w:vAlign w:val="center"/>
          </w:tcPr>
          <w:p w14:paraId="152AB772" w14:textId="415E48C5" w:rsidR="001D7ABE" w:rsidRPr="0058247A" w:rsidRDefault="006E73CD">
            <w:pPr>
              <w:pStyle w:val="TableText0"/>
              <w:jc w:val="center"/>
              <w:rPr>
                <w:color w:val="000000"/>
                <w:szCs w:val="20"/>
              </w:rPr>
            </w:pPr>
            <w:r w:rsidRPr="006E73CD">
              <w:rPr>
                <w:rFonts w:cs="Arial"/>
                <w:color w:val="000000"/>
                <w:spacing w:val="205"/>
                <w:szCs w:val="20"/>
                <w:shd w:val="solid" w:color="000000" w:fill="000000"/>
                <w:fitText w:val="291" w:id="-1236536831"/>
                <w14:textFill>
                  <w14:solidFill>
                    <w14:srgbClr w14:val="000000">
                      <w14:alpha w14:val="100000"/>
                    </w14:srgbClr>
                  </w14:solidFill>
                </w14:textFill>
              </w:rPr>
              <w:t>|</w:t>
            </w:r>
            <w:r w:rsidRPr="006E73CD">
              <w:rPr>
                <w:rFonts w:cs="Arial"/>
                <w:color w:val="000000"/>
                <w:spacing w:val="1"/>
                <w:szCs w:val="20"/>
                <w:shd w:val="solid" w:color="000000" w:fill="000000"/>
                <w:fitText w:val="291" w:id="-1236536831"/>
                <w14:textFill>
                  <w14:solidFill>
                    <w14:srgbClr w14:val="000000">
                      <w14:alpha w14:val="100000"/>
                    </w14:srgbClr>
                  </w14:solidFill>
                </w14:textFill>
              </w:rPr>
              <w:t>|</w:t>
            </w:r>
            <w:r w:rsidR="00317395">
              <w:rPr>
                <w:rFonts w:cs="Arial"/>
                <w:color w:val="000000"/>
                <w:szCs w:val="20"/>
                <w:vertAlign w:val="superscript"/>
              </w:rPr>
              <w:t>2</w:t>
            </w:r>
          </w:p>
        </w:tc>
        <w:tc>
          <w:tcPr>
            <w:tcW w:w="653" w:type="pct"/>
            <w:shd w:val="clear" w:color="auto" w:fill="auto"/>
            <w:vAlign w:val="center"/>
          </w:tcPr>
          <w:p w14:paraId="22CC598C" w14:textId="40B946C6" w:rsidR="001D7ABE" w:rsidRPr="0058247A" w:rsidRDefault="006E73CD">
            <w:pPr>
              <w:pStyle w:val="TableText0"/>
              <w:jc w:val="center"/>
              <w:rPr>
                <w:color w:val="000000"/>
                <w:szCs w:val="20"/>
              </w:rPr>
            </w:pPr>
            <w:r w:rsidRPr="006E73CD">
              <w:rPr>
                <w:rFonts w:cs="Arial"/>
                <w:color w:val="000000"/>
                <w:spacing w:val="205"/>
                <w:szCs w:val="20"/>
                <w:shd w:val="solid" w:color="000000" w:fill="000000"/>
                <w:fitText w:val="291" w:id="-1236536830"/>
                <w14:textFill>
                  <w14:solidFill>
                    <w14:srgbClr w14:val="000000">
                      <w14:alpha w14:val="100000"/>
                    </w14:srgbClr>
                  </w14:solidFill>
                </w14:textFill>
              </w:rPr>
              <w:t>|</w:t>
            </w:r>
            <w:r w:rsidRPr="006E73CD">
              <w:rPr>
                <w:rFonts w:cs="Arial"/>
                <w:color w:val="000000"/>
                <w:spacing w:val="1"/>
                <w:szCs w:val="20"/>
                <w:shd w:val="solid" w:color="000000" w:fill="000000"/>
                <w:fitText w:val="291" w:id="-1236536830"/>
                <w14:textFill>
                  <w14:solidFill>
                    <w14:srgbClr w14:val="000000">
                      <w14:alpha w14:val="100000"/>
                    </w14:srgbClr>
                  </w14:solidFill>
                </w14:textFill>
              </w:rPr>
              <w:t>|</w:t>
            </w:r>
            <w:r w:rsidR="00317395">
              <w:rPr>
                <w:rFonts w:cs="Arial"/>
                <w:color w:val="000000"/>
                <w:szCs w:val="20"/>
                <w:vertAlign w:val="superscript"/>
              </w:rPr>
              <w:t>2</w:t>
            </w:r>
          </w:p>
        </w:tc>
        <w:tc>
          <w:tcPr>
            <w:tcW w:w="652" w:type="pct"/>
            <w:vAlign w:val="center"/>
          </w:tcPr>
          <w:p w14:paraId="14940E21" w14:textId="2C36687C" w:rsidR="001D7ABE" w:rsidRPr="0058247A" w:rsidRDefault="006E73CD">
            <w:pPr>
              <w:pStyle w:val="TableText0"/>
              <w:jc w:val="center"/>
              <w:rPr>
                <w:color w:val="000000"/>
                <w:szCs w:val="20"/>
              </w:rPr>
            </w:pPr>
            <w:r w:rsidRPr="006E73CD">
              <w:rPr>
                <w:rFonts w:cs="Arial"/>
                <w:color w:val="000000"/>
                <w:spacing w:val="48"/>
                <w:szCs w:val="20"/>
                <w:shd w:val="solid" w:color="000000" w:fill="000000"/>
                <w:fitText w:val="225" w:id="-1236536829"/>
                <w14:textFill>
                  <w14:solidFill>
                    <w14:srgbClr w14:val="000000">
                      <w14:alpha w14:val="100000"/>
                    </w14:srgbClr>
                  </w14:solidFill>
                </w14:textFill>
              </w:rPr>
              <w:t>||</w:t>
            </w:r>
            <w:r w:rsidRPr="006E73CD">
              <w:rPr>
                <w:rFonts w:cs="Arial"/>
                <w:color w:val="000000"/>
                <w:spacing w:val="2"/>
                <w:szCs w:val="20"/>
                <w:shd w:val="solid" w:color="000000" w:fill="000000"/>
                <w:fitText w:val="225" w:id="-1236536829"/>
                <w14:textFill>
                  <w14:solidFill>
                    <w14:srgbClr w14:val="000000">
                      <w14:alpha w14:val="100000"/>
                    </w14:srgbClr>
                  </w14:solidFill>
                </w14:textFill>
              </w:rPr>
              <w:t>|</w:t>
            </w:r>
            <w:r w:rsidR="00317395">
              <w:rPr>
                <w:rFonts w:cs="Arial"/>
                <w:color w:val="000000"/>
                <w:szCs w:val="20"/>
                <w:vertAlign w:val="superscript"/>
              </w:rPr>
              <w:t>2</w:t>
            </w:r>
          </w:p>
        </w:tc>
      </w:tr>
      <w:tr w:rsidR="006E73CD" w:rsidRPr="0058247A" w14:paraId="07BB1840" w14:textId="77777777" w:rsidTr="00DB1A3A">
        <w:tc>
          <w:tcPr>
            <w:tcW w:w="1013" w:type="pct"/>
            <w:shd w:val="clear" w:color="auto" w:fill="auto"/>
            <w:vAlign w:val="center"/>
          </w:tcPr>
          <w:p w14:paraId="774739A6" w14:textId="4F5AB2A5" w:rsidR="001D7ABE" w:rsidRPr="0058247A" w:rsidRDefault="001D7ABE">
            <w:pPr>
              <w:pStyle w:val="TableText0"/>
              <w:rPr>
                <w:szCs w:val="20"/>
              </w:rPr>
            </w:pPr>
            <w:r w:rsidRPr="0058247A">
              <w:rPr>
                <w:szCs w:val="20"/>
              </w:rPr>
              <w:t>Scripts dispensed: continuing</w:t>
            </w:r>
          </w:p>
        </w:tc>
        <w:tc>
          <w:tcPr>
            <w:tcW w:w="725" w:type="pct"/>
            <w:shd w:val="clear" w:color="auto" w:fill="auto"/>
            <w:vAlign w:val="center"/>
          </w:tcPr>
          <w:p w14:paraId="027B997B" w14:textId="4813F6A9" w:rsidR="001D7ABE" w:rsidRPr="00317395" w:rsidRDefault="006E73CD">
            <w:pPr>
              <w:pStyle w:val="TableText0"/>
              <w:jc w:val="center"/>
              <w:rPr>
                <w:color w:val="000000"/>
                <w:szCs w:val="20"/>
                <w:vertAlign w:val="superscript"/>
              </w:rPr>
            </w:pPr>
            <w:r w:rsidRPr="006E73CD">
              <w:rPr>
                <w:rFonts w:cs="Arial"/>
                <w:color w:val="000000"/>
                <w:spacing w:val="206"/>
                <w:szCs w:val="20"/>
                <w:shd w:val="solid" w:color="000000" w:fill="000000"/>
                <w:fitText w:val="292" w:id="-1236536828"/>
                <w14:textFill>
                  <w14:solidFill>
                    <w14:srgbClr w14:val="000000">
                      <w14:alpha w14:val="100000"/>
                    </w14:srgbClr>
                  </w14:solidFill>
                </w14:textFill>
              </w:rPr>
              <w:t>|</w:t>
            </w:r>
            <w:r w:rsidRPr="006E73CD">
              <w:rPr>
                <w:rFonts w:cs="Arial"/>
                <w:color w:val="000000"/>
                <w:spacing w:val="1"/>
                <w:szCs w:val="20"/>
                <w:shd w:val="solid" w:color="000000" w:fill="000000"/>
                <w:fitText w:val="292" w:id="-1236536828"/>
                <w14:textFill>
                  <w14:solidFill>
                    <w14:srgbClr w14:val="000000">
                      <w14:alpha w14:val="100000"/>
                    </w14:srgbClr>
                  </w14:solidFill>
                </w14:textFill>
              </w:rPr>
              <w:t>|</w:t>
            </w:r>
            <w:r w:rsidR="00317395">
              <w:rPr>
                <w:rFonts w:cs="Arial"/>
                <w:color w:val="000000"/>
                <w:szCs w:val="20"/>
                <w:vertAlign w:val="superscript"/>
              </w:rPr>
              <w:t>3</w:t>
            </w:r>
          </w:p>
        </w:tc>
        <w:tc>
          <w:tcPr>
            <w:tcW w:w="652" w:type="pct"/>
            <w:shd w:val="clear" w:color="auto" w:fill="auto"/>
            <w:vAlign w:val="center"/>
          </w:tcPr>
          <w:p w14:paraId="5ABBC70B" w14:textId="5CD56EFB" w:rsidR="001D7ABE" w:rsidRPr="0058247A" w:rsidRDefault="006E73CD">
            <w:pPr>
              <w:pStyle w:val="TableText0"/>
              <w:jc w:val="center"/>
              <w:rPr>
                <w:color w:val="000000"/>
                <w:szCs w:val="20"/>
              </w:rPr>
            </w:pPr>
            <w:r w:rsidRPr="006E73CD">
              <w:rPr>
                <w:rFonts w:cs="Arial"/>
                <w:color w:val="000000"/>
                <w:spacing w:val="48"/>
                <w:szCs w:val="20"/>
                <w:shd w:val="solid" w:color="000000" w:fill="000000"/>
                <w:fitText w:val="224" w:id="-1236536827"/>
                <w14:textFill>
                  <w14:solidFill>
                    <w14:srgbClr w14:val="000000">
                      <w14:alpha w14:val="100000"/>
                    </w14:srgbClr>
                  </w14:solidFill>
                </w14:textFill>
              </w:rPr>
              <w:t>||</w:t>
            </w:r>
            <w:r w:rsidRPr="006E73CD">
              <w:rPr>
                <w:rFonts w:cs="Arial"/>
                <w:color w:val="000000"/>
                <w:spacing w:val="1"/>
                <w:szCs w:val="20"/>
                <w:shd w:val="solid" w:color="000000" w:fill="000000"/>
                <w:fitText w:val="224" w:id="-1236536827"/>
                <w14:textFill>
                  <w14:solidFill>
                    <w14:srgbClr w14:val="000000">
                      <w14:alpha w14:val="100000"/>
                    </w14:srgbClr>
                  </w14:solidFill>
                </w14:textFill>
              </w:rPr>
              <w:t>|</w:t>
            </w:r>
            <w:r w:rsidR="00317395">
              <w:rPr>
                <w:rFonts w:cs="Arial"/>
                <w:color w:val="000000"/>
                <w:szCs w:val="20"/>
                <w:vertAlign w:val="superscript"/>
              </w:rPr>
              <w:t>2</w:t>
            </w:r>
          </w:p>
        </w:tc>
        <w:tc>
          <w:tcPr>
            <w:tcW w:w="653" w:type="pct"/>
            <w:shd w:val="clear" w:color="auto" w:fill="auto"/>
            <w:vAlign w:val="center"/>
          </w:tcPr>
          <w:p w14:paraId="70CFD626" w14:textId="12E25EAB" w:rsidR="001D7ABE" w:rsidRPr="00317395" w:rsidRDefault="006E73CD">
            <w:pPr>
              <w:pStyle w:val="TableText0"/>
              <w:jc w:val="center"/>
              <w:rPr>
                <w:color w:val="000000"/>
                <w:szCs w:val="20"/>
                <w:vertAlign w:val="superscript"/>
              </w:rPr>
            </w:pPr>
            <w:r w:rsidRPr="006E73CD">
              <w:rPr>
                <w:rFonts w:cs="Arial"/>
                <w:color w:val="000000"/>
                <w:spacing w:val="44"/>
                <w:szCs w:val="20"/>
                <w:shd w:val="solid" w:color="000000" w:fill="000000"/>
                <w:fitText w:val="216" w:id="-1236536826"/>
                <w14:textFill>
                  <w14:solidFill>
                    <w14:srgbClr w14:val="000000">
                      <w14:alpha w14:val="100000"/>
                    </w14:srgbClr>
                  </w14:solidFill>
                </w14:textFill>
              </w:rPr>
              <w:t>||</w:t>
            </w:r>
            <w:r w:rsidRPr="006E73CD">
              <w:rPr>
                <w:rFonts w:cs="Arial"/>
                <w:color w:val="000000"/>
                <w:spacing w:val="1"/>
                <w:szCs w:val="20"/>
                <w:shd w:val="solid" w:color="000000" w:fill="000000"/>
                <w:fitText w:val="216" w:id="-1236536826"/>
                <w14:textFill>
                  <w14:solidFill>
                    <w14:srgbClr w14:val="000000">
                      <w14:alpha w14:val="100000"/>
                    </w14:srgbClr>
                  </w14:solidFill>
                </w14:textFill>
              </w:rPr>
              <w:t>|</w:t>
            </w:r>
            <w:r w:rsidR="00317395">
              <w:rPr>
                <w:rFonts w:cs="Arial"/>
                <w:color w:val="000000"/>
                <w:szCs w:val="20"/>
                <w:vertAlign w:val="superscript"/>
              </w:rPr>
              <w:t>4</w:t>
            </w:r>
          </w:p>
        </w:tc>
        <w:tc>
          <w:tcPr>
            <w:tcW w:w="652" w:type="pct"/>
            <w:shd w:val="clear" w:color="auto" w:fill="auto"/>
            <w:vAlign w:val="center"/>
          </w:tcPr>
          <w:p w14:paraId="705768E3" w14:textId="777D40A7" w:rsidR="001D7ABE" w:rsidRPr="00317395" w:rsidRDefault="006E73CD">
            <w:pPr>
              <w:pStyle w:val="TableText0"/>
              <w:jc w:val="center"/>
              <w:rPr>
                <w:color w:val="000000"/>
                <w:szCs w:val="20"/>
                <w:vertAlign w:val="superscript"/>
              </w:rPr>
            </w:pPr>
            <w:r w:rsidRPr="006E73CD">
              <w:rPr>
                <w:rFonts w:cs="Arial"/>
                <w:color w:val="000000"/>
                <w:spacing w:val="205"/>
                <w:szCs w:val="20"/>
                <w:shd w:val="solid" w:color="000000" w:fill="000000"/>
                <w:fitText w:val="291" w:id="-1236536825"/>
                <w14:textFill>
                  <w14:solidFill>
                    <w14:srgbClr w14:val="000000">
                      <w14:alpha w14:val="100000"/>
                    </w14:srgbClr>
                  </w14:solidFill>
                </w14:textFill>
              </w:rPr>
              <w:t>|</w:t>
            </w:r>
            <w:r w:rsidRPr="006E73CD">
              <w:rPr>
                <w:rFonts w:cs="Arial"/>
                <w:color w:val="000000"/>
                <w:spacing w:val="1"/>
                <w:szCs w:val="20"/>
                <w:shd w:val="solid" w:color="000000" w:fill="000000"/>
                <w:fitText w:val="291" w:id="-1236536825"/>
                <w14:textFill>
                  <w14:solidFill>
                    <w14:srgbClr w14:val="000000">
                      <w14:alpha w14:val="100000"/>
                    </w14:srgbClr>
                  </w14:solidFill>
                </w14:textFill>
              </w:rPr>
              <w:t>|</w:t>
            </w:r>
            <w:r w:rsidR="00317395">
              <w:rPr>
                <w:rFonts w:cs="Arial"/>
                <w:color w:val="000000"/>
                <w:szCs w:val="20"/>
                <w:vertAlign w:val="superscript"/>
              </w:rPr>
              <w:t>5</w:t>
            </w:r>
          </w:p>
        </w:tc>
        <w:tc>
          <w:tcPr>
            <w:tcW w:w="653" w:type="pct"/>
            <w:shd w:val="clear" w:color="auto" w:fill="auto"/>
            <w:vAlign w:val="center"/>
          </w:tcPr>
          <w:p w14:paraId="645FBAAF" w14:textId="291C32FD" w:rsidR="001D7ABE" w:rsidRPr="00317395" w:rsidRDefault="006E73CD">
            <w:pPr>
              <w:pStyle w:val="TableText0"/>
              <w:jc w:val="center"/>
              <w:rPr>
                <w:color w:val="000000"/>
                <w:szCs w:val="20"/>
                <w:vertAlign w:val="superscript"/>
              </w:rPr>
            </w:pPr>
            <w:r w:rsidRPr="006E73CD">
              <w:rPr>
                <w:rFonts w:cs="Arial"/>
                <w:color w:val="000000"/>
                <w:spacing w:val="205"/>
                <w:szCs w:val="20"/>
                <w:shd w:val="solid" w:color="000000" w:fill="000000"/>
                <w:fitText w:val="291" w:id="-1236536824"/>
                <w14:textFill>
                  <w14:solidFill>
                    <w14:srgbClr w14:val="000000">
                      <w14:alpha w14:val="100000"/>
                    </w14:srgbClr>
                  </w14:solidFill>
                </w14:textFill>
              </w:rPr>
              <w:t>|</w:t>
            </w:r>
            <w:r w:rsidRPr="006E73CD">
              <w:rPr>
                <w:rFonts w:cs="Arial"/>
                <w:color w:val="000000"/>
                <w:spacing w:val="1"/>
                <w:szCs w:val="20"/>
                <w:shd w:val="solid" w:color="000000" w:fill="000000"/>
                <w:fitText w:val="291" w:id="-1236536824"/>
                <w14:textFill>
                  <w14:solidFill>
                    <w14:srgbClr w14:val="000000">
                      <w14:alpha w14:val="100000"/>
                    </w14:srgbClr>
                  </w14:solidFill>
                </w14:textFill>
              </w:rPr>
              <w:t>|</w:t>
            </w:r>
            <w:r w:rsidR="00317395">
              <w:rPr>
                <w:rFonts w:cs="Arial"/>
                <w:color w:val="000000"/>
                <w:szCs w:val="20"/>
                <w:vertAlign w:val="superscript"/>
              </w:rPr>
              <w:t>6</w:t>
            </w:r>
          </w:p>
        </w:tc>
        <w:tc>
          <w:tcPr>
            <w:tcW w:w="652" w:type="pct"/>
            <w:vAlign w:val="center"/>
          </w:tcPr>
          <w:p w14:paraId="4789ACE8" w14:textId="7E953C57" w:rsidR="001D7ABE" w:rsidRPr="00317395" w:rsidRDefault="006E73CD">
            <w:pPr>
              <w:pStyle w:val="TableText0"/>
              <w:jc w:val="center"/>
              <w:rPr>
                <w:color w:val="000000"/>
                <w:szCs w:val="20"/>
                <w:vertAlign w:val="superscript"/>
              </w:rPr>
            </w:pPr>
            <w:r w:rsidRPr="006E73CD">
              <w:rPr>
                <w:rFonts w:cs="Arial"/>
                <w:color w:val="000000"/>
                <w:spacing w:val="48"/>
                <w:szCs w:val="20"/>
                <w:shd w:val="solid" w:color="000000" w:fill="000000"/>
                <w:fitText w:val="225" w:id="-1236536823"/>
                <w14:textFill>
                  <w14:solidFill>
                    <w14:srgbClr w14:val="000000">
                      <w14:alpha w14:val="100000"/>
                    </w14:srgbClr>
                  </w14:solidFill>
                </w14:textFill>
              </w:rPr>
              <w:t>||</w:t>
            </w:r>
            <w:r w:rsidRPr="006E73CD">
              <w:rPr>
                <w:rFonts w:cs="Arial"/>
                <w:color w:val="000000"/>
                <w:spacing w:val="2"/>
                <w:szCs w:val="20"/>
                <w:shd w:val="solid" w:color="000000" w:fill="000000"/>
                <w:fitText w:val="225" w:id="-1236536823"/>
                <w14:textFill>
                  <w14:solidFill>
                    <w14:srgbClr w14:val="000000">
                      <w14:alpha w14:val="100000"/>
                    </w14:srgbClr>
                  </w14:solidFill>
                </w14:textFill>
              </w:rPr>
              <w:t>|</w:t>
            </w:r>
            <w:r w:rsidR="00317395">
              <w:rPr>
                <w:rFonts w:cs="Arial"/>
                <w:color w:val="000000"/>
                <w:szCs w:val="20"/>
                <w:vertAlign w:val="superscript"/>
              </w:rPr>
              <w:t>7</w:t>
            </w:r>
          </w:p>
        </w:tc>
      </w:tr>
      <w:tr w:rsidR="006E73CD" w:rsidRPr="0058247A" w14:paraId="1D74E8FA" w14:textId="77777777" w:rsidTr="00DB1A3A">
        <w:tc>
          <w:tcPr>
            <w:tcW w:w="1013" w:type="pct"/>
            <w:shd w:val="clear" w:color="auto" w:fill="auto"/>
            <w:vAlign w:val="center"/>
          </w:tcPr>
          <w:p w14:paraId="2F9E0C2B" w14:textId="77777777" w:rsidR="001D7ABE" w:rsidRPr="0058247A" w:rsidRDefault="001D7ABE">
            <w:pPr>
              <w:pStyle w:val="TableText0"/>
              <w:rPr>
                <w:szCs w:val="20"/>
              </w:rPr>
            </w:pPr>
            <w:r w:rsidRPr="0058247A">
              <w:rPr>
                <w:szCs w:val="20"/>
              </w:rPr>
              <w:t xml:space="preserve">Scripts dispensed: total </w:t>
            </w:r>
          </w:p>
        </w:tc>
        <w:tc>
          <w:tcPr>
            <w:tcW w:w="725" w:type="pct"/>
            <w:shd w:val="clear" w:color="auto" w:fill="auto"/>
            <w:vAlign w:val="center"/>
          </w:tcPr>
          <w:p w14:paraId="5D459AF2" w14:textId="154035E3" w:rsidR="001D7ABE" w:rsidRPr="0058247A" w:rsidRDefault="006E73CD">
            <w:pPr>
              <w:pStyle w:val="TableText0"/>
              <w:jc w:val="center"/>
              <w:rPr>
                <w:rFonts w:cs="Arial"/>
                <w:bCs w:val="0"/>
                <w:color w:val="000000"/>
                <w:szCs w:val="20"/>
              </w:rPr>
            </w:pPr>
            <w:r w:rsidRPr="006E73CD">
              <w:rPr>
                <w:rFonts w:cs="Arial"/>
                <w:bCs w:val="0"/>
                <w:color w:val="000000"/>
                <w:spacing w:val="206"/>
                <w:szCs w:val="20"/>
                <w:shd w:val="solid" w:color="000000" w:fill="000000"/>
                <w:fitText w:val="292" w:id="-1236536822"/>
                <w14:textFill>
                  <w14:solidFill>
                    <w14:srgbClr w14:val="000000">
                      <w14:alpha w14:val="100000"/>
                    </w14:srgbClr>
                  </w14:solidFill>
                </w14:textFill>
              </w:rPr>
              <w:t>|</w:t>
            </w:r>
            <w:r w:rsidRPr="006E73CD">
              <w:rPr>
                <w:rFonts w:cs="Arial"/>
                <w:bCs w:val="0"/>
                <w:color w:val="000000"/>
                <w:spacing w:val="1"/>
                <w:szCs w:val="20"/>
                <w:shd w:val="solid" w:color="000000" w:fill="000000"/>
                <w:fitText w:val="292" w:id="-1236536822"/>
                <w14:textFill>
                  <w14:solidFill>
                    <w14:srgbClr w14:val="000000">
                      <w14:alpha w14:val="100000"/>
                    </w14:srgbClr>
                  </w14:solidFill>
                </w14:textFill>
              </w:rPr>
              <w:t>|</w:t>
            </w:r>
            <w:r w:rsidR="00317395">
              <w:rPr>
                <w:rFonts w:cs="Arial"/>
                <w:color w:val="000000"/>
                <w:szCs w:val="20"/>
                <w:vertAlign w:val="superscript"/>
              </w:rPr>
              <w:t>2</w:t>
            </w:r>
          </w:p>
        </w:tc>
        <w:tc>
          <w:tcPr>
            <w:tcW w:w="652" w:type="pct"/>
            <w:shd w:val="clear" w:color="auto" w:fill="auto"/>
            <w:vAlign w:val="center"/>
          </w:tcPr>
          <w:p w14:paraId="52562123" w14:textId="2B7ACD34" w:rsidR="001D7ABE" w:rsidRPr="00317395" w:rsidRDefault="006E73CD">
            <w:pPr>
              <w:pStyle w:val="TableText0"/>
              <w:jc w:val="center"/>
              <w:rPr>
                <w:rFonts w:cs="Arial"/>
                <w:bCs w:val="0"/>
                <w:color w:val="000000"/>
                <w:szCs w:val="20"/>
                <w:vertAlign w:val="superscript"/>
              </w:rPr>
            </w:pPr>
            <w:r w:rsidRPr="006E73CD">
              <w:rPr>
                <w:rFonts w:cs="Arial"/>
                <w:bCs w:val="0"/>
                <w:color w:val="000000"/>
                <w:spacing w:val="48"/>
                <w:szCs w:val="20"/>
                <w:shd w:val="solid" w:color="000000" w:fill="000000"/>
                <w:fitText w:val="224" w:id="-1236536821"/>
                <w14:textFill>
                  <w14:solidFill>
                    <w14:srgbClr w14:val="000000">
                      <w14:alpha w14:val="100000"/>
                    </w14:srgbClr>
                  </w14:solidFill>
                </w14:textFill>
              </w:rPr>
              <w:t>||</w:t>
            </w:r>
            <w:r w:rsidRPr="006E73CD">
              <w:rPr>
                <w:rFonts w:cs="Arial"/>
                <w:bCs w:val="0"/>
                <w:color w:val="000000"/>
                <w:spacing w:val="1"/>
                <w:szCs w:val="20"/>
                <w:shd w:val="solid" w:color="000000" w:fill="000000"/>
                <w:fitText w:val="224" w:id="-1236536821"/>
                <w14:textFill>
                  <w14:solidFill>
                    <w14:srgbClr w14:val="000000">
                      <w14:alpha w14:val="100000"/>
                    </w14:srgbClr>
                  </w14:solidFill>
                </w14:textFill>
              </w:rPr>
              <w:t>|</w:t>
            </w:r>
            <w:r w:rsidR="00317395">
              <w:rPr>
                <w:rFonts w:cs="Arial"/>
                <w:bCs w:val="0"/>
                <w:color w:val="000000"/>
                <w:szCs w:val="20"/>
                <w:vertAlign w:val="superscript"/>
              </w:rPr>
              <w:t>8</w:t>
            </w:r>
          </w:p>
        </w:tc>
        <w:tc>
          <w:tcPr>
            <w:tcW w:w="653" w:type="pct"/>
            <w:shd w:val="clear" w:color="auto" w:fill="auto"/>
            <w:vAlign w:val="center"/>
          </w:tcPr>
          <w:p w14:paraId="4D4212C8" w14:textId="6D97BDEF" w:rsidR="001D7ABE" w:rsidRPr="00317395" w:rsidRDefault="006E73CD">
            <w:pPr>
              <w:pStyle w:val="TableText0"/>
              <w:jc w:val="center"/>
              <w:rPr>
                <w:rFonts w:cs="Arial"/>
                <w:bCs w:val="0"/>
                <w:color w:val="000000"/>
                <w:szCs w:val="20"/>
                <w:vertAlign w:val="superscript"/>
              </w:rPr>
            </w:pPr>
            <w:r w:rsidRPr="006E73CD">
              <w:rPr>
                <w:rFonts w:cs="Arial"/>
                <w:bCs w:val="0"/>
                <w:color w:val="000000"/>
                <w:spacing w:val="44"/>
                <w:szCs w:val="20"/>
                <w:shd w:val="solid" w:color="000000" w:fill="000000"/>
                <w:fitText w:val="216" w:id="-1236536820"/>
                <w14:textFill>
                  <w14:solidFill>
                    <w14:srgbClr w14:val="000000">
                      <w14:alpha w14:val="100000"/>
                    </w14:srgbClr>
                  </w14:solidFill>
                </w14:textFill>
              </w:rPr>
              <w:t>||</w:t>
            </w:r>
            <w:r w:rsidRPr="006E73CD">
              <w:rPr>
                <w:rFonts w:cs="Arial"/>
                <w:bCs w:val="0"/>
                <w:color w:val="000000"/>
                <w:spacing w:val="1"/>
                <w:szCs w:val="20"/>
                <w:shd w:val="solid" w:color="000000" w:fill="000000"/>
                <w:fitText w:val="216" w:id="-1236536820"/>
                <w14:textFill>
                  <w14:solidFill>
                    <w14:srgbClr w14:val="000000">
                      <w14:alpha w14:val="100000"/>
                    </w14:srgbClr>
                  </w14:solidFill>
                </w14:textFill>
              </w:rPr>
              <w:t>|</w:t>
            </w:r>
            <w:r w:rsidR="00317395">
              <w:rPr>
                <w:rFonts w:cs="Arial"/>
                <w:bCs w:val="0"/>
                <w:color w:val="000000"/>
                <w:szCs w:val="20"/>
                <w:vertAlign w:val="superscript"/>
              </w:rPr>
              <w:t>6</w:t>
            </w:r>
          </w:p>
        </w:tc>
        <w:tc>
          <w:tcPr>
            <w:tcW w:w="652" w:type="pct"/>
            <w:shd w:val="clear" w:color="auto" w:fill="auto"/>
            <w:vAlign w:val="center"/>
          </w:tcPr>
          <w:p w14:paraId="7AD75F0A" w14:textId="2D2D166A" w:rsidR="001D7ABE" w:rsidRPr="0058247A" w:rsidRDefault="006E73CD">
            <w:pPr>
              <w:pStyle w:val="TableText0"/>
              <w:jc w:val="center"/>
              <w:rPr>
                <w:rFonts w:cs="Arial"/>
                <w:bCs w:val="0"/>
                <w:color w:val="000000"/>
                <w:szCs w:val="20"/>
              </w:rPr>
            </w:pPr>
            <w:r w:rsidRPr="006E73CD">
              <w:rPr>
                <w:rFonts w:cs="Arial"/>
                <w:bCs w:val="0"/>
                <w:color w:val="000000"/>
                <w:spacing w:val="205"/>
                <w:szCs w:val="20"/>
                <w:shd w:val="solid" w:color="000000" w:fill="000000"/>
                <w:fitText w:val="291" w:id="-1236536819"/>
                <w14:textFill>
                  <w14:solidFill>
                    <w14:srgbClr w14:val="000000">
                      <w14:alpha w14:val="100000"/>
                    </w14:srgbClr>
                  </w14:solidFill>
                </w14:textFill>
              </w:rPr>
              <w:t>|</w:t>
            </w:r>
            <w:r w:rsidRPr="006E73CD">
              <w:rPr>
                <w:rFonts w:cs="Arial"/>
                <w:bCs w:val="0"/>
                <w:color w:val="000000"/>
                <w:spacing w:val="1"/>
                <w:szCs w:val="20"/>
                <w:shd w:val="solid" w:color="000000" w:fill="000000"/>
                <w:fitText w:val="291" w:id="-1236536819"/>
                <w14:textFill>
                  <w14:solidFill>
                    <w14:srgbClr w14:val="000000">
                      <w14:alpha w14:val="100000"/>
                    </w14:srgbClr>
                  </w14:solidFill>
                </w14:textFill>
              </w:rPr>
              <w:t>|</w:t>
            </w:r>
            <w:r w:rsidR="00317395">
              <w:rPr>
                <w:rFonts w:cs="Arial"/>
                <w:color w:val="000000"/>
                <w:szCs w:val="20"/>
                <w:vertAlign w:val="superscript"/>
              </w:rPr>
              <w:t>7</w:t>
            </w:r>
          </w:p>
        </w:tc>
        <w:tc>
          <w:tcPr>
            <w:tcW w:w="653" w:type="pct"/>
            <w:shd w:val="clear" w:color="auto" w:fill="auto"/>
            <w:vAlign w:val="center"/>
          </w:tcPr>
          <w:p w14:paraId="3366016A" w14:textId="24F0ED1E" w:rsidR="001D7ABE" w:rsidRPr="00317395" w:rsidRDefault="006E73CD">
            <w:pPr>
              <w:pStyle w:val="TableText0"/>
              <w:jc w:val="center"/>
              <w:rPr>
                <w:rFonts w:cs="Arial"/>
                <w:bCs w:val="0"/>
                <w:color w:val="000000"/>
                <w:szCs w:val="20"/>
                <w:vertAlign w:val="superscript"/>
              </w:rPr>
            </w:pPr>
            <w:r w:rsidRPr="006E73CD">
              <w:rPr>
                <w:rFonts w:cs="Arial"/>
                <w:bCs w:val="0"/>
                <w:color w:val="000000"/>
                <w:spacing w:val="205"/>
                <w:szCs w:val="20"/>
                <w:shd w:val="solid" w:color="000000" w:fill="000000"/>
                <w:fitText w:val="291" w:id="-1236536818"/>
                <w14:textFill>
                  <w14:solidFill>
                    <w14:srgbClr w14:val="000000">
                      <w14:alpha w14:val="100000"/>
                    </w14:srgbClr>
                  </w14:solidFill>
                </w14:textFill>
              </w:rPr>
              <w:t>|</w:t>
            </w:r>
            <w:r w:rsidRPr="006E73CD">
              <w:rPr>
                <w:rFonts w:cs="Arial"/>
                <w:bCs w:val="0"/>
                <w:color w:val="000000"/>
                <w:spacing w:val="1"/>
                <w:szCs w:val="20"/>
                <w:shd w:val="solid" w:color="000000" w:fill="000000"/>
                <w:fitText w:val="291" w:id="-1236536818"/>
                <w14:textFill>
                  <w14:solidFill>
                    <w14:srgbClr w14:val="000000">
                      <w14:alpha w14:val="100000"/>
                    </w14:srgbClr>
                  </w14:solidFill>
                </w14:textFill>
              </w:rPr>
              <w:t>|</w:t>
            </w:r>
            <w:r w:rsidR="00317395">
              <w:rPr>
                <w:rFonts w:cs="Arial"/>
                <w:bCs w:val="0"/>
                <w:color w:val="000000"/>
                <w:szCs w:val="20"/>
                <w:vertAlign w:val="superscript"/>
              </w:rPr>
              <w:t>9</w:t>
            </w:r>
          </w:p>
        </w:tc>
        <w:tc>
          <w:tcPr>
            <w:tcW w:w="652" w:type="pct"/>
            <w:vAlign w:val="center"/>
          </w:tcPr>
          <w:p w14:paraId="6B50FFDE" w14:textId="30F0F5BA" w:rsidR="001D7ABE" w:rsidRPr="00317395" w:rsidRDefault="006E73CD">
            <w:pPr>
              <w:pStyle w:val="TableText0"/>
              <w:jc w:val="center"/>
              <w:rPr>
                <w:rFonts w:cs="Arial"/>
                <w:bCs w:val="0"/>
                <w:color w:val="000000"/>
                <w:szCs w:val="20"/>
                <w:vertAlign w:val="superscript"/>
              </w:rPr>
            </w:pPr>
            <w:r w:rsidRPr="006E73CD">
              <w:rPr>
                <w:rFonts w:cs="Arial"/>
                <w:bCs w:val="0"/>
                <w:color w:val="000000"/>
                <w:spacing w:val="172"/>
                <w:szCs w:val="20"/>
                <w:shd w:val="solid" w:color="000000" w:fill="000000"/>
                <w:fitText w:val="258" w:id="-1236536817"/>
                <w14:textFill>
                  <w14:solidFill>
                    <w14:srgbClr w14:val="000000">
                      <w14:alpha w14:val="100000"/>
                    </w14:srgbClr>
                  </w14:solidFill>
                </w14:textFill>
              </w:rPr>
              <w:t>|</w:t>
            </w:r>
            <w:r w:rsidRPr="006E73CD">
              <w:rPr>
                <w:rFonts w:cs="Arial"/>
                <w:bCs w:val="0"/>
                <w:color w:val="000000"/>
                <w:spacing w:val="1"/>
                <w:szCs w:val="20"/>
                <w:shd w:val="solid" w:color="000000" w:fill="000000"/>
                <w:fitText w:val="258" w:id="-1236536817"/>
                <w14:textFill>
                  <w14:solidFill>
                    <w14:srgbClr w14:val="000000">
                      <w14:alpha w14:val="100000"/>
                    </w14:srgbClr>
                  </w14:solidFill>
                </w14:textFill>
              </w:rPr>
              <w:t>|</w:t>
            </w:r>
            <w:r w:rsidR="00317395">
              <w:rPr>
                <w:rFonts w:cs="Arial"/>
                <w:bCs w:val="0"/>
                <w:color w:val="000000"/>
                <w:szCs w:val="20"/>
                <w:vertAlign w:val="superscript"/>
              </w:rPr>
              <w:t>10</w:t>
            </w:r>
          </w:p>
        </w:tc>
      </w:tr>
      <w:tr w:rsidR="001D7ABE" w:rsidRPr="0058247A" w14:paraId="79967D23" w14:textId="77777777" w:rsidTr="006E73CD">
        <w:tc>
          <w:tcPr>
            <w:tcW w:w="5000" w:type="pct"/>
            <w:gridSpan w:val="7"/>
            <w:shd w:val="clear" w:color="auto" w:fill="auto"/>
            <w:vAlign w:val="center"/>
          </w:tcPr>
          <w:p w14:paraId="291A8614" w14:textId="77777777" w:rsidR="001D7ABE" w:rsidRPr="0058247A" w:rsidRDefault="001D7ABE">
            <w:pPr>
              <w:pStyle w:val="In-tableHeading"/>
              <w:rPr>
                <w:szCs w:val="20"/>
                <w:lang w:val="en-AU"/>
              </w:rPr>
            </w:pPr>
            <w:r w:rsidRPr="0058247A">
              <w:rPr>
                <w:szCs w:val="20"/>
                <w:lang w:val="en-AU"/>
              </w:rPr>
              <w:t xml:space="preserve">Estimated financial implications of daratumumab </w:t>
            </w:r>
          </w:p>
        </w:tc>
      </w:tr>
      <w:tr w:rsidR="006E73CD" w:rsidRPr="0058247A" w14:paraId="77E8E172" w14:textId="77777777" w:rsidTr="00DB1A3A">
        <w:tc>
          <w:tcPr>
            <w:tcW w:w="1013" w:type="pct"/>
            <w:shd w:val="clear" w:color="auto" w:fill="auto"/>
            <w:vAlign w:val="center"/>
          </w:tcPr>
          <w:p w14:paraId="1D4B99AF" w14:textId="04F98F0F" w:rsidR="000A6733" w:rsidRPr="0058247A" w:rsidRDefault="000A6733" w:rsidP="000A6733">
            <w:pPr>
              <w:pStyle w:val="TableText0"/>
              <w:rPr>
                <w:szCs w:val="20"/>
              </w:rPr>
            </w:pPr>
            <w:r w:rsidRPr="0058247A">
              <w:rPr>
                <w:szCs w:val="20"/>
              </w:rPr>
              <w:t>Cost to PBS/RPBS less copayments</w:t>
            </w:r>
            <w:r w:rsidR="00E76201">
              <w:rPr>
                <w:szCs w:val="20"/>
              </w:rPr>
              <w:t xml:space="preserve"> ($)</w:t>
            </w:r>
          </w:p>
        </w:tc>
        <w:tc>
          <w:tcPr>
            <w:tcW w:w="725" w:type="pct"/>
            <w:shd w:val="clear" w:color="auto" w:fill="auto"/>
            <w:vAlign w:val="center"/>
          </w:tcPr>
          <w:p w14:paraId="78538CB0" w14:textId="75D6F020" w:rsidR="000A6733" w:rsidRPr="0058247A" w:rsidRDefault="006E73CD" w:rsidP="000A6733">
            <w:pPr>
              <w:pStyle w:val="TableText0"/>
              <w:jc w:val="center"/>
              <w:rPr>
                <w:szCs w:val="20"/>
              </w:rPr>
            </w:pPr>
            <w:r w:rsidRPr="006E73CD">
              <w:rPr>
                <w:rFonts w:cs="Arial"/>
                <w:color w:val="000000"/>
                <w:spacing w:val="51"/>
                <w:szCs w:val="20"/>
                <w:shd w:val="solid" w:color="000000" w:fill="000000"/>
                <w:fitText w:val="325" w:id="-1236536816"/>
                <w14:textFill>
                  <w14:solidFill>
                    <w14:srgbClr w14:val="000000">
                      <w14:alpha w14:val="100000"/>
                    </w14:srgbClr>
                  </w14:solidFill>
                </w14:textFill>
              </w:rPr>
              <w:t>|||</w:t>
            </w:r>
            <w:r w:rsidRPr="006E73CD">
              <w:rPr>
                <w:rFonts w:cs="Arial"/>
                <w:color w:val="000000"/>
                <w:spacing w:val="2"/>
                <w:szCs w:val="20"/>
                <w:shd w:val="solid" w:color="000000" w:fill="000000"/>
                <w:fitText w:val="325" w:id="-1236536816"/>
                <w14:textFill>
                  <w14:solidFill>
                    <w14:srgbClr w14:val="000000">
                      <w14:alpha w14:val="100000"/>
                    </w14:srgbClr>
                  </w14:solidFill>
                </w14:textFill>
              </w:rPr>
              <w:t>|</w:t>
            </w:r>
            <w:r w:rsidR="00E76201">
              <w:rPr>
                <w:rFonts w:cs="Arial"/>
                <w:szCs w:val="20"/>
                <w:vertAlign w:val="superscript"/>
              </w:rPr>
              <w:t>11</w:t>
            </w:r>
            <w:r w:rsidR="000A6733" w:rsidRPr="0058247A">
              <w:rPr>
                <w:rFonts w:cs="Arial"/>
                <w:szCs w:val="20"/>
              </w:rPr>
              <w:t xml:space="preserve"> </w:t>
            </w:r>
          </w:p>
        </w:tc>
        <w:tc>
          <w:tcPr>
            <w:tcW w:w="652" w:type="pct"/>
            <w:shd w:val="clear" w:color="auto" w:fill="auto"/>
            <w:vAlign w:val="center"/>
          </w:tcPr>
          <w:p w14:paraId="38492C08" w14:textId="59D4AB44" w:rsidR="000A6733" w:rsidRPr="0058247A" w:rsidRDefault="006E73CD" w:rsidP="000A6733">
            <w:pPr>
              <w:pStyle w:val="TableText0"/>
              <w:jc w:val="center"/>
              <w:rPr>
                <w:szCs w:val="20"/>
              </w:rPr>
            </w:pPr>
            <w:r w:rsidRPr="006E73CD">
              <w:rPr>
                <w:rFonts w:cs="Arial"/>
                <w:color w:val="000000"/>
                <w:spacing w:val="172"/>
                <w:szCs w:val="20"/>
                <w:shd w:val="solid" w:color="000000" w:fill="000000"/>
                <w:fitText w:val="258" w:id="-1236536832"/>
                <w14:textFill>
                  <w14:solidFill>
                    <w14:srgbClr w14:val="000000">
                      <w14:alpha w14:val="100000"/>
                    </w14:srgbClr>
                  </w14:solidFill>
                </w14:textFill>
              </w:rPr>
              <w:t>|</w:t>
            </w:r>
            <w:r w:rsidRPr="006E73CD">
              <w:rPr>
                <w:rFonts w:cs="Arial"/>
                <w:color w:val="000000"/>
                <w:spacing w:val="1"/>
                <w:szCs w:val="20"/>
                <w:shd w:val="solid" w:color="000000" w:fill="000000"/>
                <w:fitText w:val="258" w:id="-1236536832"/>
                <w14:textFill>
                  <w14:solidFill>
                    <w14:srgbClr w14:val="000000">
                      <w14:alpha w14:val="100000"/>
                    </w14:srgbClr>
                  </w14:solidFill>
                </w14:textFill>
              </w:rPr>
              <w:t>|</w:t>
            </w:r>
            <w:r w:rsidR="00E76201">
              <w:rPr>
                <w:rFonts w:cs="Arial"/>
                <w:szCs w:val="20"/>
                <w:vertAlign w:val="superscript"/>
              </w:rPr>
              <w:t>11</w:t>
            </w:r>
            <w:r w:rsidR="00E76201" w:rsidRPr="0058247A">
              <w:rPr>
                <w:rFonts w:cs="Arial"/>
                <w:szCs w:val="20"/>
              </w:rPr>
              <w:t xml:space="preserve"> </w:t>
            </w:r>
            <w:r w:rsidR="000A6733" w:rsidRPr="0058247A">
              <w:rPr>
                <w:rFonts w:cs="Arial"/>
                <w:szCs w:val="20"/>
              </w:rPr>
              <w:t xml:space="preserve"> </w:t>
            </w:r>
          </w:p>
        </w:tc>
        <w:tc>
          <w:tcPr>
            <w:tcW w:w="653" w:type="pct"/>
            <w:shd w:val="clear" w:color="auto" w:fill="auto"/>
            <w:vAlign w:val="center"/>
          </w:tcPr>
          <w:p w14:paraId="6A2AFE8E" w14:textId="52425344" w:rsidR="000A6733" w:rsidRPr="0058247A" w:rsidRDefault="006E73CD" w:rsidP="000A6733">
            <w:pPr>
              <w:pStyle w:val="TableText0"/>
              <w:jc w:val="center"/>
              <w:rPr>
                <w:szCs w:val="20"/>
              </w:rPr>
            </w:pPr>
            <w:r w:rsidRPr="006E73CD">
              <w:rPr>
                <w:rFonts w:cs="Arial"/>
                <w:color w:val="000000"/>
                <w:spacing w:val="172"/>
                <w:szCs w:val="20"/>
                <w:shd w:val="solid" w:color="000000" w:fill="000000"/>
                <w:fitText w:val="258" w:id="-1236536831"/>
                <w14:textFill>
                  <w14:solidFill>
                    <w14:srgbClr w14:val="000000">
                      <w14:alpha w14:val="100000"/>
                    </w14:srgbClr>
                  </w14:solidFill>
                </w14:textFill>
              </w:rPr>
              <w:t>|</w:t>
            </w:r>
            <w:r w:rsidRPr="006E73CD">
              <w:rPr>
                <w:rFonts w:cs="Arial"/>
                <w:color w:val="000000"/>
                <w:spacing w:val="1"/>
                <w:szCs w:val="20"/>
                <w:shd w:val="solid" w:color="000000" w:fill="000000"/>
                <w:fitText w:val="258" w:id="-1236536831"/>
                <w14:textFill>
                  <w14:solidFill>
                    <w14:srgbClr w14:val="000000">
                      <w14:alpha w14:val="100000"/>
                    </w14:srgbClr>
                  </w14:solidFill>
                </w14:textFill>
              </w:rPr>
              <w:t>|</w:t>
            </w:r>
            <w:r w:rsidR="00E76201">
              <w:rPr>
                <w:rFonts w:cs="Arial"/>
                <w:szCs w:val="20"/>
                <w:vertAlign w:val="superscript"/>
              </w:rPr>
              <w:t>12</w:t>
            </w:r>
            <w:r w:rsidR="000A6733" w:rsidRPr="0058247A">
              <w:rPr>
                <w:rFonts w:cs="Arial"/>
                <w:szCs w:val="20"/>
              </w:rPr>
              <w:t xml:space="preserve"> </w:t>
            </w:r>
          </w:p>
        </w:tc>
        <w:tc>
          <w:tcPr>
            <w:tcW w:w="652" w:type="pct"/>
            <w:shd w:val="clear" w:color="auto" w:fill="auto"/>
            <w:vAlign w:val="center"/>
          </w:tcPr>
          <w:p w14:paraId="0E746AA6" w14:textId="74925A9C" w:rsidR="000A6733" w:rsidRPr="0058247A" w:rsidRDefault="006E73CD" w:rsidP="000A6733">
            <w:pPr>
              <w:pStyle w:val="TableText0"/>
              <w:jc w:val="center"/>
              <w:rPr>
                <w:szCs w:val="20"/>
              </w:rPr>
            </w:pPr>
            <w:r w:rsidRPr="006E73CD">
              <w:rPr>
                <w:rFonts w:cs="Arial"/>
                <w:color w:val="000000"/>
                <w:spacing w:val="51"/>
                <w:szCs w:val="20"/>
                <w:shd w:val="solid" w:color="000000" w:fill="000000"/>
                <w:fitText w:val="324" w:id="-1236536830"/>
                <w14:textFill>
                  <w14:solidFill>
                    <w14:srgbClr w14:val="000000">
                      <w14:alpha w14:val="100000"/>
                    </w14:srgbClr>
                  </w14:solidFill>
                </w14:textFill>
              </w:rPr>
              <w:t>|||</w:t>
            </w:r>
            <w:r w:rsidRPr="006E73CD">
              <w:rPr>
                <w:rFonts w:cs="Arial"/>
                <w:color w:val="000000"/>
                <w:spacing w:val="1"/>
                <w:szCs w:val="20"/>
                <w:shd w:val="solid" w:color="000000" w:fill="000000"/>
                <w:fitText w:val="324" w:id="-1236536830"/>
                <w14:textFill>
                  <w14:solidFill>
                    <w14:srgbClr w14:val="000000">
                      <w14:alpha w14:val="100000"/>
                    </w14:srgbClr>
                  </w14:solidFill>
                </w14:textFill>
              </w:rPr>
              <w:t>|</w:t>
            </w:r>
            <w:r w:rsidR="00E76201">
              <w:rPr>
                <w:rFonts w:cs="Arial"/>
                <w:szCs w:val="20"/>
                <w:vertAlign w:val="superscript"/>
              </w:rPr>
              <w:t>12</w:t>
            </w:r>
            <w:r w:rsidR="00E76201" w:rsidRPr="0058247A">
              <w:rPr>
                <w:rFonts w:cs="Arial"/>
                <w:szCs w:val="20"/>
              </w:rPr>
              <w:t xml:space="preserve"> </w:t>
            </w:r>
            <w:r w:rsidR="000A6733" w:rsidRPr="0058247A">
              <w:rPr>
                <w:rFonts w:cs="Arial"/>
                <w:szCs w:val="20"/>
              </w:rPr>
              <w:t xml:space="preserve"> </w:t>
            </w:r>
          </w:p>
        </w:tc>
        <w:tc>
          <w:tcPr>
            <w:tcW w:w="653" w:type="pct"/>
            <w:shd w:val="clear" w:color="auto" w:fill="auto"/>
            <w:vAlign w:val="center"/>
          </w:tcPr>
          <w:p w14:paraId="232C2CB6" w14:textId="76586BCC" w:rsidR="000A6733" w:rsidRPr="0058247A" w:rsidRDefault="006E73CD" w:rsidP="000A6733">
            <w:pPr>
              <w:pStyle w:val="TableText0"/>
              <w:jc w:val="center"/>
              <w:rPr>
                <w:szCs w:val="20"/>
              </w:rPr>
            </w:pPr>
            <w:r w:rsidRPr="006E73CD">
              <w:rPr>
                <w:rFonts w:cs="Arial"/>
                <w:color w:val="000000"/>
                <w:spacing w:val="51"/>
                <w:szCs w:val="20"/>
                <w:shd w:val="solid" w:color="000000" w:fill="000000"/>
                <w:fitText w:val="324" w:id="-1236536829"/>
                <w14:textFill>
                  <w14:solidFill>
                    <w14:srgbClr w14:val="000000">
                      <w14:alpha w14:val="100000"/>
                    </w14:srgbClr>
                  </w14:solidFill>
                </w14:textFill>
              </w:rPr>
              <w:t>|||</w:t>
            </w:r>
            <w:r w:rsidRPr="006E73CD">
              <w:rPr>
                <w:rFonts w:cs="Arial"/>
                <w:color w:val="000000"/>
                <w:spacing w:val="1"/>
                <w:szCs w:val="20"/>
                <w:shd w:val="solid" w:color="000000" w:fill="000000"/>
                <w:fitText w:val="324" w:id="-1236536829"/>
                <w14:textFill>
                  <w14:solidFill>
                    <w14:srgbClr w14:val="000000">
                      <w14:alpha w14:val="100000"/>
                    </w14:srgbClr>
                  </w14:solidFill>
                </w14:textFill>
              </w:rPr>
              <w:t>|</w:t>
            </w:r>
            <w:r w:rsidR="00E76201">
              <w:rPr>
                <w:rFonts w:cs="Arial"/>
                <w:szCs w:val="20"/>
                <w:vertAlign w:val="superscript"/>
              </w:rPr>
              <w:t>13</w:t>
            </w:r>
          </w:p>
        </w:tc>
        <w:tc>
          <w:tcPr>
            <w:tcW w:w="652" w:type="pct"/>
            <w:vAlign w:val="center"/>
          </w:tcPr>
          <w:p w14:paraId="70BC03C0" w14:textId="16987954" w:rsidR="000A6733" w:rsidRPr="0058247A" w:rsidRDefault="006E73CD" w:rsidP="000A6733">
            <w:pPr>
              <w:pStyle w:val="TableText0"/>
              <w:jc w:val="center"/>
              <w:rPr>
                <w:szCs w:val="20"/>
              </w:rPr>
            </w:pPr>
            <w:r w:rsidRPr="006E73CD">
              <w:rPr>
                <w:rFonts w:cs="Arial"/>
                <w:color w:val="000000"/>
                <w:spacing w:val="172"/>
                <w:szCs w:val="20"/>
                <w:shd w:val="solid" w:color="000000" w:fill="000000"/>
                <w:fitText w:val="258" w:id="-1236536828"/>
                <w14:textFill>
                  <w14:solidFill>
                    <w14:srgbClr w14:val="000000">
                      <w14:alpha w14:val="100000"/>
                    </w14:srgbClr>
                  </w14:solidFill>
                </w14:textFill>
              </w:rPr>
              <w:t>|</w:t>
            </w:r>
            <w:r w:rsidRPr="006E73CD">
              <w:rPr>
                <w:rFonts w:cs="Arial"/>
                <w:color w:val="000000"/>
                <w:spacing w:val="1"/>
                <w:szCs w:val="20"/>
                <w:shd w:val="solid" w:color="000000" w:fill="000000"/>
                <w:fitText w:val="258" w:id="-1236536828"/>
                <w14:textFill>
                  <w14:solidFill>
                    <w14:srgbClr w14:val="000000">
                      <w14:alpha w14:val="100000"/>
                    </w14:srgbClr>
                  </w14:solidFill>
                </w14:textFill>
              </w:rPr>
              <w:t>|</w:t>
            </w:r>
            <w:r w:rsidR="00E76201">
              <w:rPr>
                <w:rFonts w:cs="Arial"/>
                <w:szCs w:val="20"/>
                <w:vertAlign w:val="superscript"/>
              </w:rPr>
              <w:t>13</w:t>
            </w:r>
            <w:r w:rsidR="000A6733" w:rsidRPr="0058247A">
              <w:rPr>
                <w:rFonts w:cs="Arial"/>
                <w:szCs w:val="20"/>
              </w:rPr>
              <w:t xml:space="preserve"> </w:t>
            </w:r>
          </w:p>
        </w:tc>
      </w:tr>
      <w:tr w:rsidR="001D7ABE" w:rsidRPr="0058247A" w14:paraId="5D59DDD6" w14:textId="77777777" w:rsidTr="006E73CD">
        <w:tc>
          <w:tcPr>
            <w:tcW w:w="5000" w:type="pct"/>
            <w:gridSpan w:val="7"/>
            <w:shd w:val="clear" w:color="auto" w:fill="auto"/>
            <w:vAlign w:val="center"/>
          </w:tcPr>
          <w:p w14:paraId="3C1DC6A1" w14:textId="77777777" w:rsidR="001D7ABE" w:rsidRPr="0058247A" w:rsidRDefault="001D7ABE">
            <w:pPr>
              <w:pStyle w:val="TableText0"/>
              <w:rPr>
                <w:b/>
                <w:bCs w:val="0"/>
                <w:szCs w:val="20"/>
              </w:rPr>
            </w:pPr>
            <w:r w:rsidRPr="0058247A">
              <w:rPr>
                <w:b/>
                <w:bCs w:val="0"/>
                <w:szCs w:val="20"/>
              </w:rPr>
              <w:t>Estimated financial implications for affected medicines</w:t>
            </w:r>
          </w:p>
        </w:tc>
      </w:tr>
      <w:tr w:rsidR="006E73CD" w:rsidRPr="0058247A" w14:paraId="7A92C935" w14:textId="77777777" w:rsidTr="00DB1A3A">
        <w:tc>
          <w:tcPr>
            <w:tcW w:w="1013" w:type="pct"/>
            <w:shd w:val="clear" w:color="auto" w:fill="auto"/>
            <w:vAlign w:val="center"/>
          </w:tcPr>
          <w:p w14:paraId="5BA0424B" w14:textId="31A8E8DD" w:rsidR="005C7257" w:rsidRPr="0058247A" w:rsidRDefault="005C7257" w:rsidP="005C7257">
            <w:pPr>
              <w:pStyle w:val="TableText0"/>
              <w:rPr>
                <w:szCs w:val="20"/>
              </w:rPr>
            </w:pPr>
            <w:r w:rsidRPr="0058247A">
              <w:rPr>
                <w:szCs w:val="20"/>
              </w:rPr>
              <w:t>Cost to PBS/RPBS less copayments</w:t>
            </w:r>
            <w:r w:rsidR="00E76201">
              <w:rPr>
                <w:szCs w:val="20"/>
              </w:rPr>
              <w:t xml:space="preserve"> ($)</w:t>
            </w:r>
          </w:p>
        </w:tc>
        <w:tc>
          <w:tcPr>
            <w:tcW w:w="725" w:type="pct"/>
            <w:shd w:val="clear" w:color="auto" w:fill="auto"/>
            <w:vAlign w:val="center"/>
          </w:tcPr>
          <w:p w14:paraId="2E1C1223" w14:textId="7CF19AFF" w:rsidR="005C7257" w:rsidRPr="00E76201" w:rsidRDefault="006E73CD" w:rsidP="005C7257">
            <w:pPr>
              <w:pStyle w:val="TableText0"/>
              <w:jc w:val="center"/>
              <w:rPr>
                <w:szCs w:val="20"/>
                <w:highlight w:val="darkGray"/>
                <w:vertAlign w:val="superscript"/>
              </w:rPr>
            </w:pPr>
            <w:r w:rsidRPr="006E73CD">
              <w:rPr>
                <w:rFonts w:cs="Arial"/>
                <w:color w:val="000000"/>
                <w:spacing w:val="51"/>
                <w:szCs w:val="20"/>
                <w:shd w:val="solid" w:color="000000" w:fill="000000"/>
                <w:fitText w:val="325" w:id="-1236536827"/>
                <w14:textFill>
                  <w14:solidFill>
                    <w14:srgbClr w14:val="000000">
                      <w14:alpha w14:val="100000"/>
                    </w14:srgbClr>
                  </w14:solidFill>
                </w14:textFill>
              </w:rPr>
              <w:t>|||</w:t>
            </w:r>
            <w:r w:rsidRPr="006E73CD">
              <w:rPr>
                <w:rFonts w:cs="Arial"/>
                <w:color w:val="000000"/>
                <w:spacing w:val="2"/>
                <w:szCs w:val="20"/>
                <w:shd w:val="solid" w:color="000000" w:fill="000000"/>
                <w:fitText w:val="325" w:id="-1236536827"/>
                <w14:textFill>
                  <w14:solidFill>
                    <w14:srgbClr w14:val="000000">
                      <w14:alpha w14:val="100000"/>
                    </w14:srgbClr>
                  </w14:solidFill>
                </w14:textFill>
              </w:rPr>
              <w:t>|</w:t>
            </w:r>
            <w:r w:rsidR="00E76201" w:rsidRPr="00E76201">
              <w:rPr>
                <w:rFonts w:cs="Arial"/>
                <w:szCs w:val="20"/>
                <w:vertAlign w:val="superscript"/>
              </w:rPr>
              <w:t>14</w:t>
            </w:r>
          </w:p>
        </w:tc>
        <w:tc>
          <w:tcPr>
            <w:tcW w:w="652" w:type="pct"/>
            <w:shd w:val="clear" w:color="auto" w:fill="auto"/>
            <w:vAlign w:val="center"/>
          </w:tcPr>
          <w:p w14:paraId="05F088DB" w14:textId="567A1BF9"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826"/>
                <w14:textFill>
                  <w14:solidFill>
                    <w14:srgbClr w14:val="000000">
                      <w14:alpha w14:val="100000"/>
                    </w14:srgbClr>
                  </w14:solidFill>
                </w14:textFill>
              </w:rPr>
              <w:t>|</w:t>
            </w:r>
            <w:r w:rsidRPr="006E73CD">
              <w:rPr>
                <w:rFonts w:cs="Arial"/>
                <w:color w:val="000000"/>
                <w:spacing w:val="1"/>
                <w:szCs w:val="20"/>
                <w:shd w:val="solid" w:color="000000" w:fill="000000"/>
                <w:fitText w:val="258" w:id="-1236536826"/>
                <w14:textFill>
                  <w14:solidFill>
                    <w14:srgbClr w14:val="000000">
                      <w14:alpha w14:val="100000"/>
                    </w14:srgbClr>
                  </w14:solidFill>
                </w14:textFill>
              </w:rPr>
              <w:t>|</w:t>
            </w:r>
            <w:r w:rsidR="00E76201">
              <w:rPr>
                <w:rFonts w:cs="Arial"/>
                <w:szCs w:val="20"/>
                <w:vertAlign w:val="superscript"/>
              </w:rPr>
              <w:t>14</w:t>
            </w:r>
          </w:p>
        </w:tc>
        <w:tc>
          <w:tcPr>
            <w:tcW w:w="653" w:type="pct"/>
            <w:shd w:val="clear" w:color="auto" w:fill="auto"/>
            <w:vAlign w:val="center"/>
          </w:tcPr>
          <w:p w14:paraId="77BEFF9D" w14:textId="0E3CD293" w:rsidR="005C7257" w:rsidRPr="0058247A" w:rsidRDefault="006E73CD" w:rsidP="005C7257">
            <w:pPr>
              <w:pStyle w:val="TableText0"/>
              <w:jc w:val="center"/>
              <w:rPr>
                <w:szCs w:val="20"/>
              </w:rPr>
            </w:pPr>
            <w:r w:rsidRPr="006E73CD">
              <w:rPr>
                <w:rFonts w:cs="Arial"/>
                <w:color w:val="000000"/>
                <w:spacing w:val="188"/>
                <w:szCs w:val="20"/>
                <w:shd w:val="solid" w:color="000000" w:fill="000000"/>
                <w:fitText w:val="274" w:id="-1236536825"/>
                <w14:textFill>
                  <w14:solidFill>
                    <w14:srgbClr w14:val="000000">
                      <w14:alpha w14:val="100000"/>
                    </w14:srgbClr>
                  </w14:solidFill>
                </w14:textFill>
              </w:rPr>
              <w:t>|</w:t>
            </w:r>
            <w:r w:rsidRPr="006E73CD">
              <w:rPr>
                <w:rFonts w:cs="Arial"/>
                <w:color w:val="000000"/>
                <w:spacing w:val="1"/>
                <w:szCs w:val="20"/>
                <w:shd w:val="solid" w:color="000000" w:fill="000000"/>
                <w:fitText w:val="274" w:id="-1236536825"/>
                <w14:textFill>
                  <w14:solidFill>
                    <w14:srgbClr w14:val="000000">
                      <w14:alpha w14:val="100000"/>
                    </w14:srgbClr>
                  </w14:solidFill>
                </w14:textFill>
              </w:rPr>
              <w:t>|</w:t>
            </w:r>
            <w:r w:rsidR="00E76201">
              <w:rPr>
                <w:rFonts w:cs="Arial"/>
                <w:szCs w:val="20"/>
                <w:vertAlign w:val="superscript"/>
              </w:rPr>
              <w:t xml:space="preserve"> 14</w:t>
            </w:r>
          </w:p>
        </w:tc>
        <w:tc>
          <w:tcPr>
            <w:tcW w:w="652" w:type="pct"/>
            <w:shd w:val="clear" w:color="auto" w:fill="auto"/>
            <w:vAlign w:val="center"/>
          </w:tcPr>
          <w:p w14:paraId="756123DE" w14:textId="3A77F87E"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824"/>
                <w14:textFill>
                  <w14:solidFill>
                    <w14:srgbClr w14:val="000000">
                      <w14:alpha w14:val="100000"/>
                    </w14:srgbClr>
                  </w14:solidFill>
                </w14:textFill>
              </w:rPr>
              <w:t>|||</w:t>
            </w:r>
            <w:r w:rsidRPr="006E73CD">
              <w:rPr>
                <w:rFonts w:cs="Arial"/>
                <w:color w:val="000000"/>
                <w:spacing w:val="1"/>
                <w:szCs w:val="20"/>
                <w:shd w:val="solid" w:color="000000" w:fill="000000"/>
                <w:fitText w:val="324" w:id="-1236536824"/>
                <w14:textFill>
                  <w14:solidFill>
                    <w14:srgbClr w14:val="000000">
                      <w14:alpha w14:val="100000"/>
                    </w14:srgbClr>
                  </w14:solidFill>
                </w14:textFill>
              </w:rPr>
              <w:t>|</w:t>
            </w:r>
            <w:r w:rsidR="00E76201">
              <w:rPr>
                <w:rFonts w:cs="Arial"/>
                <w:szCs w:val="20"/>
                <w:vertAlign w:val="superscript"/>
              </w:rPr>
              <w:t>14</w:t>
            </w:r>
          </w:p>
        </w:tc>
        <w:tc>
          <w:tcPr>
            <w:tcW w:w="653" w:type="pct"/>
            <w:shd w:val="clear" w:color="auto" w:fill="auto"/>
            <w:vAlign w:val="center"/>
          </w:tcPr>
          <w:p w14:paraId="2AA9E2FA" w14:textId="3CF4A3E8"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823"/>
                <w14:textFill>
                  <w14:solidFill>
                    <w14:srgbClr w14:val="000000">
                      <w14:alpha w14:val="100000"/>
                    </w14:srgbClr>
                  </w14:solidFill>
                </w14:textFill>
              </w:rPr>
              <w:t>|||</w:t>
            </w:r>
            <w:r w:rsidRPr="006E73CD">
              <w:rPr>
                <w:rFonts w:cs="Arial"/>
                <w:color w:val="000000"/>
                <w:spacing w:val="1"/>
                <w:szCs w:val="20"/>
                <w:shd w:val="solid" w:color="000000" w:fill="000000"/>
                <w:fitText w:val="324" w:id="-1236536823"/>
                <w14:textFill>
                  <w14:solidFill>
                    <w14:srgbClr w14:val="000000">
                      <w14:alpha w14:val="100000"/>
                    </w14:srgbClr>
                  </w14:solidFill>
                </w14:textFill>
              </w:rPr>
              <w:t>|</w:t>
            </w:r>
            <w:r w:rsidR="00E76201">
              <w:rPr>
                <w:rFonts w:cs="Arial"/>
                <w:szCs w:val="20"/>
                <w:vertAlign w:val="superscript"/>
              </w:rPr>
              <w:t>14</w:t>
            </w:r>
          </w:p>
        </w:tc>
        <w:tc>
          <w:tcPr>
            <w:tcW w:w="652" w:type="pct"/>
            <w:vAlign w:val="center"/>
          </w:tcPr>
          <w:p w14:paraId="527556E1" w14:textId="30D363BE" w:rsidR="005C7257" w:rsidRPr="0058247A" w:rsidRDefault="006E73CD" w:rsidP="005C7257">
            <w:pPr>
              <w:pStyle w:val="TableText0"/>
              <w:jc w:val="center"/>
              <w:rPr>
                <w:rFonts w:cs="Arial"/>
                <w:szCs w:val="20"/>
              </w:rPr>
            </w:pPr>
            <w:r w:rsidRPr="006E73CD">
              <w:rPr>
                <w:rFonts w:cs="Arial"/>
                <w:color w:val="000000"/>
                <w:spacing w:val="172"/>
                <w:szCs w:val="20"/>
                <w:shd w:val="solid" w:color="000000" w:fill="000000"/>
                <w:fitText w:val="258" w:id="-1236536822"/>
                <w14:textFill>
                  <w14:solidFill>
                    <w14:srgbClr w14:val="000000">
                      <w14:alpha w14:val="100000"/>
                    </w14:srgbClr>
                  </w14:solidFill>
                </w14:textFill>
              </w:rPr>
              <w:t>|</w:t>
            </w:r>
            <w:r w:rsidRPr="006E73CD">
              <w:rPr>
                <w:rFonts w:cs="Arial"/>
                <w:color w:val="000000"/>
                <w:spacing w:val="1"/>
                <w:szCs w:val="20"/>
                <w:shd w:val="solid" w:color="000000" w:fill="000000"/>
                <w:fitText w:val="258" w:id="-1236536822"/>
                <w14:textFill>
                  <w14:solidFill>
                    <w14:srgbClr w14:val="000000">
                      <w14:alpha w14:val="100000"/>
                    </w14:srgbClr>
                  </w14:solidFill>
                </w14:textFill>
              </w:rPr>
              <w:t>|</w:t>
            </w:r>
            <w:r w:rsidR="00E76201">
              <w:rPr>
                <w:rFonts w:cs="Arial"/>
                <w:szCs w:val="20"/>
                <w:vertAlign w:val="superscript"/>
              </w:rPr>
              <w:t>14</w:t>
            </w:r>
          </w:p>
        </w:tc>
      </w:tr>
      <w:tr w:rsidR="001D7ABE" w:rsidRPr="0058247A" w14:paraId="1C64A373" w14:textId="77777777" w:rsidTr="006E73CD">
        <w:tc>
          <w:tcPr>
            <w:tcW w:w="5000" w:type="pct"/>
            <w:gridSpan w:val="7"/>
            <w:shd w:val="clear" w:color="auto" w:fill="auto"/>
            <w:vAlign w:val="center"/>
          </w:tcPr>
          <w:p w14:paraId="6C3DDD6E" w14:textId="77777777" w:rsidR="001D7ABE" w:rsidRPr="0058247A" w:rsidRDefault="001D7ABE">
            <w:pPr>
              <w:pStyle w:val="In-tableHeading"/>
              <w:rPr>
                <w:szCs w:val="20"/>
                <w:lang w:val="en-AU"/>
              </w:rPr>
            </w:pPr>
            <w:r w:rsidRPr="0058247A">
              <w:rPr>
                <w:szCs w:val="20"/>
                <w:lang w:val="en-AU"/>
              </w:rPr>
              <w:t>Net financial implications</w:t>
            </w:r>
            <w:r w:rsidRPr="0058247A">
              <w:rPr>
                <w:color w:val="4BACC6" w:themeColor="accent5"/>
                <w:szCs w:val="20"/>
                <w:lang w:val="en-AU"/>
              </w:rPr>
              <w:t xml:space="preserve"> </w:t>
            </w:r>
          </w:p>
        </w:tc>
      </w:tr>
      <w:tr w:rsidR="006E73CD" w:rsidRPr="0058247A" w14:paraId="6923EFBD" w14:textId="77777777" w:rsidTr="00DB1A3A">
        <w:tc>
          <w:tcPr>
            <w:tcW w:w="1013" w:type="pct"/>
            <w:shd w:val="clear" w:color="auto" w:fill="auto"/>
            <w:vAlign w:val="center"/>
          </w:tcPr>
          <w:p w14:paraId="5BDF2833" w14:textId="45FE6DA1" w:rsidR="005C7257" w:rsidRPr="0058247A" w:rsidRDefault="005C7257" w:rsidP="005C7257">
            <w:pPr>
              <w:pStyle w:val="TableText0"/>
              <w:rPr>
                <w:szCs w:val="20"/>
              </w:rPr>
            </w:pPr>
            <w:r w:rsidRPr="0058247A">
              <w:rPr>
                <w:szCs w:val="20"/>
              </w:rPr>
              <w:t>Net cost to PBS/RPBS</w:t>
            </w:r>
            <w:r w:rsidR="00E76201">
              <w:rPr>
                <w:szCs w:val="20"/>
              </w:rPr>
              <w:t xml:space="preserve"> ($)</w:t>
            </w:r>
          </w:p>
        </w:tc>
        <w:tc>
          <w:tcPr>
            <w:tcW w:w="725" w:type="pct"/>
            <w:shd w:val="clear" w:color="auto" w:fill="auto"/>
            <w:vAlign w:val="center"/>
          </w:tcPr>
          <w:p w14:paraId="1B1619ED" w14:textId="6F8410EE"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5" w:id="-1236536821"/>
                <w14:textFill>
                  <w14:solidFill>
                    <w14:srgbClr w14:val="000000">
                      <w14:alpha w14:val="100000"/>
                    </w14:srgbClr>
                  </w14:solidFill>
                </w14:textFill>
              </w:rPr>
              <w:t>|||</w:t>
            </w:r>
            <w:r w:rsidRPr="006E73CD">
              <w:rPr>
                <w:rFonts w:cs="Arial"/>
                <w:color w:val="000000"/>
                <w:spacing w:val="2"/>
                <w:szCs w:val="20"/>
                <w:shd w:val="solid" w:color="000000" w:fill="000000"/>
                <w:fitText w:val="325" w:id="-1236536821"/>
                <w14:textFill>
                  <w14:solidFill>
                    <w14:srgbClr w14:val="000000">
                      <w14:alpha w14:val="100000"/>
                    </w14:srgbClr>
                  </w14:solidFill>
                </w14:textFill>
              </w:rPr>
              <w:t>|</w:t>
            </w:r>
            <w:r w:rsidR="00E76201">
              <w:rPr>
                <w:rFonts w:cs="Arial"/>
                <w:szCs w:val="20"/>
                <w:vertAlign w:val="superscript"/>
              </w:rPr>
              <w:t>11</w:t>
            </w:r>
          </w:p>
        </w:tc>
        <w:tc>
          <w:tcPr>
            <w:tcW w:w="652" w:type="pct"/>
            <w:shd w:val="clear" w:color="auto" w:fill="auto"/>
            <w:vAlign w:val="center"/>
          </w:tcPr>
          <w:p w14:paraId="39ED5411" w14:textId="51A47AAD"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820"/>
                <w14:textFill>
                  <w14:solidFill>
                    <w14:srgbClr w14:val="000000">
                      <w14:alpha w14:val="100000"/>
                    </w14:srgbClr>
                  </w14:solidFill>
                </w14:textFill>
              </w:rPr>
              <w:t>|</w:t>
            </w:r>
            <w:r w:rsidRPr="006E73CD">
              <w:rPr>
                <w:rFonts w:cs="Arial"/>
                <w:color w:val="000000"/>
                <w:spacing w:val="1"/>
                <w:szCs w:val="20"/>
                <w:shd w:val="solid" w:color="000000" w:fill="000000"/>
                <w:fitText w:val="258" w:id="-1236536820"/>
                <w14:textFill>
                  <w14:solidFill>
                    <w14:srgbClr w14:val="000000">
                      <w14:alpha w14:val="100000"/>
                    </w14:srgbClr>
                  </w14:solidFill>
                </w14:textFill>
              </w:rPr>
              <w:t>|</w:t>
            </w:r>
            <w:r w:rsidR="00E76201">
              <w:rPr>
                <w:rFonts w:cs="Arial"/>
                <w:szCs w:val="20"/>
                <w:vertAlign w:val="superscript"/>
              </w:rPr>
              <w:t>11</w:t>
            </w:r>
          </w:p>
        </w:tc>
        <w:tc>
          <w:tcPr>
            <w:tcW w:w="653" w:type="pct"/>
            <w:shd w:val="clear" w:color="auto" w:fill="auto"/>
            <w:vAlign w:val="center"/>
          </w:tcPr>
          <w:p w14:paraId="60BEE824" w14:textId="1049C119"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819"/>
                <w14:textFill>
                  <w14:solidFill>
                    <w14:srgbClr w14:val="000000">
                      <w14:alpha w14:val="100000"/>
                    </w14:srgbClr>
                  </w14:solidFill>
                </w14:textFill>
              </w:rPr>
              <w:t>|</w:t>
            </w:r>
            <w:r w:rsidRPr="006E73CD">
              <w:rPr>
                <w:rFonts w:cs="Arial"/>
                <w:color w:val="000000"/>
                <w:spacing w:val="1"/>
                <w:szCs w:val="20"/>
                <w:shd w:val="solid" w:color="000000" w:fill="000000"/>
                <w:fitText w:val="258" w:id="-1236536819"/>
                <w14:textFill>
                  <w14:solidFill>
                    <w14:srgbClr w14:val="000000">
                      <w14:alpha w14:val="100000"/>
                    </w14:srgbClr>
                  </w14:solidFill>
                </w14:textFill>
              </w:rPr>
              <w:t>|</w:t>
            </w:r>
            <w:r w:rsidR="00E76201">
              <w:rPr>
                <w:rFonts w:cs="Arial"/>
                <w:szCs w:val="20"/>
                <w:vertAlign w:val="superscript"/>
              </w:rPr>
              <w:t>11</w:t>
            </w:r>
          </w:p>
        </w:tc>
        <w:tc>
          <w:tcPr>
            <w:tcW w:w="652" w:type="pct"/>
            <w:shd w:val="clear" w:color="auto" w:fill="auto"/>
            <w:vAlign w:val="center"/>
          </w:tcPr>
          <w:p w14:paraId="16DC905C" w14:textId="7B0D568D"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818"/>
                <w14:textFill>
                  <w14:solidFill>
                    <w14:srgbClr w14:val="000000">
                      <w14:alpha w14:val="100000"/>
                    </w14:srgbClr>
                  </w14:solidFill>
                </w14:textFill>
              </w:rPr>
              <w:t>|||</w:t>
            </w:r>
            <w:r w:rsidRPr="006E73CD">
              <w:rPr>
                <w:rFonts w:cs="Arial"/>
                <w:color w:val="000000"/>
                <w:spacing w:val="1"/>
                <w:szCs w:val="20"/>
                <w:shd w:val="solid" w:color="000000" w:fill="000000"/>
                <w:fitText w:val="324" w:id="-1236536818"/>
                <w14:textFill>
                  <w14:solidFill>
                    <w14:srgbClr w14:val="000000">
                      <w14:alpha w14:val="100000"/>
                    </w14:srgbClr>
                  </w14:solidFill>
                </w14:textFill>
              </w:rPr>
              <w:t>|</w:t>
            </w:r>
            <w:r w:rsidR="00E76201">
              <w:rPr>
                <w:rFonts w:cs="Arial"/>
                <w:szCs w:val="20"/>
                <w:vertAlign w:val="superscript"/>
              </w:rPr>
              <w:t>12</w:t>
            </w:r>
          </w:p>
        </w:tc>
        <w:tc>
          <w:tcPr>
            <w:tcW w:w="653" w:type="pct"/>
            <w:shd w:val="clear" w:color="auto" w:fill="auto"/>
            <w:vAlign w:val="center"/>
          </w:tcPr>
          <w:p w14:paraId="269AE6C0" w14:textId="2AEECE33"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817"/>
                <w14:textFill>
                  <w14:solidFill>
                    <w14:srgbClr w14:val="000000">
                      <w14:alpha w14:val="100000"/>
                    </w14:srgbClr>
                  </w14:solidFill>
                </w14:textFill>
              </w:rPr>
              <w:t>|||</w:t>
            </w:r>
            <w:r w:rsidRPr="006E73CD">
              <w:rPr>
                <w:rFonts w:cs="Arial"/>
                <w:color w:val="000000"/>
                <w:spacing w:val="1"/>
                <w:szCs w:val="20"/>
                <w:shd w:val="solid" w:color="000000" w:fill="000000"/>
                <w:fitText w:val="324" w:id="-1236536817"/>
                <w14:textFill>
                  <w14:solidFill>
                    <w14:srgbClr w14:val="000000">
                      <w14:alpha w14:val="100000"/>
                    </w14:srgbClr>
                  </w14:solidFill>
                </w14:textFill>
              </w:rPr>
              <w:t>|</w:t>
            </w:r>
            <w:r w:rsidR="00E76201">
              <w:rPr>
                <w:rFonts w:cs="Arial"/>
                <w:szCs w:val="20"/>
                <w:vertAlign w:val="superscript"/>
              </w:rPr>
              <w:t>12</w:t>
            </w:r>
          </w:p>
        </w:tc>
        <w:tc>
          <w:tcPr>
            <w:tcW w:w="652" w:type="pct"/>
            <w:vAlign w:val="center"/>
          </w:tcPr>
          <w:p w14:paraId="1F93189D" w14:textId="24706FB5"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816"/>
                <w14:textFill>
                  <w14:solidFill>
                    <w14:srgbClr w14:val="000000">
                      <w14:alpha w14:val="100000"/>
                    </w14:srgbClr>
                  </w14:solidFill>
                </w14:textFill>
              </w:rPr>
              <w:t>|</w:t>
            </w:r>
            <w:r w:rsidRPr="006E73CD">
              <w:rPr>
                <w:rFonts w:cs="Arial"/>
                <w:color w:val="000000"/>
                <w:spacing w:val="1"/>
                <w:szCs w:val="20"/>
                <w:shd w:val="solid" w:color="000000" w:fill="000000"/>
                <w:fitText w:val="258" w:id="-1236536816"/>
                <w14:textFill>
                  <w14:solidFill>
                    <w14:srgbClr w14:val="000000">
                      <w14:alpha w14:val="100000"/>
                    </w14:srgbClr>
                  </w14:solidFill>
                </w14:textFill>
              </w:rPr>
              <w:t>|</w:t>
            </w:r>
            <w:r w:rsidR="00E76201">
              <w:rPr>
                <w:rFonts w:cs="Arial"/>
                <w:szCs w:val="20"/>
                <w:vertAlign w:val="superscript"/>
              </w:rPr>
              <w:t>12</w:t>
            </w:r>
          </w:p>
        </w:tc>
      </w:tr>
      <w:tr w:rsidR="006E73CD" w:rsidRPr="0058247A" w14:paraId="100371AA" w14:textId="77777777" w:rsidTr="00DB1A3A">
        <w:tc>
          <w:tcPr>
            <w:tcW w:w="1013" w:type="pct"/>
            <w:shd w:val="clear" w:color="auto" w:fill="auto"/>
            <w:vAlign w:val="center"/>
          </w:tcPr>
          <w:p w14:paraId="22B1020D" w14:textId="4CC09546" w:rsidR="005C7257" w:rsidRPr="0058247A" w:rsidRDefault="005C7257" w:rsidP="005C7257">
            <w:pPr>
              <w:pStyle w:val="TableText0"/>
              <w:rPr>
                <w:rFonts w:ascii="Times" w:hAnsi="Times"/>
                <w:szCs w:val="20"/>
              </w:rPr>
            </w:pPr>
            <w:r w:rsidRPr="0058247A">
              <w:rPr>
                <w:szCs w:val="20"/>
              </w:rPr>
              <w:t>Net cost to MBS</w:t>
            </w:r>
            <w:r w:rsidR="00E76201">
              <w:rPr>
                <w:szCs w:val="20"/>
              </w:rPr>
              <w:t xml:space="preserve"> ($)</w:t>
            </w:r>
          </w:p>
        </w:tc>
        <w:tc>
          <w:tcPr>
            <w:tcW w:w="725" w:type="pct"/>
            <w:shd w:val="clear" w:color="auto" w:fill="auto"/>
            <w:vAlign w:val="center"/>
          </w:tcPr>
          <w:p w14:paraId="7BA85EC5" w14:textId="4725B32A"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5" w:id="-1236536576"/>
                <w14:textFill>
                  <w14:solidFill>
                    <w14:srgbClr w14:val="000000">
                      <w14:alpha w14:val="100000"/>
                    </w14:srgbClr>
                  </w14:solidFill>
                </w14:textFill>
              </w:rPr>
              <w:t>|||</w:t>
            </w:r>
            <w:r w:rsidRPr="006E73CD">
              <w:rPr>
                <w:rFonts w:cs="Arial"/>
                <w:color w:val="000000"/>
                <w:spacing w:val="2"/>
                <w:szCs w:val="20"/>
                <w:shd w:val="solid" w:color="000000" w:fill="000000"/>
                <w:fitText w:val="325" w:id="-1236536576"/>
                <w14:textFill>
                  <w14:solidFill>
                    <w14:srgbClr w14:val="000000">
                      <w14:alpha w14:val="100000"/>
                    </w14:srgbClr>
                  </w14:solidFill>
                </w14:textFill>
              </w:rPr>
              <w:t>|</w:t>
            </w:r>
            <w:r w:rsidR="00E76201">
              <w:rPr>
                <w:rFonts w:cs="Arial"/>
                <w:szCs w:val="20"/>
                <w:vertAlign w:val="superscript"/>
              </w:rPr>
              <w:t>15</w:t>
            </w:r>
          </w:p>
        </w:tc>
        <w:tc>
          <w:tcPr>
            <w:tcW w:w="652" w:type="pct"/>
            <w:shd w:val="clear" w:color="auto" w:fill="auto"/>
            <w:vAlign w:val="center"/>
          </w:tcPr>
          <w:p w14:paraId="0548B8A9" w14:textId="55A9DB8C"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575"/>
                <w14:textFill>
                  <w14:solidFill>
                    <w14:srgbClr w14:val="000000">
                      <w14:alpha w14:val="100000"/>
                    </w14:srgbClr>
                  </w14:solidFill>
                </w14:textFill>
              </w:rPr>
              <w:t>|</w:t>
            </w:r>
            <w:r w:rsidRPr="006E73CD">
              <w:rPr>
                <w:rFonts w:cs="Arial"/>
                <w:color w:val="000000"/>
                <w:spacing w:val="1"/>
                <w:szCs w:val="20"/>
                <w:shd w:val="solid" w:color="000000" w:fill="000000"/>
                <w:fitText w:val="258" w:id="-1236536575"/>
                <w14:textFill>
                  <w14:solidFill>
                    <w14:srgbClr w14:val="000000">
                      <w14:alpha w14:val="100000"/>
                    </w14:srgbClr>
                  </w14:solidFill>
                </w14:textFill>
              </w:rPr>
              <w:t>|</w:t>
            </w:r>
            <w:r w:rsidR="00E76201">
              <w:rPr>
                <w:rFonts w:cs="Arial"/>
                <w:szCs w:val="20"/>
                <w:vertAlign w:val="superscript"/>
              </w:rPr>
              <w:t>15</w:t>
            </w:r>
          </w:p>
        </w:tc>
        <w:tc>
          <w:tcPr>
            <w:tcW w:w="653" w:type="pct"/>
            <w:shd w:val="clear" w:color="auto" w:fill="auto"/>
            <w:vAlign w:val="center"/>
          </w:tcPr>
          <w:p w14:paraId="51E0E011" w14:textId="2F4BB371"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574"/>
                <w14:textFill>
                  <w14:solidFill>
                    <w14:srgbClr w14:val="000000">
                      <w14:alpha w14:val="100000"/>
                    </w14:srgbClr>
                  </w14:solidFill>
                </w14:textFill>
              </w:rPr>
              <w:t>|</w:t>
            </w:r>
            <w:r w:rsidRPr="006E73CD">
              <w:rPr>
                <w:rFonts w:cs="Arial"/>
                <w:color w:val="000000"/>
                <w:spacing w:val="1"/>
                <w:szCs w:val="20"/>
                <w:shd w:val="solid" w:color="000000" w:fill="000000"/>
                <w:fitText w:val="258" w:id="-1236536574"/>
                <w14:textFill>
                  <w14:solidFill>
                    <w14:srgbClr w14:val="000000">
                      <w14:alpha w14:val="100000"/>
                    </w14:srgbClr>
                  </w14:solidFill>
                </w14:textFill>
              </w:rPr>
              <w:t>|</w:t>
            </w:r>
            <w:r w:rsidR="00E76201">
              <w:rPr>
                <w:rFonts w:cs="Arial"/>
                <w:szCs w:val="20"/>
                <w:vertAlign w:val="superscript"/>
              </w:rPr>
              <w:t>15</w:t>
            </w:r>
          </w:p>
        </w:tc>
        <w:tc>
          <w:tcPr>
            <w:tcW w:w="652" w:type="pct"/>
            <w:shd w:val="clear" w:color="auto" w:fill="auto"/>
            <w:vAlign w:val="center"/>
          </w:tcPr>
          <w:p w14:paraId="3B00E09D" w14:textId="38C3B858"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573"/>
                <w14:textFill>
                  <w14:solidFill>
                    <w14:srgbClr w14:val="000000">
                      <w14:alpha w14:val="100000"/>
                    </w14:srgbClr>
                  </w14:solidFill>
                </w14:textFill>
              </w:rPr>
              <w:t>|||</w:t>
            </w:r>
            <w:r w:rsidRPr="006E73CD">
              <w:rPr>
                <w:rFonts w:cs="Arial"/>
                <w:color w:val="000000"/>
                <w:spacing w:val="1"/>
                <w:szCs w:val="20"/>
                <w:shd w:val="solid" w:color="000000" w:fill="000000"/>
                <w:fitText w:val="324" w:id="-1236536573"/>
                <w14:textFill>
                  <w14:solidFill>
                    <w14:srgbClr w14:val="000000">
                      <w14:alpha w14:val="100000"/>
                    </w14:srgbClr>
                  </w14:solidFill>
                </w14:textFill>
              </w:rPr>
              <w:t>|</w:t>
            </w:r>
            <w:r w:rsidR="00E76201">
              <w:rPr>
                <w:rFonts w:cs="Arial"/>
                <w:szCs w:val="20"/>
                <w:vertAlign w:val="superscript"/>
              </w:rPr>
              <w:t>15</w:t>
            </w:r>
          </w:p>
        </w:tc>
        <w:tc>
          <w:tcPr>
            <w:tcW w:w="653" w:type="pct"/>
            <w:shd w:val="clear" w:color="auto" w:fill="auto"/>
            <w:vAlign w:val="center"/>
          </w:tcPr>
          <w:p w14:paraId="2BB5CB37" w14:textId="6025B21C" w:rsidR="005C7257" w:rsidRPr="0058247A" w:rsidRDefault="006E73CD" w:rsidP="005C7257">
            <w:pPr>
              <w:pStyle w:val="TableText0"/>
              <w:jc w:val="center"/>
              <w:rPr>
                <w:szCs w:val="20"/>
              </w:rPr>
            </w:pPr>
            <w:r w:rsidRPr="006E73CD">
              <w:rPr>
                <w:rFonts w:cs="Arial"/>
                <w:color w:val="000000"/>
                <w:spacing w:val="56"/>
                <w:szCs w:val="20"/>
                <w:shd w:val="solid" w:color="000000" w:fill="000000"/>
                <w:fitText w:val="341" w:id="-1236536572"/>
                <w14:textFill>
                  <w14:solidFill>
                    <w14:srgbClr w14:val="000000">
                      <w14:alpha w14:val="100000"/>
                    </w14:srgbClr>
                  </w14:solidFill>
                </w14:textFill>
              </w:rPr>
              <w:t>|||</w:t>
            </w:r>
            <w:r w:rsidRPr="006E73CD">
              <w:rPr>
                <w:rFonts w:cs="Arial"/>
                <w:color w:val="000000"/>
                <w:spacing w:val="3"/>
                <w:szCs w:val="20"/>
                <w:shd w:val="solid" w:color="000000" w:fill="000000"/>
                <w:fitText w:val="341" w:id="-1236536572"/>
                <w14:textFill>
                  <w14:solidFill>
                    <w14:srgbClr w14:val="000000">
                      <w14:alpha w14:val="100000"/>
                    </w14:srgbClr>
                  </w14:solidFill>
                </w14:textFill>
              </w:rPr>
              <w:t>|</w:t>
            </w:r>
            <w:r w:rsidR="00E76201">
              <w:rPr>
                <w:rFonts w:cs="Arial"/>
                <w:szCs w:val="20"/>
                <w:vertAlign w:val="superscript"/>
              </w:rPr>
              <w:t xml:space="preserve"> 15</w:t>
            </w:r>
          </w:p>
        </w:tc>
        <w:tc>
          <w:tcPr>
            <w:tcW w:w="652" w:type="pct"/>
            <w:vAlign w:val="center"/>
          </w:tcPr>
          <w:p w14:paraId="7841D132" w14:textId="60E2574F"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571"/>
                <w14:textFill>
                  <w14:solidFill>
                    <w14:srgbClr w14:val="000000">
                      <w14:alpha w14:val="100000"/>
                    </w14:srgbClr>
                  </w14:solidFill>
                </w14:textFill>
              </w:rPr>
              <w:t>|</w:t>
            </w:r>
            <w:r w:rsidRPr="006E73CD">
              <w:rPr>
                <w:rFonts w:cs="Arial"/>
                <w:color w:val="000000"/>
                <w:spacing w:val="1"/>
                <w:szCs w:val="20"/>
                <w:shd w:val="solid" w:color="000000" w:fill="000000"/>
                <w:fitText w:val="258" w:id="-1236536571"/>
                <w14:textFill>
                  <w14:solidFill>
                    <w14:srgbClr w14:val="000000">
                      <w14:alpha w14:val="100000"/>
                    </w14:srgbClr>
                  </w14:solidFill>
                </w14:textFill>
              </w:rPr>
              <w:t>|</w:t>
            </w:r>
            <w:r w:rsidR="00E76201">
              <w:rPr>
                <w:rFonts w:cs="Arial"/>
                <w:szCs w:val="20"/>
                <w:vertAlign w:val="superscript"/>
              </w:rPr>
              <w:t>15</w:t>
            </w:r>
          </w:p>
        </w:tc>
      </w:tr>
      <w:tr w:rsidR="006E73CD" w:rsidRPr="0058247A" w14:paraId="72CE344B" w14:textId="77777777" w:rsidTr="00DB1A3A">
        <w:tc>
          <w:tcPr>
            <w:tcW w:w="1013" w:type="pct"/>
            <w:shd w:val="clear" w:color="auto" w:fill="auto"/>
            <w:vAlign w:val="center"/>
          </w:tcPr>
          <w:p w14:paraId="6F2C3C07" w14:textId="132B8BD4" w:rsidR="005C7257" w:rsidRPr="0058247A" w:rsidRDefault="005C7257" w:rsidP="005C7257">
            <w:pPr>
              <w:pStyle w:val="TableText0"/>
              <w:rPr>
                <w:szCs w:val="20"/>
              </w:rPr>
            </w:pPr>
            <w:r w:rsidRPr="0058247A">
              <w:rPr>
                <w:szCs w:val="20"/>
              </w:rPr>
              <w:t>Net cost to PBS/RPBS/MBS</w:t>
            </w:r>
            <w:r w:rsidR="00E76201">
              <w:rPr>
                <w:szCs w:val="20"/>
              </w:rPr>
              <w:t xml:space="preserve"> ($)</w:t>
            </w:r>
          </w:p>
        </w:tc>
        <w:tc>
          <w:tcPr>
            <w:tcW w:w="725" w:type="pct"/>
            <w:shd w:val="clear" w:color="auto" w:fill="auto"/>
            <w:vAlign w:val="center"/>
          </w:tcPr>
          <w:p w14:paraId="0F07DE5E" w14:textId="071DC9A8"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5" w:id="-1236536570"/>
                <w14:textFill>
                  <w14:solidFill>
                    <w14:srgbClr w14:val="000000">
                      <w14:alpha w14:val="100000"/>
                    </w14:srgbClr>
                  </w14:solidFill>
                </w14:textFill>
              </w:rPr>
              <w:t>|||</w:t>
            </w:r>
            <w:r w:rsidRPr="006E73CD">
              <w:rPr>
                <w:rFonts w:cs="Arial"/>
                <w:color w:val="000000"/>
                <w:spacing w:val="2"/>
                <w:szCs w:val="20"/>
                <w:shd w:val="solid" w:color="000000" w:fill="000000"/>
                <w:fitText w:val="325" w:id="-1236536570"/>
                <w14:textFill>
                  <w14:solidFill>
                    <w14:srgbClr w14:val="000000">
                      <w14:alpha w14:val="100000"/>
                    </w14:srgbClr>
                  </w14:solidFill>
                </w14:textFill>
              </w:rPr>
              <w:t>|</w:t>
            </w:r>
            <w:r w:rsidR="00E76201">
              <w:rPr>
                <w:rFonts w:cs="Arial"/>
                <w:szCs w:val="20"/>
                <w:vertAlign w:val="superscript"/>
              </w:rPr>
              <w:t>11</w:t>
            </w:r>
          </w:p>
        </w:tc>
        <w:tc>
          <w:tcPr>
            <w:tcW w:w="652" w:type="pct"/>
            <w:shd w:val="clear" w:color="auto" w:fill="auto"/>
            <w:vAlign w:val="center"/>
          </w:tcPr>
          <w:p w14:paraId="3BEA7F82" w14:textId="16CF91AA"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569"/>
                <w14:textFill>
                  <w14:solidFill>
                    <w14:srgbClr w14:val="000000">
                      <w14:alpha w14:val="100000"/>
                    </w14:srgbClr>
                  </w14:solidFill>
                </w14:textFill>
              </w:rPr>
              <w:t>|</w:t>
            </w:r>
            <w:r w:rsidRPr="006E73CD">
              <w:rPr>
                <w:rFonts w:cs="Arial"/>
                <w:color w:val="000000"/>
                <w:spacing w:val="1"/>
                <w:szCs w:val="20"/>
                <w:shd w:val="solid" w:color="000000" w:fill="000000"/>
                <w:fitText w:val="258" w:id="-1236536569"/>
                <w14:textFill>
                  <w14:solidFill>
                    <w14:srgbClr w14:val="000000">
                      <w14:alpha w14:val="100000"/>
                    </w14:srgbClr>
                  </w14:solidFill>
                </w14:textFill>
              </w:rPr>
              <w:t>|</w:t>
            </w:r>
            <w:r w:rsidR="00E76201">
              <w:rPr>
                <w:rFonts w:cs="Arial"/>
                <w:szCs w:val="20"/>
                <w:vertAlign w:val="superscript"/>
              </w:rPr>
              <w:t>11</w:t>
            </w:r>
          </w:p>
        </w:tc>
        <w:tc>
          <w:tcPr>
            <w:tcW w:w="653" w:type="pct"/>
            <w:shd w:val="clear" w:color="auto" w:fill="auto"/>
            <w:vAlign w:val="center"/>
          </w:tcPr>
          <w:p w14:paraId="2E2A8362" w14:textId="4B8179F3"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568"/>
                <w14:textFill>
                  <w14:solidFill>
                    <w14:srgbClr w14:val="000000">
                      <w14:alpha w14:val="100000"/>
                    </w14:srgbClr>
                  </w14:solidFill>
                </w14:textFill>
              </w:rPr>
              <w:t>|</w:t>
            </w:r>
            <w:r w:rsidRPr="006E73CD">
              <w:rPr>
                <w:rFonts w:cs="Arial"/>
                <w:color w:val="000000"/>
                <w:spacing w:val="1"/>
                <w:szCs w:val="20"/>
                <w:shd w:val="solid" w:color="000000" w:fill="000000"/>
                <w:fitText w:val="258" w:id="-1236536568"/>
                <w14:textFill>
                  <w14:solidFill>
                    <w14:srgbClr w14:val="000000">
                      <w14:alpha w14:val="100000"/>
                    </w14:srgbClr>
                  </w14:solidFill>
                </w14:textFill>
              </w:rPr>
              <w:t>|</w:t>
            </w:r>
            <w:r w:rsidR="00E76201">
              <w:rPr>
                <w:rFonts w:cs="Arial"/>
                <w:szCs w:val="20"/>
                <w:vertAlign w:val="superscript"/>
              </w:rPr>
              <w:t>11</w:t>
            </w:r>
          </w:p>
        </w:tc>
        <w:tc>
          <w:tcPr>
            <w:tcW w:w="652" w:type="pct"/>
            <w:shd w:val="clear" w:color="auto" w:fill="auto"/>
            <w:vAlign w:val="center"/>
          </w:tcPr>
          <w:p w14:paraId="2FFF0252" w14:textId="67B0B0C4"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567"/>
                <w14:textFill>
                  <w14:solidFill>
                    <w14:srgbClr w14:val="000000">
                      <w14:alpha w14:val="100000"/>
                    </w14:srgbClr>
                  </w14:solidFill>
                </w14:textFill>
              </w:rPr>
              <w:t>|||</w:t>
            </w:r>
            <w:r w:rsidRPr="006E73CD">
              <w:rPr>
                <w:rFonts w:cs="Arial"/>
                <w:color w:val="000000"/>
                <w:spacing w:val="1"/>
                <w:szCs w:val="20"/>
                <w:shd w:val="solid" w:color="000000" w:fill="000000"/>
                <w:fitText w:val="324" w:id="-1236536567"/>
                <w14:textFill>
                  <w14:solidFill>
                    <w14:srgbClr w14:val="000000">
                      <w14:alpha w14:val="100000"/>
                    </w14:srgbClr>
                  </w14:solidFill>
                </w14:textFill>
              </w:rPr>
              <w:t>|</w:t>
            </w:r>
            <w:r w:rsidR="00E76201">
              <w:rPr>
                <w:rFonts w:cs="Arial"/>
                <w:szCs w:val="20"/>
                <w:vertAlign w:val="superscript"/>
              </w:rPr>
              <w:t>12</w:t>
            </w:r>
          </w:p>
        </w:tc>
        <w:tc>
          <w:tcPr>
            <w:tcW w:w="653" w:type="pct"/>
            <w:shd w:val="clear" w:color="auto" w:fill="auto"/>
            <w:vAlign w:val="center"/>
          </w:tcPr>
          <w:p w14:paraId="6508D4B6" w14:textId="4C878F3B" w:rsidR="005C7257" w:rsidRPr="0058247A" w:rsidRDefault="006E73CD" w:rsidP="005C7257">
            <w:pPr>
              <w:pStyle w:val="TableText0"/>
              <w:jc w:val="center"/>
              <w:rPr>
                <w:szCs w:val="20"/>
              </w:rPr>
            </w:pPr>
            <w:r w:rsidRPr="006E73CD">
              <w:rPr>
                <w:rFonts w:cs="Arial"/>
                <w:color w:val="000000"/>
                <w:spacing w:val="51"/>
                <w:szCs w:val="20"/>
                <w:shd w:val="solid" w:color="000000" w:fill="000000"/>
                <w:fitText w:val="324" w:id="-1236536566"/>
                <w14:textFill>
                  <w14:solidFill>
                    <w14:srgbClr w14:val="000000">
                      <w14:alpha w14:val="100000"/>
                    </w14:srgbClr>
                  </w14:solidFill>
                </w14:textFill>
              </w:rPr>
              <w:t>|||</w:t>
            </w:r>
            <w:r w:rsidRPr="006E73CD">
              <w:rPr>
                <w:rFonts w:cs="Arial"/>
                <w:color w:val="000000"/>
                <w:spacing w:val="1"/>
                <w:szCs w:val="20"/>
                <w:shd w:val="solid" w:color="000000" w:fill="000000"/>
                <w:fitText w:val="324" w:id="-1236536566"/>
                <w14:textFill>
                  <w14:solidFill>
                    <w14:srgbClr w14:val="000000">
                      <w14:alpha w14:val="100000"/>
                    </w14:srgbClr>
                  </w14:solidFill>
                </w14:textFill>
              </w:rPr>
              <w:t>|</w:t>
            </w:r>
            <w:r w:rsidR="00E76201">
              <w:rPr>
                <w:rFonts w:cs="Arial"/>
                <w:szCs w:val="20"/>
                <w:vertAlign w:val="superscript"/>
              </w:rPr>
              <w:t>12</w:t>
            </w:r>
          </w:p>
        </w:tc>
        <w:tc>
          <w:tcPr>
            <w:tcW w:w="652" w:type="pct"/>
            <w:vAlign w:val="center"/>
          </w:tcPr>
          <w:p w14:paraId="1ED52A8D" w14:textId="758900DD" w:rsidR="005C7257" w:rsidRPr="0058247A" w:rsidRDefault="006E73CD" w:rsidP="005C7257">
            <w:pPr>
              <w:pStyle w:val="TableText0"/>
              <w:jc w:val="center"/>
              <w:rPr>
                <w:szCs w:val="20"/>
              </w:rPr>
            </w:pPr>
            <w:r w:rsidRPr="006E73CD">
              <w:rPr>
                <w:rFonts w:cs="Arial"/>
                <w:color w:val="000000"/>
                <w:spacing w:val="172"/>
                <w:szCs w:val="20"/>
                <w:shd w:val="solid" w:color="000000" w:fill="000000"/>
                <w:fitText w:val="258" w:id="-1236536565"/>
                <w14:textFill>
                  <w14:solidFill>
                    <w14:srgbClr w14:val="000000">
                      <w14:alpha w14:val="100000"/>
                    </w14:srgbClr>
                  </w14:solidFill>
                </w14:textFill>
              </w:rPr>
              <w:t>|</w:t>
            </w:r>
            <w:r w:rsidRPr="006E73CD">
              <w:rPr>
                <w:rFonts w:cs="Arial"/>
                <w:color w:val="000000"/>
                <w:spacing w:val="1"/>
                <w:szCs w:val="20"/>
                <w:shd w:val="solid" w:color="000000" w:fill="000000"/>
                <w:fitText w:val="258" w:id="-1236536565"/>
                <w14:textFill>
                  <w14:solidFill>
                    <w14:srgbClr w14:val="000000">
                      <w14:alpha w14:val="100000"/>
                    </w14:srgbClr>
                  </w14:solidFill>
                </w14:textFill>
              </w:rPr>
              <w:t>|</w:t>
            </w:r>
            <w:r w:rsidR="00E76201">
              <w:rPr>
                <w:rFonts w:cs="Arial"/>
                <w:szCs w:val="20"/>
                <w:vertAlign w:val="superscript"/>
              </w:rPr>
              <w:t>12</w:t>
            </w:r>
          </w:p>
        </w:tc>
      </w:tr>
    </w:tbl>
    <w:p w14:paraId="529EAFCF" w14:textId="6FA6CBC1" w:rsidR="00B440B6" w:rsidRPr="0058247A" w:rsidRDefault="00B440B6" w:rsidP="0088759C">
      <w:pPr>
        <w:pStyle w:val="FooterTableFigure"/>
      </w:pPr>
      <w:r w:rsidRPr="0058247A">
        <w:t>MBS fees include fees for parenteral administration (MBS item 13950) and blood typing (MBS item 65090) which is required before patients commence daratumumab.</w:t>
      </w:r>
    </w:p>
    <w:p w14:paraId="6BB90F9D" w14:textId="5E0DCDD8" w:rsidR="001D7ABE" w:rsidRPr="0058247A" w:rsidRDefault="001D7ABE" w:rsidP="0088759C">
      <w:pPr>
        <w:pStyle w:val="FooterTableFigure"/>
      </w:pPr>
      <w:r w:rsidRPr="0058247A">
        <w:t>Source: Table 4.3, p258; Table 4.8, p261; Table 4.17, p274; Table 4.22, p281 of the submission.</w:t>
      </w:r>
    </w:p>
    <w:p w14:paraId="3598E94E" w14:textId="0C3925F3" w:rsidR="001D7ABE" w:rsidRDefault="001D7ABE" w:rsidP="00317395">
      <w:pPr>
        <w:pStyle w:val="FooterTableFigure"/>
        <w:spacing w:after="0"/>
      </w:pPr>
      <w:r w:rsidRPr="0058247A">
        <w:rPr>
          <w:szCs w:val="18"/>
        </w:rPr>
        <w:t>MBS = Medicare Benefits Schedule</w:t>
      </w:r>
      <w:r w:rsidRPr="0058247A">
        <w:t>; PBS = Pharmaceutical Benefits Scheme; RPBS = Repatriation Pharmaceutical Benefits Scheme</w:t>
      </w:r>
    </w:p>
    <w:p w14:paraId="2A2257ED" w14:textId="77777777" w:rsidR="00317395" w:rsidRPr="009A6D58" w:rsidRDefault="00317395" w:rsidP="00317395">
      <w:pPr>
        <w:rPr>
          <w:rFonts w:ascii="Arial Narrow" w:hAnsi="Arial Narrow"/>
          <w:i/>
          <w:sz w:val="18"/>
          <w:szCs w:val="18"/>
        </w:rPr>
      </w:pPr>
      <w:bookmarkStart w:id="117" w:name="_Hlk135040623"/>
      <w:r w:rsidRPr="009A6D58">
        <w:rPr>
          <w:rFonts w:ascii="Arial Narrow" w:hAnsi="Arial Narrow"/>
          <w:i/>
          <w:sz w:val="18"/>
          <w:szCs w:val="18"/>
        </w:rPr>
        <w:t xml:space="preserve">The redacted values correspond to the following ranges: </w:t>
      </w:r>
    </w:p>
    <w:p w14:paraId="0293E2E9" w14:textId="09806702" w:rsidR="00317395" w:rsidRPr="009A6D58" w:rsidRDefault="00317395" w:rsidP="0031739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76201" w:rsidRPr="00E76201">
        <w:rPr>
          <w:rFonts w:ascii="Arial Narrow" w:hAnsi="Arial Narrow"/>
          <w:i/>
          <w:sz w:val="18"/>
          <w:szCs w:val="18"/>
        </w:rPr>
        <w:t>500 to &lt; 5,000</w:t>
      </w:r>
    </w:p>
    <w:p w14:paraId="7E74C6E1" w14:textId="0FD5A1D3" w:rsidR="00317395" w:rsidRPr="009A6D58" w:rsidRDefault="00317395" w:rsidP="0031739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76201" w:rsidRPr="00E76201">
        <w:rPr>
          <w:rFonts w:ascii="Arial Narrow" w:hAnsi="Arial Narrow"/>
          <w:i/>
          <w:sz w:val="18"/>
          <w:szCs w:val="18"/>
        </w:rPr>
        <w:t>20,000 to &lt; 30,000</w:t>
      </w:r>
    </w:p>
    <w:p w14:paraId="60FE9575" w14:textId="2986F184" w:rsidR="00317395" w:rsidRDefault="00317395" w:rsidP="0031739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76201" w:rsidRPr="00E76201">
        <w:rPr>
          <w:rFonts w:ascii="Arial Narrow" w:hAnsi="Arial Narrow"/>
          <w:i/>
          <w:sz w:val="18"/>
          <w:szCs w:val="18"/>
        </w:rPr>
        <w:t>5,000 to &lt; 10,000</w:t>
      </w:r>
    </w:p>
    <w:p w14:paraId="21B893AE" w14:textId="1602CABE" w:rsidR="00317395" w:rsidRDefault="00317395" w:rsidP="0031739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76201" w:rsidRPr="00E76201">
        <w:rPr>
          <w:rFonts w:ascii="Arial Narrow" w:hAnsi="Arial Narrow"/>
          <w:i/>
          <w:sz w:val="18"/>
          <w:szCs w:val="18"/>
        </w:rPr>
        <w:t>30,000 to &lt; 40,000</w:t>
      </w:r>
    </w:p>
    <w:p w14:paraId="164D1A11" w14:textId="77777777" w:rsidR="00E76201" w:rsidRDefault="00317395" w:rsidP="0031739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E76201" w:rsidRPr="00E76201">
        <w:rPr>
          <w:rFonts w:ascii="Arial Narrow" w:hAnsi="Arial Narrow"/>
          <w:i/>
          <w:sz w:val="18"/>
          <w:szCs w:val="18"/>
        </w:rPr>
        <w:t>50,000 to &lt; 60,000</w:t>
      </w:r>
    </w:p>
    <w:p w14:paraId="2749D122" w14:textId="3CDDE698" w:rsidR="00317395" w:rsidRDefault="00317395" w:rsidP="0031739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76201" w:rsidRPr="00E76201">
        <w:rPr>
          <w:rFonts w:ascii="Arial Narrow" w:hAnsi="Arial Narrow"/>
          <w:i/>
          <w:sz w:val="18"/>
          <w:szCs w:val="18"/>
        </w:rPr>
        <w:t>60,000 to &lt; 70,000</w:t>
      </w:r>
    </w:p>
    <w:bookmarkEnd w:id="117"/>
    <w:p w14:paraId="59174E5E" w14:textId="37E9FCB9" w:rsidR="00E76201" w:rsidRPr="009A6D58" w:rsidRDefault="00E76201" w:rsidP="00E76201">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0177D8" w:rsidRPr="000177D8">
        <w:rPr>
          <w:rFonts w:ascii="Arial Narrow" w:hAnsi="Arial Narrow"/>
          <w:i/>
          <w:sz w:val="18"/>
          <w:szCs w:val="18"/>
        </w:rPr>
        <w:t>70,000 to &lt; 80,000</w:t>
      </w:r>
    </w:p>
    <w:p w14:paraId="6E26629C" w14:textId="4F6A8E82" w:rsidR="00E76201" w:rsidRPr="009A6D58" w:rsidRDefault="00E76201" w:rsidP="00E76201">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0177D8" w:rsidRPr="000177D8">
        <w:rPr>
          <w:rFonts w:ascii="Arial Narrow" w:hAnsi="Arial Narrow"/>
          <w:i/>
          <w:sz w:val="18"/>
          <w:szCs w:val="18"/>
        </w:rPr>
        <w:t>40,000 to &lt; 50,000</w:t>
      </w:r>
    </w:p>
    <w:p w14:paraId="7255F8CD" w14:textId="77777777" w:rsidR="000177D8" w:rsidRDefault="00E76201" w:rsidP="00E76201">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0177D8" w:rsidRPr="000177D8">
        <w:rPr>
          <w:rFonts w:ascii="Arial Narrow" w:hAnsi="Arial Narrow"/>
          <w:i/>
          <w:sz w:val="18"/>
          <w:szCs w:val="18"/>
        </w:rPr>
        <w:t>80,000 to &lt; 90,000</w:t>
      </w:r>
    </w:p>
    <w:p w14:paraId="65711E5B" w14:textId="77777777" w:rsidR="000177D8" w:rsidRDefault="00E76201" w:rsidP="00E76201">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0177D8" w:rsidRPr="000177D8">
        <w:rPr>
          <w:rFonts w:ascii="Arial Narrow" w:hAnsi="Arial Narrow"/>
          <w:i/>
          <w:sz w:val="18"/>
          <w:szCs w:val="18"/>
        </w:rPr>
        <w:t>90,000 to &lt; 100,000</w:t>
      </w:r>
    </w:p>
    <w:p w14:paraId="5B00EEFF" w14:textId="38CA2207" w:rsidR="00E76201" w:rsidRDefault="00E76201" w:rsidP="00E76201">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0177D8" w:rsidRPr="000177D8">
        <w:rPr>
          <w:rFonts w:ascii="Arial Narrow" w:hAnsi="Arial Narrow"/>
          <w:i/>
          <w:sz w:val="18"/>
          <w:szCs w:val="18"/>
        </w:rPr>
        <w:t>$100 million to &lt; $200 million</w:t>
      </w:r>
    </w:p>
    <w:p w14:paraId="4DDD9C34" w14:textId="13D5A3F0" w:rsidR="00E76201" w:rsidRDefault="00E76201" w:rsidP="00E76201">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0177D8" w:rsidRPr="000177D8">
        <w:rPr>
          <w:rFonts w:ascii="Arial Narrow" w:hAnsi="Arial Narrow"/>
          <w:i/>
          <w:sz w:val="18"/>
          <w:szCs w:val="18"/>
        </w:rPr>
        <w:t>$200 million to &lt; $300 million</w:t>
      </w:r>
    </w:p>
    <w:p w14:paraId="45C01027" w14:textId="77777777" w:rsidR="000177D8" w:rsidRDefault="00E76201" w:rsidP="00E7620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3</w:t>
      </w:r>
      <w:r>
        <w:rPr>
          <w:rFonts w:ascii="Arial Narrow" w:hAnsi="Arial Narrow"/>
          <w:i/>
          <w:sz w:val="18"/>
          <w:szCs w:val="18"/>
        </w:rPr>
        <w:t xml:space="preserve"> </w:t>
      </w:r>
      <w:r w:rsidR="000177D8" w:rsidRPr="000177D8">
        <w:rPr>
          <w:rFonts w:ascii="Arial Narrow" w:hAnsi="Arial Narrow"/>
          <w:i/>
          <w:sz w:val="18"/>
          <w:szCs w:val="18"/>
        </w:rPr>
        <w:t xml:space="preserve">$300 million to &lt; $400 million </w:t>
      </w:r>
    </w:p>
    <w:p w14:paraId="379106C9" w14:textId="06E5F672" w:rsidR="00E76201" w:rsidRDefault="00E76201" w:rsidP="00E76201">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0177D8" w:rsidRPr="000177D8">
        <w:rPr>
          <w:rFonts w:ascii="Arial Narrow" w:hAnsi="Arial Narrow"/>
          <w:i/>
          <w:sz w:val="18"/>
          <w:szCs w:val="18"/>
        </w:rPr>
        <w:t>net cost saving</w:t>
      </w:r>
    </w:p>
    <w:p w14:paraId="07718C5C" w14:textId="78DCD99B" w:rsidR="00317395" w:rsidRPr="0058247A" w:rsidRDefault="00E76201" w:rsidP="00E76201">
      <w:pPr>
        <w:spacing w:after="120"/>
        <w:rPr>
          <w:rStyle w:val="CommentReference"/>
        </w:rPr>
      </w:pPr>
      <w:r>
        <w:rPr>
          <w:rFonts w:ascii="Arial Narrow" w:hAnsi="Arial Narrow"/>
          <w:i/>
          <w:sz w:val="18"/>
          <w:szCs w:val="18"/>
          <w:vertAlign w:val="superscript"/>
        </w:rPr>
        <w:t>15</w:t>
      </w:r>
      <w:r>
        <w:rPr>
          <w:rFonts w:ascii="Arial Narrow" w:hAnsi="Arial Narrow"/>
          <w:i/>
          <w:sz w:val="18"/>
          <w:szCs w:val="18"/>
        </w:rPr>
        <w:t xml:space="preserve"> </w:t>
      </w:r>
      <w:r w:rsidR="000177D8" w:rsidRPr="000177D8">
        <w:rPr>
          <w:rFonts w:ascii="Arial Narrow" w:hAnsi="Arial Narrow"/>
          <w:i/>
          <w:sz w:val="18"/>
          <w:szCs w:val="18"/>
        </w:rPr>
        <w:t>$0 to &lt; $10 million</w:t>
      </w:r>
    </w:p>
    <w:p w14:paraId="2123C796" w14:textId="2AADB9F4" w:rsidR="00B440B6" w:rsidRPr="006154DA" w:rsidRDefault="001D7ABE" w:rsidP="00B440B6">
      <w:pPr>
        <w:pStyle w:val="3-BodyText"/>
      </w:pPr>
      <w:r w:rsidRPr="006154DA">
        <w:t xml:space="preserve">The </w:t>
      </w:r>
      <w:r w:rsidR="00B440B6" w:rsidRPr="006154DA">
        <w:t>net</w:t>
      </w:r>
      <w:r w:rsidRPr="006154DA">
        <w:t xml:space="preserve"> cost to the PBS/RPBS of listing DLd was estimated to be </w:t>
      </w:r>
      <w:bookmarkStart w:id="118" w:name="_Hlk135042486"/>
      <w:r w:rsidR="000177D8" w:rsidRPr="000177D8">
        <w:t>$200 million to &lt; $300 million</w:t>
      </w:r>
      <w:bookmarkEnd w:id="118"/>
      <w:r w:rsidR="000177D8" w:rsidRPr="000177D8" w:rsidDel="000177D8">
        <w:t xml:space="preserve"> </w:t>
      </w:r>
      <w:r w:rsidRPr="006154DA">
        <w:t xml:space="preserve">in Year 6, and total </w:t>
      </w:r>
      <w:r w:rsidR="000177D8" w:rsidRPr="000177D8">
        <w:t>&gt; $1 billion</w:t>
      </w:r>
      <w:r w:rsidR="000177D8" w:rsidRPr="000177D8" w:rsidDel="000177D8">
        <w:t xml:space="preserve"> </w:t>
      </w:r>
      <w:r w:rsidR="00D92611" w:rsidRPr="006154DA">
        <w:t xml:space="preserve">over </w:t>
      </w:r>
      <w:r w:rsidRPr="006154DA">
        <w:t xml:space="preserve">the first 6 years of listing. </w:t>
      </w:r>
      <w:r w:rsidR="00B440B6" w:rsidRPr="006154DA">
        <w:t xml:space="preserve">With the inclusion of MBS fees, the net cost to </w:t>
      </w:r>
      <w:r w:rsidR="00B440B6" w:rsidRPr="006154DA">
        <w:rPr>
          <w:szCs w:val="20"/>
        </w:rPr>
        <w:t>PBS/RPBS/MBS</w:t>
      </w:r>
      <w:r w:rsidR="002C75D5" w:rsidRPr="006154DA">
        <w:rPr>
          <w:szCs w:val="20"/>
        </w:rPr>
        <w:t xml:space="preserve"> </w:t>
      </w:r>
      <w:r w:rsidR="002C75D5" w:rsidRPr="006154DA">
        <w:t xml:space="preserve">was estimated to be </w:t>
      </w:r>
      <w:r w:rsidR="000177D8" w:rsidRPr="000177D8">
        <w:t>$200 million to &lt; $300 million</w:t>
      </w:r>
      <w:r w:rsidR="000177D8" w:rsidRPr="000177D8" w:rsidDel="000177D8">
        <w:t xml:space="preserve"> </w:t>
      </w:r>
      <w:r w:rsidR="002C75D5" w:rsidRPr="006154DA">
        <w:t xml:space="preserve">in Year 6, and total </w:t>
      </w:r>
      <w:r w:rsidR="000177D8" w:rsidRPr="000177D8">
        <w:t>&gt; $1 billion</w:t>
      </w:r>
      <w:r w:rsidR="000177D8" w:rsidRPr="000177D8" w:rsidDel="000177D8">
        <w:t xml:space="preserve"> </w:t>
      </w:r>
      <w:r w:rsidR="002C75D5" w:rsidRPr="006154DA">
        <w:t>over the first 6 years of listing.</w:t>
      </w:r>
    </w:p>
    <w:p w14:paraId="519A4C71" w14:textId="44FA0438" w:rsidR="009D0D0E" w:rsidRPr="006154DA" w:rsidRDefault="001A1417" w:rsidP="00720D59">
      <w:pPr>
        <w:pStyle w:val="3-BodyText"/>
      </w:pPr>
      <w:r w:rsidRPr="006154DA">
        <w:t xml:space="preserve">The submission estimated the change in </w:t>
      </w:r>
      <w:r w:rsidR="009D0D0E" w:rsidRPr="006154DA">
        <w:t>MBS</w:t>
      </w:r>
      <w:r w:rsidRPr="006154DA">
        <w:t xml:space="preserve"> items associated with the administration of daratumumab (Item 13950)</w:t>
      </w:r>
      <w:r w:rsidR="003262D2" w:rsidRPr="006154DA">
        <w:t xml:space="preserve"> for both IV and SC. This </w:t>
      </w:r>
      <w:r w:rsidR="00F46638" w:rsidRPr="006154DA">
        <w:t>was</w:t>
      </w:r>
      <w:r w:rsidR="003262D2" w:rsidRPr="006154DA">
        <w:t xml:space="preserve"> not appropriate given the administration cost should be applied to IV only.</w:t>
      </w:r>
      <w:r w:rsidR="007D31CB" w:rsidRPr="006154DA">
        <w:t xml:space="preserve"> The submission also</w:t>
      </w:r>
      <w:r w:rsidRPr="006154DA">
        <w:t xml:space="preserve"> estimated the </w:t>
      </w:r>
      <w:r w:rsidR="004950DE" w:rsidRPr="006154DA">
        <w:t xml:space="preserve">cost of </w:t>
      </w:r>
      <w:r w:rsidRPr="006154DA">
        <w:t xml:space="preserve">blood type testing (Item 65090) as the daratumumab PI </w:t>
      </w:r>
      <w:r w:rsidR="00517EDD" w:rsidRPr="006154DA">
        <w:t>suggest</w:t>
      </w:r>
      <w:r w:rsidR="004950DE" w:rsidRPr="006154DA">
        <w:t xml:space="preserve">s </w:t>
      </w:r>
      <w:r w:rsidRPr="006154DA">
        <w:t>that blood typing be undertaken in all patients initiating daratumumab prior to the first infusion/injection</w:t>
      </w:r>
      <w:r w:rsidR="006D0073" w:rsidRPr="006154DA">
        <w:t>.</w:t>
      </w:r>
      <w:r w:rsidR="005D7697" w:rsidRPr="006154DA">
        <w:t xml:space="preserve"> This</w:t>
      </w:r>
      <w:r w:rsidR="002B1266" w:rsidRPr="006154DA">
        <w:t xml:space="preserve"> was</w:t>
      </w:r>
      <w:r w:rsidR="005D7697" w:rsidRPr="006154DA">
        <w:t xml:space="preserve"> appropriate.</w:t>
      </w:r>
    </w:p>
    <w:p w14:paraId="13FB283D" w14:textId="737F5041" w:rsidR="00CA21A5" w:rsidRPr="006154DA" w:rsidRDefault="00C33A73" w:rsidP="00CA21A5">
      <w:pPr>
        <w:pStyle w:val="3-BodyText"/>
      </w:pPr>
      <w:r w:rsidRPr="006154DA">
        <w:lastRenderedPageBreak/>
        <w:t xml:space="preserve">The ESC considered that </w:t>
      </w:r>
      <w:r w:rsidR="00D21594" w:rsidRPr="006154DA">
        <w:t xml:space="preserve">the submission appeared to have </w:t>
      </w:r>
      <w:r w:rsidR="00B86E39" w:rsidRPr="006154DA">
        <w:t>under</w:t>
      </w:r>
      <w:r w:rsidR="00D21594" w:rsidRPr="006154DA">
        <w:t xml:space="preserve">estimated the reduction in use of </w:t>
      </w:r>
      <w:r w:rsidRPr="006154DA">
        <w:t>subsequent therapies and overestimated</w:t>
      </w:r>
      <w:r w:rsidR="00D21594" w:rsidRPr="006154DA">
        <w:t xml:space="preserve"> t</w:t>
      </w:r>
      <w:r w:rsidR="001D7ABE" w:rsidRPr="006154DA">
        <w:t xml:space="preserve">he cost of daratumumab in the </w:t>
      </w:r>
      <w:r w:rsidR="00312AE7" w:rsidRPr="006154DA">
        <w:t>first</w:t>
      </w:r>
      <w:r w:rsidR="0015148F">
        <w:t xml:space="preserve"> </w:t>
      </w:r>
      <w:r w:rsidR="00312AE7" w:rsidRPr="006154DA">
        <w:t>line</w:t>
      </w:r>
      <w:r w:rsidR="001D7ABE" w:rsidRPr="006154DA">
        <w:t xml:space="preserve"> setting due to the </w:t>
      </w:r>
      <w:r w:rsidRPr="006154DA">
        <w:t>application of the high assumed growth rate of the TI NDMM population and uncertainties with the number of grandfathered patients</w:t>
      </w:r>
      <w:r w:rsidR="001D7ABE" w:rsidRPr="006154DA">
        <w:t xml:space="preserve">. </w:t>
      </w:r>
      <w:r w:rsidR="00D21594" w:rsidRPr="006154DA">
        <w:t>Overall</w:t>
      </w:r>
      <w:r w:rsidR="001D7ABE" w:rsidRPr="006154DA">
        <w:t xml:space="preserve">, the net increase in cost to the PBS/RPBS of daratumumab appeared to be overestimated. </w:t>
      </w:r>
    </w:p>
    <w:p w14:paraId="119C3F50" w14:textId="65C393CA" w:rsidR="00CA21A5" w:rsidRPr="006154DA" w:rsidRDefault="00CA21A5" w:rsidP="00CA21A5">
      <w:pPr>
        <w:pStyle w:val="3-BodyText"/>
      </w:pPr>
      <w:r w:rsidRPr="006154DA">
        <w:t xml:space="preserve">Further, the ESC noted that the utilisation estimates were significantly higher than those presented for the same proposed population for lenalidomide (as BLd) in </w:t>
      </w:r>
      <w:r w:rsidR="000177D8" w:rsidRPr="006154DA">
        <w:t>August</w:t>
      </w:r>
      <w:r w:rsidR="000177D8">
        <w:t> </w:t>
      </w:r>
      <w:r w:rsidRPr="006154DA">
        <w:t xml:space="preserve">2019. </w:t>
      </w:r>
    </w:p>
    <w:p w14:paraId="06D862DC" w14:textId="77777777" w:rsidR="001D7ABE" w:rsidRPr="0058247A" w:rsidRDefault="001D7ABE" w:rsidP="001D7ABE">
      <w:pPr>
        <w:pStyle w:val="4-SubsectionHeading"/>
      </w:pPr>
      <w:bookmarkStart w:id="119" w:name="_Toc22897648"/>
      <w:bookmarkStart w:id="120" w:name="_Toc121741820"/>
      <w:bookmarkStart w:id="121" w:name="_Toc124878980"/>
      <w:r w:rsidRPr="0058247A">
        <w:t>Quality Use of Medicines</w:t>
      </w:r>
      <w:bookmarkEnd w:id="119"/>
      <w:bookmarkEnd w:id="120"/>
      <w:bookmarkEnd w:id="121"/>
    </w:p>
    <w:p w14:paraId="3655544F" w14:textId="518D320E" w:rsidR="001D7ABE" w:rsidRPr="0058247A" w:rsidRDefault="001D7ABE" w:rsidP="00720D59">
      <w:pPr>
        <w:pStyle w:val="3-BodyText"/>
        <w:rPr>
          <w:color w:val="0066FF"/>
        </w:rPr>
      </w:pPr>
      <w:r w:rsidRPr="0058247A">
        <w:t>The submission described education and resources to be provided by focusing on key quality use of medication discussion points, including promoting awareness of TI NDMM, its signs and symptoms for diagnosis; identifying the appropriate patients for daratumumab used in combination with lenalidomide and dexamethasone; and promoting appropriate dosing and administration of daratumumab as per the recommendations in the PI.</w:t>
      </w:r>
    </w:p>
    <w:p w14:paraId="029031FF" w14:textId="77777777" w:rsidR="001D7ABE" w:rsidRPr="0058247A" w:rsidRDefault="001D7ABE" w:rsidP="001D7ABE">
      <w:pPr>
        <w:pStyle w:val="4-SubsectionHeading"/>
      </w:pPr>
      <w:bookmarkStart w:id="122" w:name="_Toc22897649"/>
      <w:bookmarkStart w:id="123" w:name="_Toc121741821"/>
      <w:bookmarkStart w:id="124" w:name="_Toc124878981"/>
      <w:r w:rsidRPr="0058247A">
        <w:t>Financial Management – Risk Sharing Arrangements</w:t>
      </w:r>
      <w:bookmarkEnd w:id="122"/>
      <w:bookmarkEnd w:id="123"/>
      <w:bookmarkEnd w:id="124"/>
    </w:p>
    <w:p w14:paraId="70DAA833" w14:textId="2ED064B1" w:rsidR="001D7ABE" w:rsidRPr="006154DA" w:rsidRDefault="001D7ABE" w:rsidP="00720D59">
      <w:pPr>
        <w:pStyle w:val="3-BodyText"/>
      </w:pPr>
      <w:bookmarkStart w:id="125" w:name="_Ref127437157"/>
      <w:r w:rsidRPr="006154DA">
        <w:t xml:space="preserve">There is a current RSA for daratumumab </w:t>
      </w:r>
      <w:r w:rsidR="00D21594" w:rsidRPr="006154DA">
        <w:t>(as DBd)</w:t>
      </w:r>
      <w:r w:rsidR="00044027" w:rsidRPr="006154DA">
        <w:t xml:space="preserve"> </w:t>
      </w:r>
      <w:r w:rsidR="00D21594" w:rsidRPr="006154DA">
        <w:t xml:space="preserve">in the </w:t>
      </w:r>
      <w:r w:rsidR="00044027" w:rsidRPr="006154DA">
        <w:t>second</w:t>
      </w:r>
      <w:r w:rsidR="0015148F">
        <w:t xml:space="preserve"> </w:t>
      </w:r>
      <w:r w:rsidR="00044027" w:rsidRPr="006154DA">
        <w:t xml:space="preserve">line </w:t>
      </w:r>
      <w:r w:rsidRPr="006154DA">
        <w:t xml:space="preserve">RRMM </w:t>
      </w:r>
      <w:r w:rsidR="00D21594" w:rsidRPr="006154DA">
        <w:t>setting</w:t>
      </w:r>
      <w:r w:rsidRPr="006154DA">
        <w:t xml:space="preserve">. A new RSA for daratumumab in TI NDMM has not been proposed in the submission. However, the submission </w:t>
      </w:r>
      <w:r w:rsidR="00B33193" w:rsidRPr="006154DA">
        <w:t xml:space="preserve">stated </w:t>
      </w:r>
      <w:r w:rsidRPr="006154DA">
        <w:t>that the sponsor is amenable to an RSA for daratumumab in TI NDMM after the evaluation of the financial estimate</w:t>
      </w:r>
      <w:r w:rsidR="00E01B49" w:rsidRPr="006154DA">
        <w:t>s</w:t>
      </w:r>
      <w:r w:rsidRPr="006154DA">
        <w:t>.</w:t>
      </w:r>
      <w:bookmarkEnd w:id="125"/>
    </w:p>
    <w:p w14:paraId="3BB17975" w14:textId="4857E182" w:rsidR="002B68FD" w:rsidRPr="006154DA" w:rsidRDefault="005C7257" w:rsidP="00DB1A3A">
      <w:pPr>
        <w:pStyle w:val="3-BodyText"/>
      </w:pPr>
      <w:bookmarkStart w:id="126" w:name="_Ref127437159"/>
      <w:r w:rsidRPr="006154DA">
        <w:t xml:space="preserve">A summary of the current RSA for daratumumab for RRMM is presented in </w:t>
      </w:r>
      <w:r w:rsidRPr="006154DA">
        <w:fldChar w:fldCharType="begin"/>
      </w:r>
      <w:r w:rsidRPr="006154DA">
        <w:instrText xml:space="preserve"> REF _Ref122608044 \h </w:instrText>
      </w:r>
      <w:r w:rsidR="006A6407" w:rsidRPr="006154DA">
        <w:instrText xml:space="preserve"> \* MERGEFORMAT </w:instrText>
      </w:r>
      <w:r w:rsidRPr="006154DA">
        <w:fldChar w:fldCharType="separate"/>
      </w:r>
      <w:r w:rsidR="008D65C7" w:rsidRPr="0058247A">
        <w:t xml:space="preserve">Table </w:t>
      </w:r>
      <w:r w:rsidR="008D65C7">
        <w:t>22</w:t>
      </w:r>
      <w:r w:rsidRPr="006154DA">
        <w:fldChar w:fldCharType="end"/>
      </w:r>
      <w:r w:rsidRPr="006154DA">
        <w:t xml:space="preserve">. </w:t>
      </w:r>
      <w:r w:rsidR="001D7ABE" w:rsidRPr="006154DA">
        <w:t xml:space="preserve">The current RSA for daratumumab consists of a rebate of </w:t>
      </w:r>
      <w:r w:rsidR="006E73CD" w:rsidRPr="00E93FF7">
        <w:rPr>
          <w:color w:val="000000"/>
          <w:w w:val="21"/>
          <w:shd w:val="solid" w:color="000000" w:fill="000000"/>
          <w:fitText w:val="72" w:id="-1236536564"/>
          <w14:textFill>
            <w14:solidFill>
              <w14:srgbClr w14:val="000000">
                <w14:alpha w14:val="100000"/>
              </w14:srgbClr>
            </w14:solidFill>
          </w14:textFill>
        </w:rPr>
        <w:t xml:space="preserve">|  </w:t>
      </w:r>
      <w:r w:rsidR="006E73CD" w:rsidRPr="00E93FF7">
        <w:rPr>
          <w:color w:val="000000"/>
          <w:spacing w:val="2"/>
          <w:w w:val="21"/>
          <w:shd w:val="solid" w:color="000000" w:fill="000000"/>
          <w:fitText w:val="72" w:id="-1236536564"/>
          <w14:textFill>
            <w14:solidFill>
              <w14:srgbClr w14:val="000000">
                <w14:alpha w14:val="100000"/>
              </w14:srgbClr>
            </w14:solidFill>
          </w14:textFill>
        </w:rPr>
        <w:t>|</w:t>
      </w:r>
      <w:r w:rsidR="001D7ABE" w:rsidRPr="006154DA">
        <w:t xml:space="preserve">% for any year where utilisation of daratumumab exceeds the </w:t>
      </w:r>
      <w:r w:rsidR="00D21594" w:rsidRPr="006154DA">
        <w:t>expenditure</w:t>
      </w:r>
      <w:r w:rsidR="001D7ABE" w:rsidRPr="006154DA">
        <w:t xml:space="preserve"> </w:t>
      </w:r>
      <w:r w:rsidR="00D21594" w:rsidRPr="006154DA">
        <w:t>c</w:t>
      </w:r>
      <w:r w:rsidR="001D7ABE" w:rsidRPr="006154DA">
        <w:t xml:space="preserve">ap in that </w:t>
      </w:r>
      <w:r w:rsidR="005528C5" w:rsidRPr="006154DA">
        <w:t>y</w:t>
      </w:r>
      <w:r w:rsidR="001D7ABE" w:rsidRPr="006154DA">
        <w:t xml:space="preserve">ear. </w:t>
      </w:r>
      <w:r w:rsidR="00D21594" w:rsidRPr="006154DA">
        <w:t xml:space="preserve">The expenditure caps were set at an average of </w:t>
      </w:r>
      <w:r w:rsidR="006E73CD" w:rsidRPr="00E93FF7">
        <w:rPr>
          <w:color w:val="000000"/>
          <w:w w:val="21"/>
          <w:shd w:val="solid" w:color="000000" w:fill="000000"/>
          <w:fitText w:val="71" w:id="-1236536563"/>
          <w14:textFill>
            <w14:solidFill>
              <w14:srgbClr w14:val="000000">
                <w14:alpha w14:val="100000"/>
              </w14:srgbClr>
            </w14:solidFill>
          </w14:textFill>
        </w:rPr>
        <w:t xml:space="preserve">|  </w:t>
      </w:r>
      <w:r w:rsidR="006E73CD" w:rsidRPr="00E93FF7">
        <w:rPr>
          <w:color w:val="000000"/>
          <w:spacing w:val="1"/>
          <w:w w:val="21"/>
          <w:shd w:val="solid" w:color="000000" w:fill="000000"/>
          <w:fitText w:val="71" w:id="-1236536563"/>
          <w14:textFill>
            <w14:solidFill>
              <w14:srgbClr w14:val="000000">
                <w14:alpha w14:val="100000"/>
              </w14:srgbClr>
            </w14:solidFill>
          </w14:textFill>
        </w:rPr>
        <w:t>|</w:t>
      </w:r>
      <w:r w:rsidR="00D21594" w:rsidRPr="006154DA">
        <w:t>% lower than the estimated financial impact of DBd</w:t>
      </w:r>
      <w:r w:rsidR="00DB3745" w:rsidRPr="006154DA">
        <w:t xml:space="preserve"> </w:t>
      </w:r>
      <w:r w:rsidR="008F560E" w:rsidRPr="006154DA">
        <w:t xml:space="preserve">over the five year period </w:t>
      </w:r>
      <w:r w:rsidR="006E73CD" w:rsidRPr="00E93FF7">
        <w:rPr>
          <w:color w:val="000000"/>
          <w:w w:val="21"/>
          <w:shd w:val="solid" w:color="000000" w:fill="000000"/>
          <w:fitText w:val="71" w:id="-1236536562"/>
          <w14:textFill>
            <w14:solidFill>
              <w14:srgbClr w14:val="000000">
                <w14:alpha w14:val="100000"/>
              </w14:srgbClr>
            </w14:solidFill>
          </w14:textFill>
        </w:rPr>
        <w:t xml:space="preserve">|  </w:t>
      </w:r>
      <w:r w:rsidR="006E73CD" w:rsidRPr="00E93FF7">
        <w:rPr>
          <w:color w:val="000000"/>
          <w:spacing w:val="1"/>
          <w:w w:val="21"/>
          <w:shd w:val="solid" w:color="000000" w:fill="000000"/>
          <w:fitText w:val="71" w:id="-1236536562"/>
          <w14:textFill>
            <w14:solidFill>
              <w14:srgbClr w14:val="000000">
                <w14:alpha w14:val="100000"/>
              </w14:srgbClr>
            </w14:solidFill>
          </w14:textFill>
        </w:rPr>
        <w:t>|</w:t>
      </w:r>
      <w:r w:rsidR="008F560E" w:rsidRPr="006154DA">
        <w:t xml:space="preserve"> </w:t>
      </w:r>
      <w:r w:rsidR="00DB3745" w:rsidRPr="006154DA">
        <w:t xml:space="preserve">(refer </w:t>
      </w:r>
      <w:r w:rsidR="00DB3745" w:rsidRPr="006154DA">
        <w:fldChar w:fldCharType="begin"/>
      </w:r>
      <w:r w:rsidR="00DB3745" w:rsidRPr="006154DA">
        <w:instrText xml:space="preserve"> REF _Ref122608044 \h </w:instrText>
      </w:r>
      <w:r w:rsidR="006A6407" w:rsidRPr="006154DA">
        <w:instrText xml:space="preserve"> \* MERGEFORMAT </w:instrText>
      </w:r>
      <w:r w:rsidR="00DB3745" w:rsidRPr="006154DA">
        <w:fldChar w:fldCharType="separate"/>
      </w:r>
      <w:r w:rsidR="008D65C7" w:rsidRPr="0058247A">
        <w:t xml:space="preserve">Table </w:t>
      </w:r>
      <w:r w:rsidR="008D65C7">
        <w:t>22</w:t>
      </w:r>
      <w:r w:rsidR="00DB3745" w:rsidRPr="006154DA">
        <w:fldChar w:fldCharType="end"/>
      </w:r>
      <w:r w:rsidR="00DB3745" w:rsidRPr="006154DA">
        <w:t>)</w:t>
      </w:r>
      <w:r w:rsidR="00D21594" w:rsidRPr="006154DA">
        <w:t xml:space="preserve">. </w:t>
      </w:r>
      <w:r w:rsidR="006E73CD" w:rsidRPr="00E93FF7">
        <w:rPr>
          <w:color w:val="000000"/>
          <w:w w:val="24"/>
          <w:shd w:val="solid" w:color="000000" w:fill="000000"/>
          <w:fitText w:val="80" w:id="-1236536561"/>
          <w14:textFill>
            <w14:solidFill>
              <w14:srgbClr w14:val="000000">
                <w14:alpha w14:val="100000"/>
              </w14:srgbClr>
            </w14:solidFill>
          </w14:textFill>
        </w:rPr>
        <w:t>|  |</w:t>
      </w:r>
      <w:r w:rsidR="006E73CD">
        <w:t xml:space="preserve">. </w:t>
      </w:r>
      <w:r w:rsidR="008F560E" w:rsidRPr="006154DA">
        <w:t xml:space="preserve">Based on actual data for Year 1 (2021), the </w:t>
      </w:r>
      <w:r w:rsidR="00D21594" w:rsidRPr="006154DA">
        <w:t xml:space="preserve">expenditure cap was exceeded </w:t>
      </w:r>
      <w:r w:rsidR="00687166" w:rsidRPr="006154DA">
        <w:t xml:space="preserve">by </w:t>
      </w:r>
      <w:r w:rsidR="006E73CD" w:rsidRPr="00E93FF7">
        <w:rPr>
          <w:color w:val="000000"/>
          <w:w w:val="21"/>
          <w:shd w:val="solid" w:color="000000" w:fill="000000"/>
          <w:fitText w:val="72" w:id="-1236536560"/>
          <w14:textFill>
            <w14:solidFill>
              <w14:srgbClr w14:val="000000">
                <w14:alpha w14:val="100000"/>
              </w14:srgbClr>
            </w14:solidFill>
          </w14:textFill>
        </w:rPr>
        <w:t xml:space="preserve">|  </w:t>
      </w:r>
      <w:r w:rsidR="006E73CD" w:rsidRPr="00E93FF7">
        <w:rPr>
          <w:color w:val="000000"/>
          <w:spacing w:val="2"/>
          <w:w w:val="21"/>
          <w:shd w:val="solid" w:color="000000" w:fill="000000"/>
          <w:fitText w:val="72" w:id="-1236536560"/>
          <w14:textFill>
            <w14:solidFill>
              <w14:srgbClr w14:val="000000">
                <w14:alpha w14:val="100000"/>
              </w14:srgbClr>
            </w14:solidFill>
          </w14:textFill>
        </w:rPr>
        <w:t>|</w:t>
      </w:r>
      <w:r w:rsidR="00687166" w:rsidRPr="006154DA">
        <w:t>%</w:t>
      </w:r>
      <w:r w:rsidR="008F560E" w:rsidRPr="006154DA">
        <w:t xml:space="preserve"> (Commonwealth Payment was $</w:t>
      </w:r>
      <w:r w:rsidR="006E73CD" w:rsidRPr="00E93FF7">
        <w:rPr>
          <w:color w:val="000000"/>
          <w:w w:val="24"/>
          <w:shd w:val="solid" w:color="000000" w:fill="000000"/>
          <w:fitText w:val="80" w:id="-1236536576"/>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576"/>
          <w14:textFill>
            <w14:solidFill>
              <w14:srgbClr w14:val="000000">
                <w14:alpha w14:val="100000"/>
              </w14:srgbClr>
            </w14:solidFill>
          </w14:textFill>
        </w:rPr>
        <w:t>|</w:t>
      </w:r>
      <w:r w:rsidR="008F560E" w:rsidRPr="006154DA">
        <w:t>)</w:t>
      </w:r>
      <w:r w:rsidR="00754E53" w:rsidRPr="006154DA">
        <w:t xml:space="preserve"> and in Year 2 (2022) it was exceeded by </w:t>
      </w:r>
      <w:r w:rsidR="006E73CD" w:rsidRPr="00E93FF7">
        <w:rPr>
          <w:color w:val="000000"/>
          <w:w w:val="24"/>
          <w:shd w:val="solid" w:color="000000" w:fill="000000"/>
          <w:fitText w:val="80" w:id="-1236536575"/>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575"/>
          <w14:textFill>
            <w14:solidFill>
              <w14:srgbClr w14:val="000000">
                <w14:alpha w14:val="100000"/>
              </w14:srgbClr>
            </w14:solidFill>
          </w14:textFill>
        </w:rPr>
        <w:t>|</w:t>
      </w:r>
      <w:r w:rsidR="00754E53" w:rsidRPr="006154DA">
        <w:t>% (Commonwealth Payment was $</w:t>
      </w:r>
      <w:r w:rsidR="006E73CD" w:rsidRPr="00E93FF7">
        <w:rPr>
          <w:color w:val="000000"/>
          <w:w w:val="21"/>
          <w:shd w:val="solid" w:color="000000" w:fill="000000"/>
          <w:fitText w:val="71" w:id="-1236536574"/>
          <w14:textFill>
            <w14:solidFill>
              <w14:srgbClr w14:val="000000">
                <w14:alpha w14:val="100000"/>
              </w14:srgbClr>
            </w14:solidFill>
          </w14:textFill>
        </w:rPr>
        <w:t xml:space="preserve">|  </w:t>
      </w:r>
      <w:r w:rsidR="006E73CD" w:rsidRPr="00E93FF7">
        <w:rPr>
          <w:color w:val="000000"/>
          <w:spacing w:val="1"/>
          <w:w w:val="21"/>
          <w:shd w:val="solid" w:color="000000" w:fill="000000"/>
          <w:fitText w:val="71" w:id="-1236536574"/>
          <w14:textFill>
            <w14:solidFill>
              <w14:srgbClr w14:val="000000">
                <w14:alpha w14:val="100000"/>
              </w14:srgbClr>
            </w14:solidFill>
          </w14:textFill>
        </w:rPr>
        <w:t>|</w:t>
      </w:r>
      <w:r w:rsidR="00754E53" w:rsidRPr="006154DA">
        <w:t>)</w:t>
      </w:r>
      <w:r w:rsidR="008F560E" w:rsidRPr="006154DA">
        <w:t>.</w:t>
      </w:r>
      <w:bookmarkEnd w:id="126"/>
    </w:p>
    <w:p w14:paraId="20675148" w14:textId="4F2A8043" w:rsidR="005C7257" w:rsidRPr="0058247A" w:rsidRDefault="005C7257" w:rsidP="00DB1A3A">
      <w:pPr>
        <w:pStyle w:val="Caption"/>
        <w:rPr>
          <w:b w:val="0"/>
          <w:bCs w:val="0"/>
          <w:szCs w:val="20"/>
        </w:rPr>
      </w:pPr>
      <w:bookmarkStart w:id="127" w:name="_Ref122608044"/>
      <w:r w:rsidRPr="0058247A">
        <w:t xml:space="preserve">Table </w:t>
      </w:r>
      <w:fldSimple w:instr=" SEQ Table \* ARABIC ">
        <w:r w:rsidR="008D65C7">
          <w:rPr>
            <w:noProof/>
          </w:rPr>
          <w:t>22</w:t>
        </w:r>
      </w:fldSimple>
      <w:bookmarkEnd w:id="127"/>
      <w:r w:rsidRPr="0058247A">
        <w:t>:</w:t>
      </w:r>
      <w:r w:rsidRPr="0058247A">
        <w:rPr>
          <w:rStyle w:val="CommentReference"/>
          <w:b/>
          <w:szCs w:val="24"/>
        </w:rPr>
        <w:t xml:space="preserve"> Current RSA for daratumumab in RRMM</w:t>
      </w:r>
      <w:r w:rsidR="008F560E" w:rsidRPr="0058247A">
        <w:rPr>
          <w:rStyle w:val="CommentReference"/>
          <w:b/>
          <w:szCs w:val="24"/>
        </w:rPr>
        <w:t xml:space="preserve"> (financial estimates underpinning the RSA)</w:t>
      </w:r>
    </w:p>
    <w:tbl>
      <w:tblPr>
        <w:tblStyle w:val="HTATableshaded"/>
        <w:tblW w:w="9115" w:type="dxa"/>
        <w:tblCellMar>
          <w:left w:w="85" w:type="dxa"/>
          <w:right w:w="85" w:type="dxa"/>
        </w:tblCellMar>
        <w:tblLook w:val="04A0" w:firstRow="1" w:lastRow="0" w:firstColumn="1" w:lastColumn="0" w:noHBand="0" w:noVBand="1"/>
      </w:tblPr>
      <w:tblGrid>
        <w:gridCol w:w="2635"/>
        <w:gridCol w:w="1080"/>
        <w:gridCol w:w="1080"/>
        <w:gridCol w:w="1080"/>
        <w:gridCol w:w="1080"/>
        <w:gridCol w:w="1080"/>
        <w:gridCol w:w="1080"/>
      </w:tblGrid>
      <w:tr w:rsidR="00F624A1" w:rsidRPr="0058247A" w14:paraId="7EE6ED39" w14:textId="77777777" w:rsidTr="0015148F">
        <w:trPr>
          <w:cnfStyle w:val="100000000000" w:firstRow="1" w:lastRow="0" w:firstColumn="0" w:lastColumn="0" w:oddVBand="0" w:evenVBand="0" w:oddHBand="0" w:evenHBand="0" w:firstRowFirstColumn="0" w:firstRowLastColumn="0" w:lastRowFirstColumn="0" w:lastRowLastColumn="0"/>
          <w:trHeight w:val="60"/>
        </w:trPr>
        <w:tc>
          <w:tcPr>
            <w:tcW w:w="2635" w:type="dxa"/>
            <w:noWrap/>
            <w:tcMar>
              <w:left w:w="20" w:type="dxa"/>
              <w:right w:w="20" w:type="dxa"/>
            </w:tcMar>
            <w:hideMark/>
          </w:tcPr>
          <w:p w14:paraId="36A5F858" w14:textId="77777777" w:rsidR="005C7257" w:rsidRPr="0058247A" w:rsidRDefault="005C7257" w:rsidP="00DB1A3A">
            <w:pPr>
              <w:keepNext/>
              <w:keepLines/>
              <w:spacing w:before="0" w:after="0"/>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 </w:t>
            </w:r>
          </w:p>
        </w:tc>
        <w:tc>
          <w:tcPr>
            <w:tcW w:w="1080" w:type="dxa"/>
            <w:noWrap/>
            <w:tcMar>
              <w:left w:w="20" w:type="dxa"/>
              <w:right w:w="20" w:type="dxa"/>
            </w:tcMar>
            <w:hideMark/>
          </w:tcPr>
          <w:p w14:paraId="183522DC" w14:textId="77777777" w:rsidR="005C7257" w:rsidRPr="0058247A" w:rsidRDefault="005C7257" w:rsidP="00DB1A3A">
            <w:pPr>
              <w:keepNext/>
              <w:keepLines/>
              <w:spacing w:before="0" w:after="0"/>
              <w:jc w:val="center"/>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2021</w:t>
            </w:r>
          </w:p>
        </w:tc>
        <w:tc>
          <w:tcPr>
            <w:tcW w:w="1080" w:type="dxa"/>
            <w:noWrap/>
            <w:tcMar>
              <w:left w:w="20" w:type="dxa"/>
              <w:right w:w="20" w:type="dxa"/>
            </w:tcMar>
            <w:hideMark/>
          </w:tcPr>
          <w:p w14:paraId="4987120F" w14:textId="77777777" w:rsidR="005C7257" w:rsidRPr="0058247A" w:rsidRDefault="005C7257" w:rsidP="00DB1A3A">
            <w:pPr>
              <w:keepNext/>
              <w:keepLines/>
              <w:spacing w:before="0" w:after="0"/>
              <w:jc w:val="center"/>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2022</w:t>
            </w:r>
          </w:p>
        </w:tc>
        <w:tc>
          <w:tcPr>
            <w:tcW w:w="1080" w:type="dxa"/>
            <w:noWrap/>
            <w:tcMar>
              <w:left w:w="20" w:type="dxa"/>
              <w:right w:w="20" w:type="dxa"/>
            </w:tcMar>
            <w:hideMark/>
          </w:tcPr>
          <w:p w14:paraId="5DCCB5DE" w14:textId="77777777" w:rsidR="005C7257" w:rsidRPr="0058247A" w:rsidRDefault="005C7257" w:rsidP="00DB1A3A">
            <w:pPr>
              <w:keepNext/>
              <w:keepLines/>
              <w:spacing w:before="0" w:after="0"/>
              <w:jc w:val="center"/>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2023</w:t>
            </w:r>
          </w:p>
        </w:tc>
        <w:tc>
          <w:tcPr>
            <w:tcW w:w="1080" w:type="dxa"/>
            <w:noWrap/>
            <w:tcMar>
              <w:left w:w="20" w:type="dxa"/>
              <w:right w:w="20" w:type="dxa"/>
            </w:tcMar>
            <w:hideMark/>
          </w:tcPr>
          <w:p w14:paraId="1169FF7C" w14:textId="77777777" w:rsidR="005C7257" w:rsidRPr="0058247A" w:rsidRDefault="005C7257" w:rsidP="00DB1A3A">
            <w:pPr>
              <w:keepNext/>
              <w:keepLines/>
              <w:spacing w:before="0" w:after="0"/>
              <w:jc w:val="center"/>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2024</w:t>
            </w:r>
          </w:p>
        </w:tc>
        <w:tc>
          <w:tcPr>
            <w:tcW w:w="1080" w:type="dxa"/>
            <w:noWrap/>
            <w:tcMar>
              <w:left w:w="20" w:type="dxa"/>
              <w:right w:w="20" w:type="dxa"/>
            </w:tcMar>
            <w:hideMark/>
          </w:tcPr>
          <w:p w14:paraId="2A7AF8DD" w14:textId="77777777" w:rsidR="005C7257" w:rsidRPr="0058247A" w:rsidRDefault="005C7257" w:rsidP="00DB1A3A">
            <w:pPr>
              <w:keepNext/>
              <w:keepLines/>
              <w:spacing w:before="0" w:after="0"/>
              <w:jc w:val="center"/>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2025</w:t>
            </w:r>
          </w:p>
        </w:tc>
        <w:tc>
          <w:tcPr>
            <w:tcW w:w="1080" w:type="dxa"/>
            <w:noWrap/>
            <w:tcMar>
              <w:left w:w="20" w:type="dxa"/>
              <w:right w:w="20" w:type="dxa"/>
            </w:tcMar>
            <w:hideMark/>
          </w:tcPr>
          <w:p w14:paraId="4AA9EE55" w14:textId="77777777" w:rsidR="005C7257" w:rsidRPr="0058247A" w:rsidRDefault="005C7257" w:rsidP="00DB1A3A">
            <w:pPr>
              <w:keepNext/>
              <w:keepLines/>
              <w:spacing w:before="0" w:after="0"/>
              <w:jc w:val="center"/>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Year 1-5</w:t>
            </w:r>
          </w:p>
        </w:tc>
      </w:tr>
      <w:tr w:rsidR="003B07F9" w:rsidRPr="0058247A" w14:paraId="52782F61" w14:textId="77777777" w:rsidTr="0015148F">
        <w:trPr>
          <w:trHeight w:val="60"/>
        </w:trPr>
        <w:tc>
          <w:tcPr>
            <w:tcW w:w="9115" w:type="dxa"/>
            <w:gridSpan w:val="7"/>
            <w:noWrap/>
            <w:tcMar>
              <w:left w:w="20" w:type="dxa"/>
              <w:right w:w="20" w:type="dxa"/>
            </w:tcMar>
          </w:tcPr>
          <w:p w14:paraId="01259823" w14:textId="5CBD94BC" w:rsidR="003B07F9" w:rsidRPr="0058247A" w:rsidRDefault="003B07F9" w:rsidP="00DB1A3A">
            <w:pPr>
              <w:keepNext/>
              <w:keepLines/>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 xml:space="preserve">Reimbursement above subsidisation caps: </w:t>
            </w:r>
            <w:r w:rsidR="006E73CD" w:rsidRPr="006E73CD">
              <w:rPr>
                <w:rFonts w:ascii="Arial Narrow" w:hAnsi="Arial Narrow" w:cs="Calibri"/>
                <w:color w:val="000000"/>
                <w:spacing w:val="29"/>
                <w:sz w:val="20"/>
                <w:szCs w:val="20"/>
                <w:shd w:val="solid" w:color="000000" w:fill="000000"/>
                <w:fitText w:val="549" w:id="-1236536573"/>
                <w:lang w:eastAsia="en-GB"/>
                <w14:textFill>
                  <w14:solidFill>
                    <w14:srgbClr w14:val="000000">
                      <w14:alpha w14:val="100000"/>
                    </w14:srgbClr>
                  </w14:solidFill>
                </w14:textFill>
              </w:rPr>
              <w:t>|||||||</w:t>
            </w:r>
            <w:r w:rsidR="006E73CD" w:rsidRPr="006E73CD">
              <w:rPr>
                <w:rFonts w:ascii="Arial Narrow" w:hAnsi="Arial Narrow" w:cs="Calibri"/>
                <w:color w:val="000000"/>
                <w:spacing w:val="6"/>
                <w:sz w:val="20"/>
                <w:szCs w:val="20"/>
                <w:shd w:val="solid" w:color="000000" w:fill="000000"/>
                <w:fitText w:val="549" w:id="-1236536573"/>
                <w:lang w:eastAsia="en-GB"/>
                <w14:textFill>
                  <w14:solidFill>
                    <w14:srgbClr w14:val="000000">
                      <w14:alpha w14:val="100000"/>
                    </w14:srgbClr>
                  </w14:solidFill>
                </w14:textFill>
              </w:rPr>
              <w:t>|</w:t>
            </w:r>
            <w:r w:rsidRPr="0058247A">
              <w:rPr>
                <w:rFonts w:ascii="Arial Narrow" w:hAnsi="Arial Narrow" w:cs="Calibri"/>
                <w:color w:val="000000"/>
                <w:sz w:val="20"/>
                <w:szCs w:val="20"/>
                <w:lang w:eastAsia="en-GB"/>
              </w:rPr>
              <w:t>%</w:t>
            </w:r>
          </w:p>
        </w:tc>
      </w:tr>
      <w:tr w:rsidR="00F624A1" w:rsidRPr="0058247A" w14:paraId="573E4899" w14:textId="77777777" w:rsidTr="0015148F">
        <w:trPr>
          <w:trHeight w:val="142"/>
        </w:trPr>
        <w:tc>
          <w:tcPr>
            <w:tcW w:w="2635" w:type="dxa"/>
            <w:noWrap/>
            <w:tcMar>
              <w:left w:w="20" w:type="dxa"/>
              <w:right w:w="20" w:type="dxa"/>
            </w:tcMar>
            <w:hideMark/>
          </w:tcPr>
          <w:p w14:paraId="6516494F" w14:textId="77777777" w:rsidR="005C7257" w:rsidRPr="0058247A" w:rsidRDefault="005C7257" w:rsidP="00DB1A3A">
            <w:pPr>
              <w:keepNext/>
              <w:keepLines/>
              <w:spacing w:before="0" w:after="0"/>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Value of subsidisation caps</w:t>
            </w:r>
          </w:p>
        </w:tc>
        <w:tc>
          <w:tcPr>
            <w:tcW w:w="1080" w:type="dxa"/>
            <w:noWrap/>
            <w:tcMar>
              <w:left w:w="20" w:type="dxa"/>
              <w:right w:w="20" w:type="dxa"/>
            </w:tcMar>
            <w:hideMark/>
          </w:tcPr>
          <w:p w14:paraId="230740EE" w14:textId="30E21E76"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2"/>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2"/>
                <w:lang w:eastAsia="en-GB"/>
                <w14:textFill>
                  <w14:solidFill>
                    <w14:srgbClr w14:val="000000">
                      <w14:alpha w14:val="100000"/>
                    </w14:srgbClr>
                  </w14:solidFill>
                </w14:textFill>
              </w:rPr>
              <w:t>|</w:t>
            </w:r>
          </w:p>
        </w:tc>
        <w:tc>
          <w:tcPr>
            <w:tcW w:w="1080" w:type="dxa"/>
            <w:noWrap/>
            <w:tcMar>
              <w:left w:w="20" w:type="dxa"/>
              <w:right w:w="20" w:type="dxa"/>
            </w:tcMar>
            <w:hideMark/>
          </w:tcPr>
          <w:p w14:paraId="6852AD25" w14:textId="28EB4E2F"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1"/>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1"/>
                <w:lang w:eastAsia="en-GB"/>
                <w14:textFill>
                  <w14:solidFill>
                    <w14:srgbClr w14:val="000000">
                      <w14:alpha w14:val="100000"/>
                    </w14:srgbClr>
                  </w14:solidFill>
                </w14:textFill>
              </w:rPr>
              <w:t>|</w:t>
            </w:r>
          </w:p>
        </w:tc>
        <w:tc>
          <w:tcPr>
            <w:tcW w:w="1080" w:type="dxa"/>
            <w:noWrap/>
            <w:tcMar>
              <w:left w:w="20" w:type="dxa"/>
              <w:right w:w="20" w:type="dxa"/>
            </w:tcMar>
            <w:hideMark/>
          </w:tcPr>
          <w:p w14:paraId="46C9579B" w14:textId="337C2ADC"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0"/>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0"/>
                <w:lang w:eastAsia="en-GB"/>
                <w14:textFill>
                  <w14:solidFill>
                    <w14:srgbClr w14:val="000000">
                      <w14:alpha w14:val="100000"/>
                    </w14:srgbClr>
                  </w14:solidFill>
                </w14:textFill>
              </w:rPr>
              <w:t>|</w:t>
            </w:r>
          </w:p>
        </w:tc>
        <w:tc>
          <w:tcPr>
            <w:tcW w:w="1080" w:type="dxa"/>
            <w:noWrap/>
            <w:tcMar>
              <w:left w:w="20" w:type="dxa"/>
              <w:right w:w="20" w:type="dxa"/>
            </w:tcMar>
            <w:hideMark/>
          </w:tcPr>
          <w:p w14:paraId="3532B61E" w14:textId="41FE8EA2"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9"/>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9"/>
                <w:lang w:eastAsia="en-GB"/>
                <w14:textFill>
                  <w14:solidFill>
                    <w14:srgbClr w14:val="000000">
                      <w14:alpha w14:val="100000"/>
                    </w14:srgbClr>
                  </w14:solidFill>
                </w14:textFill>
              </w:rPr>
              <w:t>|</w:t>
            </w:r>
          </w:p>
        </w:tc>
        <w:tc>
          <w:tcPr>
            <w:tcW w:w="1080" w:type="dxa"/>
            <w:noWrap/>
            <w:tcMar>
              <w:left w:w="20" w:type="dxa"/>
              <w:right w:w="20" w:type="dxa"/>
            </w:tcMar>
            <w:hideMark/>
          </w:tcPr>
          <w:p w14:paraId="75816A72" w14:textId="215C905F"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8"/>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8"/>
                <w:lang w:eastAsia="en-GB"/>
                <w14:textFill>
                  <w14:solidFill>
                    <w14:srgbClr w14:val="000000">
                      <w14:alpha w14:val="100000"/>
                    </w14:srgbClr>
                  </w14:solidFill>
                </w14:textFill>
              </w:rPr>
              <w:t>|</w:t>
            </w:r>
          </w:p>
        </w:tc>
        <w:tc>
          <w:tcPr>
            <w:tcW w:w="1080" w:type="dxa"/>
            <w:noWrap/>
            <w:tcMar>
              <w:left w:w="20" w:type="dxa"/>
              <w:right w:w="20" w:type="dxa"/>
            </w:tcMar>
            <w:hideMark/>
          </w:tcPr>
          <w:p w14:paraId="00DD978C" w14:textId="66F10BD9"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7"/>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7"/>
                <w:lang w:eastAsia="en-GB"/>
                <w14:textFill>
                  <w14:solidFill>
                    <w14:srgbClr w14:val="000000">
                      <w14:alpha w14:val="100000"/>
                    </w14:srgbClr>
                  </w14:solidFill>
                </w14:textFill>
              </w:rPr>
              <w:t>|</w:t>
            </w:r>
          </w:p>
        </w:tc>
      </w:tr>
      <w:tr w:rsidR="00F624A1" w:rsidRPr="0058247A" w14:paraId="0F714FD2" w14:textId="77777777" w:rsidTr="0015148F">
        <w:trPr>
          <w:trHeight w:val="234"/>
        </w:trPr>
        <w:tc>
          <w:tcPr>
            <w:tcW w:w="9115" w:type="dxa"/>
            <w:gridSpan w:val="7"/>
            <w:noWrap/>
            <w:tcMar>
              <w:left w:w="20" w:type="dxa"/>
              <w:right w:w="20" w:type="dxa"/>
            </w:tcMar>
            <w:hideMark/>
          </w:tcPr>
          <w:p w14:paraId="636193C7" w14:textId="77777777" w:rsidR="005C7257" w:rsidRPr="0058247A" w:rsidRDefault="005C7257" w:rsidP="00DB1A3A">
            <w:pPr>
              <w:keepNext/>
              <w:keepLines/>
              <w:spacing w:before="0" w:after="0"/>
              <w:jc w:val="left"/>
              <w:rPr>
                <w:rFonts w:ascii="Arial Narrow" w:hAnsi="Arial Narrow" w:cs="Calibri"/>
                <w:b/>
                <w:bCs/>
                <w:color w:val="000000"/>
                <w:sz w:val="20"/>
                <w:szCs w:val="20"/>
                <w:lang w:eastAsia="en-GB"/>
              </w:rPr>
            </w:pPr>
            <w:r w:rsidRPr="0058247A">
              <w:rPr>
                <w:rFonts w:ascii="Arial Narrow" w:hAnsi="Arial Narrow" w:cs="Calibri"/>
                <w:b/>
                <w:bCs/>
                <w:color w:val="000000"/>
                <w:sz w:val="20"/>
                <w:szCs w:val="20"/>
                <w:lang w:eastAsia="en-GB"/>
              </w:rPr>
              <w:t>Cost of daratumumab for PBS/RPBS</w:t>
            </w:r>
          </w:p>
        </w:tc>
      </w:tr>
      <w:tr w:rsidR="00F624A1" w:rsidRPr="0058247A" w14:paraId="4E90FDFB" w14:textId="77777777" w:rsidTr="0015148F">
        <w:trPr>
          <w:trHeight w:val="34"/>
        </w:trPr>
        <w:tc>
          <w:tcPr>
            <w:tcW w:w="2635" w:type="dxa"/>
            <w:noWrap/>
            <w:tcMar>
              <w:left w:w="20" w:type="dxa"/>
              <w:right w:w="20" w:type="dxa"/>
            </w:tcMar>
            <w:hideMark/>
          </w:tcPr>
          <w:p w14:paraId="11AD3DF1" w14:textId="77777777" w:rsidR="005C7257" w:rsidRPr="0058247A" w:rsidRDefault="005C7257" w:rsidP="00DB1A3A">
            <w:pPr>
              <w:keepNext/>
              <w:keepLines/>
              <w:spacing w:before="0" w:after="0"/>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Commonwealth Payment</w:t>
            </w:r>
          </w:p>
        </w:tc>
        <w:tc>
          <w:tcPr>
            <w:tcW w:w="1080" w:type="dxa"/>
            <w:noWrap/>
            <w:tcMar>
              <w:left w:w="20" w:type="dxa"/>
              <w:right w:w="20" w:type="dxa"/>
            </w:tcMar>
            <w:hideMark/>
          </w:tcPr>
          <w:p w14:paraId="3E2E0F62" w14:textId="54F26B13"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6"/>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6"/>
                <w:lang w:eastAsia="en-GB"/>
                <w14:textFill>
                  <w14:solidFill>
                    <w14:srgbClr w14:val="000000">
                      <w14:alpha w14:val="100000"/>
                    </w14:srgbClr>
                  </w14:solidFill>
                </w14:textFill>
              </w:rPr>
              <w:t>|</w:t>
            </w:r>
          </w:p>
        </w:tc>
        <w:tc>
          <w:tcPr>
            <w:tcW w:w="1080" w:type="dxa"/>
            <w:noWrap/>
            <w:tcMar>
              <w:left w:w="20" w:type="dxa"/>
              <w:right w:w="20" w:type="dxa"/>
            </w:tcMar>
            <w:hideMark/>
          </w:tcPr>
          <w:p w14:paraId="0810EB5C" w14:textId="235153DC"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5"/>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5"/>
                <w:lang w:eastAsia="en-GB"/>
                <w14:textFill>
                  <w14:solidFill>
                    <w14:srgbClr w14:val="000000">
                      <w14:alpha w14:val="100000"/>
                    </w14:srgbClr>
                  </w14:solidFill>
                </w14:textFill>
              </w:rPr>
              <w:t>|</w:t>
            </w:r>
          </w:p>
        </w:tc>
        <w:tc>
          <w:tcPr>
            <w:tcW w:w="1080" w:type="dxa"/>
            <w:noWrap/>
            <w:tcMar>
              <w:left w:w="20" w:type="dxa"/>
              <w:right w:w="20" w:type="dxa"/>
            </w:tcMar>
            <w:hideMark/>
          </w:tcPr>
          <w:p w14:paraId="0C21EA36" w14:textId="340B6D70"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4"/>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4"/>
                <w:lang w:eastAsia="en-GB"/>
                <w14:textFill>
                  <w14:solidFill>
                    <w14:srgbClr w14:val="000000">
                      <w14:alpha w14:val="100000"/>
                    </w14:srgbClr>
                  </w14:solidFill>
                </w14:textFill>
              </w:rPr>
              <w:t>|</w:t>
            </w:r>
          </w:p>
        </w:tc>
        <w:tc>
          <w:tcPr>
            <w:tcW w:w="1080" w:type="dxa"/>
            <w:noWrap/>
            <w:tcMar>
              <w:left w:w="20" w:type="dxa"/>
              <w:right w:w="20" w:type="dxa"/>
            </w:tcMar>
            <w:hideMark/>
          </w:tcPr>
          <w:p w14:paraId="0C22DF87" w14:textId="0056C448"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3"/>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3"/>
                <w:lang w:eastAsia="en-GB"/>
                <w14:textFill>
                  <w14:solidFill>
                    <w14:srgbClr w14:val="000000">
                      <w14:alpha w14:val="100000"/>
                    </w14:srgbClr>
                  </w14:solidFill>
                </w14:textFill>
              </w:rPr>
              <w:t>|</w:t>
            </w:r>
          </w:p>
        </w:tc>
        <w:tc>
          <w:tcPr>
            <w:tcW w:w="1080" w:type="dxa"/>
            <w:noWrap/>
            <w:tcMar>
              <w:left w:w="20" w:type="dxa"/>
              <w:right w:w="20" w:type="dxa"/>
            </w:tcMar>
            <w:hideMark/>
          </w:tcPr>
          <w:p w14:paraId="30E60394" w14:textId="24227B6D"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2"/>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2"/>
                <w:lang w:eastAsia="en-GB"/>
                <w14:textFill>
                  <w14:solidFill>
                    <w14:srgbClr w14:val="000000">
                      <w14:alpha w14:val="100000"/>
                    </w14:srgbClr>
                  </w14:solidFill>
                </w14:textFill>
              </w:rPr>
              <w:t>|</w:t>
            </w:r>
          </w:p>
        </w:tc>
        <w:tc>
          <w:tcPr>
            <w:tcW w:w="1080" w:type="dxa"/>
            <w:noWrap/>
            <w:tcMar>
              <w:left w:w="20" w:type="dxa"/>
              <w:right w:w="20" w:type="dxa"/>
            </w:tcMar>
            <w:hideMark/>
          </w:tcPr>
          <w:p w14:paraId="03240DD3" w14:textId="5383AEAB"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1"/>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1"/>
                <w:lang w:eastAsia="en-GB"/>
                <w14:textFill>
                  <w14:solidFill>
                    <w14:srgbClr w14:val="000000">
                      <w14:alpha w14:val="100000"/>
                    </w14:srgbClr>
                  </w14:solidFill>
                </w14:textFill>
              </w:rPr>
              <w:t>|</w:t>
            </w:r>
          </w:p>
        </w:tc>
      </w:tr>
      <w:tr w:rsidR="00F624A1" w:rsidRPr="0058247A" w14:paraId="0D1B211B" w14:textId="77777777" w:rsidTr="0015148F">
        <w:trPr>
          <w:trHeight w:val="194"/>
        </w:trPr>
        <w:tc>
          <w:tcPr>
            <w:tcW w:w="2635" w:type="dxa"/>
            <w:noWrap/>
            <w:tcMar>
              <w:left w:w="20" w:type="dxa"/>
              <w:right w:w="20" w:type="dxa"/>
            </w:tcMar>
            <w:hideMark/>
          </w:tcPr>
          <w:p w14:paraId="56D15C11" w14:textId="77777777" w:rsidR="005C7257" w:rsidRPr="0058247A" w:rsidRDefault="005C7257" w:rsidP="00DB1A3A">
            <w:pPr>
              <w:keepNext/>
              <w:keepLines/>
              <w:spacing w:before="0" w:after="0"/>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RSA reimbursement</w:t>
            </w:r>
          </w:p>
        </w:tc>
        <w:tc>
          <w:tcPr>
            <w:tcW w:w="1080" w:type="dxa"/>
            <w:noWrap/>
            <w:tcMar>
              <w:left w:w="20" w:type="dxa"/>
              <w:right w:w="20" w:type="dxa"/>
            </w:tcMar>
            <w:hideMark/>
          </w:tcPr>
          <w:p w14:paraId="38C5D636" w14:textId="0A66A102"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0"/>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0"/>
                <w:lang w:eastAsia="en-GB"/>
                <w14:textFill>
                  <w14:solidFill>
                    <w14:srgbClr w14:val="000000">
                      <w14:alpha w14:val="100000"/>
                    </w14:srgbClr>
                  </w14:solidFill>
                </w14:textFill>
              </w:rPr>
              <w:t>|</w:t>
            </w:r>
          </w:p>
        </w:tc>
        <w:tc>
          <w:tcPr>
            <w:tcW w:w="1080" w:type="dxa"/>
            <w:noWrap/>
            <w:tcMar>
              <w:left w:w="20" w:type="dxa"/>
              <w:right w:w="20" w:type="dxa"/>
            </w:tcMar>
            <w:hideMark/>
          </w:tcPr>
          <w:p w14:paraId="18B7ADE3" w14:textId="6BCDDA2D"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6"/>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6"/>
                <w:lang w:eastAsia="en-GB"/>
                <w14:textFill>
                  <w14:solidFill>
                    <w14:srgbClr w14:val="000000">
                      <w14:alpha w14:val="100000"/>
                    </w14:srgbClr>
                  </w14:solidFill>
                </w14:textFill>
              </w:rPr>
              <w:t>|</w:t>
            </w:r>
          </w:p>
        </w:tc>
        <w:tc>
          <w:tcPr>
            <w:tcW w:w="1080" w:type="dxa"/>
            <w:noWrap/>
            <w:tcMar>
              <w:left w:w="20" w:type="dxa"/>
              <w:right w:w="20" w:type="dxa"/>
            </w:tcMar>
            <w:hideMark/>
          </w:tcPr>
          <w:p w14:paraId="59968FE4" w14:textId="738139A4"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5"/>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5"/>
                <w:lang w:eastAsia="en-GB"/>
                <w14:textFill>
                  <w14:solidFill>
                    <w14:srgbClr w14:val="000000">
                      <w14:alpha w14:val="100000"/>
                    </w14:srgbClr>
                  </w14:solidFill>
                </w14:textFill>
              </w:rPr>
              <w:t>|</w:t>
            </w:r>
          </w:p>
        </w:tc>
        <w:tc>
          <w:tcPr>
            <w:tcW w:w="1080" w:type="dxa"/>
            <w:noWrap/>
            <w:tcMar>
              <w:left w:w="20" w:type="dxa"/>
              <w:right w:w="20" w:type="dxa"/>
            </w:tcMar>
            <w:hideMark/>
          </w:tcPr>
          <w:p w14:paraId="001B010A" w14:textId="349067A2"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4"/>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4"/>
                <w:lang w:eastAsia="en-GB"/>
                <w14:textFill>
                  <w14:solidFill>
                    <w14:srgbClr w14:val="000000">
                      <w14:alpha w14:val="100000"/>
                    </w14:srgbClr>
                  </w14:solidFill>
                </w14:textFill>
              </w:rPr>
              <w:t>|</w:t>
            </w:r>
          </w:p>
        </w:tc>
        <w:tc>
          <w:tcPr>
            <w:tcW w:w="1080" w:type="dxa"/>
            <w:noWrap/>
            <w:tcMar>
              <w:left w:w="20" w:type="dxa"/>
              <w:right w:w="20" w:type="dxa"/>
            </w:tcMar>
            <w:hideMark/>
          </w:tcPr>
          <w:p w14:paraId="27037CA1" w14:textId="3E346AAD"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3"/>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3"/>
                <w:lang w:eastAsia="en-GB"/>
                <w14:textFill>
                  <w14:solidFill>
                    <w14:srgbClr w14:val="000000">
                      <w14:alpha w14:val="100000"/>
                    </w14:srgbClr>
                  </w14:solidFill>
                </w14:textFill>
              </w:rPr>
              <w:t>|</w:t>
            </w:r>
          </w:p>
        </w:tc>
        <w:tc>
          <w:tcPr>
            <w:tcW w:w="1080" w:type="dxa"/>
            <w:noWrap/>
            <w:tcMar>
              <w:left w:w="20" w:type="dxa"/>
              <w:right w:w="20" w:type="dxa"/>
            </w:tcMar>
            <w:hideMark/>
          </w:tcPr>
          <w:p w14:paraId="4BD0F578" w14:textId="5A50F5DE"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2"/>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2"/>
                <w:lang w:eastAsia="en-GB"/>
                <w14:textFill>
                  <w14:solidFill>
                    <w14:srgbClr w14:val="000000">
                      <w14:alpha w14:val="100000"/>
                    </w14:srgbClr>
                  </w14:solidFill>
                </w14:textFill>
              </w:rPr>
              <w:t>|</w:t>
            </w:r>
          </w:p>
        </w:tc>
      </w:tr>
      <w:tr w:rsidR="00F624A1" w:rsidRPr="0058247A" w14:paraId="23833958" w14:textId="77777777" w:rsidTr="0015148F">
        <w:trPr>
          <w:trHeight w:val="216"/>
        </w:trPr>
        <w:tc>
          <w:tcPr>
            <w:tcW w:w="2635" w:type="dxa"/>
            <w:noWrap/>
            <w:tcMar>
              <w:left w:w="20" w:type="dxa"/>
              <w:right w:w="20" w:type="dxa"/>
            </w:tcMar>
            <w:hideMark/>
          </w:tcPr>
          <w:p w14:paraId="218F5E99" w14:textId="77777777" w:rsidR="005C7257" w:rsidRPr="0058247A" w:rsidRDefault="005C7257" w:rsidP="00DB1A3A">
            <w:pPr>
              <w:keepNext/>
              <w:keepLines/>
              <w:spacing w:before="0" w:after="0"/>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Net cost of daratumumab for the PBS/RPBS</w:t>
            </w:r>
          </w:p>
        </w:tc>
        <w:tc>
          <w:tcPr>
            <w:tcW w:w="1080" w:type="dxa"/>
            <w:noWrap/>
            <w:tcMar>
              <w:left w:w="20" w:type="dxa"/>
              <w:right w:w="20" w:type="dxa"/>
            </w:tcMar>
            <w:vAlign w:val="center"/>
            <w:hideMark/>
          </w:tcPr>
          <w:p w14:paraId="142CE8A1" w14:textId="312CCF1C"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1"/>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1"/>
                <w:lang w:eastAsia="en-GB"/>
                <w14:textFill>
                  <w14:solidFill>
                    <w14:srgbClr w14:val="000000">
                      <w14:alpha w14:val="100000"/>
                    </w14:srgbClr>
                  </w14:solidFill>
                </w14:textFill>
              </w:rPr>
              <w:t>|</w:t>
            </w:r>
          </w:p>
        </w:tc>
        <w:tc>
          <w:tcPr>
            <w:tcW w:w="1080" w:type="dxa"/>
            <w:noWrap/>
            <w:tcMar>
              <w:left w:w="20" w:type="dxa"/>
              <w:right w:w="20" w:type="dxa"/>
            </w:tcMar>
            <w:vAlign w:val="center"/>
            <w:hideMark/>
          </w:tcPr>
          <w:p w14:paraId="19E52230" w14:textId="6C2AED57"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70"/>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70"/>
                <w:lang w:eastAsia="en-GB"/>
                <w14:textFill>
                  <w14:solidFill>
                    <w14:srgbClr w14:val="000000">
                      <w14:alpha w14:val="100000"/>
                    </w14:srgbClr>
                  </w14:solidFill>
                </w14:textFill>
              </w:rPr>
              <w:t>|</w:t>
            </w:r>
          </w:p>
        </w:tc>
        <w:tc>
          <w:tcPr>
            <w:tcW w:w="1080" w:type="dxa"/>
            <w:noWrap/>
            <w:tcMar>
              <w:left w:w="20" w:type="dxa"/>
              <w:right w:w="20" w:type="dxa"/>
            </w:tcMar>
            <w:vAlign w:val="center"/>
            <w:hideMark/>
          </w:tcPr>
          <w:p w14:paraId="065D39AC" w14:textId="0F606741"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9"/>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9"/>
                <w:lang w:eastAsia="en-GB"/>
                <w14:textFill>
                  <w14:solidFill>
                    <w14:srgbClr w14:val="000000">
                      <w14:alpha w14:val="100000"/>
                    </w14:srgbClr>
                  </w14:solidFill>
                </w14:textFill>
              </w:rPr>
              <w:t>|</w:t>
            </w:r>
          </w:p>
        </w:tc>
        <w:tc>
          <w:tcPr>
            <w:tcW w:w="1080" w:type="dxa"/>
            <w:noWrap/>
            <w:tcMar>
              <w:left w:w="20" w:type="dxa"/>
              <w:right w:w="20" w:type="dxa"/>
            </w:tcMar>
            <w:vAlign w:val="center"/>
            <w:hideMark/>
          </w:tcPr>
          <w:p w14:paraId="417A31BC" w14:textId="72C14283"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8"/>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8"/>
                <w:lang w:eastAsia="en-GB"/>
                <w14:textFill>
                  <w14:solidFill>
                    <w14:srgbClr w14:val="000000">
                      <w14:alpha w14:val="100000"/>
                    </w14:srgbClr>
                  </w14:solidFill>
                </w14:textFill>
              </w:rPr>
              <w:t>|</w:t>
            </w:r>
          </w:p>
        </w:tc>
        <w:tc>
          <w:tcPr>
            <w:tcW w:w="1080" w:type="dxa"/>
            <w:noWrap/>
            <w:tcMar>
              <w:left w:w="20" w:type="dxa"/>
              <w:right w:w="20" w:type="dxa"/>
            </w:tcMar>
            <w:vAlign w:val="center"/>
            <w:hideMark/>
          </w:tcPr>
          <w:p w14:paraId="07D2C042" w14:textId="36D32023"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7"/>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7"/>
                <w:lang w:eastAsia="en-GB"/>
                <w14:textFill>
                  <w14:solidFill>
                    <w14:srgbClr w14:val="000000">
                      <w14:alpha w14:val="100000"/>
                    </w14:srgbClr>
                  </w14:solidFill>
                </w14:textFill>
              </w:rPr>
              <w:t>|</w:t>
            </w:r>
          </w:p>
        </w:tc>
        <w:tc>
          <w:tcPr>
            <w:tcW w:w="1080" w:type="dxa"/>
            <w:noWrap/>
            <w:tcMar>
              <w:left w:w="20" w:type="dxa"/>
              <w:right w:w="20" w:type="dxa"/>
            </w:tcMar>
            <w:vAlign w:val="center"/>
            <w:hideMark/>
          </w:tcPr>
          <w:p w14:paraId="3B2657FA" w14:textId="46DDE21E" w:rsidR="005C7257" w:rsidRPr="0058247A" w:rsidRDefault="005C7257" w:rsidP="00DB1A3A">
            <w:pPr>
              <w:keepNext/>
              <w:keepLines/>
              <w:spacing w:before="0" w:after="0"/>
              <w:jc w:val="center"/>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w:t>
            </w:r>
            <w:r w:rsidR="006E73CD" w:rsidRPr="006E73CD">
              <w:rPr>
                <w:rFonts w:ascii="Arial Narrow" w:hAnsi="Arial Narrow" w:cs="Calibri"/>
                <w:color w:val="000000"/>
                <w:spacing w:val="73"/>
                <w:sz w:val="20"/>
                <w:szCs w:val="20"/>
                <w:shd w:val="solid" w:color="000000" w:fill="000000"/>
                <w:fitText w:val="391" w:id="-1236536566"/>
                <w:lang w:eastAsia="en-GB"/>
                <w14:textFill>
                  <w14:solidFill>
                    <w14:srgbClr w14:val="000000">
                      <w14:alpha w14:val="100000"/>
                    </w14:srgbClr>
                  </w14:solidFill>
                </w14:textFill>
              </w:rPr>
              <w:t>|||</w:t>
            </w:r>
            <w:r w:rsidR="006E73CD" w:rsidRPr="006E73CD">
              <w:rPr>
                <w:rFonts w:ascii="Arial Narrow" w:hAnsi="Arial Narrow" w:cs="Calibri"/>
                <w:color w:val="000000"/>
                <w:spacing w:val="2"/>
                <w:sz w:val="20"/>
                <w:szCs w:val="20"/>
                <w:shd w:val="solid" w:color="000000" w:fill="000000"/>
                <w:fitText w:val="391" w:id="-1236536566"/>
                <w:lang w:eastAsia="en-GB"/>
                <w14:textFill>
                  <w14:solidFill>
                    <w14:srgbClr w14:val="000000">
                      <w14:alpha w14:val="100000"/>
                    </w14:srgbClr>
                  </w14:solidFill>
                </w14:textFill>
              </w:rPr>
              <w:t>|</w:t>
            </w:r>
          </w:p>
        </w:tc>
      </w:tr>
      <w:tr w:rsidR="00F624A1" w:rsidRPr="0058247A" w14:paraId="1257E9F6" w14:textId="77777777" w:rsidTr="0015148F">
        <w:trPr>
          <w:trHeight w:val="300"/>
        </w:trPr>
        <w:tc>
          <w:tcPr>
            <w:tcW w:w="2635" w:type="dxa"/>
            <w:noWrap/>
            <w:tcMar>
              <w:left w:w="20" w:type="dxa"/>
              <w:right w:w="20" w:type="dxa"/>
            </w:tcMar>
            <w:hideMark/>
          </w:tcPr>
          <w:p w14:paraId="1CF8C030" w14:textId="77777777" w:rsidR="005C7257" w:rsidRPr="0058247A" w:rsidRDefault="005C7257" w:rsidP="00DB1A3A">
            <w:pPr>
              <w:keepNext/>
              <w:keepLines/>
              <w:spacing w:before="0" w:after="0"/>
              <w:jc w:val="left"/>
              <w:rPr>
                <w:rFonts w:ascii="Arial Narrow" w:hAnsi="Arial Narrow" w:cs="Calibri"/>
                <w:color w:val="000000"/>
                <w:sz w:val="20"/>
                <w:szCs w:val="20"/>
                <w:lang w:eastAsia="en-GB"/>
              </w:rPr>
            </w:pPr>
            <w:r w:rsidRPr="0058247A">
              <w:rPr>
                <w:rFonts w:ascii="Arial Narrow" w:hAnsi="Arial Narrow" w:cs="Calibri"/>
                <w:color w:val="000000"/>
                <w:sz w:val="20"/>
                <w:szCs w:val="20"/>
                <w:lang w:eastAsia="en-GB"/>
              </w:rPr>
              <w:t>Change in budget impact with the RSA</w:t>
            </w:r>
          </w:p>
        </w:tc>
        <w:tc>
          <w:tcPr>
            <w:tcW w:w="1080" w:type="dxa"/>
            <w:noWrap/>
            <w:tcMar>
              <w:left w:w="20" w:type="dxa"/>
              <w:right w:w="20" w:type="dxa"/>
            </w:tcMar>
            <w:vAlign w:val="center"/>
            <w:hideMark/>
          </w:tcPr>
          <w:p w14:paraId="0DF1C24A" w14:textId="39800E26" w:rsidR="005C7257" w:rsidRPr="006E73CD" w:rsidRDefault="005C7257" w:rsidP="00DB1A3A">
            <w:pPr>
              <w:keepNext/>
              <w:keepLines/>
              <w:spacing w:before="0" w:after="0"/>
              <w:jc w:val="center"/>
              <w:rPr>
                <w:rFonts w:ascii="Arial Narrow" w:hAnsi="Arial Narrow" w:cs="Calibri"/>
                <w:color w:val="000000"/>
                <w:sz w:val="20"/>
                <w:szCs w:val="20"/>
                <w:lang w:eastAsia="en-GB"/>
              </w:rPr>
            </w:pPr>
            <w:r w:rsidRPr="006E73CD">
              <w:rPr>
                <w:rFonts w:ascii="Arial Narrow" w:hAnsi="Arial Narrow" w:cs="Calibri"/>
                <w:color w:val="000000"/>
                <w:sz w:val="20"/>
                <w:szCs w:val="20"/>
                <w:lang w:eastAsia="en-GB"/>
              </w:rPr>
              <w:t>-</w:t>
            </w:r>
            <w:r w:rsidR="006E73CD" w:rsidRPr="006E73CD">
              <w:rPr>
                <w:rFonts w:ascii="Arial Narrow" w:hAnsi="Arial Narrow" w:cs="Calibri"/>
                <w:color w:val="000000"/>
                <w:spacing w:val="38"/>
                <w:sz w:val="20"/>
                <w:szCs w:val="20"/>
                <w:shd w:val="solid" w:color="000000" w:fill="000000"/>
                <w:fitText w:val="449" w:id="-1236536565"/>
                <w:lang w:eastAsia="en-GB"/>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49" w:id="-1236536565"/>
                <w:lang w:eastAsia="en-GB"/>
                <w14:textFill>
                  <w14:solidFill>
                    <w14:srgbClr w14:val="000000">
                      <w14:alpha w14:val="100000"/>
                    </w14:srgbClr>
                  </w14:solidFill>
                </w14:textFill>
              </w:rPr>
              <w:t>|</w:t>
            </w:r>
            <w:r w:rsidRPr="006E73CD">
              <w:rPr>
                <w:rFonts w:ascii="Arial Narrow" w:hAnsi="Arial Narrow" w:cs="Calibri"/>
                <w:color w:val="000000"/>
                <w:sz w:val="20"/>
                <w:szCs w:val="20"/>
                <w:lang w:eastAsia="en-GB"/>
              </w:rPr>
              <w:t>%</w:t>
            </w:r>
          </w:p>
        </w:tc>
        <w:tc>
          <w:tcPr>
            <w:tcW w:w="1080" w:type="dxa"/>
            <w:noWrap/>
            <w:tcMar>
              <w:left w:w="20" w:type="dxa"/>
              <w:right w:w="20" w:type="dxa"/>
            </w:tcMar>
            <w:vAlign w:val="center"/>
            <w:hideMark/>
          </w:tcPr>
          <w:p w14:paraId="0EB743FD" w14:textId="7F0F9C01" w:rsidR="005C7257" w:rsidRPr="006E73CD" w:rsidRDefault="005C7257" w:rsidP="00DB1A3A">
            <w:pPr>
              <w:keepNext/>
              <w:keepLines/>
              <w:spacing w:before="0" w:after="0"/>
              <w:jc w:val="center"/>
              <w:rPr>
                <w:rFonts w:ascii="Arial Narrow" w:hAnsi="Arial Narrow" w:cs="Calibri"/>
                <w:color w:val="000000"/>
                <w:sz w:val="20"/>
                <w:szCs w:val="20"/>
                <w:lang w:eastAsia="en-GB"/>
              </w:rPr>
            </w:pPr>
            <w:r w:rsidRPr="006E73CD">
              <w:rPr>
                <w:rFonts w:ascii="Arial Narrow" w:hAnsi="Arial Narrow" w:cs="Calibri"/>
                <w:color w:val="000000"/>
                <w:sz w:val="20"/>
                <w:szCs w:val="20"/>
                <w:lang w:eastAsia="en-GB"/>
              </w:rPr>
              <w:t>-</w:t>
            </w:r>
            <w:r w:rsidR="006E73CD" w:rsidRPr="006E73CD">
              <w:rPr>
                <w:rFonts w:ascii="Arial Narrow" w:hAnsi="Arial Narrow" w:cs="Calibri"/>
                <w:color w:val="000000"/>
                <w:spacing w:val="38"/>
                <w:sz w:val="20"/>
                <w:szCs w:val="20"/>
                <w:shd w:val="solid" w:color="000000" w:fill="000000"/>
                <w:fitText w:val="450" w:id="-1236536564"/>
                <w:lang w:eastAsia="en-GB"/>
                <w14:textFill>
                  <w14:solidFill>
                    <w14:srgbClr w14:val="000000">
                      <w14:alpha w14:val="100000"/>
                    </w14:srgbClr>
                  </w14:solidFill>
                </w14:textFill>
              </w:rPr>
              <w:t>|||||</w:t>
            </w:r>
            <w:r w:rsidR="006E73CD" w:rsidRPr="006E73CD">
              <w:rPr>
                <w:rFonts w:ascii="Arial Narrow" w:hAnsi="Arial Narrow" w:cs="Calibri"/>
                <w:color w:val="000000"/>
                <w:spacing w:val="5"/>
                <w:sz w:val="20"/>
                <w:szCs w:val="20"/>
                <w:shd w:val="solid" w:color="000000" w:fill="000000"/>
                <w:fitText w:val="450" w:id="-1236536564"/>
                <w:lang w:eastAsia="en-GB"/>
                <w14:textFill>
                  <w14:solidFill>
                    <w14:srgbClr w14:val="000000">
                      <w14:alpha w14:val="100000"/>
                    </w14:srgbClr>
                  </w14:solidFill>
                </w14:textFill>
              </w:rPr>
              <w:t>|</w:t>
            </w:r>
            <w:r w:rsidRPr="006E73CD">
              <w:rPr>
                <w:rFonts w:ascii="Arial Narrow" w:hAnsi="Arial Narrow" w:cs="Calibri"/>
                <w:color w:val="000000"/>
                <w:sz w:val="20"/>
                <w:szCs w:val="20"/>
                <w:lang w:eastAsia="en-GB"/>
              </w:rPr>
              <w:t>%</w:t>
            </w:r>
          </w:p>
        </w:tc>
        <w:tc>
          <w:tcPr>
            <w:tcW w:w="1080" w:type="dxa"/>
            <w:noWrap/>
            <w:tcMar>
              <w:left w:w="20" w:type="dxa"/>
              <w:right w:w="20" w:type="dxa"/>
            </w:tcMar>
            <w:vAlign w:val="center"/>
            <w:hideMark/>
          </w:tcPr>
          <w:p w14:paraId="27B7EFBE" w14:textId="2DABE7EF" w:rsidR="005C7257" w:rsidRPr="006E73CD" w:rsidRDefault="005C7257" w:rsidP="00DB1A3A">
            <w:pPr>
              <w:keepNext/>
              <w:keepLines/>
              <w:spacing w:before="0" w:after="0"/>
              <w:jc w:val="center"/>
              <w:rPr>
                <w:rFonts w:ascii="Arial Narrow" w:hAnsi="Arial Narrow" w:cs="Calibri"/>
                <w:color w:val="000000"/>
                <w:sz w:val="20"/>
                <w:szCs w:val="20"/>
                <w:lang w:eastAsia="en-GB"/>
              </w:rPr>
            </w:pPr>
            <w:r w:rsidRPr="006E73CD">
              <w:rPr>
                <w:rFonts w:ascii="Arial Narrow" w:hAnsi="Arial Narrow" w:cs="Calibri"/>
                <w:color w:val="000000"/>
                <w:sz w:val="20"/>
                <w:szCs w:val="20"/>
                <w:lang w:eastAsia="en-GB"/>
              </w:rPr>
              <w:t>-</w:t>
            </w:r>
            <w:r w:rsidR="006E73CD" w:rsidRPr="006E73CD">
              <w:rPr>
                <w:rFonts w:ascii="Arial Narrow" w:hAnsi="Arial Narrow" w:cs="Calibri"/>
                <w:color w:val="000000"/>
                <w:spacing w:val="38"/>
                <w:sz w:val="20"/>
                <w:szCs w:val="20"/>
                <w:shd w:val="solid" w:color="000000" w:fill="000000"/>
                <w:fitText w:val="450" w:id="-1236536563"/>
                <w:lang w:eastAsia="en-GB"/>
                <w14:textFill>
                  <w14:solidFill>
                    <w14:srgbClr w14:val="000000">
                      <w14:alpha w14:val="100000"/>
                    </w14:srgbClr>
                  </w14:solidFill>
                </w14:textFill>
              </w:rPr>
              <w:t>|||||</w:t>
            </w:r>
            <w:r w:rsidR="006E73CD" w:rsidRPr="006E73CD">
              <w:rPr>
                <w:rFonts w:ascii="Arial Narrow" w:hAnsi="Arial Narrow" w:cs="Calibri"/>
                <w:color w:val="000000"/>
                <w:spacing w:val="5"/>
                <w:sz w:val="20"/>
                <w:szCs w:val="20"/>
                <w:shd w:val="solid" w:color="000000" w:fill="000000"/>
                <w:fitText w:val="450" w:id="-1236536563"/>
                <w:lang w:eastAsia="en-GB"/>
                <w14:textFill>
                  <w14:solidFill>
                    <w14:srgbClr w14:val="000000">
                      <w14:alpha w14:val="100000"/>
                    </w14:srgbClr>
                  </w14:solidFill>
                </w14:textFill>
              </w:rPr>
              <w:t>|</w:t>
            </w:r>
            <w:r w:rsidRPr="006E73CD">
              <w:rPr>
                <w:rFonts w:ascii="Arial Narrow" w:hAnsi="Arial Narrow" w:cs="Calibri"/>
                <w:color w:val="000000"/>
                <w:sz w:val="20"/>
                <w:szCs w:val="20"/>
                <w:lang w:eastAsia="en-GB"/>
              </w:rPr>
              <w:t>%</w:t>
            </w:r>
          </w:p>
        </w:tc>
        <w:tc>
          <w:tcPr>
            <w:tcW w:w="1080" w:type="dxa"/>
            <w:noWrap/>
            <w:tcMar>
              <w:left w:w="20" w:type="dxa"/>
              <w:right w:w="20" w:type="dxa"/>
            </w:tcMar>
            <w:vAlign w:val="center"/>
            <w:hideMark/>
          </w:tcPr>
          <w:p w14:paraId="567513A7" w14:textId="0FBC8DAD" w:rsidR="005C7257" w:rsidRPr="006E73CD" w:rsidRDefault="005C7257" w:rsidP="00DB1A3A">
            <w:pPr>
              <w:keepNext/>
              <w:keepLines/>
              <w:spacing w:before="0" w:after="0"/>
              <w:jc w:val="center"/>
              <w:rPr>
                <w:rFonts w:ascii="Arial Narrow" w:hAnsi="Arial Narrow" w:cs="Calibri"/>
                <w:color w:val="000000"/>
                <w:sz w:val="20"/>
                <w:szCs w:val="20"/>
                <w:lang w:eastAsia="en-GB"/>
              </w:rPr>
            </w:pPr>
            <w:r w:rsidRPr="006E73CD">
              <w:rPr>
                <w:rFonts w:ascii="Arial Narrow" w:hAnsi="Arial Narrow" w:cs="Calibri"/>
                <w:color w:val="000000"/>
                <w:sz w:val="20"/>
                <w:szCs w:val="20"/>
                <w:lang w:eastAsia="en-GB"/>
              </w:rPr>
              <w:t>-</w:t>
            </w:r>
            <w:r w:rsidR="006E73CD" w:rsidRPr="006E73CD">
              <w:rPr>
                <w:rFonts w:ascii="Arial Narrow" w:hAnsi="Arial Narrow" w:cs="Calibri"/>
                <w:color w:val="000000"/>
                <w:spacing w:val="38"/>
                <w:sz w:val="20"/>
                <w:szCs w:val="20"/>
                <w:shd w:val="solid" w:color="000000" w:fill="000000"/>
                <w:fitText w:val="449" w:id="-1236536562"/>
                <w:lang w:eastAsia="en-GB"/>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49" w:id="-1236536562"/>
                <w:lang w:eastAsia="en-GB"/>
                <w14:textFill>
                  <w14:solidFill>
                    <w14:srgbClr w14:val="000000">
                      <w14:alpha w14:val="100000"/>
                    </w14:srgbClr>
                  </w14:solidFill>
                </w14:textFill>
              </w:rPr>
              <w:t>|</w:t>
            </w:r>
            <w:r w:rsidRPr="006E73CD">
              <w:rPr>
                <w:rFonts w:ascii="Arial Narrow" w:hAnsi="Arial Narrow" w:cs="Calibri"/>
                <w:color w:val="000000"/>
                <w:sz w:val="20"/>
                <w:szCs w:val="20"/>
                <w:lang w:eastAsia="en-GB"/>
              </w:rPr>
              <w:t>%</w:t>
            </w:r>
          </w:p>
        </w:tc>
        <w:tc>
          <w:tcPr>
            <w:tcW w:w="1080" w:type="dxa"/>
            <w:noWrap/>
            <w:tcMar>
              <w:left w:w="20" w:type="dxa"/>
              <w:right w:w="20" w:type="dxa"/>
            </w:tcMar>
            <w:vAlign w:val="center"/>
            <w:hideMark/>
          </w:tcPr>
          <w:p w14:paraId="647FE062" w14:textId="308C736A" w:rsidR="005C7257" w:rsidRPr="006E73CD" w:rsidRDefault="005C7257" w:rsidP="00DB1A3A">
            <w:pPr>
              <w:keepNext/>
              <w:keepLines/>
              <w:spacing w:before="0" w:after="0"/>
              <w:jc w:val="center"/>
              <w:rPr>
                <w:rFonts w:ascii="Arial Narrow" w:hAnsi="Arial Narrow" w:cs="Calibri"/>
                <w:color w:val="000000"/>
                <w:sz w:val="20"/>
                <w:szCs w:val="20"/>
                <w:lang w:eastAsia="en-GB"/>
              </w:rPr>
            </w:pPr>
            <w:r w:rsidRPr="006E73CD">
              <w:rPr>
                <w:rFonts w:ascii="Arial Narrow" w:hAnsi="Arial Narrow" w:cs="Calibri"/>
                <w:color w:val="000000"/>
                <w:sz w:val="20"/>
                <w:szCs w:val="20"/>
                <w:lang w:eastAsia="en-GB"/>
              </w:rPr>
              <w:t>-</w:t>
            </w:r>
            <w:r w:rsidR="006E73CD" w:rsidRPr="006E73CD">
              <w:rPr>
                <w:rFonts w:ascii="Arial Narrow" w:hAnsi="Arial Narrow" w:cs="Calibri"/>
                <w:color w:val="000000"/>
                <w:spacing w:val="38"/>
                <w:sz w:val="20"/>
                <w:szCs w:val="20"/>
                <w:shd w:val="solid" w:color="000000" w:fill="000000"/>
                <w:fitText w:val="449" w:id="-1236536561"/>
                <w:lang w:eastAsia="en-GB"/>
                <w14:textFill>
                  <w14:solidFill>
                    <w14:srgbClr w14:val="000000">
                      <w14:alpha w14:val="100000"/>
                    </w14:srgbClr>
                  </w14:solidFill>
                </w14:textFill>
              </w:rPr>
              <w:t>|||||</w:t>
            </w:r>
            <w:r w:rsidR="006E73CD" w:rsidRPr="006E73CD">
              <w:rPr>
                <w:rFonts w:ascii="Arial Narrow" w:hAnsi="Arial Narrow" w:cs="Calibri"/>
                <w:color w:val="000000"/>
                <w:spacing w:val="4"/>
                <w:sz w:val="20"/>
                <w:szCs w:val="20"/>
                <w:shd w:val="solid" w:color="000000" w:fill="000000"/>
                <w:fitText w:val="449" w:id="-1236536561"/>
                <w:lang w:eastAsia="en-GB"/>
                <w14:textFill>
                  <w14:solidFill>
                    <w14:srgbClr w14:val="000000">
                      <w14:alpha w14:val="100000"/>
                    </w14:srgbClr>
                  </w14:solidFill>
                </w14:textFill>
              </w:rPr>
              <w:t>|</w:t>
            </w:r>
            <w:r w:rsidRPr="006E73CD">
              <w:rPr>
                <w:rFonts w:ascii="Arial Narrow" w:hAnsi="Arial Narrow" w:cs="Calibri"/>
                <w:color w:val="000000"/>
                <w:sz w:val="20"/>
                <w:szCs w:val="20"/>
                <w:lang w:eastAsia="en-GB"/>
              </w:rPr>
              <w:t>%</w:t>
            </w:r>
          </w:p>
        </w:tc>
        <w:tc>
          <w:tcPr>
            <w:tcW w:w="1080" w:type="dxa"/>
            <w:noWrap/>
            <w:tcMar>
              <w:left w:w="20" w:type="dxa"/>
              <w:right w:w="20" w:type="dxa"/>
            </w:tcMar>
            <w:vAlign w:val="center"/>
            <w:hideMark/>
          </w:tcPr>
          <w:p w14:paraId="18CFECF7" w14:textId="5E31B948" w:rsidR="005C7257" w:rsidRPr="006E73CD" w:rsidRDefault="005C7257" w:rsidP="00DB1A3A">
            <w:pPr>
              <w:keepNext/>
              <w:keepLines/>
              <w:spacing w:before="0" w:after="0"/>
              <w:jc w:val="center"/>
              <w:rPr>
                <w:rFonts w:ascii="Arial Narrow" w:hAnsi="Arial Narrow" w:cs="Calibri"/>
                <w:color w:val="000000"/>
                <w:sz w:val="20"/>
                <w:szCs w:val="20"/>
                <w:lang w:eastAsia="en-GB"/>
              </w:rPr>
            </w:pPr>
            <w:r w:rsidRPr="006E73CD">
              <w:rPr>
                <w:rFonts w:ascii="Arial Narrow" w:hAnsi="Arial Narrow" w:cs="Calibri"/>
                <w:color w:val="000000"/>
                <w:sz w:val="20"/>
                <w:szCs w:val="20"/>
                <w:lang w:eastAsia="en-GB"/>
              </w:rPr>
              <w:t>-</w:t>
            </w:r>
            <w:r w:rsidR="006E73CD" w:rsidRPr="006E73CD">
              <w:rPr>
                <w:rFonts w:ascii="Arial Narrow" w:hAnsi="Arial Narrow" w:cs="Calibri"/>
                <w:color w:val="000000"/>
                <w:spacing w:val="38"/>
                <w:sz w:val="20"/>
                <w:szCs w:val="20"/>
                <w:shd w:val="solid" w:color="000000" w:fill="000000"/>
                <w:fitText w:val="450" w:id="-1236536560"/>
                <w:lang w:eastAsia="en-GB"/>
                <w14:textFill>
                  <w14:solidFill>
                    <w14:srgbClr w14:val="000000">
                      <w14:alpha w14:val="100000"/>
                    </w14:srgbClr>
                  </w14:solidFill>
                </w14:textFill>
              </w:rPr>
              <w:t>|||||</w:t>
            </w:r>
            <w:r w:rsidR="006E73CD" w:rsidRPr="006E73CD">
              <w:rPr>
                <w:rFonts w:ascii="Arial Narrow" w:hAnsi="Arial Narrow" w:cs="Calibri"/>
                <w:color w:val="000000"/>
                <w:spacing w:val="5"/>
                <w:sz w:val="20"/>
                <w:szCs w:val="20"/>
                <w:shd w:val="solid" w:color="000000" w:fill="000000"/>
                <w:fitText w:val="450" w:id="-1236536560"/>
                <w:lang w:eastAsia="en-GB"/>
                <w14:textFill>
                  <w14:solidFill>
                    <w14:srgbClr w14:val="000000">
                      <w14:alpha w14:val="100000"/>
                    </w14:srgbClr>
                  </w14:solidFill>
                </w14:textFill>
              </w:rPr>
              <w:t>|</w:t>
            </w:r>
            <w:r w:rsidRPr="006E73CD">
              <w:rPr>
                <w:rFonts w:ascii="Arial Narrow" w:hAnsi="Arial Narrow" w:cs="Calibri"/>
                <w:color w:val="000000"/>
                <w:sz w:val="20"/>
                <w:szCs w:val="20"/>
                <w:lang w:eastAsia="en-GB"/>
              </w:rPr>
              <w:t>%</w:t>
            </w:r>
          </w:p>
        </w:tc>
      </w:tr>
    </w:tbl>
    <w:p w14:paraId="6FA7B474" w14:textId="77777777" w:rsidR="005C7257" w:rsidRPr="0058247A" w:rsidRDefault="005C7257" w:rsidP="00DB1A3A">
      <w:pPr>
        <w:keepNext/>
        <w:keepLines/>
        <w:rPr>
          <w:rFonts w:ascii="Arial Narrow" w:hAnsi="Arial Narrow"/>
          <w:snapToGrid w:val="0"/>
          <w:sz w:val="18"/>
          <w:szCs w:val="18"/>
        </w:rPr>
      </w:pPr>
      <w:r w:rsidRPr="0058247A">
        <w:rPr>
          <w:rFonts w:ascii="Arial Narrow" w:hAnsi="Arial Narrow"/>
          <w:snapToGrid w:val="0"/>
          <w:sz w:val="18"/>
          <w:szCs w:val="18"/>
        </w:rPr>
        <w:t>Source: Provided by the ESC during the evaluation</w:t>
      </w:r>
    </w:p>
    <w:p w14:paraId="0F739EF3" w14:textId="5943565A" w:rsidR="001D7ABE" w:rsidRPr="0058247A" w:rsidRDefault="005C7257" w:rsidP="007736A6">
      <w:pPr>
        <w:spacing w:after="120"/>
        <w:rPr>
          <w:rFonts w:ascii="Arial Narrow" w:hAnsi="Arial Narrow"/>
          <w:snapToGrid w:val="0"/>
          <w:sz w:val="18"/>
          <w:szCs w:val="18"/>
        </w:rPr>
      </w:pPr>
      <w:r w:rsidRPr="0058247A">
        <w:rPr>
          <w:rFonts w:ascii="Arial Narrow" w:hAnsi="Arial Narrow"/>
          <w:snapToGrid w:val="0"/>
          <w:sz w:val="18"/>
          <w:szCs w:val="18"/>
        </w:rPr>
        <w:t>PBS = Pharmaceutical Benefits Scheme; RPBS = Repatriation Pharmaceutical Benefits Scheme; RRMM = relapsed and/or refractory multiple myeloma; RSA = risk-sharing arrangement</w:t>
      </w:r>
    </w:p>
    <w:p w14:paraId="02333DC0" w14:textId="57F611E6" w:rsidR="006A2FD1" w:rsidRDefault="001D7ABE" w:rsidP="007736A6">
      <w:pPr>
        <w:pStyle w:val="3-BodyText"/>
      </w:pPr>
      <w:bookmarkStart w:id="128" w:name="_Ref127538064"/>
      <w:r w:rsidRPr="006154DA">
        <w:lastRenderedPageBreak/>
        <w:t xml:space="preserve">It is likely that listing daratumumab in the first-line setting will result in a substantial reduction of its use in the second-line </w:t>
      </w:r>
      <w:r w:rsidR="00E01B49" w:rsidRPr="006154DA">
        <w:t xml:space="preserve">setting </w:t>
      </w:r>
      <w:r w:rsidRPr="006154DA">
        <w:t>such that further thresholds in the RSA are unlikely to be reached</w:t>
      </w:r>
      <w:r w:rsidR="00274906" w:rsidRPr="006154DA">
        <w:t xml:space="preserve">, although the decrease in second-line use </w:t>
      </w:r>
      <w:r w:rsidR="00731288" w:rsidRPr="006154DA">
        <w:t>may</w:t>
      </w:r>
      <w:r w:rsidR="00274906" w:rsidRPr="006154DA">
        <w:t xml:space="preserve"> occur progressively over time </w:t>
      </w:r>
      <w:r w:rsidR="00731288" w:rsidRPr="006154DA">
        <w:t>reflecting</w:t>
      </w:r>
      <w:r w:rsidR="00274906" w:rsidRPr="006154DA">
        <w:t xml:space="preserve"> </w:t>
      </w:r>
      <w:r w:rsidR="00731288" w:rsidRPr="006154DA">
        <w:t>the time taken for patients to progress from first line to second line treatment (refer discussion on</w:t>
      </w:r>
      <w:r w:rsidR="00274906" w:rsidRPr="006154DA">
        <w:t xml:space="preserve"> treatment pattern</w:t>
      </w:r>
      <w:r w:rsidR="00731288" w:rsidRPr="006154DA">
        <w:t xml:space="preserve">s in paragraph </w:t>
      </w:r>
      <w:r w:rsidR="00731288" w:rsidRPr="006154DA">
        <w:fldChar w:fldCharType="begin"/>
      </w:r>
      <w:r w:rsidR="00731288" w:rsidRPr="006154DA">
        <w:instrText xml:space="preserve"> REF _Ref127529623 \r \h </w:instrText>
      </w:r>
      <w:r w:rsidR="006154DA" w:rsidRPr="006154DA">
        <w:instrText xml:space="preserve"> \* MERGEFORMAT </w:instrText>
      </w:r>
      <w:r w:rsidR="00731288" w:rsidRPr="006154DA">
        <w:fldChar w:fldCharType="separate"/>
      </w:r>
      <w:r w:rsidR="008D65C7">
        <w:t>6.58</w:t>
      </w:r>
      <w:r w:rsidR="00731288" w:rsidRPr="006154DA">
        <w:fldChar w:fldCharType="end"/>
      </w:r>
      <w:r w:rsidR="00731288" w:rsidRPr="006154DA">
        <w:t xml:space="preserve">, page </w:t>
      </w:r>
      <w:r w:rsidR="00731288" w:rsidRPr="006154DA">
        <w:fldChar w:fldCharType="begin"/>
      </w:r>
      <w:r w:rsidR="00731288" w:rsidRPr="006154DA">
        <w:instrText xml:space="preserve"> PAGEREF _Ref127529623 \h </w:instrText>
      </w:r>
      <w:r w:rsidR="00731288" w:rsidRPr="006154DA">
        <w:fldChar w:fldCharType="separate"/>
      </w:r>
      <w:r w:rsidR="008D65C7">
        <w:rPr>
          <w:noProof/>
        </w:rPr>
        <w:t>42</w:t>
      </w:r>
      <w:r w:rsidR="00731288" w:rsidRPr="006154DA">
        <w:fldChar w:fldCharType="end"/>
      </w:r>
      <w:r w:rsidR="00731288" w:rsidRPr="006154DA">
        <w:t>)</w:t>
      </w:r>
      <w:r w:rsidRPr="006154DA">
        <w:t xml:space="preserve">. </w:t>
      </w:r>
      <w:r w:rsidR="003E7880" w:rsidRPr="006154DA">
        <w:t>If</w:t>
      </w:r>
      <w:r w:rsidRPr="006154DA">
        <w:t xml:space="preserve"> </w:t>
      </w:r>
      <w:r w:rsidR="003E7880" w:rsidRPr="006154DA">
        <w:t xml:space="preserve">the proposed </w:t>
      </w:r>
      <w:r w:rsidRPr="006154DA">
        <w:t xml:space="preserve">listing </w:t>
      </w:r>
      <w:r w:rsidR="003E7880" w:rsidRPr="006154DA">
        <w:t xml:space="preserve">of </w:t>
      </w:r>
      <w:r w:rsidRPr="006154DA">
        <w:t>daratumumab in the first-line setting</w:t>
      </w:r>
      <w:r w:rsidR="003E7880" w:rsidRPr="006154DA">
        <w:t xml:space="preserve"> is recommended, it may be appropriate to modify </w:t>
      </w:r>
      <w:r w:rsidRPr="006154DA">
        <w:t xml:space="preserve">the existing RSA to reflect </w:t>
      </w:r>
      <w:r w:rsidR="00687166" w:rsidRPr="006154DA">
        <w:t xml:space="preserve">not only </w:t>
      </w:r>
      <w:r w:rsidRPr="006154DA">
        <w:t>a potential decline in use of second-line daratumumab in transplant ineligible patients (noting that transplant eligible patients with RRMM would still be eligible for DBd in the second-line setting),</w:t>
      </w:r>
      <w:r w:rsidR="00044027" w:rsidRPr="006154DA">
        <w:t xml:space="preserve"> </w:t>
      </w:r>
      <w:r w:rsidR="00687166" w:rsidRPr="006154DA">
        <w:t xml:space="preserve">but to ensure that the </w:t>
      </w:r>
      <w:r w:rsidR="00687166" w:rsidRPr="006E73CD">
        <w:t>price of daratumumab in the second-line setting is cost effective.</w:t>
      </w:r>
      <w:r w:rsidR="00737A1F" w:rsidRPr="006E73CD">
        <w:t xml:space="preserve"> </w:t>
      </w:r>
      <w:r w:rsidR="006E4DBA" w:rsidRPr="006E73CD">
        <w:t>The ESC considered i</w:t>
      </w:r>
      <w:r w:rsidR="00737A1F" w:rsidRPr="006E73CD">
        <w:t>t</w:t>
      </w:r>
      <w:r w:rsidR="00737A1F" w:rsidRPr="006154DA">
        <w:t xml:space="preserve"> may be necessary to revise the estimates </w:t>
      </w:r>
      <w:r w:rsidR="006E4DBA" w:rsidRPr="006154DA">
        <w:t>for second</w:t>
      </w:r>
      <w:r w:rsidR="0015148F">
        <w:t xml:space="preserve"> </w:t>
      </w:r>
      <w:r w:rsidR="006E4DBA" w:rsidRPr="006154DA">
        <w:t xml:space="preserve">line </w:t>
      </w:r>
      <w:r w:rsidR="00737A1F" w:rsidRPr="006154DA">
        <w:t xml:space="preserve">accordingly, to ensure that the PBAC advice leading to the PBS listing of daratumumab in the second-line setting is appropriately applied (average </w:t>
      </w:r>
      <w:r w:rsidR="006E73CD" w:rsidRPr="00E93FF7">
        <w:rPr>
          <w:color w:val="000000"/>
          <w:w w:val="24"/>
          <w:shd w:val="solid" w:color="000000" w:fill="000000"/>
          <w:fitText w:val="80" w:id="-1236536576"/>
          <w14:textFill>
            <w14:solidFill>
              <w14:srgbClr w14:val="000000">
                <w14:alpha w14:val="100000"/>
              </w14:srgbClr>
            </w14:solidFill>
          </w14:textFill>
        </w:rPr>
        <w:t xml:space="preserve">|  </w:t>
      </w:r>
      <w:r w:rsidR="006E73CD" w:rsidRPr="00E93FF7">
        <w:rPr>
          <w:color w:val="000000"/>
          <w:spacing w:val="1"/>
          <w:w w:val="24"/>
          <w:shd w:val="solid" w:color="000000" w:fill="000000"/>
          <w:fitText w:val="80" w:id="-1236536576"/>
          <w14:textFill>
            <w14:solidFill>
              <w14:srgbClr w14:val="000000">
                <w14:alpha w14:val="100000"/>
              </w14:srgbClr>
            </w14:solidFill>
          </w14:textFill>
        </w:rPr>
        <w:t>|</w:t>
      </w:r>
      <w:r w:rsidR="00737A1F" w:rsidRPr="006154DA">
        <w:t>% reduction over the duration of the estimates).</w:t>
      </w:r>
      <w:bookmarkEnd w:id="128"/>
    </w:p>
    <w:p w14:paraId="0425123D" w14:textId="1B099788" w:rsidR="006154DA" w:rsidRDefault="001D7ABE" w:rsidP="007736A6">
      <w:pPr>
        <w:pStyle w:val="3-BodyText"/>
      </w:pPr>
      <w:r w:rsidRPr="006154DA">
        <w:t xml:space="preserve">There is </w:t>
      </w:r>
      <w:r w:rsidR="00E01B49" w:rsidRPr="006154DA">
        <w:t>the potential for the u</w:t>
      </w:r>
      <w:r w:rsidRPr="006154DA">
        <w:t>se of DLd</w:t>
      </w:r>
      <w:r w:rsidR="001056A7" w:rsidRPr="006154DA">
        <w:t xml:space="preserve"> beyond the proposed restriction</w:t>
      </w:r>
      <w:r w:rsidR="00E01B49" w:rsidRPr="006154DA">
        <w:t>, i.e.</w:t>
      </w:r>
      <w:r w:rsidR="00C50325" w:rsidRPr="006154DA">
        <w:t>,</w:t>
      </w:r>
      <w:r w:rsidR="00E01B49" w:rsidRPr="006154DA">
        <w:t xml:space="preserve"> in patients who are transplant eligible</w:t>
      </w:r>
      <w:r w:rsidRPr="006154DA">
        <w:t>.</w:t>
      </w:r>
      <w:r w:rsidR="00941CAB" w:rsidRPr="006154DA">
        <w:t xml:space="preserve"> </w:t>
      </w:r>
      <w:r w:rsidR="00941CAB" w:rsidRPr="006A2FD1">
        <w:rPr>
          <w:color w:val="000000" w:themeColor="text1"/>
        </w:rPr>
        <w:t xml:space="preserve">The PBAC has previously considered that patients' eligibility for transplant can be </w:t>
      </w:r>
      <w:r w:rsidR="0015148F" w:rsidRPr="006A2FD1">
        <w:rPr>
          <w:color w:val="000000" w:themeColor="text1"/>
        </w:rPr>
        <w:t>subjective,</w:t>
      </w:r>
      <w:r w:rsidR="00941CAB" w:rsidRPr="006A2FD1">
        <w:rPr>
          <w:color w:val="000000" w:themeColor="text1"/>
        </w:rPr>
        <w:t xml:space="preserve"> and that eligibility can change following treatment (para 7.4, lenalidomide </w:t>
      </w:r>
      <w:r w:rsidR="006B5E2A">
        <w:rPr>
          <w:color w:val="000000" w:themeColor="text1"/>
        </w:rPr>
        <w:t>PSD</w:t>
      </w:r>
      <w:r w:rsidR="00941CAB" w:rsidRPr="006154DA">
        <w:t>, August 2019).</w:t>
      </w:r>
      <w:r w:rsidRPr="006154DA">
        <w:t xml:space="preserve"> </w:t>
      </w:r>
      <w:r w:rsidR="00E01B49" w:rsidRPr="006154DA">
        <w:t xml:space="preserve">The submission </w:t>
      </w:r>
      <w:r w:rsidR="0013599B">
        <w:t>did</w:t>
      </w:r>
      <w:r w:rsidR="0013599B" w:rsidRPr="006154DA">
        <w:t xml:space="preserve"> </w:t>
      </w:r>
      <w:r w:rsidR="00E01B49" w:rsidRPr="006154DA">
        <w:t xml:space="preserve">not </w:t>
      </w:r>
      <w:r w:rsidR="0013599B" w:rsidRPr="006154DA">
        <w:t>quantif</w:t>
      </w:r>
      <w:r w:rsidR="0013599B">
        <w:t>y</w:t>
      </w:r>
      <w:r w:rsidR="0013599B" w:rsidRPr="006154DA">
        <w:t xml:space="preserve"> </w:t>
      </w:r>
      <w:r w:rsidR="00E01B49" w:rsidRPr="006154DA">
        <w:t>the extent to which such use might occur.</w:t>
      </w:r>
      <w:bookmarkStart w:id="129" w:name="_Hlk103934877"/>
      <w:bookmarkStart w:id="130" w:name="_Hlk103937430"/>
      <w:r w:rsidR="003F288C" w:rsidRPr="006154DA">
        <w:t xml:space="preserve"> The PSCR stated that there was a relatively low risk of leakage into the transplant eligible population, as this population is more likely to receive additional lines of therapy compared with the transplant ineligible population, and thus would have the option to receive daratumumab in the second line. The ESC noted that this </w:t>
      </w:r>
      <w:r w:rsidR="00C76AAB" w:rsidRPr="006154DA">
        <w:t xml:space="preserve">explanation </w:t>
      </w:r>
      <w:r w:rsidR="003F288C" w:rsidRPr="006154DA">
        <w:t xml:space="preserve">contradicted the MSAG </w:t>
      </w:r>
      <w:r w:rsidR="00C76AAB" w:rsidRPr="006154DA">
        <w:t>g</w:t>
      </w:r>
      <w:r w:rsidR="003F288C" w:rsidRPr="006154DA">
        <w:t xml:space="preserve">uideline </w:t>
      </w:r>
      <w:r w:rsidR="00C76AAB" w:rsidRPr="006154DA">
        <w:t xml:space="preserve">(2022) </w:t>
      </w:r>
      <w:r w:rsidR="003F288C" w:rsidRPr="006154DA">
        <w:t xml:space="preserve">advice presented in </w:t>
      </w:r>
      <w:r w:rsidR="00C76AAB" w:rsidRPr="006154DA">
        <w:t xml:space="preserve">the PSCR in </w:t>
      </w:r>
      <w:r w:rsidR="003F288C" w:rsidRPr="006154DA">
        <w:t>relation to the high uptake rate</w:t>
      </w:r>
      <w:r w:rsidR="00C76AAB" w:rsidRPr="006154DA">
        <w:t xml:space="preserve">, which was that </w:t>
      </w:r>
      <w:r w:rsidR="0015148F">
        <w:t>“</w:t>
      </w:r>
      <w:r w:rsidR="003F288C" w:rsidRPr="006154DA">
        <w:t>maximising the effectiveness of first-line therapy remains the best opportunity to optim</w:t>
      </w:r>
      <w:r w:rsidR="00C76AAB" w:rsidRPr="006154DA">
        <w:t>i</w:t>
      </w:r>
      <w:r w:rsidR="003F288C" w:rsidRPr="006154DA">
        <w:t>se long term patient outcomes</w:t>
      </w:r>
      <w:r w:rsidR="0015148F">
        <w:t>”</w:t>
      </w:r>
      <w:r w:rsidR="003F288C" w:rsidRPr="006154DA">
        <w:t>.</w:t>
      </w:r>
      <w:r w:rsidR="006154DA">
        <w:t xml:space="preserve"> </w:t>
      </w:r>
    </w:p>
    <w:p w14:paraId="7A26AA60" w14:textId="1D39696E" w:rsidR="003B07F9" w:rsidRPr="006154DA" w:rsidRDefault="006154DA" w:rsidP="006154DA">
      <w:pPr>
        <w:pStyle w:val="3-BodyText"/>
        <w:numPr>
          <w:ilvl w:val="0"/>
          <w:numId w:val="0"/>
        </w:numPr>
        <w:ind w:left="720"/>
        <w:rPr>
          <w:i/>
          <w:iCs/>
        </w:rPr>
      </w:pPr>
      <w:r w:rsidRPr="006154DA">
        <w:rPr>
          <w:i/>
          <w:iCs/>
        </w:rPr>
        <w:t>For more detail on PBAC’s view, see section 7 PBAC outcome.</w:t>
      </w:r>
    </w:p>
    <w:p w14:paraId="10E8F153" w14:textId="77777777" w:rsidR="006154DA" w:rsidRPr="0090150D" w:rsidRDefault="006154DA" w:rsidP="00E23EB5">
      <w:pPr>
        <w:pStyle w:val="2-SectionHeading"/>
      </w:pPr>
      <w:bookmarkStart w:id="131" w:name="_Hlk76381249"/>
      <w:bookmarkStart w:id="132" w:name="_Hlk76377955"/>
      <w:r w:rsidRPr="00E23EB5">
        <w:t>PBAC</w:t>
      </w:r>
      <w:r w:rsidRPr="0090150D">
        <w:t xml:space="preserve"> Outcome</w:t>
      </w:r>
    </w:p>
    <w:p w14:paraId="4D1D9EF2" w14:textId="77777777" w:rsidR="00551781" w:rsidRDefault="00A307D2" w:rsidP="005F594C">
      <w:pPr>
        <w:widowControl w:val="0"/>
        <w:numPr>
          <w:ilvl w:val="1"/>
          <w:numId w:val="1"/>
        </w:numPr>
        <w:spacing w:after="120"/>
        <w:rPr>
          <w:rFonts w:asciiTheme="minorHAnsi" w:hAnsiTheme="minorHAnsi"/>
          <w:snapToGrid w:val="0"/>
          <w:lang w:val="en-GB"/>
        </w:rPr>
      </w:pPr>
      <w:r w:rsidRPr="005F594C">
        <w:rPr>
          <w:rFonts w:asciiTheme="minorHAnsi" w:hAnsiTheme="minorHAnsi"/>
          <w:snapToGrid w:val="0"/>
          <w:lang w:val="en-GB"/>
        </w:rPr>
        <w:t xml:space="preserve">The PBAC did not recommend daratumumab, for use in combination with lenalidomide and dexamethasone (DLd) for the treatment of patients with transplant ineligible (TI) newly diagnosed multiple myeloma (NDMM). The PBAC noted the benefits of treatment with DLd compared with lenalidomide plus dexamethasone (Ld) and the strong consumer support for this item but considered there were </w:t>
      </w:r>
      <w:r w:rsidR="00B45009" w:rsidRPr="005F594C">
        <w:rPr>
          <w:rFonts w:asciiTheme="minorHAnsi" w:hAnsiTheme="minorHAnsi"/>
          <w:snapToGrid w:val="0"/>
          <w:lang w:val="en-GB"/>
        </w:rPr>
        <w:t>numerous</w:t>
      </w:r>
      <w:r w:rsidRPr="005F594C">
        <w:rPr>
          <w:rFonts w:asciiTheme="minorHAnsi" w:hAnsiTheme="minorHAnsi"/>
          <w:snapToGrid w:val="0"/>
          <w:lang w:val="en-GB"/>
        </w:rPr>
        <w:t xml:space="preserve"> issues that had not been addressed in the submission. These included, but were not limited to, the definition of the proposed patient population, concerns regarding the assumed efficacy of the proposed comparators, the unreasonably high and uncertain incremental cost-effectiveness ratio (ICER) and the very high and uncertain estimated financial impact estimates. The PBAC considered that a substantial price reduction would be required to ensure daratumumab was cost-effective and that a risk sharing arrangement (RSA) would be required to mitigate the high likelihood of use in the transplant eligible population, especially given that a patient’s eligibility for </w:t>
      </w:r>
      <w:r w:rsidRPr="005F594C">
        <w:rPr>
          <w:rFonts w:asciiTheme="minorHAnsi" w:hAnsiTheme="minorHAnsi"/>
          <w:snapToGrid w:val="0"/>
          <w:lang w:val="en-GB"/>
        </w:rPr>
        <w:lastRenderedPageBreak/>
        <w:t>transplantation may change over time based on many factors, including the alternative treatments available.</w:t>
      </w:r>
      <w:r w:rsidR="00551781">
        <w:rPr>
          <w:rFonts w:asciiTheme="minorHAnsi" w:hAnsiTheme="minorHAnsi"/>
          <w:snapToGrid w:val="0"/>
          <w:lang w:val="en-GB"/>
        </w:rPr>
        <w:t xml:space="preserve"> </w:t>
      </w:r>
    </w:p>
    <w:p w14:paraId="7FB17752" w14:textId="414074A3" w:rsidR="0015148F" w:rsidRDefault="00B45009" w:rsidP="00F22267">
      <w:pPr>
        <w:widowControl w:val="0"/>
        <w:numPr>
          <w:ilvl w:val="1"/>
          <w:numId w:val="1"/>
        </w:numPr>
        <w:spacing w:after="120"/>
        <w:rPr>
          <w:rFonts w:asciiTheme="minorHAnsi" w:hAnsiTheme="minorHAnsi"/>
          <w:snapToGrid w:val="0"/>
          <w:lang w:val="en-GB"/>
        </w:rPr>
      </w:pPr>
      <w:r w:rsidRPr="0015148F">
        <w:rPr>
          <w:rFonts w:asciiTheme="minorHAnsi" w:hAnsiTheme="minorHAnsi"/>
          <w:snapToGrid w:val="0"/>
          <w:lang w:val="en-GB"/>
        </w:rPr>
        <w:t xml:space="preserve">The PBAC acknowledged the strong consumer support for daratumumab which described the benefits of first line treatment with DLd and highlighted the ongoing need for new </w:t>
      </w:r>
      <w:r w:rsidR="00CA27EE" w:rsidRPr="0015148F">
        <w:rPr>
          <w:rFonts w:asciiTheme="minorHAnsi" w:hAnsiTheme="minorHAnsi"/>
          <w:snapToGrid w:val="0"/>
          <w:lang w:val="en-GB"/>
        </w:rPr>
        <w:t xml:space="preserve">and </w:t>
      </w:r>
      <w:r w:rsidRPr="0015148F">
        <w:rPr>
          <w:rFonts w:asciiTheme="minorHAnsi" w:hAnsiTheme="minorHAnsi"/>
          <w:snapToGrid w:val="0"/>
          <w:lang w:val="en-GB"/>
        </w:rPr>
        <w:t xml:space="preserve">effective therapies for the treatment of multiple myeloma. </w:t>
      </w:r>
      <w:r w:rsidR="006956D8" w:rsidRPr="0015148F">
        <w:rPr>
          <w:rFonts w:asciiTheme="minorHAnsi" w:hAnsiTheme="minorHAnsi"/>
          <w:snapToGrid w:val="0"/>
          <w:lang w:val="en-GB"/>
        </w:rPr>
        <w:t xml:space="preserve">The PBAC considered that the input from individuals, health care professionals and organisations provided valuable insights about the experience of individuals diagnosed with multiple myeloma, and the </w:t>
      </w:r>
      <w:r w:rsidR="00157813" w:rsidRPr="0015148F">
        <w:rPr>
          <w:rFonts w:asciiTheme="minorHAnsi" w:hAnsiTheme="minorHAnsi"/>
          <w:snapToGrid w:val="0"/>
          <w:lang w:val="en-GB"/>
        </w:rPr>
        <w:t>desire</w:t>
      </w:r>
      <w:r w:rsidR="006956D8" w:rsidRPr="0015148F">
        <w:rPr>
          <w:rFonts w:asciiTheme="minorHAnsi" w:hAnsiTheme="minorHAnsi"/>
          <w:snapToGrid w:val="0"/>
          <w:lang w:val="en-GB"/>
        </w:rPr>
        <w:t xml:space="preserve"> </w:t>
      </w:r>
      <w:r w:rsidR="00157813" w:rsidRPr="0015148F">
        <w:rPr>
          <w:rFonts w:asciiTheme="minorHAnsi" w:hAnsiTheme="minorHAnsi"/>
          <w:snapToGrid w:val="0"/>
          <w:lang w:val="en-GB"/>
        </w:rPr>
        <w:t>for</w:t>
      </w:r>
      <w:r w:rsidR="006956D8" w:rsidRPr="0015148F">
        <w:rPr>
          <w:rFonts w:asciiTheme="minorHAnsi" w:hAnsiTheme="minorHAnsi"/>
          <w:snapToGrid w:val="0"/>
          <w:lang w:val="en-GB"/>
        </w:rPr>
        <w:t xml:space="preserve"> improve</w:t>
      </w:r>
      <w:r w:rsidR="00157813" w:rsidRPr="0015148F">
        <w:rPr>
          <w:rFonts w:asciiTheme="minorHAnsi" w:hAnsiTheme="minorHAnsi"/>
          <w:snapToGrid w:val="0"/>
          <w:lang w:val="en-GB"/>
        </w:rPr>
        <w:t>d</w:t>
      </w:r>
      <w:r w:rsidR="006956D8" w:rsidRPr="0015148F">
        <w:rPr>
          <w:rFonts w:asciiTheme="minorHAnsi" w:hAnsiTheme="minorHAnsi"/>
          <w:snapToGrid w:val="0"/>
          <w:lang w:val="en-GB"/>
        </w:rPr>
        <w:t xml:space="preserve"> treatment outcomes for this incurable disease.</w:t>
      </w:r>
    </w:p>
    <w:p w14:paraId="04FAE4C9" w14:textId="77777777" w:rsidR="0015148F" w:rsidRDefault="00B45009" w:rsidP="0015148F">
      <w:pPr>
        <w:widowControl w:val="0"/>
        <w:numPr>
          <w:ilvl w:val="1"/>
          <w:numId w:val="1"/>
        </w:numPr>
        <w:spacing w:after="120"/>
        <w:rPr>
          <w:rFonts w:asciiTheme="minorHAnsi" w:hAnsiTheme="minorHAnsi"/>
          <w:snapToGrid w:val="0"/>
          <w:lang w:val="en-GB"/>
        </w:rPr>
      </w:pPr>
      <w:r w:rsidRPr="006956D8">
        <w:rPr>
          <w:rFonts w:asciiTheme="minorHAnsi" w:hAnsiTheme="minorHAnsi"/>
          <w:snapToGrid w:val="0"/>
          <w:lang w:val="en-GB"/>
        </w:rPr>
        <w:t xml:space="preserve">The PBAC </w:t>
      </w:r>
      <w:r w:rsidR="009C3B8C" w:rsidRPr="006956D8">
        <w:rPr>
          <w:rFonts w:asciiTheme="minorHAnsi" w:hAnsiTheme="minorHAnsi"/>
          <w:snapToGrid w:val="0"/>
          <w:lang w:val="en-GB"/>
        </w:rPr>
        <w:t xml:space="preserve">noted that the submission proposed that DLd would be used in </w:t>
      </w:r>
      <w:r w:rsidR="00354952" w:rsidRPr="006956D8">
        <w:rPr>
          <w:rFonts w:asciiTheme="minorHAnsi" w:hAnsiTheme="minorHAnsi"/>
          <w:snapToGrid w:val="0"/>
          <w:lang w:val="en-GB"/>
        </w:rPr>
        <w:t xml:space="preserve">patients </w:t>
      </w:r>
      <w:r w:rsidR="00CA27EE" w:rsidRPr="006956D8">
        <w:rPr>
          <w:rFonts w:asciiTheme="minorHAnsi" w:hAnsiTheme="minorHAnsi"/>
          <w:snapToGrid w:val="0"/>
          <w:lang w:val="en-GB"/>
        </w:rPr>
        <w:t xml:space="preserve">with NDMM </w:t>
      </w:r>
      <w:r w:rsidR="00354952" w:rsidRPr="006956D8">
        <w:rPr>
          <w:rFonts w:asciiTheme="minorHAnsi" w:hAnsiTheme="minorHAnsi"/>
          <w:snapToGrid w:val="0"/>
          <w:lang w:val="en-GB"/>
        </w:rPr>
        <w:t xml:space="preserve">who </w:t>
      </w:r>
      <w:r w:rsidR="0067734C" w:rsidRPr="006956D8">
        <w:rPr>
          <w:rFonts w:asciiTheme="minorHAnsi" w:hAnsiTheme="minorHAnsi"/>
          <w:snapToGrid w:val="0"/>
          <w:lang w:val="en-GB"/>
        </w:rPr>
        <w:t>were ineligible for a primary stem cell transplant (SCT)</w:t>
      </w:r>
      <w:r w:rsidR="00354952" w:rsidRPr="006956D8">
        <w:rPr>
          <w:rFonts w:asciiTheme="minorHAnsi" w:hAnsiTheme="minorHAnsi"/>
          <w:snapToGrid w:val="0"/>
          <w:lang w:val="en-GB"/>
        </w:rPr>
        <w:t xml:space="preserve">. The PBAC considered that the definition of transplant ineligibility was arbitrary </w:t>
      </w:r>
      <w:r w:rsidR="00312955" w:rsidRPr="006956D8">
        <w:rPr>
          <w:rFonts w:asciiTheme="minorHAnsi" w:hAnsiTheme="minorHAnsi"/>
          <w:snapToGrid w:val="0"/>
          <w:lang w:val="en-GB"/>
        </w:rPr>
        <w:t xml:space="preserve">and may change over time </w:t>
      </w:r>
      <w:r w:rsidR="00354952" w:rsidRPr="006956D8">
        <w:rPr>
          <w:rFonts w:asciiTheme="minorHAnsi" w:hAnsiTheme="minorHAnsi"/>
          <w:snapToGrid w:val="0"/>
          <w:lang w:val="en-GB"/>
        </w:rPr>
        <w:t xml:space="preserve">and that there was </w:t>
      </w:r>
      <w:r w:rsidR="00312955" w:rsidRPr="006956D8">
        <w:rPr>
          <w:rFonts w:asciiTheme="minorHAnsi" w:hAnsiTheme="minorHAnsi"/>
          <w:snapToGrid w:val="0"/>
          <w:lang w:val="en-GB"/>
        </w:rPr>
        <w:t xml:space="preserve">therefore </w:t>
      </w:r>
      <w:r w:rsidR="00354952" w:rsidRPr="006956D8">
        <w:rPr>
          <w:rFonts w:asciiTheme="minorHAnsi" w:hAnsiTheme="minorHAnsi"/>
          <w:snapToGrid w:val="0"/>
          <w:lang w:val="en-GB"/>
        </w:rPr>
        <w:t xml:space="preserve">a high risk that a large number of patients who were transplant eligible would receive DLd. </w:t>
      </w:r>
      <w:r w:rsidR="00312955" w:rsidRPr="006956D8">
        <w:rPr>
          <w:rFonts w:asciiTheme="minorHAnsi" w:hAnsiTheme="minorHAnsi"/>
          <w:snapToGrid w:val="0"/>
          <w:lang w:val="en-GB"/>
        </w:rPr>
        <w:t>The PBAC advised that the proposed restriction should be amended to include more stringent criteria to limit use to the TI NDMM population</w:t>
      </w:r>
      <w:r w:rsidR="0015148F">
        <w:rPr>
          <w:rFonts w:asciiTheme="minorHAnsi" w:hAnsiTheme="minorHAnsi"/>
          <w:snapToGrid w:val="0"/>
          <w:lang w:val="en-GB"/>
        </w:rPr>
        <w:t xml:space="preserve">, </w:t>
      </w:r>
      <w:r w:rsidR="0015148F" w:rsidRPr="00056B86">
        <w:rPr>
          <w:rFonts w:asciiTheme="minorHAnsi" w:hAnsiTheme="minorHAnsi"/>
          <w:snapToGrid w:val="0"/>
          <w:lang w:val="en-GB"/>
        </w:rPr>
        <w:t xml:space="preserve">or alternatively </w:t>
      </w:r>
      <w:r w:rsidR="0015148F">
        <w:rPr>
          <w:rFonts w:asciiTheme="minorHAnsi" w:hAnsiTheme="minorHAnsi"/>
          <w:snapToGrid w:val="0"/>
          <w:lang w:val="en-GB"/>
        </w:rPr>
        <w:t xml:space="preserve">the sponsor could seek </w:t>
      </w:r>
      <w:r w:rsidR="0015148F" w:rsidRPr="00056B86">
        <w:rPr>
          <w:rFonts w:asciiTheme="minorHAnsi" w:hAnsiTheme="minorHAnsi"/>
          <w:snapToGrid w:val="0"/>
          <w:lang w:val="en-GB"/>
        </w:rPr>
        <w:t xml:space="preserve">a whole of myeloma listing </w:t>
      </w:r>
      <w:r w:rsidR="0015148F">
        <w:rPr>
          <w:rFonts w:asciiTheme="minorHAnsi" w:hAnsiTheme="minorHAnsi"/>
          <w:snapToGrid w:val="0"/>
          <w:lang w:val="en-GB"/>
        </w:rPr>
        <w:t>which would enable access for a greater number of patients</w:t>
      </w:r>
      <w:r w:rsidR="0015148F" w:rsidRPr="00056B86">
        <w:rPr>
          <w:rFonts w:asciiTheme="minorHAnsi" w:hAnsiTheme="minorHAnsi"/>
          <w:snapToGrid w:val="0"/>
          <w:lang w:val="en-GB"/>
        </w:rPr>
        <w:t>.</w:t>
      </w:r>
    </w:p>
    <w:p w14:paraId="19011F19" w14:textId="1C05ABF4" w:rsidR="00EA471F" w:rsidRDefault="00312955" w:rsidP="006154D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nominated Ld and bortezomib in combination with Ld (BLd) as comparators. </w:t>
      </w:r>
      <w:r w:rsidR="00EA471F">
        <w:rPr>
          <w:rFonts w:asciiTheme="minorHAnsi" w:hAnsiTheme="minorHAnsi"/>
          <w:snapToGrid w:val="0"/>
          <w:lang w:val="en-GB"/>
        </w:rPr>
        <w:t>T</w:t>
      </w:r>
      <w:r>
        <w:rPr>
          <w:rFonts w:asciiTheme="minorHAnsi" w:hAnsiTheme="minorHAnsi"/>
          <w:snapToGrid w:val="0"/>
          <w:lang w:val="en-GB"/>
        </w:rPr>
        <w:t xml:space="preserve">he PBAC considered that the nomination of </w:t>
      </w:r>
      <w:r w:rsidR="00CA27EE">
        <w:rPr>
          <w:rFonts w:asciiTheme="minorHAnsi" w:hAnsiTheme="minorHAnsi"/>
          <w:snapToGrid w:val="0"/>
          <w:lang w:val="en-GB"/>
        </w:rPr>
        <w:t xml:space="preserve">both </w:t>
      </w:r>
      <w:r>
        <w:rPr>
          <w:rFonts w:asciiTheme="minorHAnsi" w:hAnsiTheme="minorHAnsi"/>
          <w:snapToGrid w:val="0"/>
          <w:lang w:val="en-GB"/>
        </w:rPr>
        <w:t>Ld and BLd as comparators was reasonable</w:t>
      </w:r>
      <w:r w:rsidR="00EA471F">
        <w:rPr>
          <w:rFonts w:asciiTheme="minorHAnsi" w:hAnsiTheme="minorHAnsi"/>
          <w:snapToGrid w:val="0"/>
          <w:lang w:val="en-GB"/>
        </w:rPr>
        <w:t xml:space="preserve"> as: (i) both BLd and DLd are triple therapies and are therefore likely to be used in the same patients, and (ii) DLd is well tolerated and is therefore likely replace some use of Ld in </w:t>
      </w:r>
      <w:r w:rsidR="0077279B">
        <w:rPr>
          <w:rFonts w:asciiTheme="minorHAnsi" w:hAnsiTheme="minorHAnsi"/>
          <w:snapToGrid w:val="0"/>
          <w:lang w:val="en-GB"/>
        </w:rPr>
        <w:t>frailer</w:t>
      </w:r>
      <w:r w:rsidR="00EA471F">
        <w:rPr>
          <w:rFonts w:asciiTheme="minorHAnsi" w:hAnsiTheme="minorHAnsi"/>
          <w:snapToGrid w:val="0"/>
          <w:lang w:val="en-GB"/>
        </w:rPr>
        <w:t xml:space="preserve"> patients.</w:t>
      </w:r>
      <w:r>
        <w:rPr>
          <w:rFonts w:asciiTheme="minorHAnsi" w:hAnsiTheme="minorHAnsi"/>
          <w:snapToGrid w:val="0"/>
          <w:lang w:val="en-GB"/>
        </w:rPr>
        <w:t xml:space="preserve"> </w:t>
      </w:r>
    </w:p>
    <w:p w14:paraId="7969EDFF" w14:textId="71E73C80" w:rsidR="00EA471F" w:rsidRDefault="00EA471F" w:rsidP="006154DA">
      <w:pPr>
        <w:widowControl w:val="0"/>
        <w:numPr>
          <w:ilvl w:val="1"/>
          <w:numId w:val="1"/>
        </w:numPr>
        <w:spacing w:after="120"/>
        <w:rPr>
          <w:rFonts w:asciiTheme="minorHAnsi" w:hAnsiTheme="minorHAnsi"/>
          <w:snapToGrid w:val="0"/>
          <w:lang w:val="en-GB"/>
        </w:rPr>
      </w:pPr>
      <w:bookmarkStart w:id="133" w:name="_Ref130906557"/>
      <w:r>
        <w:rPr>
          <w:rFonts w:asciiTheme="minorHAnsi" w:hAnsiTheme="minorHAnsi"/>
          <w:snapToGrid w:val="0"/>
          <w:lang w:val="en-GB"/>
        </w:rPr>
        <w:t xml:space="preserve">The PBAC noted that the submission claimed that Ld was </w:t>
      </w:r>
      <w:r w:rsidR="00E65A63">
        <w:rPr>
          <w:rFonts w:asciiTheme="minorHAnsi" w:hAnsiTheme="minorHAnsi"/>
          <w:snapToGrid w:val="0"/>
          <w:lang w:val="en-GB"/>
        </w:rPr>
        <w:t>a reasonable proxy for BLd i</w:t>
      </w:r>
      <w:r w:rsidR="0077279B">
        <w:rPr>
          <w:rFonts w:asciiTheme="minorHAnsi" w:hAnsiTheme="minorHAnsi"/>
          <w:snapToGrid w:val="0"/>
          <w:lang w:val="en-GB"/>
        </w:rPr>
        <w:t xml:space="preserve">n terms of efficacy based on the fact that there were no statistically significant differences in PFS or OS between BLd or Ld in </w:t>
      </w:r>
      <w:r w:rsidR="00FD1AC2">
        <w:rPr>
          <w:rFonts w:asciiTheme="minorHAnsi" w:hAnsiTheme="minorHAnsi"/>
          <w:snapToGrid w:val="0"/>
          <w:lang w:val="en-GB"/>
        </w:rPr>
        <w:t xml:space="preserve">the subgroup of </w:t>
      </w:r>
      <w:r w:rsidR="0077279B">
        <w:rPr>
          <w:rFonts w:asciiTheme="minorHAnsi" w:hAnsiTheme="minorHAnsi"/>
          <w:snapToGrid w:val="0"/>
          <w:lang w:val="en-GB"/>
        </w:rPr>
        <w:t xml:space="preserve">patients aged </w:t>
      </w:r>
      <w:r w:rsidR="0077279B">
        <w:rPr>
          <w:rFonts w:asciiTheme="minorHAnsi" w:hAnsiTheme="minorHAnsi" w:cstheme="minorHAnsi"/>
          <w:snapToGrid w:val="0"/>
          <w:lang w:val="en-GB"/>
        </w:rPr>
        <w:t>≥</w:t>
      </w:r>
      <w:r w:rsidR="0077279B">
        <w:rPr>
          <w:rFonts w:asciiTheme="minorHAnsi" w:hAnsiTheme="minorHAnsi"/>
          <w:snapToGrid w:val="0"/>
          <w:lang w:val="en-GB"/>
        </w:rPr>
        <w:t xml:space="preserve"> 65 in the SWOG s0777 trial</w:t>
      </w:r>
      <w:r w:rsidR="00A21C04">
        <w:rPr>
          <w:rFonts w:asciiTheme="minorHAnsi" w:hAnsiTheme="minorHAnsi"/>
          <w:snapToGrid w:val="0"/>
          <w:lang w:val="en-GB"/>
        </w:rPr>
        <w:t xml:space="preserve"> (see paragraph</w:t>
      </w:r>
      <w:r w:rsidR="00E65A63">
        <w:rPr>
          <w:rFonts w:asciiTheme="minorHAnsi" w:hAnsiTheme="minorHAnsi"/>
          <w:snapToGrid w:val="0"/>
          <w:lang w:val="en-GB"/>
        </w:rPr>
        <w:t>s</w:t>
      </w:r>
      <w:r w:rsidR="00A21C04">
        <w:rPr>
          <w:rFonts w:asciiTheme="minorHAnsi" w:hAnsiTheme="minorHAnsi"/>
          <w:snapToGrid w:val="0"/>
          <w:lang w:val="en-GB"/>
        </w:rPr>
        <w:t xml:space="preserve"> </w:t>
      </w:r>
      <w:r w:rsidR="00A21C04">
        <w:rPr>
          <w:rFonts w:asciiTheme="minorHAnsi" w:hAnsiTheme="minorHAnsi"/>
          <w:snapToGrid w:val="0"/>
          <w:lang w:val="en-GB"/>
        </w:rPr>
        <w:fldChar w:fldCharType="begin"/>
      </w:r>
      <w:r w:rsidR="00A21C04">
        <w:rPr>
          <w:rFonts w:asciiTheme="minorHAnsi" w:hAnsiTheme="minorHAnsi"/>
          <w:snapToGrid w:val="0"/>
          <w:lang w:val="en-GB"/>
        </w:rPr>
        <w:instrText xml:space="preserve"> REF _Ref130894235 \r \h </w:instrText>
      </w:r>
      <w:r w:rsidR="00A21C04">
        <w:rPr>
          <w:rFonts w:asciiTheme="minorHAnsi" w:hAnsiTheme="minorHAnsi"/>
          <w:snapToGrid w:val="0"/>
          <w:lang w:val="en-GB"/>
        </w:rPr>
      </w:r>
      <w:r w:rsidR="00A21C04">
        <w:rPr>
          <w:rFonts w:asciiTheme="minorHAnsi" w:hAnsiTheme="minorHAnsi"/>
          <w:snapToGrid w:val="0"/>
          <w:lang w:val="en-GB"/>
        </w:rPr>
        <w:fldChar w:fldCharType="separate"/>
      </w:r>
      <w:r w:rsidR="008D65C7">
        <w:rPr>
          <w:rFonts w:asciiTheme="minorHAnsi" w:hAnsiTheme="minorHAnsi"/>
          <w:snapToGrid w:val="0"/>
          <w:lang w:val="en-GB"/>
        </w:rPr>
        <w:t>6.21</w:t>
      </w:r>
      <w:r w:rsidR="00A21C04">
        <w:rPr>
          <w:rFonts w:asciiTheme="minorHAnsi" w:hAnsiTheme="minorHAnsi"/>
          <w:snapToGrid w:val="0"/>
          <w:lang w:val="en-GB"/>
        </w:rPr>
        <w:fldChar w:fldCharType="end"/>
      </w:r>
      <w:r w:rsidR="00E65A63">
        <w:rPr>
          <w:rFonts w:asciiTheme="minorHAnsi" w:hAnsiTheme="minorHAnsi"/>
          <w:snapToGrid w:val="0"/>
          <w:lang w:val="en-GB"/>
        </w:rPr>
        <w:t xml:space="preserve"> and </w:t>
      </w:r>
      <w:r w:rsidR="00E65A63">
        <w:rPr>
          <w:rFonts w:asciiTheme="minorHAnsi" w:hAnsiTheme="minorHAnsi"/>
          <w:snapToGrid w:val="0"/>
          <w:lang w:val="en-GB"/>
        </w:rPr>
        <w:fldChar w:fldCharType="begin"/>
      </w:r>
      <w:r w:rsidR="00E65A63">
        <w:rPr>
          <w:rFonts w:asciiTheme="minorHAnsi" w:hAnsiTheme="minorHAnsi"/>
          <w:snapToGrid w:val="0"/>
          <w:lang w:val="en-GB"/>
        </w:rPr>
        <w:instrText xml:space="preserve"> REF _Ref130906535 \r \h </w:instrText>
      </w:r>
      <w:r w:rsidR="00E65A63">
        <w:rPr>
          <w:rFonts w:asciiTheme="minorHAnsi" w:hAnsiTheme="minorHAnsi"/>
          <w:snapToGrid w:val="0"/>
          <w:lang w:val="en-GB"/>
        </w:rPr>
      </w:r>
      <w:r w:rsidR="00E65A63">
        <w:rPr>
          <w:rFonts w:asciiTheme="minorHAnsi" w:hAnsiTheme="minorHAnsi"/>
          <w:snapToGrid w:val="0"/>
          <w:lang w:val="en-GB"/>
        </w:rPr>
        <w:fldChar w:fldCharType="separate"/>
      </w:r>
      <w:r w:rsidR="008D65C7">
        <w:rPr>
          <w:rFonts w:asciiTheme="minorHAnsi" w:hAnsiTheme="minorHAnsi"/>
          <w:snapToGrid w:val="0"/>
          <w:lang w:val="en-GB"/>
        </w:rPr>
        <w:t>7.10</w:t>
      </w:r>
      <w:r w:rsidR="00E65A63">
        <w:rPr>
          <w:rFonts w:asciiTheme="minorHAnsi" w:hAnsiTheme="minorHAnsi"/>
          <w:snapToGrid w:val="0"/>
          <w:lang w:val="en-GB"/>
        </w:rPr>
        <w:fldChar w:fldCharType="end"/>
      </w:r>
      <w:r w:rsidR="00A21C04">
        <w:rPr>
          <w:rFonts w:asciiTheme="minorHAnsi" w:hAnsiTheme="minorHAnsi"/>
          <w:snapToGrid w:val="0"/>
          <w:lang w:val="en-GB"/>
        </w:rPr>
        <w:t>)</w:t>
      </w:r>
      <w:r w:rsidR="0077279B">
        <w:rPr>
          <w:rFonts w:asciiTheme="minorHAnsi" w:hAnsiTheme="minorHAnsi"/>
          <w:snapToGrid w:val="0"/>
          <w:lang w:val="en-GB"/>
        </w:rPr>
        <w:t>.</w:t>
      </w:r>
      <w:r w:rsidR="00E91AB2">
        <w:rPr>
          <w:rFonts w:asciiTheme="minorHAnsi" w:hAnsiTheme="minorHAnsi"/>
          <w:snapToGrid w:val="0"/>
          <w:lang w:val="en-GB"/>
        </w:rPr>
        <w:t xml:space="preserve"> The PBAC recalled that it had previously considered that BLd was superior to Ld (paragraph 7.5, lenalidomide PSD, August 2019 PBAC meeting) and considered that the submission’s claim was not supported for the reasons outlined in paragraph </w:t>
      </w:r>
      <w:r w:rsidR="00E91AB2">
        <w:rPr>
          <w:rFonts w:asciiTheme="minorHAnsi" w:hAnsiTheme="minorHAnsi"/>
          <w:snapToGrid w:val="0"/>
          <w:lang w:val="en-GB"/>
        </w:rPr>
        <w:fldChar w:fldCharType="begin"/>
      </w:r>
      <w:r w:rsidR="00E91AB2">
        <w:rPr>
          <w:rFonts w:asciiTheme="minorHAnsi" w:hAnsiTheme="minorHAnsi"/>
          <w:snapToGrid w:val="0"/>
          <w:lang w:val="en-GB"/>
        </w:rPr>
        <w:instrText xml:space="preserve"> REF _Ref122532110 \r \h </w:instrText>
      </w:r>
      <w:r w:rsidR="00E91AB2">
        <w:rPr>
          <w:rFonts w:asciiTheme="minorHAnsi" w:hAnsiTheme="minorHAnsi"/>
          <w:snapToGrid w:val="0"/>
          <w:lang w:val="en-GB"/>
        </w:rPr>
      </w:r>
      <w:r w:rsidR="00E91AB2">
        <w:rPr>
          <w:rFonts w:asciiTheme="minorHAnsi" w:hAnsiTheme="minorHAnsi"/>
          <w:snapToGrid w:val="0"/>
          <w:lang w:val="en-GB"/>
        </w:rPr>
        <w:fldChar w:fldCharType="separate"/>
      </w:r>
      <w:r w:rsidR="008D65C7">
        <w:rPr>
          <w:rFonts w:asciiTheme="minorHAnsi" w:hAnsiTheme="minorHAnsi"/>
          <w:snapToGrid w:val="0"/>
          <w:lang w:val="en-GB"/>
        </w:rPr>
        <w:t>6.22</w:t>
      </w:r>
      <w:r w:rsidR="00E91AB2">
        <w:rPr>
          <w:rFonts w:asciiTheme="minorHAnsi" w:hAnsiTheme="minorHAnsi"/>
          <w:snapToGrid w:val="0"/>
          <w:lang w:val="en-GB"/>
        </w:rPr>
        <w:fldChar w:fldCharType="end"/>
      </w:r>
      <w:r w:rsidR="00E91AB2">
        <w:rPr>
          <w:rFonts w:asciiTheme="minorHAnsi" w:hAnsiTheme="minorHAnsi"/>
          <w:snapToGrid w:val="0"/>
          <w:lang w:val="en-GB"/>
        </w:rPr>
        <w:t>.</w:t>
      </w:r>
      <w:bookmarkEnd w:id="133"/>
    </w:p>
    <w:p w14:paraId="1496C34D" w14:textId="2C4C6F82" w:rsidR="00EA471F" w:rsidRDefault="00EA471F" w:rsidP="006154DA">
      <w:pPr>
        <w:widowControl w:val="0"/>
        <w:numPr>
          <w:ilvl w:val="1"/>
          <w:numId w:val="1"/>
        </w:numPr>
        <w:spacing w:after="120"/>
        <w:rPr>
          <w:rFonts w:asciiTheme="minorHAnsi" w:hAnsiTheme="minorHAnsi"/>
          <w:snapToGrid w:val="0"/>
          <w:lang w:val="en-GB"/>
        </w:rPr>
      </w:pPr>
      <w:bookmarkStart w:id="134" w:name="_Ref130976679"/>
      <w:r>
        <w:rPr>
          <w:rFonts w:asciiTheme="minorHAnsi" w:hAnsiTheme="minorHAnsi"/>
          <w:snapToGrid w:val="0"/>
          <w:lang w:val="en-GB"/>
        </w:rPr>
        <w:t>T</w:t>
      </w:r>
      <w:r w:rsidR="00312955">
        <w:rPr>
          <w:rFonts w:asciiTheme="minorHAnsi" w:hAnsiTheme="minorHAnsi"/>
          <w:snapToGrid w:val="0"/>
          <w:lang w:val="en-GB"/>
        </w:rPr>
        <w:t>h</w:t>
      </w:r>
      <w:r w:rsidR="00661F8A">
        <w:rPr>
          <w:rFonts w:asciiTheme="minorHAnsi" w:hAnsiTheme="minorHAnsi"/>
          <w:snapToGrid w:val="0"/>
          <w:lang w:val="en-GB"/>
        </w:rPr>
        <w:t>us, th</w:t>
      </w:r>
      <w:r w:rsidR="00312955">
        <w:rPr>
          <w:rFonts w:asciiTheme="minorHAnsi" w:hAnsiTheme="minorHAnsi"/>
          <w:snapToGrid w:val="0"/>
          <w:lang w:val="en-GB"/>
        </w:rPr>
        <w:t>e PBAC considered that a weighted comparison between Ld and BLd</w:t>
      </w:r>
      <w:r w:rsidR="00661F8A">
        <w:rPr>
          <w:rFonts w:asciiTheme="minorHAnsi" w:hAnsiTheme="minorHAnsi"/>
          <w:snapToGrid w:val="0"/>
          <w:lang w:val="en-GB"/>
        </w:rPr>
        <w:t xml:space="preserve"> would best reflect current clinical practice</w:t>
      </w:r>
      <w:r>
        <w:rPr>
          <w:rFonts w:asciiTheme="minorHAnsi" w:hAnsiTheme="minorHAnsi"/>
          <w:snapToGrid w:val="0"/>
          <w:lang w:val="en-GB"/>
        </w:rPr>
        <w:t xml:space="preserve">, </w:t>
      </w:r>
      <w:r w:rsidR="00661F8A">
        <w:rPr>
          <w:rFonts w:asciiTheme="minorHAnsi" w:hAnsiTheme="minorHAnsi"/>
          <w:snapToGrid w:val="0"/>
          <w:lang w:val="en-GB"/>
        </w:rPr>
        <w:t>and advised that basing the weighting on data from the</w:t>
      </w:r>
      <w:r>
        <w:rPr>
          <w:rFonts w:asciiTheme="minorHAnsi" w:hAnsiTheme="minorHAnsi"/>
          <w:snapToGrid w:val="0"/>
          <w:lang w:val="en-GB"/>
        </w:rPr>
        <w:t xml:space="preserve"> Myeloma and Related Diseases Registry (MRDR</w:t>
      </w:r>
      <w:r w:rsidR="00661F8A">
        <w:rPr>
          <w:rFonts w:asciiTheme="minorHAnsi" w:hAnsiTheme="minorHAnsi"/>
          <w:snapToGrid w:val="0"/>
          <w:lang w:val="en-GB"/>
        </w:rPr>
        <w:t>; i.e. 68% BLd use versus 32% Ld use)</w:t>
      </w:r>
      <w:r>
        <w:rPr>
          <w:rFonts w:asciiTheme="minorHAnsi" w:hAnsiTheme="minorHAnsi"/>
          <w:snapToGrid w:val="0"/>
          <w:lang w:val="en-GB"/>
        </w:rPr>
        <w:t>,</w:t>
      </w:r>
      <w:r w:rsidR="00312955">
        <w:rPr>
          <w:rFonts w:asciiTheme="minorHAnsi" w:hAnsiTheme="minorHAnsi"/>
          <w:snapToGrid w:val="0"/>
          <w:lang w:val="en-GB"/>
        </w:rPr>
        <w:t xml:space="preserve"> would </w:t>
      </w:r>
      <w:r w:rsidR="00661F8A">
        <w:rPr>
          <w:rFonts w:asciiTheme="minorHAnsi" w:hAnsiTheme="minorHAnsi"/>
          <w:snapToGrid w:val="0"/>
          <w:lang w:val="en-GB"/>
        </w:rPr>
        <w:t>be</w:t>
      </w:r>
      <w:r w:rsidR="00312955">
        <w:rPr>
          <w:rFonts w:asciiTheme="minorHAnsi" w:hAnsiTheme="minorHAnsi"/>
          <w:snapToGrid w:val="0"/>
          <w:lang w:val="en-GB"/>
        </w:rPr>
        <w:t xml:space="preserve"> appropriate</w:t>
      </w:r>
      <w:r>
        <w:rPr>
          <w:rFonts w:asciiTheme="minorHAnsi" w:hAnsiTheme="minorHAnsi"/>
          <w:snapToGrid w:val="0"/>
          <w:lang w:val="en-GB"/>
        </w:rPr>
        <w:t>.</w:t>
      </w:r>
      <w:bookmarkEnd w:id="134"/>
    </w:p>
    <w:p w14:paraId="0B5E8959" w14:textId="5A070C81" w:rsidR="00661F8A" w:rsidRDefault="00661F8A" w:rsidP="005E12EE">
      <w:pPr>
        <w:widowControl w:val="0"/>
        <w:numPr>
          <w:ilvl w:val="1"/>
          <w:numId w:val="1"/>
        </w:numPr>
        <w:spacing w:after="120"/>
        <w:rPr>
          <w:rFonts w:asciiTheme="minorHAnsi" w:hAnsiTheme="minorHAnsi"/>
          <w:snapToGrid w:val="0"/>
          <w:lang w:val="en-GB"/>
        </w:rPr>
      </w:pPr>
      <w:r w:rsidRPr="00661F8A">
        <w:rPr>
          <w:rFonts w:asciiTheme="minorHAnsi" w:hAnsiTheme="minorHAnsi"/>
          <w:snapToGrid w:val="0"/>
          <w:lang w:val="en-GB"/>
        </w:rPr>
        <w:t>The PBAC noted that the submission was based on two randomised controlled trials, MAIA, which compared DLd to Ld in TI NDMM patients, and SWOG s0777, which compared BLd to Ld in patients with NDMM without an intent for immediate transplant. The PBAC noted that MAIA enrolled patients who were not considered eligible for transplant, determined by age (</w:t>
      </w:r>
      <w:r w:rsidRPr="00661F8A">
        <w:rPr>
          <w:rFonts w:asciiTheme="minorHAnsi" w:hAnsiTheme="minorHAnsi" w:cstheme="minorHAnsi"/>
          <w:snapToGrid w:val="0"/>
          <w:lang w:val="en-GB"/>
        </w:rPr>
        <w:t>≥</w:t>
      </w:r>
      <w:r w:rsidRPr="00661F8A">
        <w:rPr>
          <w:rFonts w:asciiTheme="minorHAnsi" w:hAnsiTheme="minorHAnsi"/>
          <w:snapToGrid w:val="0"/>
          <w:lang w:val="en-GB"/>
        </w:rPr>
        <w:t xml:space="preserve"> 65 years or &lt; 65 with presence of comorbid conditions).</w:t>
      </w:r>
      <w:r>
        <w:rPr>
          <w:rFonts w:asciiTheme="minorHAnsi" w:hAnsiTheme="minorHAnsi"/>
          <w:snapToGrid w:val="0"/>
          <w:lang w:val="en-GB"/>
        </w:rPr>
        <w:t xml:space="preserve"> As SWOG s0777 enrolled patients who were potentially candidates for transplant, the submission presented results for a subgroup of patients who were </w:t>
      </w:r>
      <w:r>
        <w:rPr>
          <w:rFonts w:asciiTheme="minorHAnsi" w:hAnsiTheme="minorHAnsi" w:cstheme="minorHAnsi"/>
          <w:snapToGrid w:val="0"/>
          <w:lang w:val="en-GB"/>
        </w:rPr>
        <w:t>≥</w:t>
      </w:r>
      <w:r w:rsidR="00541709">
        <w:rPr>
          <w:rFonts w:asciiTheme="minorHAnsi" w:hAnsiTheme="minorHAnsi" w:cstheme="minorHAnsi"/>
          <w:snapToGrid w:val="0"/>
          <w:lang w:val="en-GB"/>
        </w:rPr>
        <w:t xml:space="preserve"> </w:t>
      </w:r>
      <w:r>
        <w:rPr>
          <w:rFonts w:asciiTheme="minorHAnsi" w:hAnsiTheme="minorHAnsi"/>
          <w:snapToGrid w:val="0"/>
          <w:lang w:val="en-GB"/>
        </w:rPr>
        <w:t>65 years of age</w:t>
      </w:r>
      <w:r w:rsidR="00541709">
        <w:rPr>
          <w:rFonts w:asciiTheme="minorHAnsi" w:hAnsiTheme="minorHAnsi"/>
          <w:snapToGrid w:val="0"/>
          <w:lang w:val="en-GB"/>
        </w:rPr>
        <w:t xml:space="preserve">. The PBAC considered that the evidence may not reflect </w:t>
      </w:r>
      <w:r w:rsidR="00541709">
        <w:rPr>
          <w:rFonts w:asciiTheme="minorHAnsi" w:hAnsiTheme="minorHAnsi"/>
          <w:snapToGrid w:val="0"/>
          <w:lang w:val="en-GB"/>
        </w:rPr>
        <w:lastRenderedPageBreak/>
        <w:t xml:space="preserve">Australian clinical practice as </w:t>
      </w:r>
      <w:r w:rsidR="00902BC3">
        <w:rPr>
          <w:rFonts w:asciiTheme="minorHAnsi" w:hAnsiTheme="minorHAnsi"/>
          <w:snapToGrid w:val="0"/>
          <w:lang w:val="en-GB"/>
        </w:rPr>
        <w:t xml:space="preserve">some of </w:t>
      </w:r>
      <w:r w:rsidR="00541709">
        <w:rPr>
          <w:rFonts w:asciiTheme="minorHAnsi" w:hAnsiTheme="minorHAnsi"/>
          <w:snapToGrid w:val="0"/>
          <w:lang w:val="en-GB"/>
        </w:rPr>
        <w:t>the patients in</w:t>
      </w:r>
      <w:r w:rsidR="00004066">
        <w:rPr>
          <w:rFonts w:asciiTheme="minorHAnsi" w:hAnsiTheme="minorHAnsi"/>
          <w:snapToGrid w:val="0"/>
          <w:lang w:val="en-GB"/>
        </w:rPr>
        <w:t>cluded in</w:t>
      </w:r>
      <w:r w:rsidR="00541709">
        <w:rPr>
          <w:rFonts w:asciiTheme="minorHAnsi" w:hAnsiTheme="minorHAnsi"/>
          <w:snapToGrid w:val="0"/>
          <w:lang w:val="en-GB"/>
        </w:rPr>
        <w:t xml:space="preserve"> the analyses (i.e. the </w:t>
      </w:r>
      <w:r w:rsidR="00004066">
        <w:rPr>
          <w:rFonts w:asciiTheme="minorHAnsi" w:hAnsiTheme="minorHAnsi"/>
          <w:snapToGrid w:val="0"/>
          <w:lang w:val="en-GB"/>
        </w:rPr>
        <w:t>intention to treat (</w:t>
      </w:r>
      <w:r w:rsidR="00541709">
        <w:rPr>
          <w:rFonts w:asciiTheme="minorHAnsi" w:hAnsiTheme="minorHAnsi"/>
          <w:snapToGrid w:val="0"/>
          <w:lang w:val="en-GB"/>
        </w:rPr>
        <w:t>ITT</w:t>
      </w:r>
      <w:r w:rsidR="00004066">
        <w:rPr>
          <w:rFonts w:asciiTheme="minorHAnsi" w:hAnsiTheme="minorHAnsi"/>
          <w:snapToGrid w:val="0"/>
          <w:lang w:val="en-GB"/>
        </w:rPr>
        <w:t>) population</w:t>
      </w:r>
      <w:r w:rsidR="00541709">
        <w:rPr>
          <w:rFonts w:asciiTheme="minorHAnsi" w:hAnsiTheme="minorHAnsi"/>
          <w:snapToGrid w:val="0"/>
          <w:lang w:val="en-GB"/>
        </w:rPr>
        <w:t xml:space="preserve"> from MAIA and the subgroup from </w:t>
      </w:r>
      <w:r w:rsidR="007736A6">
        <w:rPr>
          <w:rFonts w:asciiTheme="minorHAnsi" w:hAnsiTheme="minorHAnsi"/>
          <w:snapToGrid w:val="0"/>
          <w:lang w:val="en-GB"/>
        </w:rPr>
        <w:t>SWOG </w:t>
      </w:r>
      <w:r w:rsidR="00541709">
        <w:rPr>
          <w:rFonts w:asciiTheme="minorHAnsi" w:hAnsiTheme="minorHAnsi"/>
          <w:snapToGrid w:val="0"/>
          <w:lang w:val="en-GB"/>
        </w:rPr>
        <w:t>s0777) could potentially be candidates for transplant as patients in Australia</w:t>
      </w:r>
      <w:r w:rsidR="00004066">
        <w:rPr>
          <w:rStyle w:val="FootnoteReference"/>
          <w:rFonts w:asciiTheme="minorHAnsi" w:hAnsiTheme="minorHAnsi"/>
          <w:snapToGrid w:val="0"/>
          <w:lang w:val="en-GB"/>
        </w:rPr>
        <w:footnoteReference w:id="14"/>
      </w:r>
      <w:r w:rsidR="00541709">
        <w:rPr>
          <w:rFonts w:asciiTheme="minorHAnsi" w:hAnsiTheme="minorHAnsi"/>
          <w:snapToGrid w:val="0"/>
          <w:lang w:val="en-GB"/>
        </w:rPr>
        <w:t xml:space="preserve">. </w:t>
      </w:r>
    </w:p>
    <w:p w14:paraId="0A2AA343" w14:textId="4C0A35BF" w:rsidR="00004066" w:rsidRDefault="00004066"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comparison between DLd and Ld was based on the results of MAIA. The PBAC noted that DLd was associated with statistically significant improvements in progression free survival (PFS; HR = 0.55; 95% CI: 0.45, 0.67)</w:t>
      </w:r>
      <w:r w:rsidR="007F790A">
        <w:rPr>
          <w:rFonts w:asciiTheme="minorHAnsi" w:hAnsiTheme="minorHAnsi"/>
          <w:snapToGrid w:val="0"/>
          <w:lang w:val="en-GB"/>
        </w:rPr>
        <w:t xml:space="preserve">, </w:t>
      </w:r>
      <w:r>
        <w:rPr>
          <w:rFonts w:asciiTheme="minorHAnsi" w:hAnsiTheme="minorHAnsi"/>
          <w:snapToGrid w:val="0"/>
          <w:lang w:val="en-GB"/>
        </w:rPr>
        <w:t>overall survival (OS; HR</w:t>
      </w:r>
      <w:r w:rsidR="007736A6">
        <w:rPr>
          <w:rFonts w:asciiTheme="minorHAnsi" w:hAnsiTheme="minorHAnsi"/>
          <w:snapToGrid w:val="0"/>
          <w:lang w:val="en-GB"/>
        </w:rPr>
        <w:t> </w:t>
      </w:r>
      <w:r>
        <w:rPr>
          <w:rFonts w:asciiTheme="minorHAnsi" w:hAnsiTheme="minorHAnsi"/>
          <w:snapToGrid w:val="0"/>
          <w:lang w:val="en-GB"/>
        </w:rPr>
        <w:t xml:space="preserve">= </w:t>
      </w:r>
      <w:r w:rsidR="006E73CD">
        <w:rPr>
          <w:rFonts w:asciiTheme="minorHAnsi" w:hAnsiTheme="minorHAnsi"/>
          <w:snapToGrid w:val="0"/>
          <w:lang w:val="en-GB"/>
        </w:rPr>
        <w:t>0</w:t>
      </w:r>
      <w:r>
        <w:rPr>
          <w:rFonts w:asciiTheme="minorHAnsi" w:hAnsiTheme="minorHAnsi"/>
          <w:snapToGrid w:val="0"/>
          <w:lang w:val="en-GB"/>
        </w:rPr>
        <w:t>.66; 95% CI: 0.53. 0.83)</w:t>
      </w:r>
      <w:r w:rsidR="007F790A">
        <w:rPr>
          <w:rFonts w:asciiTheme="minorHAnsi" w:hAnsiTheme="minorHAnsi"/>
          <w:snapToGrid w:val="0"/>
          <w:lang w:val="en-GB"/>
        </w:rPr>
        <w:t xml:space="preserve"> and overall response rate (ORR; OR = 3.00; 95% CI: 1.85, 4.86)</w:t>
      </w:r>
      <w:r>
        <w:rPr>
          <w:rFonts w:asciiTheme="minorHAnsi" w:hAnsiTheme="minorHAnsi"/>
          <w:snapToGrid w:val="0"/>
          <w:lang w:val="en-GB"/>
        </w:rPr>
        <w:t xml:space="preserve"> in the ITT population. </w:t>
      </w:r>
      <w:r w:rsidR="00D84D80">
        <w:rPr>
          <w:rFonts w:asciiTheme="minorHAnsi" w:hAnsiTheme="minorHAnsi"/>
          <w:snapToGrid w:val="0"/>
          <w:lang w:val="en-GB"/>
        </w:rPr>
        <w:t>The PBAC noted that although the incidence of adverse events was fairly similar for patients receiving DLd and Ld, DLd was associated with more serious adverse events.</w:t>
      </w:r>
    </w:p>
    <w:p w14:paraId="644A4414" w14:textId="2B1CB11C" w:rsidR="00D84D80" w:rsidRDefault="00D84D80"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Overall, the PBAC considered that the submission’s claims that DLd was superior in terms of effectiveness and inferior in terms of safety compared to Ld were reasonable.</w:t>
      </w:r>
    </w:p>
    <w:p w14:paraId="476E5B3D" w14:textId="2769B2FF" w:rsidR="00C44650" w:rsidRDefault="007F790A" w:rsidP="005E12EE">
      <w:pPr>
        <w:widowControl w:val="0"/>
        <w:numPr>
          <w:ilvl w:val="1"/>
          <w:numId w:val="1"/>
        </w:numPr>
        <w:spacing w:after="120"/>
        <w:rPr>
          <w:rFonts w:asciiTheme="minorHAnsi" w:hAnsiTheme="minorHAnsi"/>
          <w:snapToGrid w:val="0"/>
          <w:lang w:val="en-GB"/>
        </w:rPr>
      </w:pPr>
      <w:bookmarkStart w:id="135" w:name="_Ref130906535"/>
      <w:r>
        <w:rPr>
          <w:rFonts w:asciiTheme="minorHAnsi" w:hAnsiTheme="minorHAnsi"/>
          <w:snapToGrid w:val="0"/>
          <w:lang w:val="en-GB"/>
        </w:rPr>
        <w:t>The PBAC noted that instead of presenting indirect treatment comparison</w:t>
      </w:r>
      <w:r w:rsidR="00E65A63">
        <w:rPr>
          <w:rFonts w:asciiTheme="minorHAnsi" w:hAnsiTheme="minorHAnsi"/>
          <w:snapToGrid w:val="0"/>
          <w:lang w:val="en-GB"/>
        </w:rPr>
        <w:t>s</w:t>
      </w:r>
      <w:r>
        <w:rPr>
          <w:rFonts w:asciiTheme="minorHAnsi" w:hAnsiTheme="minorHAnsi"/>
          <w:snapToGrid w:val="0"/>
          <w:lang w:val="en-GB"/>
        </w:rPr>
        <w:t xml:space="preserve"> (ITC</w:t>
      </w:r>
      <w:r w:rsidR="00E65A63">
        <w:rPr>
          <w:rFonts w:asciiTheme="minorHAnsi" w:hAnsiTheme="minorHAnsi"/>
          <w:snapToGrid w:val="0"/>
          <w:lang w:val="en-GB"/>
        </w:rPr>
        <w:t>s</w:t>
      </w:r>
      <w:r>
        <w:rPr>
          <w:rFonts w:asciiTheme="minorHAnsi" w:hAnsiTheme="minorHAnsi"/>
          <w:snapToGrid w:val="0"/>
          <w:lang w:val="en-GB"/>
        </w:rPr>
        <w:t xml:space="preserve">) between DLd and BLd using Ld as the common comparator, the submission </w:t>
      </w:r>
      <w:r w:rsidR="00E65A63">
        <w:rPr>
          <w:rFonts w:asciiTheme="minorHAnsi" w:hAnsiTheme="minorHAnsi"/>
          <w:snapToGrid w:val="0"/>
          <w:lang w:val="en-GB"/>
        </w:rPr>
        <w:t xml:space="preserve">only </w:t>
      </w:r>
      <w:r>
        <w:rPr>
          <w:rFonts w:asciiTheme="minorHAnsi" w:hAnsiTheme="minorHAnsi"/>
          <w:snapToGrid w:val="0"/>
          <w:lang w:val="en-GB"/>
        </w:rPr>
        <w:t>presented the results of the comparison</w:t>
      </w:r>
      <w:r w:rsidR="00E65A63">
        <w:rPr>
          <w:rFonts w:asciiTheme="minorHAnsi" w:hAnsiTheme="minorHAnsi"/>
          <w:snapToGrid w:val="0"/>
          <w:lang w:val="en-GB"/>
        </w:rPr>
        <w:t>s</w:t>
      </w:r>
      <w:r>
        <w:rPr>
          <w:rFonts w:asciiTheme="minorHAnsi" w:hAnsiTheme="minorHAnsi"/>
          <w:snapToGrid w:val="0"/>
          <w:lang w:val="en-GB"/>
        </w:rPr>
        <w:t xml:space="preserve"> between BLd and Ld from SWOG s0777</w:t>
      </w:r>
      <w:r w:rsidR="00E65A63">
        <w:rPr>
          <w:rFonts w:asciiTheme="minorHAnsi" w:hAnsiTheme="minorHAnsi"/>
          <w:snapToGrid w:val="0"/>
          <w:lang w:val="en-GB"/>
        </w:rPr>
        <w:t xml:space="preserve">. As the comparison between BLd and Ld for the subgroup of patients aged </w:t>
      </w:r>
      <w:r w:rsidR="00E65A63">
        <w:rPr>
          <w:rFonts w:asciiTheme="minorHAnsi" w:hAnsiTheme="minorHAnsi" w:cstheme="minorHAnsi"/>
          <w:snapToGrid w:val="0"/>
          <w:lang w:val="en-GB"/>
        </w:rPr>
        <w:t>≥</w:t>
      </w:r>
      <w:r w:rsidR="007736A6">
        <w:rPr>
          <w:rFonts w:asciiTheme="minorHAnsi" w:hAnsiTheme="minorHAnsi"/>
          <w:snapToGrid w:val="0"/>
          <w:lang w:val="en-GB"/>
        </w:rPr>
        <w:t> 65 </w:t>
      </w:r>
      <w:r w:rsidR="00E65A63">
        <w:rPr>
          <w:rFonts w:asciiTheme="minorHAnsi" w:hAnsiTheme="minorHAnsi"/>
          <w:snapToGrid w:val="0"/>
          <w:lang w:val="en-GB"/>
        </w:rPr>
        <w:t xml:space="preserve">years demonstrated no statistically significant differences in terms of PFS (HR = 0.90; 95% CI: 0.65, 1.26) and OS (HR = 0.88; 95% CI: 0.59, 1.31) after a median follow up of </w:t>
      </w:r>
      <w:r w:rsidR="007736A6">
        <w:rPr>
          <w:rFonts w:asciiTheme="minorHAnsi" w:hAnsiTheme="minorHAnsi"/>
          <w:snapToGrid w:val="0"/>
          <w:lang w:val="en-GB"/>
        </w:rPr>
        <w:t>55 </w:t>
      </w:r>
      <w:r w:rsidR="00E65A63">
        <w:rPr>
          <w:rFonts w:asciiTheme="minorHAnsi" w:hAnsiTheme="minorHAnsi"/>
          <w:snapToGrid w:val="0"/>
          <w:lang w:val="en-GB"/>
        </w:rPr>
        <w:t>months</w:t>
      </w:r>
      <w:r w:rsidR="00B218AA">
        <w:rPr>
          <w:rFonts w:asciiTheme="minorHAnsi" w:hAnsiTheme="minorHAnsi"/>
          <w:snapToGrid w:val="0"/>
          <w:lang w:val="en-GB"/>
        </w:rPr>
        <w:t>,</w:t>
      </w:r>
      <w:r w:rsidR="00E65A63">
        <w:rPr>
          <w:rFonts w:asciiTheme="minorHAnsi" w:hAnsiTheme="minorHAnsi"/>
          <w:snapToGrid w:val="0"/>
          <w:lang w:val="en-GB"/>
        </w:rPr>
        <w:t xml:space="preserve"> the submission concluded that BLd and Ld were equivalent in terms of efficacy. Thus, the submission stated that </w:t>
      </w:r>
      <w:r w:rsidR="00D20A79">
        <w:rPr>
          <w:rFonts w:asciiTheme="minorHAnsi" w:hAnsiTheme="minorHAnsi"/>
          <w:snapToGrid w:val="0"/>
          <w:lang w:val="en-GB"/>
        </w:rPr>
        <w:t xml:space="preserve">and ITC between DLd and BLd was not required and </w:t>
      </w:r>
      <w:r w:rsidR="00E65A63">
        <w:rPr>
          <w:rFonts w:asciiTheme="minorHAnsi" w:hAnsiTheme="minorHAnsi"/>
          <w:snapToGrid w:val="0"/>
          <w:lang w:val="en-GB"/>
        </w:rPr>
        <w:t xml:space="preserve">the results from MAIA </w:t>
      </w:r>
      <w:r w:rsidR="00D20A79">
        <w:rPr>
          <w:rFonts w:asciiTheme="minorHAnsi" w:hAnsiTheme="minorHAnsi"/>
          <w:snapToGrid w:val="0"/>
          <w:lang w:val="en-GB"/>
        </w:rPr>
        <w:t xml:space="preserve">(DLd versus Ld) </w:t>
      </w:r>
      <w:r w:rsidR="00E65A63">
        <w:rPr>
          <w:rFonts w:asciiTheme="minorHAnsi" w:hAnsiTheme="minorHAnsi"/>
          <w:snapToGrid w:val="0"/>
          <w:lang w:val="en-GB"/>
        </w:rPr>
        <w:t>were a reasonable proxy for the comparison between DLd and BLd.</w:t>
      </w:r>
      <w:bookmarkEnd w:id="135"/>
      <w:r w:rsidR="00E65A63">
        <w:rPr>
          <w:rFonts w:asciiTheme="minorHAnsi" w:hAnsiTheme="minorHAnsi"/>
          <w:snapToGrid w:val="0"/>
          <w:lang w:val="en-GB"/>
        </w:rPr>
        <w:t xml:space="preserve"> As noted in paragraph </w:t>
      </w:r>
      <w:r w:rsidR="00E65A63">
        <w:rPr>
          <w:rFonts w:asciiTheme="minorHAnsi" w:hAnsiTheme="minorHAnsi"/>
          <w:snapToGrid w:val="0"/>
          <w:lang w:val="en-GB"/>
        </w:rPr>
        <w:fldChar w:fldCharType="begin"/>
      </w:r>
      <w:r w:rsidR="00E65A63">
        <w:rPr>
          <w:rFonts w:asciiTheme="minorHAnsi" w:hAnsiTheme="minorHAnsi"/>
          <w:snapToGrid w:val="0"/>
          <w:lang w:val="en-GB"/>
        </w:rPr>
        <w:instrText xml:space="preserve"> REF _Ref130906557 \r \h </w:instrText>
      </w:r>
      <w:r w:rsidR="00E65A63">
        <w:rPr>
          <w:rFonts w:asciiTheme="minorHAnsi" w:hAnsiTheme="minorHAnsi"/>
          <w:snapToGrid w:val="0"/>
          <w:lang w:val="en-GB"/>
        </w:rPr>
      </w:r>
      <w:r w:rsidR="00E65A63">
        <w:rPr>
          <w:rFonts w:asciiTheme="minorHAnsi" w:hAnsiTheme="minorHAnsi"/>
          <w:snapToGrid w:val="0"/>
          <w:lang w:val="en-GB"/>
        </w:rPr>
        <w:fldChar w:fldCharType="separate"/>
      </w:r>
      <w:r w:rsidR="008D65C7">
        <w:rPr>
          <w:rFonts w:asciiTheme="minorHAnsi" w:hAnsiTheme="minorHAnsi"/>
          <w:snapToGrid w:val="0"/>
          <w:lang w:val="en-GB"/>
        </w:rPr>
        <w:t>7.5</w:t>
      </w:r>
      <w:r w:rsidR="00E65A63">
        <w:rPr>
          <w:rFonts w:asciiTheme="minorHAnsi" w:hAnsiTheme="minorHAnsi"/>
          <w:snapToGrid w:val="0"/>
          <w:lang w:val="en-GB"/>
        </w:rPr>
        <w:fldChar w:fldCharType="end"/>
      </w:r>
      <w:r w:rsidR="00E65A63">
        <w:rPr>
          <w:rFonts w:asciiTheme="minorHAnsi" w:hAnsiTheme="minorHAnsi"/>
          <w:snapToGrid w:val="0"/>
          <w:lang w:val="en-GB"/>
        </w:rPr>
        <w:t>, the PBAC did not consider that the submission’s claim that Ld was a proxy for BLd</w:t>
      </w:r>
      <w:r w:rsidR="00B218AA">
        <w:rPr>
          <w:rFonts w:asciiTheme="minorHAnsi" w:hAnsiTheme="minorHAnsi"/>
          <w:snapToGrid w:val="0"/>
          <w:lang w:val="en-GB"/>
        </w:rPr>
        <w:t xml:space="preserve"> was reasonable</w:t>
      </w:r>
      <w:r w:rsidR="00E65A63">
        <w:rPr>
          <w:rFonts w:asciiTheme="minorHAnsi" w:hAnsiTheme="minorHAnsi"/>
          <w:snapToGrid w:val="0"/>
          <w:lang w:val="en-GB"/>
        </w:rPr>
        <w:t xml:space="preserve">. </w:t>
      </w:r>
    </w:p>
    <w:p w14:paraId="552F8125" w14:textId="6B1D95D6" w:rsidR="00E65A63" w:rsidRDefault="00E65A63"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w:t>
      </w:r>
      <w:r w:rsidR="004A614D">
        <w:rPr>
          <w:rFonts w:asciiTheme="minorHAnsi" w:hAnsiTheme="minorHAnsi"/>
          <w:snapToGrid w:val="0"/>
          <w:lang w:val="en-GB"/>
        </w:rPr>
        <w:t xml:space="preserve">the results of </w:t>
      </w:r>
      <w:r w:rsidR="0067734C">
        <w:rPr>
          <w:rFonts w:asciiTheme="minorHAnsi" w:hAnsiTheme="minorHAnsi"/>
          <w:snapToGrid w:val="0"/>
          <w:lang w:val="en-GB"/>
        </w:rPr>
        <w:t xml:space="preserve">an unadjusted, unanchored </w:t>
      </w:r>
      <w:r w:rsidR="004A614D">
        <w:rPr>
          <w:rFonts w:asciiTheme="minorHAnsi" w:hAnsiTheme="minorHAnsi"/>
          <w:snapToGrid w:val="0"/>
          <w:lang w:val="en-GB"/>
        </w:rPr>
        <w:t xml:space="preserve">ITC </w:t>
      </w:r>
      <w:r w:rsidR="0067734C">
        <w:rPr>
          <w:rFonts w:asciiTheme="minorHAnsi" w:hAnsiTheme="minorHAnsi"/>
          <w:snapToGrid w:val="0"/>
          <w:lang w:val="en-GB"/>
        </w:rPr>
        <w:t xml:space="preserve">comparing DLd with BLd </w:t>
      </w:r>
      <w:r w:rsidR="004A614D">
        <w:rPr>
          <w:rFonts w:asciiTheme="minorHAnsi" w:hAnsiTheme="minorHAnsi"/>
          <w:snapToGrid w:val="0"/>
          <w:lang w:val="en-GB"/>
        </w:rPr>
        <w:t xml:space="preserve">conducted by the evaluators (see </w:t>
      </w:r>
      <w:r w:rsidR="004A614D">
        <w:rPr>
          <w:rFonts w:asciiTheme="minorHAnsi" w:hAnsiTheme="minorHAnsi"/>
          <w:snapToGrid w:val="0"/>
          <w:lang w:val="en-GB"/>
        </w:rPr>
        <w:fldChar w:fldCharType="begin"/>
      </w:r>
      <w:r w:rsidR="004A614D">
        <w:rPr>
          <w:rFonts w:asciiTheme="minorHAnsi" w:hAnsiTheme="minorHAnsi"/>
          <w:snapToGrid w:val="0"/>
          <w:lang w:val="en-GB"/>
        </w:rPr>
        <w:instrText xml:space="preserve"> REF _Ref121750934 \h </w:instrText>
      </w:r>
      <w:r w:rsidR="004A614D">
        <w:rPr>
          <w:rFonts w:asciiTheme="minorHAnsi" w:hAnsiTheme="minorHAnsi"/>
          <w:snapToGrid w:val="0"/>
          <w:lang w:val="en-GB"/>
        </w:rPr>
      </w:r>
      <w:r w:rsidR="004A614D">
        <w:rPr>
          <w:rFonts w:asciiTheme="minorHAnsi" w:hAnsiTheme="minorHAnsi"/>
          <w:snapToGrid w:val="0"/>
          <w:lang w:val="en-GB"/>
        </w:rPr>
        <w:fldChar w:fldCharType="separate"/>
      </w:r>
      <w:r w:rsidR="008D65C7" w:rsidRPr="0058247A">
        <w:t xml:space="preserve">Table </w:t>
      </w:r>
      <w:r w:rsidR="008D65C7">
        <w:rPr>
          <w:noProof/>
        </w:rPr>
        <w:t>9</w:t>
      </w:r>
      <w:r w:rsidR="004A614D">
        <w:rPr>
          <w:rFonts w:asciiTheme="minorHAnsi" w:hAnsiTheme="minorHAnsi"/>
          <w:snapToGrid w:val="0"/>
          <w:lang w:val="en-GB"/>
        </w:rPr>
        <w:fldChar w:fldCharType="end"/>
      </w:r>
      <w:r w:rsidR="004A614D">
        <w:rPr>
          <w:rFonts w:asciiTheme="minorHAnsi" w:hAnsiTheme="minorHAnsi"/>
          <w:snapToGrid w:val="0"/>
          <w:lang w:val="en-GB"/>
        </w:rPr>
        <w:t xml:space="preserve">) </w:t>
      </w:r>
      <w:r w:rsidR="0067734C">
        <w:rPr>
          <w:rFonts w:asciiTheme="minorHAnsi" w:hAnsiTheme="minorHAnsi"/>
          <w:snapToGrid w:val="0"/>
          <w:lang w:val="en-GB"/>
        </w:rPr>
        <w:t xml:space="preserve">using </w:t>
      </w:r>
      <w:r w:rsidR="004A614D">
        <w:rPr>
          <w:rFonts w:asciiTheme="minorHAnsi" w:hAnsiTheme="minorHAnsi"/>
          <w:snapToGrid w:val="0"/>
          <w:lang w:val="en-GB"/>
        </w:rPr>
        <w:t xml:space="preserve">the </w:t>
      </w:r>
      <w:r w:rsidR="0067734C">
        <w:rPr>
          <w:rFonts w:asciiTheme="minorHAnsi" w:hAnsiTheme="minorHAnsi"/>
          <w:snapToGrid w:val="0"/>
          <w:lang w:val="en-GB"/>
        </w:rPr>
        <w:t xml:space="preserve">DLd arm </w:t>
      </w:r>
      <w:r w:rsidR="004A614D">
        <w:rPr>
          <w:rFonts w:asciiTheme="minorHAnsi" w:hAnsiTheme="minorHAnsi"/>
          <w:snapToGrid w:val="0"/>
          <w:lang w:val="en-GB"/>
        </w:rPr>
        <w:t xml:space="preserve">from MAIA and the </w:t>
      </w:r>
      <w:r w:rsidR="0067734C">
        <w:rPr>
          <w:rFonts w:asciiTheme="minorHAnsi" w:hAnsiTheme="minorHAnsi"/>
          <w:snapToGrid w:val="0"/>
          <w:lang w:val="en-GB"/>
        </w:rPr>
        <w:t xml:space="preserve">BLd arm of the </w:t>
      </w:r>
      <w:r w:rsidR="004A614D">
        <w:rPr>
          <w:rFonts w:asciiTheme="minorHAnsi" w:hAnsiTheme="minorHAnsi" w:cstheme="minorHAnsi"/>
          <w:snapToGrid w:val="0"/>
          <w:lang w:val="en-GB"/>
        </w:rPr>
        <w:t>≥</w:t>
      </w:r>
      <w:r w:rsidR="004A614D">
        <w:rPr>
          <w:rFonts w:asciiTheme="minorHAnsi" w:hAnsiTheme="minorHAnsi"/>
          <w:snapToGrid w:val="0"/>
          <w:lang w:val="en-GB"/>
        </w:rPr>
        <w:t xml:space="preserve"> 65 years subgroup from SWOG s0777</w:t>
      </w:r>
      <w:r w:rsidR="0067734C">
        <w:rPr>
          <w:rFonts w:asciiTheme="minorHAnsi" w:hAnsiTheme="minorHAnsi"/>
          <w:snapToGrid w:val="0"/>
          <w:lang w:val="en-GB"/>
        </w:rPr>
        <w:t xml:space="preserve">. Although there were potential issues of transitivity due to differences in patient baseline and disease characteristics, the results </w:t>
      </w:r>
      <w:r w:rsidR="004A614D">
        <w:rPr>
          <w:rFonts w:asciiTheme="minorHAnsi" w:hAnsiTheme="minorHAnsi"/>
          <w:snapToGrid w:val="0"/>
          <w:lang w:val="en-GB"/>
        </w:rPr>
        <w:t>demonstrated that DLd was not statistically different compared to BLd in terms of OS.</w:t>
      </w:r>
    </w:p>
    <w:p w14:paraId="156C9F31" w14:textId="36227AB1" w:rsidR="00D20A79" w:rsidRDefault="00D20A79"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did not present a comparison of safety between DLd and BLd.</w:t>
      </w:r>
    </w:p>
    <w:p w14:paraId="21586F6A" w14:textId="45969394" w:rsidR="00BD56BF" w:rsidRPr="00513706" w:rsidRDefault="00D20A79" w:rsidP="009039D0">
      <w:pPr>
        <w:widowControl w:val="0"/>
        <w:numPr>
          <w:ilvl w:val="1"/>
          <w:numId w:val="1"/>
        </w:numPr>
        <w:spacing w:after="120"/>
        <w:rPr>
          <w:rFonts w:asciiTheme="minorHAnsi" w:hAnsiTheme="minorHAnsi"/>
          <w:snapToGrid w:val="0"/>
          <w:lang w:val="en-GB"/>
        </w:rPr>
      </w:pPr>
      <w:r w:rsidRPr="00513706">
        <w:rPr>
          <w:rFonts w:asciiTheme="minorHAnsi" w:hAnsiTheme="minorHAnsi"/>
          <w:snapToGrid w:val="0"/>
          <w:lang w:val="en-GB"/>
        </w:rPr>
        <w:t>The PBAC considered that the submission’s claim</w:t>
      </w:r>
      <w:r w:rsidR="000A5449" w:rsidRPr="00513706">
        <w:rPr>
          <w:rFonts w:asciiTheme="minorHAnsi" w:hAnsiTheme="minorHAnsi"/>
          <w:snapToGrid w:val="0"/>
          <w:lang w:val="en-GB"/>
        </w:rPr>
        <w:t>s</w:t>
      </w:r>
      <w:r w:rsidRPr="00513706">
        <w:rPr>
          <w:rFonts w:asciiTheme="minorHAnsi" w:hAnsiTheme="minorHAnsi"/>
          <w:snapToGrid w:val="0"/>
          <w:lang w:val="en-GB"/>
        </w:rPr>
        <w:t xml:space="preserve"> that DLd was superior in terms of effectiveness and at worst non-inferior in terms of safety </w:t>
      </w:r>
      <w:r w:rsidR="000A5449" w:rsidRPr="00513706">
        <w:rPr>
          <w:rFonts w:asciiTheme="minorHAnsi" w:hAnsiTheme="minorHAnsi"/>
          <w:snapToGrid w:val="0"/>
          <w:lang w:val="en-GB"/>
        </w:rPr>
        <w:t>compared to BLd were highly uncertain and could not be supported as no comparative data were presented.</w:t>
      </w:r>
      <w:r w:rsidR="00BD56BF" w:rsidRPr="00513706">
        <w:rPr>
          <w:rFonts w:asciiTheme="minorHAnsi" w:hAnsiTheme="minorHAnsi"/>
          <w:snapToGrid w:val="0"/>
          <w:lang w:val="en-GB"/>
        </w:rPr>
        <w:t xml:space="preserve"> The PBAC </w:t>
      </w:r>
      <w:r w:rsidR="00513706" w:rsidRPr="00513706">
        <w:rPr>
          <w:rFonts w:asciiTheme="minorHAnsi" w:hAnsiTheme="minorHAnsi"/>
          <w:snapToGrid w:val="0"/>
          <w:lang w:val="en-GB"/>
        </w:rPr>
        <w:t xml:space="preserve">noted </w:t>
      </w:r>
      <w:r w:rsidR="00BD56BF" w:rsidRPr="00513706">
        <w:rPr>
          <w:rFonts w:asciiTheme="minorHAnsi" w:hAnsiTheme="minorHAnsi"/>
          <w:snapToGrid w:val="0"/>
          <w:lang w:val="en-GB"/>
        </w:rPr>
        <w:t xml:space="preserve">that BLd is the most commonly used treatment based on MRDR data (see </w:t>
      </w:r>
      <w:r w:rsidR="00BD56BF" w:rsidRPr="00513706">
        <w:rPr>
          <w:rFonts w:asciiTheme="minorHAnsi" w:hAnsiTheme="minorHAnsi"/>
          <w:snapToGrid w:val="0"/>
          <w:lang w:val="en-GB"/>
        </w:rPr>
        <w:lastRenderedPageBreak/>
        <w:t xml:space="preserve">paragraph </w:t>
      </w:r>
      <w:r w:rsidR="00BD56BF" w:rsidRPr="00513706">
        <w:rPr>
          <w:rFonts w:asciiTheme="minorHAnsi" w:hAnsiTheme="minorHAnsi"/>
          <w:snapToGrid w:val="0"/>
          <w:lang w:val="en-GB"/>
        </w:rPr>
        <w:fldChar w:fldCharType="begin"/>
      </w:r>
      <w:r w:rsidR="00BD56BF" w:rsidRPr="00513706">
        <w:rPr>
          <w:rFonts w:asciiTheme="minorHAnsi" w:hAnsiTheme="minorHAnsi"/>
          <w:snapToGrid w:val="0"/>
          <w:lang w:val="en-GB"/>
        </w:rPr>
        <w:instrText xml:space="preserve"> REF _Ref130976679 \r \h </w:instrText>
      </w:r>
      <w:r w:rsidR="00BD56BF" w:rsidRPr="00513706">
        <w:rPr>
          <w:rFonts w:asciiTheme="minorHAnsi" w:hAnsiTheme="minorHAnsi"/>
          <w:snapToGrid w:val="0"/>
          <w:lang w:val="en-GB"/>
        </w:rPr>
      </w:r>
      <w:r w:rsidR="00BD56BF" w:rsidRPr="00513706">
        <w:rPr>
          <w:rFonts w:asciiTheme="minorHAnsi" w:hAnsiTheme="minorHAnsi"/>
          <w:snapToGrid w:val="0"/>
          <w:lang w:val="en-GB"/>
        </w:rPr>
        <w:fldChar w:fldCharType="separate"/>
      </w:r>
      <w:r w:rsidR="008D65C7">
        <w:rPr>
          <w:rFonts w:asciiTheme="minorHAnsi" w:hAnsiTheme="minorHAnsi"/>
          <w:snapToGrid w:val="0"/>
          <w:lang w:val="en-GB"/>
        </w:rPr>
        <w:t>7.6</w:t>
      </w:r>
      <w:r w:rsidR="00BD56BF" w:rsidRPr="00513706">
        <w:rPr>
          <w:rFonts w:asciiTheme="minorHAnsi" w:hAnsiTheme="minorHAnsi"/>
          <w:snapToGrid w:val="0"/>
          <w:lang w:val="en-GB"/>
        </w:rPr>
        <w:fldChar w:fldCharType="end"/>
      </w:r>
      <w:r w:rsidR="00BD56BF" w:rsidRPr="00513706">
        <w:rPr>
          <w:rFonts w:asciiTheme="minorHAnsi" w:hAnsiTheme="minorHAnsi"/>
          <w:snapToGrid w:val="0"/>
          <w:lang w:val="en-GB"/>
        </w:rPr>
        <w:t>).</w:t>
      </w:r>
    </w:p>
    <w:p w14:paraId="591CD3BE" w14:textId="32B14E74" w:rsidR="000A5449" w:rsidRDefault="000A5449"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submission presented</w:t>
      </w:r>
      <w:r w:rsidR="00C60B33">
        <w:rPr>
          <w:rFonts w:asciiTheme="minorHAnsi" w:hAnsiTheme="minorHAnsi"/>
          <w:snapToGrid w:val="0"/>
          <w:lang w:val="en-GB"/>
        </w:rPr>
        <w:t xml:space="preserve"> a cost utility analysis based on the results of the MAIA trial. The PBAC noted that the base case ICER </w:t>
      </w:r>
      <w:r w:rsidR="00CA27EE">
        <w:rPr>
          <w:rFonts w:asciiTheme="minorHAnsi" w:hAnsiTheme="minorHAnsi"/>
          <w:snapToGrid w:val="0"/>
          <w:lang w:val="en-GB"/>
        </w:rPr>
        <w:t xml:space="preserve">in the submission </w:t>
      </w:r>
      <w:r w:rsidR="00C60B33">
        <w:rPr>
          <w:rFonts w:asciiTheme="minorHAnsi" w:hAnsiTheme="minorHAnsi"/>
          <w:snapToGrid w:val="0"/>
          <w:lang w:val="en-GB"/>
        </w:rPr>
        <w:t xml:space="preserve">was </w:t>
      </w:r>
      <w:r w:rsidR="007736A6" w:rsidRPr="007736A6">
        <w:rPr>
          <w:rFonts w:asciiTheme="minorHAnsi" w:hAnsiTheme="minorHAnsi"/>
          <w:snapToGrid w:val="0"/>
        </w:rPr>
        <w:t>$155,000 to &lt; $255,000</w:t>
      </w:r>
      <w:r w:rsidR="007736A6">
        <w:rPr>
          <w:rFonts w:asciiTheme="minorHAnsi" w:hAnsiTheme="minorHAnsi"/>
          <w:snapToGrid w:val="0"/>
        </w:rPr>
        <w:t xml:space="preserve"> </w:t>
      </w:r>
      <w:r w:rsidR="00C60B33">
        <w:rPr>
          <w:rFonts w:asciiTheme="minorHAnsi" w:hAnsiTheme="minorHAnsi"/>
          <w:snapToGrid w:val="0"/>
          <w:lang w:val="en-GB"/>
        </w:rPr>
        <w:t xml:space="preserve">per quality adjusted life year (QALY), which was increased to </w:t>
      </w:r>
      <w:r w:rsidR="007736A6" w:rsidRPr="007736A6">
        <w:rPr>
          <w:rFonts w:asciiTheme="minorHAnsi" w:hAnsiTheme="minorHAnsi"/>
          <w:snapToGrid w:val="0"/>
        </w:rPr>
        <w:t>$155,000 to &lt; $255,000</w:t>
      </w:r>
      <w:r w:rsidR="007736A6">
        <w:rPr>
          <w:rFonts w:asciiTheme="minorHAnsi" w:hAnsiTheme="minorHAnsi"/>
          <w:snapToGrid w:val="0"/>
        </w:rPr>
        <w:t xml:space="preserve"> </w:t>
      </w:r>
      <w:r w:rsidR="00C60B33">
        <w:rPr>
          <w:rFonts w:asciiTheme="minorHAnsi" w:hAnsiTheme="minorHAnsi"/>
          <w:snapToGrid w:val="0"/>
          <w:lang w:val="en-GB"/>
        </w:rPr>
        <w:t>per QALY in the pre-PBAC response</w:t>
      </w:r>
      <w:r w:rsidR="0067734C">
        <w:rPr>
          <w:rFonts w:asciiTheme="minorHAnsi" w:hAnsiTheme="minorHAnsi"/>
          <w:snapToGrid w:val="0"/>
          <w:lang w:val="en-GB"/>
        </w:rPr>
        <w:t xml:space="preserve"> when subsequent treatment costs were updated and the generic price of lenalidomide was included</w:t>
      </w:r>
      <w:r w:rsidR="00C60B33">
        <w:rPr>
          <w:rFonts w:asciiTheme="minorHAnsi" w:hAnsiTheme="minorHAnsi"/>
          <w:snapToGrid w:val="0"/>
          <w:lang w:val="en-GB"/>
        </w:rPr>
        <w:t xml:space="preserve">. The PBAC </w:t>
      </w:r>
      <w:r w:rsidR="00FD1AC2">
        <w:rPr>
          <w:rFonts w:asciiTheme="minorHAnsi" w:hAnsiTheme="minorHAnsi"/>
          <w:snapToGrid w:val="0"/>
          <w:lang w:val="en-GB"/>
        </w:rPr>
        <w:t>noted</w:t>
      </w:r>
      <w:r w:rsidR="00C60B33">
        <w:rPr>
          <w:rFonts w:asciiTheme="minorHAnsi" w:hAnsiTheme="minorHAnsi"/>
          <w:snapToGrid w:val="0"/>
          <w:lang w:val="en-GB"/>
        </w:rPr>
        <w:t xml:space="preserve"> that the ICER was </w:t>
      </w:r>
      <w:r w:rsidR="0067734C">
        <w:rPr>
          <w:rFonts w:asciiTheme="minorHAnsi" w:hAnsiTheme="minorHAnsi"/>
          <w:snapToGrid w:val="0"/>
          <w:lang w:val="en-GB"/>
        </w:rPr>
        <w:t xml:space="preserve">substantially higher than </w:t>
      </w:r>
      <w:r w:rsidR="0015148F">
        <w:rPr>
          <w:rFonts w:asciiTheme="minorHAnsi" w:hAnsiTheme="minorHAnsi"/>
          <w:snapToGrid w:val="0"/>
          <w:lang w:val="en-GB"/>
        </w:rPr>
        <w:t xml:space="preserve">(i) generally accepted by the PBAC for similar conditions, and (ii) </w:t>
      </w:r>
      <w:r w:rsidR="0067734C">
        <w:rPr>
          <w:rFonts w:asciiTheme="minorHAnsi" w:hAnsiTheme="minorHAnsi"/>
          <w:snapToGrid w:val="0"/>
          <w:lang w:val="en-GB"/>
        </w:rPr>
        <w:t>previously accepted for the listing of daratumumab plus bortezomib and dexamethasone (DBd) in relapsed and/or refractory MM</w:t>
      </w:r>
      <w:r w:rsidR="0015148F">
        <w:rPr>
          <w:rFonts w:asciiTheme="minorHAnsi" w:hAnsiTheme="minorHAnsi"/>
          <w:snapToGrid w:val="0"/>
          <w:lang w:val="en-GB"/>
        </w:rPr>
        <w:t>,</w:t>
      </w:r>
      <w:r w:rsidR="00C60B33">
        <w:rPr>
          <w:rFonts w:asciiTheme="minorHAnsi" w:hAnsiTheme="minorHAnsi"/>
          <w:snapToGrid w:val="0"/>
          <w:lang w:val="en-GB"/>
        </w:rPr>
        <w:t xml:space="preserve"> and likely optimistic. The PBAC considered that there were </w:t>
      </w:r>
      <w:r w:rsidR="006D26EC">
        <w:rPr>
          <w:rFonts w:asciiTheme="minorHAnsi" w:hAnsiTheme="minorHAnsi"/>
          <w:snapToGrid w:val="0"/>
          <w:lang w:val="en-GB"/>
        </w:rPr>
        <w:t>numerous</w:t>
      </w:r>
      <w:r w:rsidR="00C60B33">
        <w:rPr>
          <w:rFonts w:asciiTheme="minorHAnsi" w:hAnsiTheme="minorHAnsi"/>
          <w:snapToGrid w:val="0"/>
          <w:lang w:val="en-GB"/>
        </w:rPr>
        <w:t xml:space="preserve"> issues associated with the economic model, including:</w:t>
      </w:r>
    </w:p>
    <w:p w14:paraId="1556074D" w14:textId="7D3F6284" w:rsidR="00C60B33" w:rsidRDefault="006D26EC" w:rsidP="00B102C5">
      <w:pPr>
        <w:widowControl w:val="0"/>
        <w:numPr>
          <w:ilvl w:val="1"/>
          <w:numId w:val="34"/>
        </w:numPr>
        <w:spacing w:after="120"/>
        <w:ind w:left="1080" w:hanging="360"/>
        <w:rPr>
          <w:rFonts w:asciiTheme="minorHAnsi" w:hAnsiTheme="minorHAnsi"/>
          <w:snapToGrid w:val="0"/>
          <w:lang w:val="en-GB"/>
        </w:rPr>
      </w:pPr>
      <w:r>
        <w:rPr>
          <w:rFonts w:asciiTheme="minorHAnsi" w:hAnsiTheme="minorHAnsi"/>
          <w:snapToGrid w:val="0"/>
          <w:lang w:val="en-GB"/>
        </w:rPr>
        <w:t>No BLd specific efficacy data were included as e</w:t>
      </w:r>
      <w:r w:rsidR="00C60B33">
        <w:rPr>
          <w:rFonts w:asciiTheme="minorHAnsi" w:hAnsiTheme="minorHAnsi"/>
          <w:snapToGrid w:val="0"/>
          <w:lang w:val="en-GB"/>
        </w:rPr>
        <w:t xml:space="preserve">fficacy in the comparator arm was informed by the Ld arm of the MAIA trial only </w:t>
      </w:r>
      <w:r w:rsidR="00AB1565">
        <w:rPr>
          <w:rFonts w:asciiTheme="minorHAnsi" w:hAnsiTheme="minorHAnsi"/>
          <w:snapToGrid w:val="0"/>
          <w:lang w:val="en-GB"/>
        </w:rPr>
        <w:t>based on</w:t>
      </w:r>
      <w:r w:rsidR="00C60B33">
        <w:rPr>
          <w:rFonts w:asciiTheme="minorHAnsi" w:hAnsiTheme="minorHAnsi"/>
          <w:snapToGrid w:val="0"/>
          <w:lang w:val="en-GB"/>
        </w:rPr>
        <w:t xml:space="preserve"> the assum</w:t>
      </w:r>
      <w:r w:rsidR="00AB1565">
        <w:rPr>
          <w:rFonts w:asciiTheme="minorHAnsi" w:hAnsiTheme="minorHAnsi"/>
          <w:snapToGrid w:val="0"/>
          <w:lang w:val="en-GB"/>
        </w:rPr>
        <w:t>ption that</w:t>
      </w:r>
      <w:r w:rsidR="00C60B33">
        <w:rPr>
          <w:rFonts w:asciiTheme="minorHAnsi" w:hAnsiTheme="minorHAnsi"/>
          <w:snapToGrid w:val="0"/>
          <w:lang w:val="en-GB"/>
        </w:rPr>
        <w:t xml:space="preserve"> Ld was a reasonable proxy for BLd</w:t>
      </w:r>
      <w:r>
        <w:rPr>
          <w:rFonts w:asciiTheme="minorHAnsi" w:hAnsiTheme="minorHAnsi"/>
          <w:snapToGrid w:val="0"/>
          <w:lang w:val="en-GB"/>
        </w:rPr>
        <w:t xml:space="preserve">. </w:t>
      </w:r>
      <w:r w:rsidR="00CA27EE">
        <w:rPr>
          <w:rFonts w:asciiTheme="minorHAnsi" w:hAnsiTheme="minorHAnsi"/>
          <w:snapToGrid w:val="0"/>
          <w:lang w:val="en-GB"/>
        </w:rPr>
        <w:t>As noted above, t</w:t>
      </w:r>
      <w:r>
        <w:rPr>
          <w:rFonts w:asciiTheme="minorHAnsi" w:hAnsiTheme="minorHAnsi"/>
          <w:snapToGrid w:val="0"/>
          <w:lang w:val="en-GB"/>
        </w:rPr>
        <w:t xml:space="preserve">his assumption was not </w:t>
      </w:r>
      <w:r w:rsidR="00902BC3">
        <w:rPr>
          <w:rFonts w:asciiTheme="minorHAnsi" w:hAnsiTheme="minorHAnsi"/>
          <w:snapToGrid w:val="0"/>
          <w:lang w:val="en-GB"/>
        </w:rPr>
        <w:t>accepted</w:t>
      </w:r>
      <w:r>
        <w:rPr>
          <w:rFonts w:asciiTheme="minorHAnsi" w:hAnsiTheme="minorHAnsi"/>
          <w:snapToGrid w:val="0"/>
          <w:lang w:val="en-GB"/>
        </w:rPr>
        <w:t xml:space="preserve"> by the PBAC</w:t>
      </w:r>
      <w:r w:rsidR="00C60B33">
        <w:rPr>
          <w:rFonts w:asciiTheme="minorHAnsi" w:hAnsiTheme="minorHAnsi"/>
          <w:snapToGrid w:val="0"/>
          <w:lang w:val="en-GB"/>
        </w:rPr>
        <w:t>;</w:t>
      </w:r>
    </w:p>
    <w:p w14:paraId="2CB760A4" w14:textId="2C7674CE" w:rsidR="00C60B33" w:rsidRDefault="00C60B33" w:rsidP="00B102C5">
      <w:pPr>
        <w:widowControl w:val="0"/>
        <w:numPr>
          <w:ilvl w:val="1"/>
          <w:numId w:val="34"/>
        </w:numPr>
        <w:spacing w:after="120"/>
        <w:ind w:left="1080" w:hanging="360"/>
        <w:rPr>
          <w:rFonts w:asciiTheme="minorHAnsi" w:hAnsiTheme="minorHAnsi"/>
          <w:snapToGrid w:val="0"/>
          <w:lang w:val="en-GB"/>
        </w:rPr>
      </w:pPr>
      <w:r>
        <w:rPr>
          <w:rFonts w:asciiTheme="minorHAnsi" w:hAnsiTheme="minorHAnsi"/>
          <w:snapToGrid w:val="0"/>
          <w:lang w:val="en-GB"/>
        </w:rPr>
        <w:t>The time horizon of 20 years was long given the average age of patients entering the model was 74 years;</w:t>
      </w:r>
    </w:p>
    <w:p w14:paraId="576BDA93" w14:textId="571B993F" w:rsidR="00C60B33" w:rsidRDefault="00C60B33" w:rsidP="00B102C5">
      <w:pPr>
        <w:widowControl w:val="0"/>
        <w:numPr>
          <w:ilvl w:val="1"/>
          <w:numId w:val="34"/>
        </w:numPr>
        <w:spacing w:after="120"/>
        <w:ind w:left="1080" w:hanging="360"/>
        <w:rPr>
          <w:rFonts w:asciiTheme="minorHAnsi" w:hAnsiTheme="minorHAnsi"/>
          <w:snapToGrid w:val="0"/>
          <w:lang w:val="en-GB"/>
        </w:rPr>
      </w:pPr>
      <w:r>
        <w:rPr>
          <w:rFonts w:asciiTheme="minorHAnsi" w:hAnsiTheme="minorHAnsi"/>
          <w:snapToGrid w:val="0"/>
          <w:lang w:val="en-GB"/>
        </w:rPr>
        <w:t>The choice of</w:t>
      </w:r>
      <w:r w:rsidR="00B102C5">
        <w:rPr>
          <w:rFonts w:asciiTheme="minorHAnsi" w:hAnsiTheme="minorHAnsi"/>
          <w:snapToGrid w:val="0"/>
          <w:lang w:val="en-GB"/>
        </w:rPr>
        <w:t xml:space="preserve"> parametric functions applied to the OS Kaplan Meier curves resulted in the extrapolated curves diverging at an unreasonably accelerated rate</w:t>
      </w:r>
      <w:r w:rsidR="006D26EC">
        <w:rPr>
          <w:rFonts w:asciiTheme="minorHAnsi" w:hAnsiTheme="minorHAnsi"/>
          <w:snapToGrid w:val="0"/>
          <w:lang w:val="en-GB"/>
        </w:rPr>
        <w:t>. The PBAC noted that 4.4% of patients in the DLd arm were alive at the end of the 20</w:t>
      </w:r>
      <w:r w:rsidR="007736A6">
        <w:rPr>
          <w:rFonts w:asciiTheme="minorHAnsi" w:hAnsiTheme="minorHAnsi"/>
          <w:snapToGrid w:val="0"/>
          <w:lang w:val="en-GB"/>
        </w:rPr>
        <w:t> </w:t>
      </w:r>
      <w:r w:rsidR="006D26EC">
        <w:rPr>
          <w:rFonts w:asciiTheme="minorHAnsi" w:hAnsiTheme="minorHAnsi"/>
          <w:snapToGrid w:val="0"/>
          <w:lang w:val="en-GB"/>
        </w:rPr>
        <w:t>year time horizon, whereas all patients in the comparator arm had died by approximately 15 years</w:t>
      </w:r>
      <w:r w:rsidR="00B102C5">
        <w:rPr>
          <w:rFonts w:asciiTheme="minorHAnsi" w:hAnsiTheme="minorHAnsi"/>
          <w:snapToGrid w:val="0"/>
          <w:lang w:val="en-GB"/>
        </w:rPr>
        <w:t>;</w:t>
      </w:r>
      <w:r w:rsidR="006D26EC">
        <w:rPr>
          <w:rFonts w:asciiTheme="minorHAnsi" w:hAnsiTheme="minorHAnsi"/>
          <w:snapToGrid w:val="0"/>
          <w:lang w:val="en-GB"/>
        </w:rPr>
        <w:t xml:space="preserve"> and</w:t>
      </w:r>
    </w:p>
    <w:p w14:paraId="00EE32C2" w14:textId="2EC8EEDE" w:rsidR="00B102C5" w:rsidRDefault="00B102C5" w:rsidP="00B102C5">
      <w:pPr>
        <w:widowControl w:val="0"/>
        <w:numPr>
          <w:ilvl w:val="1"/>
          <w:numId w:val="34"/>
        </w:numPr>
        <w:spacing w:after="120"/>
        <w:ind w:left="1080" w:hanging="360"/>
        <w:rPr>
          <w:rFonts w:asciiTheme="minorHAnsi" w:hAnsiTheme="minorHAnsi"/>
          <w:snapToGrid w:val="0"/>
          <w:lang w:val="en-GB"/>
        </w:rPr>
      </w:pPr>
      <w:r>
        <w:rPr>
          <w:rFonts w:asciiTheme="minorHAnsi" w:hAnsiTheme="minorHAnsi"/>
          <w:snapToGrid w:val="0"/>
          <w:lang w:val="en-GB"/>
        </w:rPr>
        <w:t>Convergence of the OS curves was not applied.</w:t>
      </w:r>
    </w:p>
    <w:p w14:paraId="200530BE" w14:textId="230174FE" w:rsidR="00B102C5" w:rsidRDefault="00B102C5"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6D26EC">
        <w:rPr>
          <w:rFonts w:asciiTheme="minorHAnsi" w:hAnsiTheme="minorHAnsi"/>
          <w:snapToGrid w:val="0"/>
          <w:lang w:val="en-GB"/>
        </w:rPr>
        <w:t xml:space="preserve">considered that the economic model should be revised to either present a </w:t>
      </w:r>
      <w:r w:rsidR="00CA27EE">
        <w:rPr>
          <w:rFonts w:asciiTheme="minorHAnsi" w:hAnsiTheme="minorHAnsi"/>
          <w:snapToGrid w:val="0"/>
          <w:lang w:val="en-GB"/>
        </w:rPr>
        <w:t xml:space="preserve">(i) </w:t>
      </w:r>
      <w:r w:rsidR="006D26EC">
        <w:rPr>
          <w:rFonts w:asciiTheme="minorHAnsi" w:hAnsiTheme="minorHAnsi"/>
          <w:snapToGrid w:val="0"/>
          <w:lang w:val="en-GB"/>
        </w:rPr>
        <w:t>combined analysis approach consisting of a cost-utility analysis for the comparison between DLd and Ld and a cost-minimisation approach for the comparison between DLd and BLd</w:t>
      </w:r>
      <w:r w:rsidR="00CA27EE">
        <w:rPr>
          <w:rFonts w:asciiTheme="minorHAnsi" w:hAnsiTheme="minorHAnsi"/>
          <w:snapToGrid w:val="0"/>
          <w:lang w:val="en-GB"/>
        </w:rPr>
        <w:t>,</w:t>
      </w:r>
      <w:r w:rsidR="006D26EC">
        <w:rPr>
          <w:rFonts w:asciiTheme="minorHAnsi" w:hAnsiTheme="minorHAnsi"/>
          <w:snapToGrid w:val="0"/>
          <w:lang w:val="en-GB"/>
        </w:rPr>
        <w:t xml:space="preserve"> or </w:t>
      </w:r>
      <w:r w:rsidR="00CA27EE">
        <w:rPr>
          <w:rFonts w:asciiTheme="minorHAnsi" w:hAnsiTheme="minorHAnsi"/>
          <w:snapToGrid w:val="0"/>
          <w:lang w:val="en-GB"/>
        </w:rPr>
        <w:t>(ii)</w:t>
      </w:r>
      <w:r w:rsidR="006D26EC">
        <w:rPr>
          <w:rFonts w:asciiTheme="minorHAnsi" w:hAnsiTheme="minorHAnsi"/>
          <w:snapToGrid w:val="0"/>
          <w:lang w:val="en-GB"/>
        </w:rPr>
        <w:t xml:space="preserve"> re-specified base case which included a treatment effect for BLd, a time horizon of 15 years and revised OS extrapolations. For both options, the PBAC considered that a weighted comparison based on the MRDR data would be appropriate (see paragraph </w:t>
      </w:r>
      <w:r w:rsidR="006D26EC">
        <w:rPr>
          <w:rFonts w:asciiTheme="minorHAnsi" w:hAnsiTheme="minorHAnsi"/>
          <w:snapToGrid w:val="0"/>
          <w:lang w:val="en-GB"/>
        </w:rPr>
        <w:fldChar w:fldCharType="begin"/>
      </w:r>
      <w:r w:rsidR="006D26EC">
        <w:rPr>
          <w:rFonts w:asciiTheme="minorHAnsi" w:hAnsiTheme="minorHAnsi"/>
          <w:snapToGrid w:val="0"/>
          <w:lang w:val="en-GB"/>
        </w:rPr>
        <w:instrText xml:space="preserve"> REF _Ref130976679 \r \h </w:instrText>
      </w:r>
      <w:r w:rsidR="006D26EC">
        <w:rPr>
          <w:rFonts w:asciiTheme="minorHAnsi" w:hAnsiTheme="minorHAnsi"/>
          <w:snapToGrid w:val="0"/>
          <w:lang w:val="en-GB"/>
        </w:rPr>
      </w:r>
      <w:r w:rsidR="006D26EC">
        <w:rPr>
          <w:rFonts w:asciiTheme="minorHAnsi" w:hAnsiTheme="minorHAnsi"/>
          <w:snapToGrid w:val="0"/>
          <w:lang w:val="en-GB"/>
        </w:rPr>
        <w:fldChar w:fldCharType="separate"/>
      </w:r>
      <w:r w:rsidR="008D65C7">
        <w:rPr>
          <w:rFonts w:asciiTheme="minorHAnsi" w:hAnsiTheme="minorHAnsi"/>
          <w:snapToGrid w:val="0"/>
          <w:lang w:val="en-GB"/>
        </w:rPr>
        <w:t>7.6</w:t>
      </w:r>
      <w:r w:rsidR="006D26EC">
        <w:rPr>
          <w:rFonts w:asciiTheme="minorHAnsi" w:hAnsiTheme="minorHAnsi"/>
          <w:snapToGrid w:val="0"/>
          <w:lang w:val="en-GB"/>
        </w:rPr>
        <w:fldChar w:fldCharType="end"/>
      </w:r>
      <w:r w:rsidR="006D26EC">
        <w:rPr>
          <w:rFonts w:asciiTheme="minorHAnsi" w:hAnsiTheme="minorHAnsi"/>
          <w:snapToGrid w:val="0"/>
          <w:lang w:val="en-GB"/>
        </w:rPr>
        <w:t xml:space="preserve">). </w:t>
      </w:r>
    </w:p>
    <w:p w14:paraId="29E73B93" w14:textId="532425D0" w:rsidR="003B12EE" w:rsidRDefault="006D26EC"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w:t>
      </w:r>
      <w:r w:rsidR="007F1893">
        <w:rPr>
          <w:rFonts w:asciiTheme="minorHAnsi" w:hAnsiTheme="minorHAnsi"/>
          <w:snapToGrid w:val="0"/>
          <w:lang w:val="en-GB"/>
        </w:rPr>
        <w:t xml:space="preserve">modelled cost per patient for daratumumab in the first line setting was more than double that accepted as being cost effective in the second line setting. </w:t>
      </w:r>
      <w:r w:rsidR="0067734C">
        <w:rPr>
          <w:rFonts w:asciiTheme="minorHAnsi" w:hAnsiTheme="minorHAnsi"/>
          <w:snapToGrid w:val="0"/>
          <w:lang w:val="en-GB"/>
        </w:rPr>
        <w:t>Noting that a higher per patient cost in the first line was not supported by the evidence presented, t</w:t>
      </w:r>
      <w:r w:rsidR="007F1893">
        <w:rPr>
          <w:rFonts w:asciiTheme="minorHAnsi" w:hAnsiTheme="minorHAnsi"/>
          <w:snapToGrid w:val="0"/>
          <w:lang w:val="en-GB"/>
        </w:rPr>
        <w:t xml:space="preserve">he PBAC advised that a significant price reduction would be required </w:t>
      </w:r>
      <w:r w:rsidR="0067734C">
        <w:rPr>
          <w:rFonts w:asciiTheme="minorHAnsi" w:hAnsiTheme="minorHAnsi"/>
          <w:snapToGrid w:val="0"/>
          <w:lang w:val="en-GB"/>
        </w:rPr>
        <w:t>for daratumumab to be equally cost effective in the first</w:t>
      </w:r>
      <w:r w:rsidR="0015148F">
        <w:rPr>
          <w:rFonts w:asciiTheme="minorHAnsi" w:hAnsiTheme="minorHAnsi"/>
          <w:snapToGrid w:val="0"/>
          <w:lang w:val="en-GB"/>
        </w:rPr>
        <w:t>-</w:t>
      </w:r>
      <w:r w:rsidR="0067734C">
        <w:rPr>
          <w:rFonts w:asciiTheme="minorHAnsi" w:hAnsiTheme="minorHAnsi"/>
          <w:snapToGrid w:val="0"/>
          <w:lang w:val="en-GB"/>
        </w:rPr>
        <w:t xml:space="preserve"> and second</w:t>
      </w:r>
      <w:r w:rsidR="0015148F">
        <w:rPr>
          <w:rFonts w:asciiTheme="minorHAnsi" w:hAnsiTheme="minorHAnsi"/>
          <w:snapToGrid w:val="0"/>
          <w:lang w:val="en-GB"/>
        </w:rPr>
        <w:t>-</w:t>
      </w:r>
      <w:r w:rsidR="0067734C">
        <w:rPr>
          <w:rFonts w:asciiTheme="minorHAnsi" w:hAnsiTheme="minorHAnsi"/>
          <w:snapToGrid w:val="0"/>
          <w:lang w:val="en-GB"/>
        </w:rPr>
        <w:t>line settings</w:t>
      </w:r>
      <w:r w:rsidR="007F1893">
        <w:rPr>
          <w:rFonts w:asciiTheme="minorHAnsi" w:hAnsiTheme="minorHAnsi"/>
          <w:snapToGrid w:val="0"/>
          <w:lang w:val="en-GB"/>
        </w:rPr>
        <w:t>.</w:t>
      </w:r>
    </w:p>
    <w:p w14:paraId="484A0404" w14:textId="24CF6ED3" w:rsidR="006D26EC" w:rsidRDefault="003B12EE" w:rsidP="005E12E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w:t>
      </w:r>
      <w:r w:rsidR="00CA27EE">
        <w:rPr>
          <w:rFonts w:asciiTheme="minorHAnsi" w:hAnsiTheme="minorHAnsi"/>
          <w:snapToGrid w:val="0"/>
          <w:lang w:val="en-GB"/>
        </w:rPr>
        <w:t xml:space="preserve">, noting that the estimated financial impact of listing DLd on the PBS/RPBS exceeded </w:t>
      </w:r>
      <w:bookmarkStart w:id="136" w:name="_Hlk135042745"/>
      <w:r w:rsidR="007736A6" w:rsidRPr="007736A6">
        <w:rPr>
          <w:rFonts w:asciiTheme="minorHAnsi" w:hAnsiTheme="minorHAnsi"/>
          <w:snapToGrid w:val="0"/>
        </w:rPr>
        <w:t>&gt; $1 billion</w:t>
      </w:r>
      <w:bookmarkEnd w:id="136"/>
      <w:r w:rsidR="007736A6" w:rsidRPr="007736A6" w:rsidDel="007736A6">
        <w:rPr>
          <w:rFonts w:asciiTheme="minorHAnsi" w:hAnsiTheme="minorHAnsi"/>
          <w:snapToGrid w:val="0"/>
          <w:lang w:val="en-GB"/>
        </w:rPr>
        <w:t xml:space="preserve"> </w:t>
      </w:r>
      <w:r w:rsidR="00CA27EE">
        <w:rPr>
          <w:rFonts w:asciiTheme="minorHAnsi" w:hAnsiTheme="minorHAnsi"/>
          <w:snapToGrid w:val="0"/>
          <w:lang w:val="en-GB"/>
        </w:rPr>
        <w:t>over the first 6 years of listing,</w:t>
      </w:r>
      <w:r>
        <w:rPr>
          <w:rFonts w:asciiTheme="minorHAnsi" w:hAnsiTheme="minorHAnsi"/>
          <w:snapToGrid w:val="0"/>
          <w:lang w:val="en-GB"/>
        </w:rPr>
        <w:t xml:space="preserve"> considered that the utilisation estimates were overestimated for the reasons outlined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_Ref127529623 \r \h </w:instrText>
      </w:r>
      <w:r>
        <w:rPr>
          <w:rFonts w:asciiTheme="minorHAnsi" w:hAnsiTheme="minorHAnsi"/>
          <w:snapToGrid w:val="0"/>
          <w:lang w:val="en-GB"/>
        </w:rPr>
      </w:r>
      <w:r>
        <w:rPr>
          <w:rFonts w:asciiTheme="minorHAnsi" w:hAnsiTheme="minorHAnsi"/>
          <w:snapToGrid w:val="0"/>
          <w:lang w:val="en-GB"/>
        </w:rPr>
        <w:fldChar w:fldCharType="separate"/>
      </w:r>
      <w:r w:rsidR="008D65C7">
        <w:rPr>
          <w:rFonts w:asciiTheme="minorHAnsi" w:hAnsiTheme="minorHAnsi"/>
          <w:snapToGrid w:val="0"/>
          <w:lang w:val="en-GB"/>
        </w:rPr>
        <w:t>6.58</w:t>
      </w:r>
      <w:r>
        <w:rPr>
          <w:rFonts w:asciiTheme="minorHAnsi" w:hAnsiTheme="minorHAnsi"/>
          <w:snapToGrid w:val="0"/>
          <w:lang w:val="en-GB"/>
        </w:rPr>
        <w:fldChar w:fldCharType="end"/>
      </w:r>
      <w:r>
        <w:rPr>
          <w:rFonts w:asciiTheme="minorHAnsi" w:hAnsiTheme="minorHAnsi"/>
          <w:snapToGrid w:val="0"/>
          <w:lang w:val="en-GB"/>
        </w:rPr>
        <w:t xml:space="preserve">. The PBAC considered that the estimated cost was very high, particularly considering the high </w:t>
      </w:r>
      <w:r>
        <w:rPr>
          <w:rFonts w:asciiTheme="minorHAnsi" w:hAnsiTheme="minorHAnsi"/>
          <w:snapToGrid w:val="0"/>
          <w:lang w:val="en-GB"/>
        </w:rPr>
        <w:lastRenderedPageBreak/>
        <w:t xml:space="preserve">and uncertain ICER and the </w:t>
      </w:r>
      <w:r w:rsidR="005D49A9">
        <w:rPr>
          <w:rFonts w:asciiTheme="minorHAnsi" w:hAnsiTheme="minorHAnsi"/>
          <w:snapToGrid w:val="0"/>
          <w:lang w:val="en-GB"/>
        </w:rPr>
        <w:t>clinical evidence</w:t>
      </w:r>
      <w:r>
        <w:rPr>
          <w:rFonts w:asciiTheme="minorHAnsi" w:hAnsiTheme="minorHAnsi"/>
          <w:snapToGrid w:val="0"/>
          <w:lang w:val="en-GB"/>
        </w:rPr>
        <w:t xml:space="preserve"> which </w:t>
      </w:r>
      <w:r w:rsidR="007C2144">
        <w:rPr>
          <w:rFonts w:asciiTheme="minorHAnsi" w:hAnsiTheme="minorHAnsi"/>
          <w:snapToGrid w:val="0"/>
          <w:lang w:val="en-GB"/>
        </w:rPr>
        <w:t xml:space="preserve">did not demonstrate that </w:t>
      </w:r>
      <w:r>
        <w:rPr>
          <w:rFonts w:asciiTheme="minorHAnsi" w:hAnsiTheme="minorHAnsi"/>
          <w:snapToGrid w:val="0"/>
          <w:lang w:val="en-GB"/>
        </w:rPr>
        <w:t xml:space="preserve">DLd was </w:t>
      </w:r>
      <w:r w:rsidR="007C2144">
        <w:rPr>
          <w:rFonts w:asciiTheme="minorHAnsi" w:hAnsiTheme="minorHAnsi"/>
          <w:snapToGrid w:val="0"/>
          <w:lang w:val="en-GB"/>
        </w:rPr>
        <w:t>superior</w:t>
      </w:r>
      <w:r>
        <w:rPr>
          <w:rFonts w:asciiTheme="minorHAnsi" w:hAnsiTheme="minorHAnsi"/>
          <w:snapToGrid w:val="0"/>
          <w:lang w:val="en-GB"/>
        </w:rPr>
        <w:t xml:space="preserve"> to BLd in terms of efficacy.</w:t>
      </w:r>
    </w:p>
    <w:p w14:paraId="1FFFB254" w14:textId="6EEB4FF5" w:rsidR="006A2FD1" w:rsidRPr="00056B86" w:rsidRDefault="006A2FD1" w:rsidP="00A82C6F">
      <w:pPr>
        <w:widowControl w:val="0"/>
        <w:numPr>
          <w:ilvl w:val="1"/>
          <w:numId w:val="1"/>
        </w:numPr>
        <w:spacing w:after="120"/>
        <w:rPr>
          <w:rFonts w:asciiTheme="minorHAnsi" w:hAnsiTheme="minorHAnsi"/>
          <w:snapToGrid w:val="0"/>
          <w:lang w:val="en-GB"/>
        </w:rPr>
      </w:pPr>
      <w:r w:rsidRPr="00056B86">
        <w:rPr>
          <w:rFonts w:asciiTheme="minorHAnsi" w:hAnsiTheme="minorHAnsi"/>
          <w:snapToGrid w:val="0"/>
          <w:lang w:val="en-GB"/>
        </w:rPr>
        <w:t>The PBAC noted that the submission did not present a RSA</w:t>
      </w:r>
      <w:r w:rsidR="00056B86" w:rsidRPr="00056B86">
        <w:rPr>
          <w:rFonts w:asciiTheme="minorHAnsi" w:hAnsiTheme="minorHAnsi"/>
          <w:snapToGrid w:val="0"/>
          <w:lang w:val="en-GB"/>
        </w:rPr>
        <w:t xml:space="preserve"> despite a high risk of daratumumab being used in patients who were transplant eligible</w:t>
      </w:r>
      <w:r w:rsidRPr="00056B86">
        <w:rPr>
          <w:rFonts w:asciiTheme="minorHAnsi" w:hAnsiTheme="minorHAnsi"/>
          <w:snapToGrid w:val="0"/>
          <w:lang w:val="en-GB"/>
        </w:rPr>
        <w:t xml:space="preserve">. The PBAC considered that a RSA with </w:t>
      </w:r>
      <w:r w:rsidRPr="0015148F">
        <w:rPr>
          <w:rFonts w:asciiTheme="minorHAnsi" w:hAnsiTheme="minorHAnsi"/>
          <w:snapToGrid w:val="0"/>
          <w:lang w:val="en-GB"/>
        </w:rPr>
        <w:t>clearly defined expenditure</w:t>
      </w:r>
      <w:r w:rsidRPr="00056B86">
        <w:rPr>
          <w:rFonts w:asciiTheme="minorHAnsi" w:hAnsiTheme="minorHAnsi"/>
          <w:snapToGrid w:val="0"/>
          <w:lang w:val="en-GB"/>
        </w:rPr>
        <w:t xml:space="preserve"> caps would be required to mitigate the risk</w:t>
      </w:r>
      <w:r w:rsidR="00056B86" w:rsidRPr="00056B86">
        <w:rPr>
          <w:rFonts w:asciiTheme="minorHAnsi" w:hAnsiTheme="minorHAnsi"/>
          <w:snapToGrid w:val="0"/>
          <w:lang w:val="en-GB"/>
        </w:rPr>
        <w:t xml:space="preserve"> of use outside the proposed patient population</w:t>
      </w:r>
      <w:r w:rsidRPr="00056B86">
        <w:rPr>
          <w:rFonts w:asciiTheme="minorHAnsi" w:hAnsiTheme="minorHAnsi"/>
          <w:snapToGrid w:val="0"/>
          <w:lang w:val="en-GB"/>
        </w:rPr>
        <w:t xml:space="preserve"> </w:t>
      </w:r>
    </w:p>
    <w:p w14:paraId="0FCBD7F8" w14:textId="236FC84D" w:rsidR="006154DA" w:rsidRPr="006A2FD1" w:rsidRDefault="006154DA" w:rsidP="00022C33">
      <w:pPr>
        <w:widowControl w:val="0"/>
        <w:numPr>
          <w:ilvl w:val="1"/>
          <w:numId w:val="1"/>
        </w:numPr>
        <w:spacing w:after="120"/>
        <w:rPr>
          <w:rFonts w:asciiTheme="minorHAnsi" w:hAnsiTheme="minorHAnsi"/>
          <w:bCs/>
          <w:snapToGrid w:val="0"/>
          <w:lang w:val="en-GB"/>
        </w:rPr>
      </w:pPr>
      <w:r w:rsidRPr="006A2FD1">
        <w:rPr>
          <w:rFonts w:asciiTheme="minorHAnsi" w:hAnsiTheme="minorHAnsi"/>
          <w:bCs/>
          <w:snapToGrid w:val="0"/>
          <w:lang w:val="en-GB"/>
        </w:rPr>
        <w:t xml:space="preserve">The PBAC considered a resubmission for </w:t>
      </w:r>
      <w:r w:rsidR="006A2FD1" w:rsidRPr="006A2FD1">
        <w:rPr>
          <w:rFonts w:asciiTheme="minorHAnsi" w:hAnsiTheme="minorHAnsi"/>
          <w:bCs/>
          <w:snapToGrid w:val="0"/>
          <w:lang w:val="en-GB"/>
        </w:rPr>
        <w:t>daratumumab</w:t>
      </w:r>
      <w:r w:rsidRPr="006A2FD1">
        <w:rPr>
          <w:rFonts w:asciiTheme="minorHAnsi" w:hAnsiTheme="minorHAnsi"/>
          <w:bCs/>
          <w:snapToGrid w:val="0"/>
          <w:lang w:val="en-GB"/>
        </w:rPr>
        <w:t xml:space="preserve"> should address the </w:t>
      </w:r>
      <w:r w:rsidR="006A2FD1" w:rsidRPr="006A2FD1">
        <w:rPr>
          <w:rFonts w:asciiTheme="minorHAnsi" w:hAnsiTheme="minorHAnsi"/>
          <w:bCs/>
          <w:snapToGrid w:val="0"/>
          <w:lang w:val="en-GB"/>
        </w:rPr>
        <w:t>numerous issues highlighted in th</w:t>
      </w:r>
      <w:r w:rsidR="006B5E2A">
        <w:rPr>
          <w:rFonts w:asciiTheme="minorHAnsi" w:hAnsiTheme="minorHAnsi"/>
          <w:bCs/>
          <w:snapToGrid w:val="0"/>
          <w:lang w:val="en-GB"/>
        </w:rPr>
        <w:t>is</w:t>
      </w:r>
      <w:r w:rsidR="006A2FD1" w:rsidRPr="006A2FD1">
        <w:rPr>
          <w:rFonts w:asciiTheme="minorHAnsi" w:hAnsiTheme="minorHAnsi"/>
          <w:bCs/>
          <w:snapToGrid w:val="0"/>
          <w:lang w:val="en-GB"/>
        </w:rPr>
        <w:t xml:space="preserve"> </w:t>
      </w:r>
      <w:r w:rsidR="006B5E2A">
        <w:rPr>
          <w:rFonts w:asciiTheme="minorHAnsi" w:hAnsiTheme="minorHAnsi"/>
          <w:bCs/>
          <w:snapToGrid w:val="0"/>
          <w:lang w:val="en-GB"/>
        </w:rPr>
        <w:t>PSD</w:t>
      </w:r>
      <w:r w:rsidR="006A2FD1" w:rsidRPr="006A2FD1">
        <w:rPr>
          <w:rFonts w:asciiTheme="minorHAnsi" w:hAnsiTheme="minorHAnsi"/>
          <w:bCs/>
          <w:snapToGrid w:val="0"/>
          <w:lang w:val="en-GB"/>
        </w:rPr>
        <w:t xml:space="preserve">. </w:t>
      </w:r>
      <w:r w:rsidRPr="006A2FD1">
        <w:rPr>
          <w:rFonts w:asciiTheme="minorHAnsi" w:hAnsiTheme="minorHAnsi"/>
          <w:bCs/>
          <w:snapToGrid w:val="0"/>
          <w:lang w:val="en-GB"/>
        </w:rPr>
        <w:t>The resubmission may be lodged at any future standard due date for PBAC submissions using the standard re-entry pathway.</w:t>
      </w:r>
    </w:p>
    <w:p w14:paraId="065DB116" w14:textId="30A7EFD9" w:rsidR="006154DA" w:rsidRPr="007D4707" w:rsidRDefault="006154DA" w:rsidP="006A2FD1">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p>
    <w:p w14:paraId="535F40EE" w14:textId="77777777" w:rsidR="006154DA" w:rsidRPr="00525B39" w:rsidRDefault="006154DA" w:rsidP="006154D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1917D81" w14:textId="4251B968" w:rsidR="003B07F9" w:rsidRPr="0088759C" w:rsidRDefault="006154DA" w:rsidP="0088759C">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129"/>
      <w:bookmarkEnd w:id="130"/>
      <w:bookmarkEnd w:id="131"/>
      <w:bookmarkEnd w:id="132"/>
    </w:p>
    <w:p w14:paraId="603B88B6" w14:textId="33B0D193" w:rsidR="009B589C" w:rsidRDefault="009B589C" w:rsidP="0088759C">
      <w:pPr>
        <w:pStyle w:val="2-SectionHeading"/>
        <w:rPr>
          <w:bCs/>
          <w:lang w:val="en-GB"/>
        </w:rPr>
      </w:pPr>
      <w:r w:rsidRPr="00C07617">
        <w:t>Context for Decision</w:t>
      </w:r>
    </w:p>
    <w:p w14:paraId="66F88661" w14:textId="77777777" w:rsidR="009B589C" w:rsidRPr="007129F2" w:rsidRDefault="009B589C" w:rsidP="0088759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483664" w14:textId="3C52D516" w:rsidR="009B589C" w:rsidRPr="00C07617" w:rsidRDefault="009B589C" w:rsidP="0088759C">
      <w:pPr>
        <w:pStyle w:val="2-SectionHeading"/>
      </w:pPr>
      <w:r>
        <w:t>Sponsor’s Comment</w:t>
      </w:r>
    </w:p>
    <w:p w14:paraId="48EBB721" w14:textId="77777777" w:rsidR="009B589C" w:rsidRPr="001179AC" w:rsidRDefault="009B589C" w:rsidP="0088759C">
      <w:pPr>
        <w:spacing w:after="120"/>
        <w:ind w:left="426" w:firstLine="294"/>
        <w:rPr>
          <w:rFonts w:asciiTheme="minorHAnsi" w:hAnsiTheme="minorHAnsi"/>
          <w:bCs/>
        </w:rPr>
      </w:pPr>
      <w:r w:rsidRPr="00C07617">
        <w:rPr>
          <w:rFonts w:asciiTheme="minorHAnsi" w:hAnsiTheme="minorHAnsi"/>
          <w:bCs/>
        </w:rPr>
        <w:t>The sponsor had no comment.</w:t>
      </w:r>
    </w:p>
    <w:p w14:paraId="4A042E1B" w14:textId="77777777" w:rsidR="00C94C73" w:rsidRPr="006154DA" w:rsidRDefault="00C94C73" w:rsidP="0088759C">
      <w:pPr>
        <w:pStyle w:val="3-BodyText"/>
        <w:numPr>
          <w:ilvl w:val="0"/>
          <w:numId w:val="0"/>
        </w:numPr>
        <w:ind w:left="720" w:hanging="720"/>
        <w:jc w:val="center"/>
        <w:rPr>
          <w:highlight w:val="yellow"/>
        </w:rPr>
      </w:pPr>
    </w:p>
    <w:sectPr w:rsidR="00C94C73" w:rsidRPr="006154DA" w:rsidSect="00BE4166">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D62B" w14:textId="77777777" w:rsidR="007E1654" w:rsidRDefault="007E1654" w:rsidP="00124A51">
      <w:r>
        <w:separator/>
      </w:r>
    </w:p>
    <w:p w14:paraId="2BE7FAB3" w14:textId="77777777" w:rsidR="007E1654" w:rsidRDefault="007E1654"/>
  </w:endnote>
  <w:endnote w:type="continuationSeparator" w:id="0">
    <w:p w14:paraId="1EDA9C10" w14:textId="77777777" w:rsidR="007E1654" w:rsidRDefault="007E1654" w:rsidP="00124A51">
      <w:r>
        <w:continuationSeparator/>
      </w:r>
    </w:p>
    <w:p w14:paraId="43A1E2F6" w14:textId="77777777" w:rsidR="007E1654" w:rsidRDefault="007E1654"/>
  </w:endnote>
  <w:endnote w:type="continuationNotice" w:id="1">
    <w:p w14:paraId="17A1E2AE" w14:textId="77777777" w:rsidR="007E1654" w:rsidRDefault="007E1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3BDD" w14:textId="77777777" w:rsidR="0088759C" w:rsidRDefault="0088759C" w:rsidP="006510FB">
    <w:pPr>
      <w:pStyle w:val="Footer"/>
      <w:keepNext/>
      <w:ind w:left="360"/>
      <w:jc w:val="center"/>
      <w:rPr>
        <w:b/>
      </w:rPr>
    </w:pPr>
    <w:bookmarkStart w:id="99" w:name="_Hlk76375156"/>
  </w:p>
  <w:p w14:paraId="7DA67DA6" w14:textId="498B3572" w:rsidR="006510FB" w:rsidRPr="006510FB" w:rsidRDefault="006510FB" w:rsidP="006510FB">
    <w:pPr>
      <w:pStyle w:val="Footer"/>
      <w:keepNext/>
      <w:ind w:left="360"/>
      <w:jc w:val="center"/>
      <w:rPr>
        <w:rFonts w:asciiTheme="minorHAnsi" w:hAnsiTheme="minorHAnsi"/>
      </w:rPr>
    </w:pPr>
    <w:r>
      <w:rPr>
        <w:b/>
      </w:rPr>
      <w:fldChar w:fldCharType="begin"/>
    </w:r>
    <w:r>
      <w:rPr>
        <w:b/>
      </w:rPr>
      <w:instrText xml:space="preserve"> PAGE   \* MERGEFORMAT </w:instrText>
    </w:r>
    <w:r>
      <w:rPr>
        <w:b/>
      </w:rPr>
      <w:fldChar w:fldCharType="separate"/>
    </w:r>
    <w:r>
      <w:rPr>
        <w:b/>
      </w:rPr>
      <w:t>1</w:t>
    </w:r>
    <w:r>
      <w:rPr>
        <w:b/>
        <w:noProof/>
      </w:rPr>
      <w:fldChar w:fldCharType="end"/>
    </w:r>
    <w:bookmarkEnd w:id="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E2FE" w14:textId="77777777" w:rsidR="007E1654" w:rsidRDefault="007E1654" w:rsidP="00124A51">
      <w:r>
        <w:separator/>
      </w:r>
    </w:p>
    <w:p w14:paraId="63FAFBF2" w14:textId="77777777" w:rsidR="007E1654" w:rsidRDefault="007E1654"/>
  </w:footnote>
  <w:footnote w:type="continuationSeparator" w:id="0">
    <w:p w14:paraId="569C1A8F" w14:textId="77777777" w:rsidR="007E1654" w:rsidRDefault="007E1654" w:rsidP="00124A51">
      <w:r>
        <w:continuationSeparator/>
      </w:r>
    </w:p>
    <w:p w14:paraId="3DB3D211" w14:textId="77777777" w:rsidR="007E1654" w:rsidRDefault="007E1654"/>
  </w:footnote>
  <w:footnote w:type="continuationNotice" w:id="1">
    <w:p w14:paraId="18EF930E" w14:textId="77777777" w:rsidR="007E1654" w:rsidRDefault="007E1654"/>
  </w:footnote>
  <w:footnote w:id="2">
    <w:p w14:paraId="68ABA74A" w14:textId="37FD8A55" w:rsidR="0021164A" w:rsidRDefault="0021164A" w:rsidP="007528BF">
      <w:pPr>
        <w:pStyle w:val="FootnoteText"/>
      </w:pPr>
      <w:r>
        <w:rPr>
          <w:rStyle w:val="FootnoteReference"/>
        </w:rPr>
        <w:footnoteRef/>
      </w:r>
      <w:r>
        <w:t xml:space="preserve"> Zhao S, et al (2022) Real world comparison of treatment outcomes for myeloma in elderly transplant ineligible population with RVd, Rd and VCd in frontline setting: Results from MRDR Australia and New Zealand.</w:t>
      </w:r>
    </w:p>
  </w:footnote>
  <w:footnote w:id="3">
    <w:p w14:paraId="34C18D05" w14:textId="7D9CEA8D" w:rsidR="0021164A" w:rsidRDefault="0021164A">
      <w:pPr>
        <w:pStyle w:val="FootnoteText"/>
      </w:pPr>
      <w:r>
        <w:rPr>
          <w:rStyle w:val="FootnoteReference"/>
        </w:rPr>
        <w:footnoteRef/>
      </w:r>
      <w:r>
        <w:t xml:space="preserve"> O'Donnell EK, et al., (2019), Updated Results of a Phase 2 Study of Modified Lenalidomide, Bortezomib, and Dexamethasone (RVd-lite) in Transplant-Ineligible Multiple Myeloma, </w:t>
      </w:r>
      <w:r w:rsidRPr="008C47AB">
        <w:rPr>
          <w:i/>
          <w:iCs/>
        </w:rPr>
        <w:t>Blood</w:t>
      </w:r>
      <w:r>
        <w:t>, Volume 134, Supplement 1, p 3178.</w:t>
      </w:r>
    </w:p>
  </w:footnote>
  <w:footnote w:id="4">
    <w:p w14:paraId="26D19626" w14:textId="031A7E8F" w:rsidR="0021164A" w:rsidRDefault="0021164A" w:rsidP="004C42F4">
      <w:pPr>
        <w:pStyle w:val="FootnoteText"/>
        <w:jc w:val="left"/>
      </w:pPr>
      <w:r>
        <w:rPr>
          <w:rStyle w:val="FootnoteReference"/>
        </w:rPr>
        <w:footnoteRef/>
      </w:r>
      <w:r>
        <w:t>ANZCTR. Anzctr.org.au. 2022 [cited 2022 Dec 2]. Available from: https://www.anzctr.org.au/Trial/Registration/TrialReview.aspx?ACTRN=12619001199101.</w:t>
      </w:r>
    </w:p>
    <w:p w14:paraId="24007EDA" w14:textId="517A05BF" w:rsidR="0021164A" w:rsidRDefault="0021164A" w:rsidP="00BD0AE5">
      <w:pPr>
        <w:pStyle w:val="FootnoteText"/>
      </w:pPr>
      <w:r>
        <w:t>‌</w:t>
      </w:r>
    </w:p>
  </w:footnote>
  <w:footnote w:id="5">
    <w:p w14:paraId="5DFBAF51" w14:textId="779968E8" w:rsidR="003550BD" w:rsidRDefault="003550BD">
      <w:pPr>
        <w:pStyle w:val="FootnoteText"/>
      </w:pPr>
      <w:r>
        <w:rPr>
          <w:rStyle w:val="FootnoteReference"/>
        </w:rPr>
        <w:footnoteRef/>
      </w:r>
      <w:r>
        <w:t xml:space="preserve"> Kumar et al. (2022). Daratumumab Plus Lenalidomide and Dexamethasone (D-Rd) Versus Lenalidomide and Dexamethasone (Rd) Alone in Transplant-ineligible Patients With Newly Diagnosed Multiple Myeloma (NDMM): Updated Analysis of the Phase 3 MAIA Study. ASH conference, December 2022.</w:t>
      </w:r>
    </w:p>
  </w:footnote>
  <w:footnote w:id="6">
    <w:p w14:paraId="1A9268B5" w14:textId="7734BAB4" w:rsidR="0021164A" w:rsidRDefault="0021164A" w:rsidP="00B72717">
      <w:pPr>
        <w:pStyle w:val="FootnoteText"/>
      </w:pPr>
      <w:r>
        <w:rPr>
          <w:rStyle w:val="FootnoteReference"/>
        </w:rPr>
        <w:footnoteRef/>
      </w:r>
      <w:r>
        <w:t xml:space="preserve"> Subgroup analyses included sex, age, race, region, renal function, hepatic function, ISS staging, type of MM (IgG or Non-IgG), cytogenetic risk, and ECOG performance score (Table TEFRESPS01A, p 226, </w:t>
      </w:r>
      <w:r w:rsidRPr="00B72717">
        <w:t>MAIA Oct21 CSR</w:t>
      </w:r>
      <w:r>
        <w:t>)</w:t>
      </w:r>
    </w:p>
  </w:footnote>
  <w:footnote w:id="7">
    <w:p w14:paraId="4CCDF8D5" w14:textId="77777777" w:rsidR="0021164A" w:rsidRDefault="0021164A" w:rsidP="00D30F1D">
      <w:pPr>
        <w:pStyle w:val="FootnoteText"/>
      </w:pPr>
      <w:r>
        <w:rPr>
          <w:rStyle w:val="FootnoteReference"/>
        </w:rPr>
        <w:footnoteRef/>
      </w:r>
      <w:r>
        <w:t xml:space="preserve"> </w:t>
      </w:r>
      <w:r w:rsidRPr="00F5402E">
        <w:t>Henry, EB, Barry, LE, Hobbins, AP, McClure, NS &amp; O'Neill, C 2020, 'Estimation of an Instrument-Defined Minimally Important Difference in EQ-5D-5L Index Scores Based on Scoring Algorithms Derived Using the EQ-VT Version 2 Valuation Protocols', Value Health, vol. 23, no. 7, Jul, pp. 936-944.</w:t>
      </w:r>
    </w:p>
  </w:footnote>
  <w:footnote w:id="8">
    <w:p w14:paraId="326FD34F" w14:textId="47359E69" w:rsidR="0021164A" w:rsidRDefault="0021164A" w:rsidP="00B977D2">
      <w:pPr>
        <w:pStyle w:val="FootnoteText"/>
      </w:pPr>
      <w:r>
        <w:rPr>
          <w:rStyle w:val="FootnoteReference"/>
        </w:rPr>
        <w:footnoteRef/>
      </w:r>
      <w:r>
        <w:t xml:space="preserve"> Zhao S, et al (2022) Real world comparison of treatment outcomes for myeloma in elderly transplant ineligible population with RVd, Rd and VCd in frontline setting: Results from MRDR Australia and New Zealand.</w:t>
      </w:r>
    </w:p>
  </w:footnote>
  <w:footnote w:id="9">
    <w:p w14:paraId="3B4A108A" w14:textId="1E3B89C3" w:rsidR="0021164A" w:rsidRPr="007F1893" w:rsidRDefault="0021164A">
      <w:pPr>
        <w:pStyle w:val="FootnoteText"/>
      </w:pPr>
      <w:r w:rsidRPr="007F1893">
        <w:rPr>
          <w:rStyle w:val="FootnoteReference"/>
        </w:rPr>
        <w:footnoteRef/>
      </w:r>
      <w:r w:rsidRPr="007F1893">
        <w:t xml:space="preserve"> From PSCR model (Revised economic model - Daratumumab 1L TI NDMM Economic model_Nov 2022.xlsx).</w:t>
      </w:r>
    </w:p>
  </w:footnote>
  <w:footnote w:id="10">
    <w:p w14:paraId="64BAEA35" w14:textId="299EBCF0" w:rsidR="0021164A" w:rsidRPr="007F1893" w:rsidRDefault="0021164A">
      <w:pPr>
        <w:pStyle w:val="FootnoteText"/>
      </w:pPr>
      <w:r w:rsidRPr="007F1893">
        <w:rPr>
          <w:rStyle w:val="FootnoteReference"/>
        </w:rPr>
        <w:footnoteRef/>
      </w:r>
      <w:r w:rsidRPr="007F1893">
        <w:t xml:space="preserve"> From July 2020 submission economic model (Attachment 1 - IA5 2L MM Economic Model DBd vs Bd.xlsx).</w:t>
      </w:r>
    </w:p>
  </w:footnote>
  <w:footnote w:id="11">
    <w:p w14:paraId="57C08320" w14:textId="58E40E9C" w:rsidR="0021164A" w:rsidRPr="007F1893" w:rsidRDefault="0021164A">
      <w:pPr>
        <w:pStyle w:val="FootnoteText"/>
      </w:pPr>
      <w:r w:rsidRPr="007F1893">
        <w:rPr>
          <w:rStyle w:val="FootnoteReference"/>
        </w:rPr>
        <w:footnoteRef/>
      </w:r>
      <w:r w:rsidRPr="007F1893">
        <w:t xml:space="preserve"> Table 4, daratumumab PBAC </w:t>
      </w:r>
      <w:r w:rsidR="006B5E2A">
        <w:t>PSD</w:t>
      </w:r>
      <w:r w:rsidRPr="007F1893">
        <w:t>, July 2020</w:t>
      </w:r>
    </w:p>
  </w:footnote>
  <w:footnote w:id="12">
    <w:p w14:paraId="0C873C7D" w14:textId="40116A49" w:rsidR="0021164A" w:rsidRPr="007F1893" w:rsidRDefault="0021164A">
      <w:pPr>
        <w:pStyle w:val="FootnoteText"/>
      </w:pPr>
      <w:r w:rsidRPr="007F1893">
        <w:rPr>
          <w:rStyle w:val="FootnoteReference"/>
        </w:rPr>
        <w:footnoteRef/>
      </w:r>
      <w:r w:rsidRPr="007F1893">
        <w:t xml:space="preserve"> Table 8, daratumumab PBAC </w:t>
      </w:r>
      <w:r w:rsidR="006B5E2A">
        <w:t>PSD</w:t>
      </w:r>
      <w:r w:rsidRPr="007F1893">
        <w:t xml:space="preserve">, November 2019 </w:t>
      </w:r>
    </w:p>
  </w:footnote>
  <w:footnote w:id="13">
    <w:p w14:paraId="7CE82785" w14:textId="772756C5" w:rsidR="0021164A" w:rsidRPr="007F1893" w:rsidRDefault="0021164A">
      <w:pPr>
        <w:pStyle w:val="FootnoteText"/>
      </w:pPr>
      <w:r w:rsidRPr="007F1893">
        <w:rPr>
          <w:rStyle w:val="FootnoteReference"/>
        </w:rPr>
        <w:footnoteRef/>
      </w:r>
      <w:r w:rsidRPr="007F1893">
        <w:t xml:space="preserve"> Table 8, daratumumab PBAC </w:t>
      </w:r>
      <w:r w:rsidR="006B5E2A">
        <w:t>PSD</w:t>
      </w:r>
      <w:r w:rsidRPr="007F1893">
        <w:t>, November 2019</w:t>
      </w:r>
    </w:p>
  </w:footnote>
  <w:footnote w:id="14">
    <w:p w14:paraId="587066B5" w14:textId="053CBF9D" w:rsidR="00004066" w:rsidRDefault="00004066">
      <w:pPr>
        <w:pStyle w:val="FootnoteText"/>
      </w:pPr>
      <w:r>
        <w:rPr>
          <w:rStyle w:val="FootnoteReference"/>
        </w:rPr>
        <w:footnoteRef/>
      </w:r>
      <w:r>
        <w:t xml:space="preserve"> MSAG Guidelines 2022, p11 state: </w:t>
      </w:r>
      <w:r w:rsidRPr="006154DA">
        <w:t>The traditional notion that patients aged above 65 years are ineligible for transplant is no longer appropriate as it is clear that older patients who are biologically fit do benefit from intensive treatment. In assessing eligibility for transplant (generally in patients aged up to 70 years), individual assessment that takes into consideration the patient’s age, comorbidities, frailty and disability is required</w:t>
      </w:r>
      <w:r w:rsidR="00902B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845D" w14:textId="131686E0" w:rsidR="0021164A" w:rsidRPr="00195452" w:rsidRDefault="009B589C" w:rsidP="009D739A">
    <w:pPr>
      <w:pStyle w:val="Header"/>
      <w:rPr>
        <w:rFonts w:asciiTheme="minorHAnsi" w:hAnsiTheme="minorHAnsi"/>
        <w:i/>
        <w:color w:val="808080"/>
      </w:rPr>
    </w:pPr>
    <w:r>
      <w:rPr>
        <w:rFonts w:asciiTheme="minorHAnsi" w:eastAsiaTheme="minorEastAsia" w:hAnsiTheme="minorHAnsi" w:cstheme="minorHAnsi"/>
        <w:i/>
        <w:color w:val="808080"/>
      </w:rPr>
      <w:t>Public Summary Document</w:t>
    </w:r>
    <w:r w:rsidR="000766F7">
      <w:rPr>
        <w:rFonts w:asciiTheme="minorHAnsi" w:eastAsiaTheme="minorEastAsia" w:hAnsiTheme="minorHAnsi" w:cstheme="minorHAnsi"/>
        <w:i/>
        <w:color w:val="808080"/>
      </w:rPr>
      <w:t xml:space="preserve"> - </w:t>
    </w:r>
    <w:r w:rsidR="0021164A">
      <w:rPr>
        <w:rFonts w:asciiTheme="minorHAnsi" w:hAnsiTheme="minorHAnsi"/>
        <w:i/>
        <w:color w:val="808080"/>
      </w:rPr>
      <w:t xml:space="preserve">March 2023 </w:t>
    </w:r>
    <w:r w:rsidR="0021164A" w:rsidRPr="00195452">
      <w:rPr>
        <w:rFonts w:asciiTheme="minorHAnsi" w:hAnsiTheme="minorHAnsi"/>
        <w:i/>
        <w:color w:val="808080"/>
      </w:rPr>
      <w:t>PBAC Meeting</w:t>
    </w:r>
  </w:p>
  <w:p w14:paraId="587AB084" w14:textId="77777777" w:rsidR="0021164A" w:rsidRDefault="00211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DEC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2109E2"/>
    <w:multiLevelType w:val="hybridMultilevel"/>
    <w:tmpl w:val="CD7CC1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56A4F"/>
    <w:multiLevelType w:val="hybridMultilevel"/>
    <w:tmpl w:val="293AF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C1431"/>
    <w:multiLevelType w:val="hybridMultilevel"/>
    <w:tmpl w:val="86CE2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E1179"/>
    <w:multiLevelType w:val="hybridMultilevel"/>
    <w:tmpl w:val="2202F57E"/>
    <w:lvl w:ilvl="0" w:tplc="05887C0C">
      <w:start w:val="1"/>
      <w:numFmt w:val="bullet"/>
      <w:pStyle w:val="Bullet11-1"/>
      <w:lvlText w:val=""/>
      <w:lvlJc w:val="left"/>
      <w:pPr>
        <w:tabs>
          <w:tab w:val="num" w:pos="432"/>
        </w:tabs>
        <w:ind w:left="432" w:hanging="432"/>
      </w:pPr>
      <w:rPr>
        <w:rFonts w:ascii="Symbol" w:hAnsi="Symbol" w:hint="default"/>
      </w:rPr>
    </w:lvl>
    <w:lvl w:ilvl="1" w:tplc="742AFA8E" w:tentative="1">
      <w:start w:val="1"/>
      <w:numFmt w:val="bullet"/>
      <w:lvlText w:val="o"/>
      <w:lvlJc w:val="left"/>
      <w:pPr>
        <w:ind w:left="1440" w:hanging="360"/>
      </w:pPr>
      <w:rPr>
        <w:rFonts w:ascii="Courier New" w:hAnsi="Courier New" w:cs="Courier New" w:hint="default"/>
      </w:rPr>
    </w:lvl>
    <w:lvl w:ilvl="2" w:tplc="E1C26366" w:tentative="1">
      <w:start w:val="1"/>
      <w:numFmt w:val="bullet"/>
      <w:lvlText w:val=""/>
      <w:lvlJc w:val="left"/>
      <w:pPr>
        <w:ind w:left="2160" w:hanging="360"/>
      </w:pPr>
      <w:rPr>
        <w:rFonts w:ascii="Wingdings" w:hAnsi="Wingdings" w:hint="default"/>
      </w:rPr>
    </w:lvl>
    <w:lvl w:ilvl="3" w:tplc="A1BE5E5C" w:tentative="1">
      <w:start w:val="1"/>
      <w:numFmt w:val="bullet"/>
      <w:lvlText w:val=""/>
      <w:lvlJc w:val="left"/>
      <w:pPr>
        <w:ind w:left="2880" w:hanging="360"/>
      </w:pPr>
      <w:rPr>
        <w:rFonts w:ascii="Symbol" w:hAnsi="Symbol" w:hint="default"/>
      </w:rPr>
    </w:lvl>
    <w:lvl w:ilvl="4" w:tplc="7E1ECEFE" w:tentative="1">
      <w:start w:val="1"/>
      <w:numFmt w:val="bullet"/>
      <w:lvlText w:val="o"/>
      <w:lvlJc w:val="left"/>
      <w:pPr>
        <w:ind w:left="3600" w:hanging="360"/>
      </w:pPr>
      <w:rPr>
        <w:rFonts w:ascii="Courier New" w:hAnsi="Courier New" w:cs="Courier New" w:hint="default"/>
      </w:rPr>
    </w:lvl>
    <w:lvl w:ilvl="5" w:tplc="9DC04A08" w:tentative="1">
      <w:start w:val="1"/>
      <w:numFmt w:val="bullet"/>
      <w:lvlText w:val=""/>
      <w:lvlJc w:val="left"/>
      <w:pPr>
        <w:ind w:left="4320" w:hanging="360"/>
      </w:pPr>
      <w:rPr>
        <w:rFonts w:ascii="Wingdings" w:hAnsi="Wingdings" w:hint="default"/>
      </w:rPr>
    </w:lvl>
    <w:lvl w:ilvl="6" w:tplc="9D68309C" w:tentative="1">
      <w:start w:val="1"/>
      <w:numFmt w:val="bullet"/>
      <w:lvlText w:val=""/>
      <w:lvlJc w:val="left"/>
      <w:pPr>
        <w:ind w:left="5040" w:hanging="360"/>
      </w:pPr>
      <w:rPr>
        <w:rFonts w:ascii="Symbol" w:hAnsi="Symbol" w:hint="default"/>
      </w:rPr>
    </w:lvl>
    <w:lvl w:ilvl="7" w:tplc="3E883640" w:tentative="1">
      <w:start w:val="1"/>
      <w:numFmt w:val="bullet"/>
      <w:lvlText w:val="o"/>
      <w:lvlJc w:val="left"/>
      <w:pPr>
        <w:ind w:left="5760" w:hanging="360"/>
      </w:pPr>
      <w:rPr>
        <w:rFonts w:ascii="Courier New" w:hAnsi="Courier New" w:cs="Courier New" w:hint="default"/>
      </w:rPr>
    </w:lvl>
    <w:lvl w:ilvl="8" w:tplc="9B80FAC0" w:tentative="1">
      <w:start w:val="1"/>
      <w:numFmt w:val="bullet"/>
      <w:lvlText w:val=""/>
      <w:lvlJc w:val="left"/>
      <w:pPr>
        <w:ind w:left="6480" w:hanging="360"/>
      </w:pPr>
      <w:rPr>
        <w:rFonts w:ascii="Wingdings" w:hAnsi="Wingdings" w:hint="default"/>
      </w:rPr>
    </w:lvl>
  </w:abstractNum>
  <w:abstractNum w:abstractNumId="8" w15:restartNumberingAfterBreak="0">
    <w:nsid w:val="192E2BAF"/>
    <w:multiLevelType w:val="hybridMultilevel"/>
    <w:tmpl w:val="DF569DA8"/>
    <w:lvl w:ilvl="0" w:tplc="0C09000F">
      <w:start w:val="1"/>
      <w:numFmt w:val="decimal"/>
      <w:lvlText w:val="%1."/>
      <w:lvlJc w:val="left"/>
      <w:pPr>
        <w:ind w:left="360" w:hanging="360"/>
      </w:pPr>
      <w:rPr>
        <w:rFonts w:hint="default"/>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D76CAB"/>
    <w:multiLevelType w:val="hybridMultilevel"/>
    <w:tmpl w:val="73D8BE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20F52E9"/>
    <w:multiLevelType w:val="hybridMultilevel"/>
    <w:tmpl w:val="1208FF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84494"/>
    <w:multiLevelType w:val="hybridMultilevel"/>
    <w:tmpl w:val="6DEA1B10"/>
    <w:lvl w:ilvl="0" w:tplc="81700F12">
      <w:start w:val="1"/>
      <w:numFmt w:val="bullet"/>
      <w:pStyle w:val="Bullet11-2"/>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55DA6"/>
    <w:multiLevelType w:val="multilevel"/>
    <w:tmpl w:val="CCE401D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F004B"/>
    <w:multiLevelType w:val="hybridMultilevel"/>
    <w:tmpl w:val="C0228A60"/>
    <w:lvl w:ilvl="0" w:tplc="0D18D164">
      <w:start w:val="1"/>
      <w:numFmt w:val="bullet"/>
      <w:lvlText w:val="•"/>
      <w:lvlJc w:val="left"/>
      <w:pPr>
        <w:tabs>
          <w:tab w:val="num" w:pos="720"/>
        </w:tabs>
        <w:ind w:left="720" w:hanging="360"/>
      </w:pPr>
      <w:rPr>
        <w:rFonts w:ascii="Arial" w:hAnsi="Arial" w:hint="default"/>
      </w:rPr>
    </w:lvl>
    <w:lvl w:ilvl="1" w:tplc="6DC21D42">
      <w:numFmt w:val="bullet"/>
      <w:lvlText w:val="•"/>
      <w:lvlJc w:val="left"/>
      <w:pPr>
        <w:tabs>
          <w:tab w:val="num" w:pos="1440"/>
        </w:tabs>
        <w:ind w:left="1440" w:hanging="360"/>
      </w:pPr>
      <w:rPr>
        <w:rFonts w:ascii="Arial" w:hAnsi="Arial" w:hint="default"/>
      </w:rPr>
    </w:lvl>
    <w:lvl w:ilvl="2" w:tplc="B1C084A6" w:tentative="1">
      <w:start w:val="1"/>
      <w:numFmt w:val="bullet"/>
      <w:lvlText w:val="•"/>
      <w:lvlJc w:val="left"/>
      <w:pPr>
        <w:tabs>
          <w:tab w:val="num" w:pos="2160"/>
        </w:tabs>
        <w:ind w:left="2160" w:hanging="360"/>
      </w:pPr>
      <w:rPr>
        <w:rFonts w:ascii="Arial" w:hAnsi="Arial" w:hint="default"/>
      </w:rPr>
    </w:lvl>
    <w:lvl w:ilvl="3" w:tplc="71DA1F98" w:tentative="1">
      <w:start w:val="1"/>
      <w:numFmt w:val="bullet"/>
      <w:lvlText w:val="•"/>
      <w:lvlJc w:val="left"/>
      <w:pPr>
        <w:tabs>
          <w:tab w:val="num" w:pos="2880"/>
        </w:tabs>
        <w:ind w:left="2880" w:hanging="360"/>
      </w:pPr>
      <w:rPr>
        <w:rFonts w:ascii="Arial" w:hAnsi="Arial" w:hint="default"/>
      </w:rPr>
    </w:lvl>
    <w:lvl w:ilvl="4" w:tplc="81842710" w:tentative="1">
      <w:start w:val="1"/>
      <w:numFmt w:val="bullet"/>
      <w:lvlText w:val="•"/>
      <w:lvlJc w:val="left"/>
      <w:pPr>
        <w:tabs>
          <w:tab w:val="num" w:pos="3600"/>
        </w:tabs>
        <w:ind w:left="3600" w:hanging="360"/>
      </w:pPr>
      <w:rPr>
        <w:rFonts w:ascii="Arial" w:hAnsi="Arial" w:hint="default"/>
      </w:rPr>
    </w:lvl>
    <w:lvl w:ilvl="5" w:tplc="EB20BDEA" w:tentative="1">
      <w:start w:val="1"/>
      <w:numFmt w:val="bullet"/>
      <w:lvlText w:val="•"/>
      <w:lvlJc w:val="left"/>
      <w:pPr>
        <w:tabs>
          <w:tab w:val="num" w:pos="4320"/>
        </w:tabs>
        <w:ind w:left="4320" w:hanging="360"/>
      </w:pPr>
      <w:rPr>
        <w:rFonts w:ascii="Arial" w:hAnsi="Arial" w:hint="default"/>
      </w:rPr>
    </w:lvl>
    <w:lvl w:ilvl="6" w:tplc="522AA080" w:tentative="1">
      <w:start w:val="1"/>
      <w:numFmt w:val="bullet"/>
      <w:lvlText w:val="•"/>
      <w:lvlJc w:val="left"/>
      <w:pPr>
        <w:tabs>
          <w:tab w:val="num" w:pos="5040"/>
        </w:tabs>
        <w:ind w:left="5040" w:hanging="360"/>
      </w:pPr>
      <w:rPr>
        <w:rFonts w:ascii="Arial" w:hAnsi="Arial" w:hint="default"/>
      </w:rPr>
    </w:lvl>
    <w:lvl w:ilvl="7" w:tplc="E2FA4AB4" w:tentative="1">
      <w:start w:val="1"/>
      <w:numFmt w:val="bullet"/>
      <w:lvlText w:val="•"/>
      <w:lvlJc w:val="left"/>
      <w:pPr>
        <w:tabs>
          <w:tab w:val="num" w:pos="5760"/>
        </w:tabs>
        <w:ind w:left="5760" w:hanging="360"/>
      </w:pPr>
      <w:rPr>
        <w:rFonts w:ascii="Arial" w:hAnsi="Arial" w:hint="default"/>
      </w:rPr>
    </w:lvl>
    <w:lvl w:ilvl="8" w:tplc="549C5E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6D707B"/>
    <w:multiLevelType w:val="multilevel"/>
    <w:tmpl w:val="1AAE024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612E8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F02A75"/>
    <w:multiLevelType w:val="hybridMultilevel"/>
    <w:tmpl w:val="2D2A27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146425"/>
    <w:multiLevelType w:val="multilevel"/>
    <w:tmpl w:val="CCE401D6"/>
    <w:styleLink w:val="CurrentList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49740CB"/>
    <w:multiLevelType w:val="hybridMultilevel"/>
    <w:tmpl w:val="C9021002"/>
    <w:lvl w:ilvl="0" w:tplc="0C090001">
      <w:start w:val="1"/>
      <w:numFmt w:val="bullet"/>
      <w:lvlText w:val=""/>
      <w:lvlJc w:val="left"/>
      <w:pPr>
        <w:ind w:left="720" w:hanging="360"/>
      </w:pPr>
      <w:rPr>
        <w:rFonts w:ascii="Symbol" w:hAnsi="Symbol" w:hint="default"/>
      </w:rPr>
    </w:lvl>
    <w:lvl w:ilvl="1" w:tplc="E9FE66B2">
      <w:numFmt w:val="bullet"/>
      <w:lvlText w:val="-"/>
      <w:lvlJc w:val="left"/>
      <w:pPr>
        <w:ind w:left="1440" w:hanging="360"/>
      </w:pPr>
      <w:rPr>
        <w:rFonts w:ascii="Calibri" w:eastAsia="Times New Roman" w:hAnsi="Calibri" w:cs="Calibri" w:hint="default"/>
      </w:rPr>
    </w:lvl>
    <w:lvl w:ilvl="2" w:tplc="7D440FC6">
      <w:numFmt w:val="bullet"/>
      <w:lvlText w:val="•"/>
      <w:lvlJc w:val="left"/>
      <w:pPr>
        <w:ind w:left="2160" w:hanging="36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A317CC"/>
    <w:multiLevelType w:val="multilevel"/>
    <w:tmpl w:val="391428B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5C4DF7"/>
    <w:multiLevelType w:val="hybridMultilevel"/>
    <w:tmpl w:val="657A8CD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AB733C8"/>
    <w:multiLevelType w:val="multilevel"/>
    <w:tmpl w:val="CCE401D6"/>
    <w:styleLink w:val="CurrentList1"/>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61E21BF"/>
    <w:multiLevelType w:val="hybridMultilevel"/>
    <w:tmpl w:val="2F320AF0"/>
    <w:lvl w:ilvl="0" w:tplc="4C20C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4D033C"/>
    <w:multiLevelType w:val="multilevel"/>
    <w:tmpl w:val="79C6097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9"/>
  </w:num>
  <w:num w:numId="3">
    <w:abstractNumId w:val="20"/>
  </w:num>
  <w:num w:numId="4">
    <w:abstractNumId w:val="0"/>
  </w:num>
  <w:num w:numId="5">
    <w:abstractNumId w:val="26"/>
  </w:num>
  <w:num w:numId="6">
    <w:abstractNumId w:val="7"/>
  </w:num>
  <w:num w:numId="7">
    <w:abstractNumId w:val="14"/>
  </w:num>
  <w:num w:numId="8">
    <w:abstractNumId w:val="6"/>
  </w:num>
  <w:num w:numId="9">
    <w:abstractNumId w:val="10"/>
  </w:num>
  <w:num w:numId="10">
    <w:abstractNumId w:val="9"/>
  </w:num>
  <w:num w:numId="11">
    <w:abstractNumId w:val="2"/>
  </w:num>
  <w:num w:numId="12">
    <w:abstractNumId w:val="16"/>
  </w:num>
  <w:num w:numId="13">
    <w:abstractNumId w:val="30"/>
  </w:num>
  <w:num w:numId="14">
    <w:abstractNumId w:val="24"/>
  </w:num>
  <w:num w:numId="15">
    <w:abstractNumId w:val="18"/>
  </w:num>
  <w:num w:numId="16">
    <w:abstractNumId w:val="5"/>
  </w:num>
  <w:num w:numId="17">
    <w:abstractNumId w:val="8"/>
  </w:num>
  <w:num w:numId="18">
    <w:abstractNumId w:val="32"/>
  </w:num>
  <w:num w:numId="19">
    <w:abstractNumId w:val="29"/>
  </w:num>
  <w:num w:numId="20">
    <w:abstractNumId w:val="27"/>
  </w:num>
  <w:num w:numId="21">
    <w:abstractNumId w:val="21"/>
  </w:num>
  <w:num w:numId="22">
    <w:abstractNumId w:val="17"/>
  </w:num>
  <w:num w:numId="23">
    <w:abstractNumId w:val="33"/>
  </w:num>
  <w:num w:numId="24">
    <w:abstractNumId w:val="3"/>
  </w:num>
  <w:num w:numId="25">
    <w:abstractNumId w:val="22"/>
  </w:num>
  <w:num w:numId="26">
    <w:abstractNumId w:val="23"/>
  </w:num>
  <w:num w:numId="27">
    <w:abstractNumId w:val="4"/>
  </w:num>
  <w:num w:numId="28">
    <w:abstractNumId w:val="1"/>
  </w:num>
  <w:num w:numId="29">
    <w:abstractNumId w:val="13"/>
  </w:num>
  <w:num w:numId="30">
    <w:abstractNumId w:val="15"/>
  </w:num>
  <w:num w:numId="31">
    <w:abstractNumId w:val="12"/>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8"/>
  </w:num>
  <w:num w:numId="3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C7"/>
    <w:rsid w:val="000006B4"/>
    <w:rsid w:val="00000790"/>
    <w:rsid w:val="00000C01"/>
    <w:rsid w:val="000010E0"/>
    <w:rsid w:val="0000110B"/>
    <w:rsid w:val="00002344"/>
    <w:rsid w:val="0000238E"/>
    <w:rsid w:val="00002760"/>
    <w:rsid w:val="00002764"/>
    <w:rsid w:val="0000307E"/>
    <w:rsid w:val="00003444"/>
    <w:rsid w:val="00003499"/>
    <w:rsid w:val="000034BB"/>
    <w:rsid w:val="000035A0"/>
    <w:rsid w:val="00003804"/>
    <w:rsid w:val="0000393C"/>
    <w:rsid w:val="000039B7"/>
    <w:rsid w:val="00003E3D"/>
    <w:rsid w:val="00003FAD"/>
    <w:rsid w:val="00004066"/>
    <w:rsid w:val="0000418D"/>
    <w:rsid w:val="0000446B"/>
    <w:rsid w:val="000044A1"/>
    <w:rsid w:val="0000507B"/>
    <w:rsid w:val="000053A2"/>
    <w:rsid w:val="000054DD"/>
    <w:rsid w:val="000056B9"/>
    <w:rsid w:val="00005783"/>
    <w:rsid w:val="0000588B"/>
    <w:rsid w:val="000058C1"/>
    <w:rsid w:val="00006090"/>
    <w:rsid w:val="0000639A"/>
    <w:rsid w:val="0000661E"/>
    <w:rsid w:val="0000674A"/>
    <w:rsid w:val="0000685A"/>
    <w:rsid w:val="00006ADD"/>
    <w:rsid w:val="0000737C"/>
    <w:rsid w:val="000076F4"/>
    <w:rsid w:val="000077F3"/>
    <w:rsid w:val="00007858"/>
    <w:rsid w:val="00007877"/>
    <w:rsid w:val="00007966"/>
    <w:rsid w:val="00007D95"/>
    <w:rsid w:val="000107C0"/>
    <w:rsid w:val="00010E57"/>
    <w:rsid w:val="00010F2D"/>
    <w:rsid w:val="000114C3"/>
    <w:rsid w:val="000115D5"/>
    <w:rsid w:val="0001196F"/>
    <w:rsid w:val="00011B5F"/>
    <w:rsid w:val="00011C66"/>
    <w:rsid w:val="00011FA1"/>
    <w:rsid w:val="00012822"/>
    <w:rsid w:val="00012F3B"/>
    <w:rsid w:val="00013247"/>
    <w:rsid w:val="0001356D"/>
    <w:rsid w:val="000135D5"/>
    <w:rsid w:val="00013C9D"/>
    <w:rsid w:val="00014CB9"/>
    <w:rsid w:val="00014D14"/>
    <w:rsid w:val="00015880"/>
    <w:rsid w:val="00015886"/>
    <w:rsid w:val="0001596C"/>
    <w:rsid w:val="00015D65"/>
    <w:rsid w:val="00015E51"/>
    <w:rsid w:val="000162EF"/>
    <w:rsid w:val="00016ADB"/>
    <w:rsid w:val="000171E2"/>
    <w:rsid w:val="000176FF"/>
    <w:rsid w:val="000177D8"/>
    <w:rsid w:val="00017B0D"/>
    <w:rsid w:val="00017C7C"/>
    <w:rsid w:val="00017E95"/>
    <w:rsid w:val="00017FFC"/>
    <w:rsid w:val="00020217"/>
    <w:rsid w:val="000204E1"/>
    <w:rsid w:val="000207C9"/>
    <w:rsid w:val="00020C25"/>
    <w:rsid w:val="00020C31"/>
    <w:rsid w:val="00020C91"/>
    <w:rsid w:val="00020E09"/>
    <w:rsid w:val="0002114D"/>
    <w:rsid w:val="00021792"/>
    <w:rsid w:val="000218F9"/>
    <w:rsid w:val="00021C44"/>
    <w:rsid w:val="0002225F"/>
    <w:rsid w:val="00022809"/>
    <w:rsid w:val="00022B7D"/>
    <w:rsid w:val="0002300C"/>
    <w:rsid w:val="00023523"/>
    <w:rsid w:val="00023763"/>
    <w:rsid w:val="00023B92"/>
    <w:rsid w:val="00023CEA"/>
    <w:rsid w:val="00023CF6"/>
    <w:rsid w:val="00024097"/>
    <w:rsid w:val="000241AB"/>
    <w:rsid w:val="000243CD"/>
    <w:rsid w:val="00024B04"/>
    <w:rsid w:val="00024DAD"/>
    <w:rsid w:val="00024DFC"/>
    <w:rsid w:val="00024EB5"/>
    <w:rsid w:val="0002507A"/>
    <w:rsid w:val="0002542F"/>
    <w:rsid w:val="00025436"/>
    <w:rsid w:val="000256BB"/>
    <w:rsid w:val="00025796"/>
    <w:rsid w:val="000267E0"/>
    <w:rsid w:val="0002726E"/>
    <w:rsid w:val="000274A2"/>
    <w:rsid w:val="000274B8"/>
    <w:rsid w:val="00027559"/>
    <w:rsid w:val="00027714"/>
    <w:rsid w:val="00027890"/>
    <w:rsid w:val="000302B5"/>
    <w:rsid w:val="000304AE"/>
    <w:rsid w:val="000305F7"/>
    <w:rsid w:val="00030F14"/>
    <w:rsid w:val="00031023"/>
    <w:rsid w:val="0003184B"/>
    <w:rsid w:val="0003194C"/>
    <w:rsid w:val="00032300"/>
    <w:rsid w:val="00032628"/>
    <w:rsid w:val="00032661"/>
    <w:rsid w:val="000326E6"/>
    <w:rsid w:val="00032751"/>
    <w:rsid w:val="00032B9B"/>
    <w:rsid w:val="00032E74"/>
    <w:rsid w:val="0003312B"/>
    <w:rsid w:val="00033165"/>
    <w:rsid w:val="00033639"/>
    <w:rsid w:val="00033863"/>
    <w:rsid w:val="00033CC1"/>
    <w:rsid w:val="0003487E"/>
    <w:rsid w:val="00035036"/>
    <w:rsid w:val="00035109"/>
    <w:rsid w:val="00035B67"/>
    <w:rsid w:val="00035D90"/>
    <w:rsid w:val="00035DC0"/>
    <w:rsid w:val="00035ED9"/>
    <w:rsid w:val="00036379"/>
    <w:rsid w:val="00036829"/>
    <w:rsid w:val="000378E8"/>
    <w:rsid w:val="00037914"/>
    <w:rsid w:val="00037C3E"/>
    <w:rsid w:val="00037F01"/>
    <w:rsid w:val="00037F2C"/>
    <w:rsid w:val="00037F9D"/>
    <w:rsid w:val="000403B3"/>
    <w:rsid w:val="000406AE"/>
    <w:rsid w:val="00040776"/>
    <w:rsid w:val="00040895"/>
    <w:rsid w:val="00040B07"/>
    <w:rsid w:val="00040EDE"/>
    <w:rsid w:val="0004108F"/>
    <w:rsid w:val="000410A0"/>
    <w:rsid w:val="000411A6"/>
    <w:rsid w:val="00041C83"/>
    <w:rsid w:val="00041CF1"/>
    <w:rsid w:val="00041D7F"/>
    <w:rsid w:val="00041E66"/>
    <w:rsid w:val="00041EF1"/>
    <w:rsid w:val="00042119"/>
    <w:rsid w:val="00042D49"/>
    <w:rsid w:val="00043209"/>
    <w:rsid w:val="000435EE"/>
    <w:rsid w:val="00043701"/>
    <w:rsid w:val="00043A81"/>
    <w:rsid w:val="00043C37"/>
    <w:rsid w:val="00044027"/>
    <w:rsid w:val="000440A0"/>
    <w:rsid w:val="00044D0B"/>
    <w:rsid w:val="00045017"/>
    <w:rsid w:val="00045110"/>
    <w:rsid w:val="000451CA"/>
    <w:rsid w:val="00045253"/>
    <w:rsid w:val="00045581"/>
    <w:rsid w:val="00045958"/>
    <w:rsid w:val="00045A2B"/>
    <w:rsid w:val="00045FB3"/>
    <w:rsid w:val="0004663B"/>
    <w:rsid w:val="00046659"/>
    <w:rsid w:val="000467DC"/>
    <w:rsid w:val="0004698F"/>
    <w:rsid w:val="00046B48"/>
    <w:rsid w:val="00046D64"/>
    <w:rsid w:val="00046DE2"/>
    <w:rsid w:val="00046E97"/>
    <w:rsid w:val="00047181"/>
    <w:rsid w:val="000474FD"/>
    <w:rsid w:val="00047C82"/>
    <w:rsid w:val="00047DA2"/>
    <w:rsid w:val="00047F1E"/>
    <w:rsid w:val="00047FDB"/>
    <w:rsid w:val="000504BD"/>
    <w:rsid w:val="000508C2"/>
    <w:rsid w:val="00050CF1"/>
    <w:rsid w:val="00051499"/>
    <w:rsid w:val="00051A36"/>
    <w:rsid w:val="000523C9"/>
    <w:rsid w:val="00052634"/>
    <w:rsid w:val="00052AFC"/>
    <w:rsid w:val="000532B3"/>
    <w:rsid w:val="000533DA"/>
    <w:rsid w:val="00053851"/>
    <w:rsid w:val="000539D0"/>
    <w:rsid w:val="000539FD"/>
    <w:rsid w:val="00053A5E"/>
    <w:rsid w:val="00053EA1"/>
    <w:rsid w:val="00054621"/>
    <w:rsid w:val="000546D7"/>
    <w:rsid w:val="00054A8D"/>
    <w:rsid w:val="00054D1A"/>
    <w:rsid w:val="00054D7F"/>
    <w:rsid w:val="00055806"/>
    <w:rsid w:val="0005587F"/>
    <w:rsid w:val="000559D7"/>
    <w:rsid w:val="00056281"/>
    <w:rsid w:val="000562B4"/>
    <w:rsid w:val="0005642E"/>
    <w:rsid w:val="00056B86"/>
    <w:rsid w:val="00056D1A"/>
    <w:rsid w:val="00056ECF"/>
    <w:rsid w:val="0005704A"/>
    <w:rsid w:val="00057150"/>
    <w:rsid w:val="0005759B"/>
    <w:rsid w:val="0005769F"/>
    <w:rsid w:val="000602F1"/>
    <w:rsid w:val="000604DF"/>
    <w:rsid w:val="0006055A"/>
    <w:rsid w:val="000605FE"/>
    <w:rsid w:val="00060B8C"/>
    <w:rsid w:val="00060C72"/>
    <w:rsid w:val="00060D88"/>
    <w:rsid w:val="00060FF7"/>
    <w:rsid w:val="00061070"/>
    <w:rsid w:val="00061657"/>
    <w:rsid w:val="000619E1"/>
    <w:rsid w:val="00062324"/>
    <w:rsid w:val="000624A7"/>
    <w:rsid w:val="00062A93"/>
    <w:rsid w:val="00063E73"/>
    <w:rsid w:val="00064018"/>
    <w:rsid w:val="00064DF4"/>
    <w:rsid w:val="00064E74"/>
    <w:rsid w:val="00065036"/>
    <w:rsid w:val="0006522B"/>
    <w:rsid w:val="000653B5"/>
    <w:rsid w:val="00065434"/>
    <w:rsid w:val="00065775"/>
    <w:rsid w:val="00065D3F"/>
    <w:rsid w:val="00066317"/>
    <w:rsid w:val="00066360"/>
    <w:rsid w:val="0006662F"/>
    <w:rsid w:val="000668D5"/>
    <w:rsid w:val="00066AF8"/>
    <w:rsid w:val="000676E8"/>
    <w:rsid w:val="00067B5E"/>
    <w:rsid w:val="00067CDA"/>
    <w:rsid w:val="00070735"/>
    <w:rsid w:val="00070F5B"/>
    <w:rsid w:val="00071036"/>
    <w:rsid w:val="000710DF"/>
    <w:rsid w:val="00071248"/>
    <w:rsid w:val="00071659"/>
    <w:rsid w:val="0007185B"/>
    <w:rsid w:val="00071863"/>
    <w:rsid w:val="00071F23"/>
    <w:rsid w:val="000720B9"/>
    <w:rsid w:val="00072113"/>
    <w:rsid w:val="0007245C"/>
    <w:rsid w:val="00072CC0"/>
    <w:rsid w:val="00072CDB"/>
    <w:rsid w:val="00073655"/>
    <w:rsid w:val="000736B2"/>
    <w:rsid w:val="000737B9"/>
    <w:rsid w:val="000737F7"/>
    <w:rsid w:val="0007383D"/>
    <w:rsid w:val="000739C6"/>
    <w:rsid w:val="00073D83"/>
    <w:rsid w:val="00073D9B"/>
    <w:rsid w:val="0007434B"/>
    <w:rsid w:val="0007497A"/>
    <w:rsid w:val="00074A5A"/>
    <w:rsid w:val="00074ADE"/>
    <w:rsid w:val="00074EB2"/>
    <w:rsid w:val="0007511D"/>
    <w:rsid w:val="0007528D"/>
    <w:rsid w:val="000754C4"/>
    <w:rsid w:val="00075764"/>
    <w:rsid w:val="0007651B"/>
    <w:rsid w:val="0007661A"/>
    <w:rsid w:val="000766F7"/>
    <w:rsid w:val="0007672F"/>
    <w:rsid w:val="00076B54"/>
    <w:rsid w:val="00077080"/>
    <w:rsid w:val="000774F0"/>
    <w:rsid w:val="000775F2"/>
    <w:rsid w:val="0007782A"/>
    <w:rsid w:val="00077EE3"/>
    <w:rsid w:val="00077F8B"/>
    <w:rsid w:val="00080909"/>
    <w:rsid w:val="00080946"/>
    <w:rsid w:val="00080991"/>
    <w:rsid w:val="00080AF7"/>
    <w:rsid w:val="000812CA"/>
    <w:rsid w:val="0008155D"/>
    <w:rsid w:val="00081BED"/>
    <w:rsid w:val="00081E63"/>
    <w:rsid w:val="00081F5A"/>
    <w:rsid w:val="00081FCA"/>
    <w:rsid w:val="0008204A"/>
    <w:rsid w:val="000821BD"/>
    <w:rsid w:val="0008258D"/>
    <w:rsid w:val="00082EE4"/>
    <w:rsid w:val="00082F8B"/>
    <w:rsid w:val="00083A68"/>
    <w:rsid w:val="00083CC3"/>
    <w:rsid w:val="00083E99"/>
    <w:rsid w:val="00084183"/>
    <w:rsid w:val="000844C7"/>
    <w:rsid w:val="000846C0"/>
    <w:rsid w:val="00084E5D"/>
    <w:rsid w:val="00084F4F"/>
    <w:rsid w:val="00084FA8"/>
    <w:rsid w:val="00085010"/>
    <w:rsid w:val="000856C5"/>
    <w:rsid w:val="00085C31"/>
    <w:rsid w:val="00085CFB"/>
    <w:rsid w:val="00085E09"/>
    <w:rsid w:val="00085E8C"/>
    <w:rsid w:val="00086DC3"/>
    <w:rsid w:val="00086FF3"/>
    <w:rsid w:val="0008702D"/>
    <w:rsid w:val="0008705C"/>
    <w:rsid w:val="00087398"/>
    <w:rsid w:val="000876CB"/>
    <w:rsid w:val="0008783A"/>
    <w:rsid w:val="0008792A"/>
    <w:rsid w:val="00087B58"/>
    <w:rsid w:val="00087BCD"/>
    <w:rsid w:val="00087D28"/>
    <w:rsid w:val="00087DD7"/>
    <w:rsid w:val="00087F35"/>
    <w:rsid w:val="000902C8"/>
    <w:rsid w:val="000902D9"/>
    <w:rsid w:val="00090562"/>
    <w:rsid w:val="000905F4"/>
    <w:rsid w:val="000906A0"/>
    <w:rsid w:val="0009091D"/>
    <w:rsid w:val="00090C7E"/>
    <w:rsid w:val="000911AC"/>
    <w:rsid w:val="00091468"/>
    <w:rsid w:val="0009193A"/>
    <w:rsid w:val="000920F8"/>
    <w:rsid w:val="00092600"/>
    <w:rsid w:val="0009261A"/>
    <w:rsid w:val="0009262B"/>
    <w:rsid w:val="000928BB"/>
    <w:rsid w:val="0009297B"/>
    <w:rsid w:val="00092AF4"/>
    <w:rsid w:val="00092C01"/>
    <w:rsid w:val="00092C20"/>
    <w:rsid w:val="00092C87"/>
    <w:rsid w:val="00092CD6"/>
    <w:rsid w:val="00093310"/>
    <w:rsid w:val="0009384C"/>
    <w:rsid w:val="000939B8"/>
    <w:rsid w:val="00093B9E"/>
    <w:rsid w:val="00093C85"/>
    <w:rsid w:val="00093CDB"/>
    <w:rsid w:val="00093CDC"/>
    <w:rsid w:val="00093E01"/>
    <w:rsid w:val="00093EC2"/>
    <w:rsid w:val="0009400E"/>
    <w:rsid w:val="0009413D"/>
    <w:rsid w:val="0009445C"/>
    <w:rsid w:val="000946B4"/>
    <w:rsid w:val="00094C99"/>
    <w:rsid w:val="00095200"/>
    <w:rsid w:val="00095358"/>
    <w:rsid w:val="000955CF"/>
    <w:rsid w:val="00095AA7"/>
    <w:rsid w:val="00095FE5"/>
    <w:rsid w:val="00096284"/>
    <w:rsid w:val="00096347"/>
    <w:rsid w:val="00096D83"/>
    <w:rsid w:val="00096FF1"/>
    <w:rsid w:val="000975D8"/>
    <w:rsid w:val="00097D65"/>
    <w:rsid w:val="00097FAB"/>
    <w:rsid w:val="000A0617"/>
    <w:rsid w:val="000A0D2B"/>
    <w:rsid w:val="000A11FA"/>
    <w:rsid w:val="000A1479"/>
    <w:rsid w:val="000A1897"/>
    <w:rsid w:val="000A1A28"/>
    <w:rsid w:val="000A1BC0"/>
    <w:rsid w:val="000A1BDB"/>
    <w:rsid w:val="000A1C11"/>
    <w:rsid w:val="000A2129"/>
    <w:rsid w:val="000A21C2"/>
    <w:rsid w:val="000A27C6"/>
    <w:rsid w:val="000A2F9E"/>
    <w:rsid w:val="000A3060"/>
    <w:rsid w:val="000A30F1"/>
    <w:rsid w:val="000A31C3"/>
    <w:rsid w:val="000A3280"/>
    <w:rsid w:val="000A3B0D"/>
    <w:rsid w:val="000A3E47"/>
    <w:rsid w:val="000A425F"/>
    <w:rsid w:val="000A509E"/>
    <w:rsid w:val="000A51FB"/>
    <w:rsid w:val="000A522B"/>
    <w:rsid w:val="000A53B2"/>
    <w:rsid w:val="000A5449"/>
    <w:rsid w:val="000A5584"/>
    <w:rsid w:val="000A5CDB"/>
    <w:rsid w:val="000A5F77"/>
    <w:rsid w:val="000A5FBA"/>
    <w:rsid w:val="000A6039"/>
    <w:rsid w:val="000A61E7"/>
    <w:rsid w:val="000A6264"/>
    <w:rsid w:val="000A64C1"/>
    <w:rsid w:val="000A6733"/>
    <w:rsid w:val="000A6852"/>
    <w:rsid w:val="000A69A4"/>
    <w:rsid w:val="000A6B70"/>
    <w:rsid w:val="000A6B7E"/>
    <w:rsid w:val="000A71D4"/>
    <w:rsid w:val="000A7334"/>
    <w:rsid w:val="000A737B"/>
    <w:rsid w:val="000A73D2"/>
    <w:rsid w:val="000A7453"/>
    <w:rsid w:val="000A7848"/>
    <w:rsid w:val="000A79F6"/>
    <w:rsid w:val="000A7CDF"/>
    <w:rsid w:val="000A7D08"/>
    <w:rsid w:val="000B0064"/>
    <w:rsid w:val="000B006D"/>
    <w:rsid w:val="000B009D"/>
    <w:rsid w:val="000B0121"/>
    <w:rsid w:val="000B0180"/>
    <w:rsid w:val="000B01F7"/>
    <w:rsid w:val="000B0670"/>
    <w:rsid w:val="000B06CC"/>
    <w:rsid w:val="000B09F8"/>
    <w:rsid w:val="000B0BF9"/>
    <w:rsid w:val="000B0C16"/>
    <w:rsid w:val="000B0E75"/>
    <w:rsid w:val="000B0F6A"/>
    <w:rsid w:val="000B1006"/>
    <w:rsid w:val="000B11A7"/>
    <w:rsid w:val="000B13DE"/>
    <w:rsid w:val="000B1745"/>
    <w:rsid w:val="000B1EC9"/>
    <w:rsid w:val="000B2057"/>
    <w:rsid w:val="000B205F"/>
    <w:rsid w:val="000B21BB"/>
    <w:rsid w:val="000B229E"/>
    <w:rsid w:val="000B269E"/>
    <w:rsid w:val="000B279B"/>
    <w:rsid w:val="000B2DCB"/>
    <w:rsid w:val="000B2E05"/>
    <w:rsid w:val="000B30DE"/>
    <w:rsid w:val="000B33A9"/>
    <w:rsid w:val="000B371A"/>
    <w:rsid w:val="000B3C9E"/>
    <w:rsid w:val="000B3D0B"/>
    <w:rsid w:val="000B420F"/>
    <w:rsid w:val="000B4B9B"/>
    <w:rsid w:val="000B4FFD"/>
    <w:rsid w:val="000B5076"/>
    <w:rsid w:val="000B5B4E"/>
    <w:rsid w:val="000B5CE0"/>
    <w:rsid w:val="000B5DB2"/>
    <w:rsid w:val="000B5EBF"/>
    <w:rsid w:val="000B6029"/>
    <w:rsid w:val="000B63F4"/>
    <w:rsid w:val="000B66DC"/>
    <w:rsid w:val="000B6CAC"/>
    <w:rsid w:val="000B6EA0"/>
    <w:rsid w:val="000B7612"/>
    <w:rsid w:val="000B78AE"/>
    <w:rsid w:val="000B79B1"/>
    <w:rsid w:val="000B7CB5"/>
    <w:rsid w:val="000B7CBF"/>
    <w:rsid w:val="000B7EA1"/>
    <w:rsid w:val="000C027E"/>
    <w:rsid w:val="000C04BA"/>
    <w:rsid w:val="000C0525"/>
    <w:rsid w:val="000C075C"/>
    <w:rsid w:val="000C15CD"/>
    <w:rsid w:val="000C19F2"/>
    <w:rsid w:val="000C1D53"/>
    <w:rsid w:val="000C2217"/>
    <w:rsid w:val="000C2313"/>
    <w:rsid w:val="000C23D3"/>
    <w:rsid w:val="000C2D3F"/>
    <w:rsid w:val="000C320C"/>
    <w:rsid w:val="000C353C"/>
    <w:rsid w:val="000C35ED"/>
    <w:rsid w:val="000C3DF9"/>
    <w:rsid w:val="000C42A9"/>
    <w:rsid w:val="000C437E"/>
    <w:rsid w:val="000C4690"/>
    <w:rsid w:val="000C4769"/>
    <w:rsid w:val="000C4CF2"/>
    <w:rsid w:val="000C5224"/>
    <w:rsid w:val="000C5266"/>
    <w:rsid w:val="000C5367"/>
    <w:rsid w:val="000C5461"/>
    <w:rsid w:val="000C5DCE"/>
    <w:rsid w:val="000C6710"/>
    <w:rsid w:val="000C6713"/>
    <w:rsid w:val="000C7E48"/>
    <w:rsid w:val="000D0666"/>
    <w:rsid w:val="000D0C7E"/>
    <w:rsid w:val="000D10BD"/>
    <w:rsid w:val="000D1609"/>
    <w:rsid w:val="000D1B3C"/>
    <w:rsid w:val="000D1BFC"/>
    <w:rsid w:val="000D1D5D"/>
    <w:rsid w:val="000D1DDE"/>
    <w:rsid w:val="000D2134"/>
    <w:rsid w:val="000D26B0"/>
    <w:rsid w:val="000D281A"/>
    <w:rsid w:val="000D2848"/>
    <w:rsid w:val="000D2C6B"/>
    <w:rsid w:val="000D326A"/>
    <w:rsid w:val="000D3764"/>
    <w:rsid w:val="000D3CF0"/>
    <w:rsid w:val="000D4118"/>
    <w:rsid w:val="000D41E4"/>
    <w:rsid w:val="000D4895"/>
    <w:rsid w:val="000D48AB"/>
    <w:rsid w:val="000D49C8"/>
    <w:rsid w:val="000D4C5E"/>
    <w:rsid w:val="000D4DD2"/>
    <w:rsid w:val="000D51FB"/>
    <w:rsid w:val="000D53EA"/>
    <w:rsid w:val="000D5A7D"/>
    <w:rsid w:val="000D5B09"/>
    <w:rsid w:val="000D5D7B"/>
    <w:rsid w:val="000D6A38"/>
    <w:rsid w:val="000D6AEE"/>
    <w:rsid w:val="000D6C3A"/>
    <w:rsid w:val="000D6D42"/>
    <w:rsid w:val="000D7DB1"/>
    <w:rsid w:val="000D7E26"/>
    <w:rsid w:val="000D7FBA"/>
    <w:rsid w:val="000E01EC"/>
    <w:rsid w:val="000E0339"/>
    <w:rsid w:val="000E05C4"/>
    <w:rsid w:val="000E0640"/>
    <w:rsid w:val="000E07B9"/>
    <w:rsid w:val="000E1062"/>
    <w:rsid w:val="000E135D"/>
    <w:rsid w:val="000E14B6"/>
    <w:rsid w:val="000E1670"/>
    <w:rsid w:val="000E19B1"/>
    <w:rsid w:val="000E1B36"/>
    <w:rsid w:val="000E1CD4"/>
    <w:rsid w:val="000E1DD9"/>
    <w:rsid w:val="000E239E"/>
    <w:rsid w:val="000E2A2B"/>
    <w:rsid w:val="000E3519"/>
    <w:rsid w:val="000E35EA"/>
    <w:rsid w:val="000E36E0"/>
    <w:rsid w:val="000E3C82"/>
    <w:rsid w:val="000E426B"/>
    <w:rsid w:val="000E42E9"/>
    <w:rsid w:val="000E4A59"/>
    <w:rsid w:val="000E4B27"/>
    <w:rsid w:val="000E4BCF"/>
    <w:rsid w:val="000E52E2"/>
    <w:rsid w:val="000E5536"/>
    <w:rsid w:val="000E56F0"/>
    <w:rsid w:val="000E5B7F"/>
    <w:rsid w:val="000E5F3D"/>
    <w:rsid w:val="000E5FA4"/>
    <w:rsid w:val="000E6321"/>
    <w:rsid w:val="000E6560"/>
    <w:rsid w:val="000E657C"/>
    <w:rsid w:val="000E6A28"/>
    <w:rsid w:val="000E6DD4"/>
    <w:rsid w:val="000E7376"/>
    <w:rsid w:val="000E7989"/>
    <w:rsid w:val="000E7B1A"/>
    <w:rsid w:val="000F00BA"/>
    <w:rsid w:val="000F02DA"/>
    <w:rsid w:val="000F049B"/>
    <w:rsid w:val="000F0636"/>
    <w:rsid w:val="000F0DCD"/>
    <w:rsid w:val="000F0FCA"/>
    <w:rsid w:val="000F1211"/>
    <w:rsid w:val="000F15A5"/>
    <w:rsid w:val="000F15D8"/>
    <w:rsid w:val="000F1B32"/>
    <w:rsid w:val="000F2192"/>
    <w:rsid w:val="000F21F7"/>
    <w:rsid w:val="000F2204"/>
    <w:rsid w:val="000F2788"/>
    <w:rsid w:val="000F28E3"/>
    <w:rsid w:val="000F316A"/>
    <w:rsid w:val="000F3436"/>
    <w:rsid w:val="000F36F0"/>
    <w:rsid w:val="000F3AE5"/>
    <w:rsid w:val="000F3C74"/>
    <w:rsid w:val="000F3D67"/>
    <w:rsid w:val="000F4892"/>
    <w:rsid w:val="000F499E"/>
    <w:rsid w:val="000F4BB8"/>
    <w:rsid w:val="000F4ED9"/>
    <w:rsid w:val="000F4FA9"/>
    <w:rsid w:val="000F52AE"/>
    <w:rsid w:val="000F53FB"/>
    <w:rsid w:val="000F5821"/>
    <w:rsid w:val="000F6658"/>
    <w:rsid w:val="000F69D0"/>
    <w:rsid w:val="000F6B19"/>
    <w:rsid w:val="000F6DD2"/>
    <w:rsid w:val="000F6E19"/>
    <w:rsid w:val="000F7127"/>
    <w:rsid w:val="000F754F"/>
    <w:rsid w:val="000F7B54"/>
    <w:rsid w:val="000F7FE8"/>
    <w:rsid w:val="001000B3"/>
    <w:rsid w:val="001005AA"/>
    <w:rsid w:val="00100AA6"/>
    <w:rsid w:val="00100B9D"/>
    <w:rsid w:val="00100F8A"/>
    <w:rsid w:val="00101003"/>
    <w:rsid w:val="00101007"/>
    <w:rsid w:val="00101019"/>
    <w:rsid w:val="00101BCC"/>
    <w:rsid w:val="00101E04"/>
    <w:rsid w:val="00102561"/>
    <w:rsid w:val="001026CC"/>
    <w:rsid w:val="00102B6A"/>
    <w:rsid w:val="00102E98"/>
    <w:rsid w:val="00102F60"/>
    <w:rsid w:val="00102FBC"/>
    <w:rsid w:val="00102FE1"/>
    <w:rsid w:val="00103EC8"/>
    <w:rsid w:val="001044AE"/>
    <w:rsid w:val="0010452E"/>
    <w:rsid w:val="00104A8F"/>
    <w:rsid w:val="00104F3B"/>
    <w:rsid w:val="001054C5"/>
    <w:rsid w:val="001056A7"/>
    <w:rsid w:val="00105AE2"/>
    <w:rsid w:val="00105CFA"/>
    <w:rsid w:val="00105D69"/>
    <w:rsid w:val="001060C6"/>
    <w:rsid w:val="001060EF"/>
    <w:rsid w:val="001061A1"/>
    <w:rsid w:val="00106363"/>
    <w:rsid w:val="0010690B"/>
    <w:rsid w:val="00106B80"/>
    <w:rsid w:val="00106EDF"/>
    <w:rsid w:val="00106F46"/>
    <w:rsid w:val="001100B1"/>
    <w:rsid w:val="001101D6"/>
    <w:rsid w:val="00110214"/>
    <w:rsid w:val="0011032E"/>
    <w:rsid w:val="00110354"/>
    <w:rsid w:val="00110420"/>
    <w:rsid w:val="001105D0"/>
    <w:rsid w:val="001106F4"/>
    <w:rsid w:val="00111423"/>
    <w:rsid w:val="00111583"/>
    <w:rsid w:val="00113168"/>
    <w:rsid w:val="0011348B"/>
    <w:rsid w:val="0011429B"/>
    <w:rsid w:val="001144C1"/>
    <w:rsid w:val="001146B3"/>
    <w:rsid w:val="00115213"/>
    <w:rsid w:val="0011566B"/>
    <w:rsid w:val="00115982"/>
    <w:rsid w:val="00115A32"/>
    <w:rsid w:val="00115B6C"/>
    <w:rsid w:val="00115F01"/>
    <w:rsid w:val="00115FCB"/>
    <w:rsid w:val="00116001"/>
    <w:rsid w:val="00116297"/>
    <w:rsid w:val="001168F9"/>
    <w:rsid w:val="00116A09"/>
    <w:rsid w:val="00116C53"/>
    <w:rsid w:val="00116D0C"/>
    <w:rsid w:val="001172CB"/>
    <w:rsid w:val="0011752A"/>
    <w:rsid w:val="001177F2"/>
    <w:rsid w:val="00117820"/>
    <w:rsid w:val="001179A1"/>
    <w:rsid w:val="001179A4"/>
    <w:rsid w:val="00120343"/>
    <w:rsid w:val="001203E0"/>
    <w:rsid w:val="0012054E"/>
    <w:rsid w:val="00120A49"/>
    <w:rsid w:val="0012138C"/>
    <w:rsid w:val="00121626"/>
    <w:rsid w:val="00121799"/>
    <w:rsid w:val="00121A73"/>
    <w:rsid w:val="00121E01"/>
    <w:rsid w:val="00121EEB"/>
    <w:rsid w:val="001222D9"/>
    <w:rsid w:val="001222FC"/>
    <w:rsid w:val="001229B6"/>
    <w:rsid w:val="001229C5"/>
    <w:rsid w:val="00122AAC"/>
    <w:rsid w:val="00122C3D"/>
    <w:rsid w:val="00122C58"/>
    <w:rsid w:val="00122F81"/>
    <w:rsid w:val="001231EE"/>
    <w:rsid w:val="001234D3"/>
    <w:rsid w:val="001236B3"/>
    <w:rsid w:val="00123902"/>
    <w:rsid w:val="00123955"/>
    <w:rsid w:val="00123F19"/>
    <w:rsid w:val="0012410F"/>
    <w:rsid w:val="00124A51"/>
    <w:rsid w:val="00124C43"/>
    <w:rsid w:val="00124C4C"/>
    <w:rsid w:val="00125587"/>
    <w:rsid w:val="00125A3C"/>
    <w:rsid w:val="00125A8E"/>
    <w:rsid w:val="00125F7B"/>
    <w:rsid w:val="00125FE5"/>
    <w:rsid w:val="00126231"/>
    <w:rsid w:val="001264CA"/>
    <w:rsid w:val="00126621"/>
    <w:rsid w:val="00126768"/>
    <w:rsid w:val="001267B5"/>
    <w:rsid w:val="00126820"/>
    <w:rsid w:val="001268BB"/>
    <w:rsid w:val="00126B0F"/>
    <w:rsid w:val="00126B1D"/>
    <w:rsid w:val="001277D1"/>
    <w:rsid w:val="001279A2"/>
    <w:rsid w:val="001301E9"/>
    <w:rsid w:val="00130C0B"/>
    <w:rsid w:val="001314B0"/>
    <w:rsid w:val="001319A9"/>
    <w:rsid w:val="00131A00"/>
    <w:rsid w:val="00131D82"/>
    <w:rsid w:val="0013248E"/>
    <w:rsid w:val="0013271F"/>
    <w:rsid w:val="0013282D"/>
    <w:rsid w:val="00132995"/>
    <w:rsid w:val="00132B22"/>
    <w:rsid w:val="00132BAF"/>
    <w:rsid w:val="00132CFA"/>
    <w:rsid w:val="00132E07"/>
    <w:rsid w:val="00132E91"/>
    <w:rsid w:val="00133027"/>
    <w:rsid w:val="001330B2"/>
    <w:rsid w:val="00133797"/>
    <w:rsid w:val="001338C9"/>
    <w:rsid w:val="00133B90"/>
    <w:rsid w:val="00133D36"/>
    <w:rsid w:val="00133EC8"/>
    <w:rsid w:val="001347AD"/>
    <w:rsid w:val="001358D8"/>
    <w:rsid w:val="0013599B"/>
    <w:rsid w:val="00135B4D"/>
    <w:rsid w:val="00135E5A"/>
    <w:rsid w:val="00136070"/>
    <w:rsid w:val="001363CD"/>
    <w:rsid w:val="00136413"/>
    <w:rsid w:val="001366A7"/>
    <w:rsid w:val="001368A8"/>
    <w:rsid w:val="00136B35"/>
    <w:rsid w:val="00136CEE"/>
    <w:rsid w:val="00136E6B"/>
    <w:rsid w:val="0013729B"/>
    <w:rsid w:val="00137645"/>
    <w:rsid w:val="0013764E"/>
    <w:rsid w:val="00137A8D"/>
    <w:rsid w:val="00137AD5"/>
    <w:rsid w:val="00137B17"/>
    <w:rsid w:val="00137DEF"/>
    <w:rsid w:val="0014015A"/>
    <w:rsid w:val="00140782"/>
    <w:rsid w:val="00140865"/>
    <w:rsid w:val="00140E10"/>
    <w:rsid w:val="00140E8D"/>
    <w:rsid w:val="00140E99"/>
    <w:rsid w:val="0014103C"/>
    <w:rsid w:val="001414BD"/>
    <w:rsid w:val="001419F9"/>
    <w:rsid w:val="00141A6B"/>
    <w:rsid w:val="00142063"/>
    <w:rsid w:val="0014206F"/>
    <w:rsid w:val="00142513"/>
    <w:rsid w:val="00142563"/>
    <w:rsid w:val="00142771"/>
    <w:rsid w:val="00142AA4"/>
    <w:rsid w:val="00142BC2"/>
    <w:rsid w:val="00142C37"/>
    <w:rsid w:val="00143463"/>
    <w:rsid w:val="00143A03"/>
    <w:rsid w:val="00143A14"/>
    <w:rsid w:val="00143F67"/>
    <w:rsid w:val="001441D7"/>
    <w:rsid w:val="0014427F"/>
    <w:rsid w:val="0014475E"/>
    <w:rsid w:val="00144854"/>
    <w:rsid w:val="00145234"/>
    <w:rsid w:val="001452E1"/>
    <w:rsid w:val="00145540"/>
    <w:rsid w:val="001456B0"/>
    <w:rsid w:val="00145724"/>
    <w:rsid w:val="00145A1F"/>
    <w:rsid w:val="00146302"/>
    <w:rsid w:val="00146432"/>
    <w:rsid w:val="001466DC"/>
    <w:rsid w:val="00146894"/>
    <w:rsid w:val="001469EF"/>
    <w:rsid w:val="00146DEA"/>
    <w:rsid w:val="00146F58"/>
    <w:rsid w:val="0014738B"/>
    <w:rsid w:val="0014773C"/>
    <w:rsid w:val="00147F26"/>
    <w:rsid w:val="001500CC"/>
    <w:rsid w:val="001506BB"/>
    <w:rsid w:val="0015080C"/>
    <w:rsid w:val="00150881"/>
    <w:rsid w:val="00151459"/>
    <w:rsid w:val="0015148F"/>
    <w:rsid w:val="0015151D"/>
    <w:rsid w:val="00151757"/>
    <w:rsid w:val="001518B9"/>
    <w:rsid w:val="001520F7"/>
    <w:rsid w:val="00152E22"/>
    <w:rsid w:val="0015339D"/>
    <w:rsid w:val="00153C3F"/>
    <w:rsid w:val="00153CA7"/>
    <w:rsid w:val="001547AB"/>
    <w:rsid w:val="0015496C"/>
    <w:rsid w:val="00154C72"/>
    <w:rsid w:val="00154E14"/>
    <w:rsid w:val="00155219"/>
    <w:rsid w:val="00155398"/>
    <w:rsid w:val="001559EE"/>
    <w:rsid w:val="00155CD4"/>
    <w:rsid w:val="00155E37"/>
    <w:rsid w:val="001561CE"/>
    <w:rsid w:val="00156555"/>
    <w:rsid w:val="00156B82"/>
    <w:rsid w:val="00156D5D"/>
    <w:rsid w:val="00156D87"/>
    <w:rsid w:val="00156F5E"/>
    <w:rsid w:val="00156F8F"/>
    <w:rsid w:val="00157130"/>
    <w:rsid w:val="001571B4"/>
    <w:rsid w:val="001571D0"/>
    <w:rsid w:val="001576B1"/>
    <w:rsid w:val="001576E2"/>
    <w:rsid w:val="00157813"/>
    <w:rsid w:val="001578F3"/>
    <w:rsid w:val="00157A48"/>
    <w:rsid w:val="00157E19"/>
    <w:rsid w:val="00157E1A"/>
    <w:rsid w:val="0016030C"/>
    <w:rsid w:val="0016047B"/>
    <w:rsid w:val="001604F8"/>
    <w:rsid w:val="00160633"/>
    <w:rsid w:val="00160A01"/>
    <w:rsid w:val="00160A4C"/>
    <w:rsid w:val="001610EE"/>
    <w:rsid w:val="001613CC"/>
    <w:rsid w:val="0016152F"/>
    <w:rsid w:val="00161772"/>
    <w:rsid w:val="00161CB2"/>
    <w:rsid w:val="00161CC2"/>
    <w:rsid w:val="00162029"/>
    <w:rsid w:val="00162913"/>
    <w:rsid w:val="001631E4"/>
    <w:rsid w:val="001632AE"/>
    <w:rsid w:val="0016358D"/>
    <w:rsid w:val="00163D17"/>
    <w:rsid w:val="00163EFF"/>
    <w:rsid w:val="00163F66"/>
    <w:rsid w:val="001646AA"/>
    <w:rsid w:val="0016478E"/>
    <w:rsid w:val="00165802"/>
    <w:rsid w:val="00165B02"/>
    <w:rsid w:val="00165D8A"/>
    <w:rsid w:val="00165EC4"/>
    <w:rsid w:val="00165FE1"/>
    <w:rsid w:val="001660D9"/>
    <w:rsid w:val="001661FB"/>
    <w:rsid w:val="0016667F"/>
    <w:rsid w:val="001668FE"/>
    <w:rsid w:val="00166976"/>
    <w:rsid w:val="00166B4A"/>
    <w:rsid w:val="00167066"/>
    <w:rsid w:val="001671A0"/>
    <w:rsid w:val="00167274"/>
    <w:rsid w:val="0016767F"/>
    <w:rsid w:val="001679EC"/>
    <w:rsid w:val="001679F2"/>
    <w:rsid w:val="00167B2E"/>
    <w:rsid w:val="00171115"/>
    <w:rsid w:val="0017126B"/>
    <w:rsid w:val="001712AC"/>
    <w:rsid w:val="00171CAD"/>
    <w:rsid w:val="00172056"/>
    <w:rsid w:val="001721BB"/>
    <w:rsid w:val="00172255"/>
    <w:rsid w:val="0017303B"/>
    <w:rsid w:val="00173565"/>
    <w:rsid w:val="00173B07"/>
    <w:rsid w:val="00173D50"/>
    <w:rsid w:val="00173EB4"/>
    <w:rsid w:val="00173F5D"/>
    <w:rsid w:val="001744CF"/>
    <w:rsid w:val="00174568"/>
    <w:rsid w:val="0017469E"/>
    <w:rsid w:val="001746E7"/>
    <w:rsid w:val="001751FA"/>
    <w:rsid w:val="0017548E"/>
    <w:rsid w:val="0017556B"/>
    <w:rsid w:val="00175E67"/>
    <w:rsid w:val="001765DB"/>
    <w:rsid w:val="0017767B"/>
    <w:rsid w:val="001779DD"/>
    <w:rsid w:val="00177B63"/>
    <w:rsid w:val="0018003F"/>
    <w:rsid w:val="00180464"/>
    <w:rsid w:val="0018071C"/>
    <w:rsid w:val="00180A15"/>
    <w:rsid w:val="00180D7D"/>
    <w:rsid w:val="00180DB6"/>
    <w:rsid w:val="001814EE"/>
    <w:rsid w:val="00181681"/>
    <w:rsid w:val="00181887"/>
    <w:rsid w:val="00181C10"/>
    <w:rsid w:val="00181C8E"/>
    <w:rsid w:val="00181D9C"/>
    <w:rsid w:val="00182301"/>
    <w:rsid w:val="00182F7B"/>
    <w:rsid w:val="00182F84"/>
    <w:rsid w:val="001834B3"/>
    <w:rsid w:val="001835A0"/>
    <w:rsid w:val="001837FF"/>
    <w:rsid w:val="0018424E"/>
    <w:rsid w:val="001844A2"/>
    <w:rsid w:val="001844C3"/>
    <w:rsid w:val="00184660"/>
    <w:rsid w:val="0018476E"/>
    <w:rsid w:val="0018492D"/>
    <w:rsid w:val="00184B09"/>
    <w:rsid w:val="00184B0E"/>
    <w:rsid w:val="00184CE6"/>
    <w:rsid w:val="0018545B"/>
    <w:rsid w:val="001855B7"/>
    <w:rsid w:val="001856F2"/>
    <w:rsid w:val="00185A87"/>
    <w:rsid w:val="00185BE7"/>
    <w:rsid w:val="0018601A"/>
    <w:rsid w:val="0018610B"/>
    <w:rsid w:val="00186634"/>
    <w:rsid w:val="001869C6"/>
    <w:rsid w:val="00186C6B"/>
    <w:rsid w:val="00186F2C"/>
    <w:rsid w:val="001870E6"/>
    <w:rsid w:val="0018752F"/>
    <w:rsid w:val="00187831"/>
    <w:rsid w:val="00190017"/>
    <w:rsid w:val="001905CE"/>
    <w:rsid w:val="001908C6"/>
    <w:rsid w:val="00190E40"/>
    <w:rsid w:val="0019168B"/>
    <w:rsid w:val="0019198C"/>
    <w:rsid w:val="00191DDF"/>
    <w:rsid w:val="00191DEF"/>
    <w:rsid w:val="00191EB6"/>
    <w:rsid w:val="0019216E"/>
    <w:rsid w:val="001924FC"/>
    <w:rsid w:val="00192C5D"/>
    <w:rsid w:val="00193444"/>
    <w:rsid w:val="00193838"/>
    <w:rsid w:val="0019497D"/>
    <w:rsid w:val="00194AD8"/>
    <w:rsid w:val="00194E7C"/>
    <w:rsid w:val="00194F52"/>
    <w:rsid w:val="00195222"/>
    <w:rsid w:val="00195452"/>
    <w:rsid w:val="001954FB"/>
    <w:rsid w:val="001958FE"/>
    <w:rsid w:val="001959C4"/>
    <w:rsid w:val="001960A2"/>
    <w:rsid w:val="00196742"/>
    <w:rsid w:val="00196A51"/>
    <w:rsid w:val="00196D48"/>
    <w:rsid w:val="001970B6"/>
    <w:rsid w:val="001970CC"/>
    <w:rsid w:val="001971F0"/>
    <w:rsid w:val="00197222"/>
    <w:rsid w:val="00197260"/>
    <w:rsid w:val="00197530"/>
    <w:rsid w:val="001975D8"/>
    <w:rsid w:val="001979D8"/>
    <w:rsid w:val="00197DB8"/>
    <w:rsid w:val="00197FEE"/>
    <w:rsid w:val="001A031C"/>
    <w:rsid w:val="001A03E0"/>
    <w:rsid w:val="001A063A"/>
    <w:rsid w:val="001A080A"/>
    <w:rsid w:val="001A1417"/>
    <w:rsid w:val="001A178E"/>
    <w:rsid w:val="001A1C1F"/>
    <w:rsid w:val="001A22CA"/>
    <w:rsid w:val="001A24FF"/>
    <w:rsid w:val="001A2637"/>
    <w:rsid w:val="001A2828"/>
    <w:rsid w:val="001A28A4"/>
    <w:rsid w:val="001A2B54"/>
    <w:rsid w:val="001A2DE3"/>
    <w:rsid w:val="001A2E3A"/>
    <w:rsid w:val="001A35E4"/>
    <w:rsid w:val="001A3890"/>
    <w:rsid w:val="001A3E14"/>
    <w:rsid w:val="001A3F07"/>
    <w:rsid w:val="001A4321"/>
    <w:rsid w:val="001A43FA"/>
    <w:rsid w:val="001A4549"/>
    <w:rsid w:val="001A47C5"/>
    <w:rsid w:val="001A4D2F"/>
    <w:rsid w:val="001A4D69"/>
    <w:rsid w:val="001A4E37"/>
    <w:rsid w:val="001A51C6"/>
    <w:rsid w:val="001A52D1"/>
    <w:rsid w:val="001A534F"/>
    <w:rsid w:val="001A53E2"/>
    <w:rsid w:val="001A56A3"/>
    <w:rsid w:val="001A58D2"/>
    <w:rsid w:val="001A59FB"/>
    <w:rsid w:val="001A5C52"/>
    <w:rsid w:val="001A5E21"/>
    <w:rsid w:val="001A5E9E"/>
    <w:rsid w:val="001A608C"/>
    <w:rsid w:val="001A6354"/>
    <w:rsid w:val="001A6366"/>
    <w:rsid w:val="001A688C"/>
    <w:rsid w:val="001A6A20"/>
    <w:rsid w:val="001A744B"/>
    <w:rsid w:val="001A7702"/>
    <w:rsid w:val="001A7AE8"/>
    <w:rsid w:val="001B00ED"/>
    <w:rsid w:val="001B01D9"/>
    <w:rsid w:val="001B01F5"/>
    <w:rsid w:val="001B10DA"/>
    <w:rsid w:val="001B1AD4"/>
    <w:rsid w:val="001B1C1E"/>
    <w:rsid w:val="001B1F3D"/>
    <w:rsid w:val="001B204E"/>
    <w:rsid w:val="001B2226"/>
    <w:rsid w:val="001B2372"/>
    <w:rsid w:val="001B2405"/>
    <w:rsid w:val="001B2738"/>
    <w:rsid w:val="001B28FC"/>
    <w:rsid w:val="001B2DE6"/>
    <w:rsid w:val="001B3443"/>
    <w:rsid w:val="001B3EB2"/>
    <w:rsid w:val="001B3F13"/>
    <w:rsid w:val="001B45FF"/>
    <w:rsid w:val="001B4723"/>
    <w:rsid w:val="001B487A"/>
    <w:rsid w:val="001B4C25"/>
    <w:rsid w:val="001B4D20"/>
    <w:rsid w:val="001B4F52"/>
    <w:rsid w:val="001B50E3"/>
    <w:rsid w:val="001B519B"/>
    <w:rsid w:val="001B56E9"/>
    <w:rsid w:val="001B5831"/>
    <w:rsid w:val="001B58B9"/>
    <w:rsid w:val="001B5B0F"/>
    <w:rsid w:val="001B5DB7"/>
    <w:rsid w:val="001B6299"/>
    <w:rsid w:val="001B6616"/>
    <w:rsid w:val="001B683F"/>
    <w:rsid w:val="001B6D42"/>
    <w:rsid w:val="001B6D52"/>
    <w:rsid w:val="001B6EEF"/>
    <w:rsid w:val="001B6EF6"/>
    <w:rsid w:val="001B6F98"/>
    <w:rsid w:val="001B747E"/>
    <w:rsid w:val="001B7698"/>
    <w:rsid w:val="001B7F84"/>
    <w:rsid w:val="001C03A6"/>
    <w:rsid w:val="001C03C2"/>
    <w:rsid w:val="001C0448"/>
    <w:rsid w:val="001C0B45"/>
    <w:rsid w:val="001C0E1A"/>
    <w:rsid w:val="001C11E6"/>
    <w:rsid w:val="001C14EF"/>
    <w:rsid w:val="001C1D6B"/>
    <w:rsid w:val="001C24D0"/>
    <w:rsid w:val="001C2699"/>
    <w:rsid w:val="001C27F1"/>
    <w:rsid w:val="001C2A9B"/>
    <w:rsid w:val="001C2B87"/>
    <w:rsid w:val="001C2D75"/>
    <w:rsid w:val="001C2E2A"/>
    <w:rsid w:val="001C37B2"/>
    <w:rsid w:val="001C37F0"/>
    <w:rsid w:val="001C3DD6"/>
    <w:rsid w:val="001C4299"/>
    <w:rsid w:val="001C472B"/>
    <w:rsid w:val="001C4874"/>
    <w:rsid w:val="001C5007"/>
    <w:rsid w:val="001C55E2"/>
    <w:rsid w:val="001C55FF"/>
    <w:rsid w:val="001C581A"/>
    <w:rsid w:val="001C58FE"/>
    <w:rsid w:val="001C5C0A"/>
    <w:rsid w:val="001C5F94"/>
    <w:rsid w:val="001C6B5B"/>
    <w:rsid w:val="001C6E66"/>
    <w:rsid w:val="001C74C9"/>
    <w:rsid w:val="001C74E3"/>
    <w:rsid w:val="001C7A24"/>
    <w:rsid w:val="001C7C30"/>
    <w:rsid w:val="001D10CC"/>
    <w:rsid w:val="001D1100"/>
    <w:rsid w:val="001D1210"/>
    <w:rsid w:val="001D12FD"/>
    <w:rsid w:val="001D1391"/>
    <w:rsid w:val="001D15CE"/>
    <w:rsid w:val="001D1683"/>
    <w:rsid w:val="001D17A5"/>
    <w:rsid w:val="001D1B68"/>
    <w:rsid w:val="001D1CEA"/>
    <w:rsid w:val="001D232B"/>
    <w:rsid w:val="001D252C"/>
    <w:rsid w:val="001D2558"/>
    <w:rsid w:val="001D25D7"/>
    <w:rsid w:val="001D2E26"/>
    <w:rsid w:val="001D2E95"/>
    <w:rsid w:val="001D2EC4"/>
    <w:rsid w:val="001D2F8C"/>
    <w:rsid w:val="001D3555"/>
    <w:rsid w:val="001D37B2"/>
    <w:rsid w:val="001D3C21"/>
    <w:rsid w:val="001D40FD"/>
    <w:rsid w:val="001D444D"/>
    <w:rsid w:val="001D4963"/>
    <w:rsid w:val="001D4A2A"/>
    <w:rsid w:val="001D4C1E"/>
    <w:rsid w:val="001D4FF7"/>
    <w:rsid w:val="001D50B2"/>
    <w:rsid w:val="001D5229"/>
    <w:rsid w:val="001D54CC"/>
    <w:rsid w:val="001D57D6"/>
    <w:rsid w:val="001D67EF"/>
    <w:rsid w:val="001D6865"/>
    <w:rsid w:val="001D6AB4"/>
    <w:rsid w:val="001D6B14"/>
    <w:rsid w:val="001D6D41"/>
    <w:rsid w:val="001D6D81"/>
    <w:rsid w:val="001D6F80"/>
    <w:rsid w:val="001D70D1"/>
    <w:rsid w:val="001D71F4"/>
    <w:rsid w:val="001D744E"/>
    <w:rsid w:val="001D749C"/>
    <w:rsid w:val="001D7645"/>
    <w:rsid w:val="001D7A04"/>
    <w:rsid w:val="001D7A4D"/>
    <w:rsid w:val="001D7ABE"/>
    <w:rsid w:val="001D7D40"/>
    <w:rsid w:val="001D7DC9"/>
    <w:rsid w:val="001D7E6B"/>
    <w:rsid w:val="001D7ECD"/>
    <w:rsid w:val="001D7F4B"/>
    <w:rsid w:val="001E0A34"/>
    <w:rsid w:val="001E11D4"/>
    <w:rsid w:val="001E1587"/>
    <w:rsid w:val="001E1C6C"/>
    <w:rsid w:val="001E1E86"/>
    <w:rsid w:val="001E219F"/>
    <w:rsid w:val="001E238E"/>
    <w:rsid w:val="001E2483"/>
    <w:rsid w:val="001E2557"/>
    <w:rsid w:val="001E280A"/>
    <w:rsid w:val="001E2B1E"/>
    <w:rsid w:val="001E2CFF"/>
    <w:rsid w:val="001E2F24"/>
    <w:rsid w:val="001E30D4"/>
    <w:rsid w:val="001E34DF"/>
    <w:rsid w:val="001E3607"/>
    <w:rsid w:val="001E382E"/>
    <w:rsid w:val="001E384B"/>
    <w:rsid w:val="001E3AEF"/>
    <w:rsid w:val="001E3FFA"/>
    <w:rsid w:val="001E4414"/>
    <w:rsid w:val="001E4453"/>
    <w:rsid w:val="001E45A1"/>
    <w:rsid w:val="001E47DA"/>
    <w:rsid w:val="001E4DB9"/>
    <w:rsid w:val="001E4F69"/>
    <w:rsid w:val="001E52EB"/>
    <w:rsid w:val="001E56FF"/>
    <w:rsid w:val="001E5FE4"/>
    <w:rsid w:val="001E61D2"/>
    <w:rsid w:val="001E718A"/>
    <w:rsid w:val="001E740C"/>
    <w:rsid w:val="001E742B"/>
    <w:rsid w:val="001E7557"/>
    <w:rsid w:val="001E75F7"/>
    <w:rsid w:val="001E761A"/>
    <w:rsid w:val="001E7C60"/>
    <w:rsid w:val="001E7DB7"/>
    <w:rsid w:val="001F0076"/>
    <w:rsid w:val="001F01B0"/>
    <w:rsid w:val="001F05F0"/>
    <w:rsid w:val="001F0CB3"/>
    <w:rsid w:val="001F1235"/>
    <w:rsid w:val="001F14FE"/>
    <w:rsid w:val="001F173F"/>
    <w:rsid w:val="001F188D"/>
    <w:rsid w:val="001F1CB3"/>
    <w:rsid w:val="001F23CF"/>
    <w:rsid w:val="001F2B20"/>
    <w:rsid w:val="001F310B"/>
    <w:rsid w:val="001F3723"/>
    <w:rsid w:val="001F3804"/>
    <w:rsid w:val="001F38B5"/>
    <w:rsid w:val="001F4081"/>
    <w:rsid w:val="001F4376"/>
    <w:rsid w:val="001F47A8"/>
    <w:rsid w:val="001F4AAC"/>
    <w:rsid w:val="001F5659"/>
    <w:rsid w:val="001F5C49"/>
    <w:rsid w:val="001F5DB2"/>
    <w:rsid w:val="001F5DF5"/>
    <w:rsid w:val="001F5FA1"/>
    <w:rsid w:val="001F67C6"/>
    <w:rsid w:val="001F6CE6"/>
    <w:rsid w:val="001F6F90"/>
    <w:rsid w:val="001F6FCA"/>
    <w:rsid w:val="001F735D"/>
    <w:rsid w:val="001F7361"/>
    <w:rsid w:val="001F74FD"/>
    <w:rsid w:val="001F77DA"/>
    <w:rsid w:val="001F7EEE"/>
    <w:rsid w:val="0020037F"/>
    <w:rsid w:val="002008B7"/>
    <w:rsid w:val="00200C04"/>
    <w:rsid w:val="002011B0"/>
    <w:rsid w:val="002011BD"/>
    <w:rsid w:val="002014F8"/>
    <w:rsid w:val="00201C5D"/>
    <w:rsid w:val="00202242"/>
    <w:rsid w:val="002024F8"/>
    <w:rsid w:val="00202669"/>
    <w:rsid w:val="00202782"/>
    <w:rsid w:val="0020299E"/>
    <w:rsid w:val="00202A8B"/>
    <w:rsid w:val="00202DDF"/>
    <w:rsid w:val="00203049"/>
    <w:rsid w:val="00203181"/>
    <w:rsid w:val="0020352B"/>
    <w:rsid w:val="0020368F"/>
    <w:rsid w:val="00203783"/>
    <w:rsid w:val="0020385F"/>
    <w:rsid w:val="00203A55"/>
    <w:rsid w:val="00204407"/>
    <w:rsid w:val="002045AD"/>
    <w:rsid w:val="0020460D"/>
    <w:rsid w:val="00204AD6"/>
    <w:rsid w:val="00204F98"/>
    <w:rsid w:val="00205004"/>
    <w:rsid w:val="002052F4"/>
    <w:rsid w:val="00205531"/>
    <w:rsid w:val="002058C7"/>
    <w:rsid w:val="00205905"/>
    <w:rsid w:val="00205982"/>
    <w:rsid w:val="00205D78"/>
    <w:rsid w:val="00205DBA"/>
    <w:rsid w:val="002060F2"/>
    <w:rsid w:val="00206544"/>
    <w:rsid w:val="002068A0"/>
    <w:rsid w:val="00206CAC"/>
    <w:rsid w:val="00207021"/>
    <w:rsid w:val="00207208"/>
    <w:rsid w:val="002072D8"/>
    <w:rsid w:val="0020732F"/>
    <w:rsid w:val="0020746F"/>
    <w:rsid w:val="00207D00"/>
    <w:rsid w:val="00207F8A"/>
    <w:rsid w:val="0021004A"/>
    <w:rsid w:val="002105C1"/>
    <w:rsid w:val="0021067D"/>
    <w:rsid w:val="002106FC"/>
    <w:rsid w:val="0021085C"/>
    <w:rsid w:val="00210A86"/>
    <w:rsid w:val="00210AA9"/>
    <w:rsid w:val="00210BF6"/>
    <w:rsid w:val="00211214"/>
    <w:rsid w:val="00211471"/>
    <w:rsid w:val="002115E2"/>
    <w:rsid w:val="0021164A"/>
    <w:rsid w:val="002116D3"/>
    <w:rsid w:val="002116FD"/>
    <w:rsid w:val="00211750"/>
    <w:rsid w:val="00211B68"/>
    <w:rsid w:val="00211D43"/>
    <w:rsid w:val="00211DFC"/>
    <w:rsid w:val="00211F31"/>
    <w:rsid w:val="00212230"/>
    <w:rsid w:val="00212233"/>
    <w:rsid w:val="00212767"/>
    <w:rsid w:val="002127F6"/>
    <w:rsid w:val="0021281A"/>
    <w:rsid w:val="00212D14"/>
    <w:rsid w:val="00213111"/>
    <w:rsid w:val="00213116"/>
    <w:rsid w:val="0021324B"/>
    <w:rsid w:val="0021357A"/>
    <w:rsid w:val="002136FD"/>
    <w:rsid w:val="00213C9B"/>
    <w:rsid w:val="00213EF5"/>
    <w:rsid w:val="00214245"/>
    <w:rsid w:val="002144C4"/>
    <w:rsid w:val="00214A60"/>
    <w:rsid w:val="00214CB5"/>
    <w:rsid w:val="00214CF9"/>
    <w:rsid w:val="0021551F"/>
    <w:rsid w:val="002158AD"/>
    <w:rsid w:val="002159D0"/>
    <w:rsid w:val="00215B55"/>
    <w:rsid w:val="00215C4B"/>
    <w:rsid w:val="00215FE4"/>
    <w:rsid w:val="002161AF"/>
    <w:rsid w:val="00216BF5"/>
    <w:rsid w:val="00217C79"/>
    <w:rsid w:val="00217F23"/>
    <w:rsid w:val="00220219"/>
    <w:rsid w:val="002205C5"/>
    <w:rsid w:val="002208DF"/>
    <w:rsid w:val="00220E20"/>
    <w:rsid w:val="00220E60"/>
    <w:rsid w:val="00220FBF"/>
    <w:rsid w:val="00221191"/>
    <w:rsid w:val="002211F1"/>
    <w:rsid w:val="0022129F"/>
    <w:rsid w:val="0022185F"/>
    <w:rsid w:val="002218D3"/>
    <w:rsid w:val="00221C94"/>
    <w:rsid w:val="00221D26"/>
    <w:rsid w:val="00221E11"/>
    <w:rsid w:val="00222113"/>
    <w:rsid w:val="002221B2"/>
    <w:rsid w:val="002221E3"/>
    <w:rsid w:val="00222373"/>
    <w:rsid w:val="00222434"/>
    <w:rsid w:val="00222C90"/>
    <w:rsid w:val="002231F5"/>
    <w:rsid w:val="00223B49"/>
    <w:rsid w:val="00223D5A"/>
    <w:rsid w:val="00223D83"/>
    <w:rsid w:val="00224134"/>
    <w:rsid w:val="002241D4"/>
    <w:rsid w:val="0022442F"/>
    <w:rsid w:val="002246EA"/>
    <w:rsid w:val="002247E4"/>
    <w:rsid w:val="00224DD4"/>
    <w:rsid w:val="00225133"/>
    <w:rsid w:val="002252AE"/>
    <w:rsid w:val="0022577D"/>
    <w:rsid w:val="00225CBF"/>
    <w:rsid w:val="002264B1"/>
    <w:rsid w:val="0022659F"/>
    <w:rsid w:val="00226688"/>
    <w:rsid w:val="00226A5C"/>
    <w:rsid w:val="00226CB2"/>
    <w:rsid w:val="00226D76"/>
    <w:rsid w:val="00227477"/>
    <w:rsid w:val="002274A5"/>
    <w:rsid w:val="0022751A"/>
    <w:rsid w:val="00227818"/>
    <w:rsid w:val="002278A0"/>
    <w:rsid w:val="002309CC"/>
    <w:rsid w:val="00231166"/>
    <w:rsid w:val="00231950"/>
    <w:rsid w:val="00231BA9"/>
    <w:rsid w:val="00231E05"/>
    <w:rsid w:val="00231F06"/>
    <w:rsid w:val="0023209F"/>
    <w:rsid w:val="00232602"/>
    <w:rsid w:val="002326A5"/>
    <w:rsid w:val="002328CB"/>
    <w:rsid w:val="00232ECC"/>
    <w:rsid w:val="00233530"/>
    <w:rsid w:val="00233C01"/>
    <w:rsid w:val="0023413C"/>
    <w:rsid w:val="00234269"/>
    <w:rsid w:val="00234522"/>
    <w:rsid w:val="0023467B"/>
    <w:rsid w:val="002346F0"/>
    <w:rsid w:val="00234C54"/>
    <w:rsid w:val="00234E62"/>
    <w:rsid w:val="0023588F"/>
    <w:rsid w:val="00235D95"/>
    <w:rsid w:val="0023601D"/>
    <w:rsid w:val="0023616A"/>
    <w:rsid w:val="0023629D"/>
    <w:rsid w:val="002364AC"/>
    <w:rsid w:val="002365D2"/>
    <w:rsid w:val="00236BC3"/>
    <w:rsid w:val="00236CCB"/>
    <w:rsid w:val="00237065"/>
    <w:rsid w:val="00237148"/>
    <w:rsid w:val="00237255"/>
    <w:rsid w:val="002374A5"/>
    <w:rsid w:val="002375FC"/>
    <w:rsid w:val="00237C8F"/>
    <w:rsid w:val="00240739"/>
    <w:rsid w:val="00240791"/>
    <w:rsid w:val="002407F4"/>
    <w:rsid w:val="002408DA"/>
    <w:rsid w:val="00240C1A"/>
    <w:rsid w:val="002414FA"/>
    <w:rsid w:val="0024183E"/>
    <w:rsid w:val="00241C0E"/>
    <w:rsid w:val="0024242E"/>
    <w:rsid w:val="002424AF"/>
    <w:rsid w:val="002426C1"/>
    <w:rsid w:val="00242B22"/>
    <w:rsid w:val="00242F77"/>
    <w:rsid w:val="002430D8"/>
    <w:rsid w:val="0024316C"/>
    <w:rsid w:val="002431AD"/>
    <w:rsid w:val="00243408"/>
    <w:rsid w:val="0024343B"/>
    <w:rsid w:val="00243573"/>
    <w:rsid w:val="00243750"/>
    <w:rsid w:val="002438CD"/>
    <w:rsid w:val="002438D3"/>
    <w:rsid w:val="002439CE"/>
    <w:rsid w:val="002439DC"/>
    <w:rsid w:val="002441D2"/>
    <w:rsid w:val="00244266"/>
    <w:rsid w:val="00244516"/>
    <w:rsid w:val="002445A0"/>
    <w:rsid w:val="002445E0"/>
    <w:rsid w:val="00244A2C"/>
    <w:rsid w:val="00244DC8"/>
    <w:rsid w:val="00245618"/>
    <w:rsid w:val="002458BA"/>
    <w:rsid w:val="00245A43"/>
    <w:rsid w:val="00245CE9"/>
    <w:rsid w:val="00245FA2"/>
    <w:rsid w:val="0024604A"/>
    <w:rsid w:val="0024636C"/>
    <w:rsid w:val="00246837"/>
    <w:rsid w:val="00247089"/>
    <w:rsid w:val="002470A0"/>
    <w:rsid w:val="00247325"/>
    <w:rsid w:val="0024737F"/>
    <w:rsid w:val="002473DA"/>
    <w:rsid w:val="00247511"/>
    <w:rsid w:val="00247851"/>
    <w:rsid w:val="00247925"/>
    <w:rsid w:val="00247A0F"/>
    <w:rsid w:val="00247C3F"/>
    <w:rsid w:val="00247CA6"/>
    <w:rsid w:val="002505FF"/>
    <w:rsid w:val="0025077E"/>
    <w:rsid w:val="00250AC5"/>
    <w:rsid w:val="00250B56"/>
    <w:rsid w:val="00251006"/>
    <w:rsid w:val="00251405"/>
    <w:rsid w:val="002519CB"/>
    <w:rsid w:val="00251A1F"/>
    <w:rsid w:val="002524D5"/>
    <w:rsid w:val="002529F2"/>
    <w:rsid w:val="00252E67"/>
    <w:rsid w:val="00253156"/>
    <w:rsid w:val="0025331E"/>
    <w:rsid w:val="0025360E"/>
    <w:rsid w:val="0025366E"/>
    <w:rsid w:val="002537E3"/>
    <w:rsid w:val="002539CD"/>
    <w:rsid w:val="002539E1"/>
    <w:rsid w:val="00253B1D"/>
    <w:rsid w:val="00253D58"/>
    <w:rsid w:val="00254439"/>
    <w:rsid w:val="00254568"/>
    <w:rsid w:val="00254DCF"/>
    <w:rsid w:val="002550AA"/>
    <w:rsid w:val="00255301"/>
    <w:rsid w:val="0025534B"/>
    <w:rsid w:val="00255BB7"/>
    <w:rsid w:val="00255DF3"/>
    <w:rsid w:val="00255F08"/>
    <w:rsid w:val="00256594"/>
    <w:rsid w:val="00256F77"/>
    <w:rsid w:val="00257415"/>
    <w:rsid w:val="00257541"/>
    <w:rsid w:val="00257A39"/>
    <w:rsid w:val="00257AC4"/>
    <w:rsid w:val="00257AD7"/>
    <w:rsid w:val="00257BBE"/>
    <w:rsid w:val="00257ED8"/>
    <w:rsid w:val="00260008"/>
    <w:rsid w:val="00260149"/>
    <w:rsid w:val="002607F5"/>
    <w:rsid w:val="00260CD4"/>
    <w:rsid w:val="00260DF6"/>
    <w:rsid w:val="00260FEE"/>
    <w:rsid w:val="0026187D"/>
    <w:rsid w:val="00261C88"/>
    <w:rsid w:val="00261EEF"/>
    <w:rsid w:val="00262A1A"/>
    <w:rsid w:val="00262A87"/>
    <w:rsid w:val="0026310C"/>
    <w:rsid w:val="002633B1"/>
    <w:rsid w:val="0026349D"/>
    <w:rsid w:val="00263613"/>
    <w:rsid w:val="0026364C"/>
    <w:rsid w:val="00263B78"/>
    <w:rsid w:val="00263D9B"/>
    <w:rsid w:val="0026473C"/>
    <w:rsid w:val="00264B40"/>
    <w:rsid w:val="00264D26"/>
    <w:rsid w:val="002651A1"/>
    <w:rsid w:val="00265788"/>
    <w:rsid w:val="002658B0"/>
    <w:rsid w:val="0026643E"/>
    <w:rsid w:val="002666A8"/>
    <w:rsid w:val="00266817"/>
    <w:rsid w:val="00266BD1"/>
    <w:rsid w:val="00266BFB"/>
    <w:rsid w:val="00266E1B"/>
    <w:rsid w:val="00266F06"/>
    <w:rsid w:val="00267001"/>
    <w:rsid w:val="00267136"/>
    <w:rsid w:val="002671DB"/>
    <w:rsid w:val="00267642"/>
    <w:rsid w:val="002676FD"/>
    <w:rsid w:val="0026772E"/>
    <w:rsid w:val="00267AEA"/>
    <w:rsid w:val="00267ED2"/>
    <w:rsid w:val="002700E6"/>
    <w:rsid w:val="002705AB"/>
    <w:rsid w:val="00270795"/>
    <w:rsid w:val="002707D9"/>
    <w:rsid w:val="00270AAB"/>
    <w:rsid w:val="00270BCB"/>
    <w:rsid w:val="00270CC5"/>
    <w:rsid w:val="00270D9A"/>
    <w:rsid w:val="00270DC0"/>
    <w:rsid w:val="00271099"/>
    <w:rsid w:val="002710EA"/>
    <w:rsid w:val="002714C0"/>
    <w:rsid w:val="00271505"/>
    <w:rsid w:val="00271CE4"/>
    <w:rsid w:val="00272583"/>
    <w:rsid w:val="00272688"/>
    <w:rsid w:val="0027278F"/>
    <w:rsid w:val="0027294B"/>
    <w:rsid w:val="0027338B"/>
    <w:rsid w:val="002734FF"/>
    <w:rsid w:val="00273EB4"/>
    <w:rsid w:val="00273F23"/>
    <w:rsid w:val="00274682"/>
    <w:rsid w:val="00274781"/>
    <w:rsid w:val="00274906"/>
    <w:rsid w:val="00275158"/>
    <w:rsid w:val="00275784"/>
    <w:rsid w:val="002758E7"/>
    <w:rsid w:val="00275C5A"/>
    <w:rsid w:val="00275DD1"/>
    <w:rsid w:val="00275E57"/>
    <w:rsid w:val="00276A02"/>
    <w:rsid w:val="00276A9E"/>
    <w:rsid w:val="00276AA5"/>
    <w:rsid w:val="00276CEE"/>
    <w:rsid w:val="00276EA8"/>
    <w:rsid w:val="0027724B"/>
    <w:rsid w:val="002774CF"/>
    <w:rsid w:val="002774EA"/>
    <w:rsid w:val="00277B73"/>
    <w:rsid w:val="00277B79"/>
    <w:rsid w:val="00277B94"/>
    <w:rsid w:val="00277FC7"/>
    <w:rsid w:val="002802B9"/>
    <w:rsid w:val="002804FF"/>
    <w:rsid w:val="00280A20"/>
    <w:rsid w:val="00281014"/>
    <w:rsid w:val="00281029"/>
    <w:rsid w:val="0028151B"/>
    <w:rsid w:val="00281D05"/>
    <w:rsid w:val="00282563"/>
    <w:rsid w:val="00282953"/>
    <w:rsid w:val="00282E38"/>
    <w:rsid w:val="00283005"/>
    <w:rsid w:val="002837D6"/>
    <w:rsid w:val="00283906"/>
    <w:rsid w:val="00283950"/>
    <w:rsid w:val="0028396A"/>
    <w:rsid w:val="00283C00"/>
    <w:rsid w:val="00283F82"/>
    <w:rsid w:val="0028490D"/>
    <w:rsid w:val="00285BCE"/>
    <w:rsid w:val="00285F72"/>
    <w:rsid w:val="0028652E"/>
    <w:rsid w:val="00286644"/>
    <w:rsid w:val="0028665D"/>
    <w:rsid w:val="00287099"/>
    <w:rsid w:val="0028719A"/>
    <w:rsid w:val="00287EF1"/>
    <w:rsid w:val="00287FA1"/>
    <w:rsid w:val="002900AC"/>
    <w:rsid w:val="002900DB"/>
    <w:rsid w:val="00291689"/>
    <w:rsid w:val="002916A1"/>
    <w:rsid w:val="002917FA"/>
    <w:rsid w:val="00291955"/>
    <w:rsid w:val="00291A19"/>
    <w:rsid w:val="00291FA7"/>
    <w:rsid w:val="002921BE"/>
    <w:rsid w:val="002921C0"/>
    <w:rsid w:val="00292260"/>
    <w:rsid w:val="0029251D"/>
    <w:rsid w:val="00292CD0"/>
    <w:rsid w:val="00292E11"/>
    <w:rsid w:val="00293430"/>
    <w:rsid w:val="002936E4"/>
    <w:rsid w:val="002939CE"/>
    <w:rsid w:val="002942BC"/>
    <w:rsid w:val="002946A7"/>
    <w:rsid w:val="00294730"/>
    <w:rsid w:val="00294EF8"/>
    <w:rsid w:val="00295EA1"/>
    <w:rsid w:val="00295F02"/>
    <w:rsid w:val="00296130"/>
    <w:rsid w:val="002963A0"/>
    <w:rsid w:val="00296680"/>
    <w:rsid w:val="00296CC6"/>
    <w:rsid w:val="00296DAF"/>
    <w:rsid w:val="00296EDC"/>
    <w:rsid w:val="0029709F"/>
    <w:rsid w:val="00297219"/>
    <w:rsid w:val="00297243"/>
    <w:rsid w:val="002974DC"/>
    <w:rsid w:val="002975A0"/>
    <w:rsid w:val="00297802"/>
    <w:rsid w:val="00297A31"/>
    <w:rsid w:val="00297A6E"/>
    <w:rsid w:val="00297CA0"/>
    <w:rsid w:val="002A029E"/>
    <w:rsid w:val="002A080C"/>
    <w:rsid w:val="002A0CBF"/>
    <w:rsid w:val="002A0CD1"/>
    <w:rsid w:val="002A0EDE"/>
    <w:rsid w:val="002A0EEB"/>
    <w:rsid w:val="002A111F"/>
    <w:rsid w:val="002A123B"/>
    <w:rsid w:val="002A1465"/>
    <w:rsid w:val="002A149A"/>
    <w:rsid w:val="002A14AB"/>
    <w:rsid w:val="002A14C6"/>
    <w:rsid w:val="002A14DF"/>
    <w:rsid w:val="002A16F4"/>
    <w:rsid w:val="002A177E"/>
    <w:rsid w:val="002A1916"/>
    <w:rsid w:val="002A1F66"/>
    <w:rsid w:val="002A2122"/>
    <w:rsid w:val="002A2274"/>
    <w:rsid w:val="002A237C"/>
    <w:rsid w:val="002A23BA"/>
    <w:rsid w:val="002A2621"/>
    <w:rsid w:val="002A28C7"/>
    <w:rsid w:val="002A2ADE"/>
    <w:rsid w:val="002A2F50"/>
    <w:rsid w:val="002A306C"/>
    <w:rsid w:val="002A335D"/>
    <w:rsid w:val="002A3425"/>
    <w:rsid w:val="002A373F"/>
    <w:rsid w:val="002A3A5C"/>
    <w:rsid w:val="002A434C"/>
    <w:rsid w:val="002A4B75"/>
    <w:rsid w:val="002A53C6"/>
    <w:rsid w:val="002A545F"/>
    <w:rsid w:val="002A552E"/>
    <w:rsid w:val="002A5C36"/>
    <w:rsid w:val="002A5E11"/>
    <w:rsid w:val="002A5EB1"/>
    <w:rsid w:val="002A5ED6"/>
    <w:rsid w:val="002A6015"/>
    <w:rsid w:val="002A6095"/>
    <w:rsid w:val="002A60D2"/>
    <w:rsid w:val="002A62D7"/>
    <w:rsid w:val="002A6434"/>
    <w:rsid w:val="002A685C"/>
    <w:rsid w:val="002A6D0E"/>
    <w:rsid w:val="002A6DA5"/>
    <w:rsid w:val="002A7528"/>
    <w:rsid w:val="002A75D8"/>
    <w:rsid w:val="002A7943"/>
    <w:rsid w:val="002A7F2C"/>
    <w:rsid w:val="002B05A1"/>
    <w:rsid w:val="002B05F8"/>
    <w:rsid w:val="002B09A4"/>
    <w:rsid w:val="002B1266"/>
    <w:rsid w:val="002B16B7"/>
    <w:rsid w:val="002B1B20"/>
    <w:rsid w:val="002B1C1F"/>
    <w:rsid w:val="002B1C21"/>
    <w:rsid w:val="002B1F99"/>
    <w:rsid w:val="002B2371"/>
    <w:rsid w:val="002B2BD0"/>
    <w:rsid w:val="002B2D50"/>
    <w:rsid w:val="002B2E72"/>
    <w:rsid w:val="002B32B8"/>
    <w:rsid w:val="002B3AC5"/>
    <w:rsid w:val="002B431D"/>
    <w:rsid w:val="002B432F"/>
    <w:rsid w:val="002B4FEA"/>
    <w:rsid w:val="002B51E5"/>
    <w:rsid w:val="002B5E1F"/>
    <w:rsid w:val="002B5E61"/>
    <w:rsid w:val="002B5F38"/>
    <w:rsid w:val="002B6071"/>
    <w:rsid w:val="002B6265"/>
    <w:rsid w:val="002B62B3"/>
    <w:rsid w:val="002B6300"/>
    <w:rsid w:val="002B64FC"/>
    <w:rsid w:val="002B653C"/>
    <w:rsid w:val="002B6754"/>
    <w:rsid w:val="002B68FD"/>
    <w:rsid w:val="002B6B5C"/>
    <w:rsid w:val="002B6C18"/>
    <w:rsid w:val="002B6CA5"/>
    <w:rsid w:val="002B6CCE"/>
    <w:rsid w:val="002B7249"/>
    <w:rsid w:val="002B7C46"/>
    <w:rsid w:val="002C00D6"/>
    <w:rsid w:val="002C02AB"/>
    <w:rsid w:val="002C04D8"/>
    <w:rsid w:val="002C15C6"/>
    <w:rsid w:val="002C166C"/>
    <w:rsid w:val="002C16AF"/>
    <w:rsid w:val="002C1780"/>
    <w:rsid w:val="002C1905"/>
    <w:rsid w:val="002C1B30"/>
    <w:rsid w:val="002C1DED"/>
    <w:rsid w:val="002C1F9F"/>
    <w:rsid w:val="002C2510"/>
    <w:rsid w:val="002C2775"/>
    <w:rsid w:val="002C27C1"/>
    <w:rsid w:val="002C29DA"/>
    <w:rsid w:val="002C32D1"/>
    <w:rsid w:val="002C357D"/>
    <w:rsid w:val="002C36E3"/>
    <w:rsid w:val="002C3A95"/>
    <w:rsid w:val="002C3AD5"/>
    <w:rsid w:val="002C3DCB"/>
    <w:rsid w:val="002C415E"/>
    <w:rsid w:val="002C4164"/>
    <w:rsid w:val="002C44B7"/>
    <w:rsid w:val="002C4A2C"/>
    <w:rsid w:val="002C4E6E"/>
    <w:rsid w:val="002C5099"/>
    <w:rsid w:val="002C553C"/>
    <w:rsid w:val="002C55F8"/>
    <w:rsid w:val="002C5829"/>
    <w:rsid w:val="002C5889"/>
    <w:rsid w:val="002C604A"/>
    <w:rsid w:val="002C608B"/>
    <w:rsid w:val="002C60AF"/>
    <w:rsid w:val="002C6270"/>
    <w:rsid w:val="002C6389"/>
    <w:rsid w:val="002C6959"/>
    <w:rsid w:val="002C6E23"/>
    <w:rsid w:val="002C716C"/>
    <w:rsid w:val="002C7191"/>
    <w:rsid w:val="002C71CE"/>
    <w:rsid w:val="002C73B7"/>
    <w:rsid w:val="002C75D5"/>
    <w:rsid w:val="002C774C"/>
    <w:rsid w:val="002C7A66"/>
    <w:rsid w:val="002C7CA5"/>
    <w:rsid w:val="002D0206"/>
    <w:rsid w:val="002D08F8"/>
    <w:rsid w:val="002D0980"/>
    <w:rsid w:val="002D1214"/>
    <w:rsid w:val="002D13D0"/>
    <w:rsid w:val="002D1815"/>
    <w:rsid w:val="002D188E"/>
    <w:rsid w:val="002D1AB6"/>
    <w:rsid w:val="002D1CC1"/>
    <w:rsid w:val="002D1FF4"/>
    <w:rsid w:val="002D2020"/>
    <w:rsid w:val="002D2B95"/>
    <w:rsid w:val="002D2C81"/>
    <w:rsid w:val="002D2E4E"/>
    <w:rsid w:val="002D31BB"/>
    <w:rsid w:val="002D3677"/>
    <w:rsid w:val="002D367C"/>
    <w:rsid w:val="002D370B"/>
    <w:rsid w:val="002D37D9"/>
    <w:rsid w:val="002D3809"/>
    <w:rsid w:val="002D3BF9"/>
    <w:rsid w:val="002D3E57"/>
    <w:rsid w:val="002D41D5"/>
    <w:rsid w:val="002D41E2"/>
    <w:rsid w:val="002D46D4"/>
    <w:rsid w:val="002D49D8"/>
    <w:rsid w:val="002D4A90"/>
    <w:rsid w:val="002D4ABD"/>
    <w:rsid w:val="002D4AE2"/>
    <w:rsid w:val="002D4C3B"/>
    <w:rsid w:val="002D507C"/>
    <w:rsid w:val="002D577C"/>
    <w:rsid w:val="002D5981"/>
    <w:rsid w:val="002D614C"/>
    <w:rsid w:val="002D616C"/>
    <w:rsid w:val="002D65C4"/>
    <w:rsid w:val="002D6807"/>
    <w:rsid w:val="002D69DD"/>
    <w:rsid w:val="002D6A3E"/>
    <w:rsid w:val="002D6BF2"/>
    <w:rsid w:val="002D70C2"/>
    <w:rsid w:val="002D7365"/>
    <w:rsid w:val="002D7499"/>
    <w:rsid w:val="002D74D0"/>
    <w:rsid w:val="002D74FA"/>
    <w:rsid w:val="002D762E"/>
    <w:rsid w:val="002D7832"/>
    <w:rsid w:val="002D7C9F"/>
    <w:rsid w:val="002E02ED"/>
    <w:rsid w:val="002E0431"/>
    <w:rsid w:val="002E0477"/>
    <w:rsid w:val="002E106F"/>
    <w:rsid w:val="002E1071"/>
    <w:rsid w:val="002E134A"/>
    <w:rsid w:val="002E1406"/>
    <w:rsid w:val="002E15B9"/>
    <w:rsid w:val="002E1682"/>
    <w:rsid w:val="002E17E0"/>
    <w:rsid w:val="002E1843"/>
    <w:rsid w:val="002E19F1"/>
    <w:rsid w:val="002E1D10"/>
    <w:rsid w:val="002E1D9C"/>
    <w:rsid w:val="002E2158"/>
    <w:rsid w:val="002E25EC"/>
    <w:rsid w:val="002E2636"/>
    <w:rsid w:val="002E27F8"/>
    <w:rsid w:val="002E2AE8"/>
    <w:rsid w:val="002E2D19"/>
    <w:rsid w:val="002E2FAA"/>
    <w:rsid w:val="002E33B0"/>
    <w:rsid w:val="002E381E"/>
    <w:rsid w:val="002E3A87"/>
    <w:rsid w:val="002E3B0D"/>
    <w:rsid w:val="002E4072"/>
    <w:rsid w:val="002E4A8B"/>
    <w:rsid w:val="002E4CEA"/>
    <w:rsid w:val="002E4CED"/>
    <w:rsid w:val="002E4D2D"/>
    <w:rsid w:val="002E4DE0"/>
    <w:rsid w:val="002E4F02"/>
    <w:rsid w:val="002E5684"/>
    <w:rsid w:val="002E579F"/>
    <w:rsid w:val="002E5EAF"/>
    <w:rsid w:val="002E5F4F"/>
    <w:rsid w:val="002E61D9"/>
    <w:rsid w:val="002E6547"/>
    <w:rsid w:val="002E6787"/>
    <w:rsid w:val="002E6B8E"/>
    <w:rsid w:val="002E6F32"/>
    <w:rsid w:val="002E72FC"/>
    <w:rsid w:val="002E73F8"/>
    <w:rsid w:val="002E74BB"/>
    <w:rsid w:val="002E7722"/>
    <w:rsid w:val="002E79F6"/>
    <w:rsid w:val="002E7C59"/>
    <w:rsid w:val="002E7C9A"/>
    <w:rsid w:val="002E7F1A"/>
    <w:rsid w:val="002F02B9"/>
    <w:rsid w:val="002F07BA"/>
    <w:rsid w:val="002F0A16"/>
    <w:rsid w:val="002F0DA9"/>
    <w:rsid w:val="002F1014"/>
    <w:rsid w:val="002F1164"/>
    <w:rsid w:val="002F13B6"/>
    <w:rsid w:val="002F15A1"/>
    <w:rsid w:val="002F1E3B"/>
    <w:rsid w:val="002F2383"/>
    <w:rsid w:val="002F254F"/>
    <w:rsid w:val="002F2807"/>
    <w:rsid w:val="002F28A8"/>
    <w:rsid w:val="002F31B4"/>
    <w:rsid w:val="002F3589"/>
    <w:rsid w:val="002F36AC"/>
    <w:rsid w:val="002F3804"/>
    <w:rsid w:val="002F3895"/>
    <w:rsid w:val="002F3F3D"/>
    <w:rsid w:val="002F3FC4"/>
    <w:rsid w:val="002F419B"/>
    <w:rsid w:val="002F4508"/>
    <w:rsid w:val="002F45C4"/>
    <w:rsid w:val="002F481A"/>
    <w:rsid w:val="002F48CE"/>
    <w:rsid w:val="002F4C48"/>
    <w:rsid w:val="002F4E53"/>
    <w:rsid w:val="002F4EAF"/>
    <w:rsid w:val="002F51EF"/>
    <w:rsid w:val="002F556E"/>
    <w:rsid w:val="002F55A3"/>
    <w:rsid w:val="002F63ED"/>
    <w:rsid w:val="002F643C"/>
    <w:rsid w:val="002F6863"/>
    <w:rsid w:val="002F6C15"/>
    <w:rsid w:val="002F6EEC"/>
    <w:rsid w:val="002F71C0"/>
    <w:rsid w:val="002F74F1"/>
    <w:rsid w:val="002F78F8"/>
    <w:rsid w:val="002F7A96"/>
    <w:rsid w:val="002F7E83"/>
    <w:rsid w:val="003002D1"/>
    <w:rsid w:val="0030062C"/>
    <w:rsid w:val="003007F7"/>
    <w:rsid w:val="00300837"/>
    <w:rsid w:val="003009BC"/>
    <w:rsid w:val="00300D72"/>
    <w:rsid w:val="00300E45"/>
    <w:rsid w:val="00301017"/>
    <w:rsid w:val="0030155F"/>
    <w:rsid w:val="0030168C"/>
    <w:rsid w:val="003019AC"/>
    <w:rsid w:val="00301A26"/>
    <w:rsid w:val="00301F6C"/>
    <w:rsid w:val="0030277B"/>
    <w:rsid w:val="00302794"/>
    <w:rsid w:val="00302CAE"/>
    <w:rsid w:val="00302D5E"/>
    <w:rsid w:val="00302E10"/>
    <w:rsid w:val="00302EE9"/>
    <w:rsid w:val="00303112"/>
    <w:rsid w:val="003031EC"/>
    <w:rsid w:val="00303DC5"/>
    <w:rsid w:val="00304627"/>
    <w:rsid w:val="0030477C"/>
    <w:rsid w:val="003047F3"/>
    <w:rsid w:val="00304B70"/>
    <w:rsid w:val="0030543D"/>
    <w:rsid w:val="003054E4"/>
    <w:rsid w:val="003054F8"/>
    <w:rsid w:val="00305837"/>
    <w:rsid w:val="0030587B"/>
    <w:rsid w:val="00305A0E"/>
    <w:rsid w:val="0030602E"/>
    <w:rsid w:val="003065A2"/>
    <w:rsid w:val="003069A5"/>
    <w:rsid w:val="00306D98"/>
    <w:rsid w:val="0030729B"/>
    <w:rsid w:val="003072E1"/>
    <w:rsid w:val="00307472"/>
    <w:rsid w:val="0030751A"/>
    <w:rsid w:val="0030786C"/>
    <w:rsid w:val="00310127"/>
    <w:rsid w:val="0031031A"/>
    <w:rsid w:val="00310346"/>
    <w:rsid w:val="00310932"/>
    <w:rsid w:val="0031094D"/>
    <w:rsid w:val="00310981"/>
    <w:rsid w:val="003109F6"/>
    <w:rsid w:val="00310CE2"/>
    <w:rsid w:val="00310D84"/>
    <w:rsid w:val="0031111E"/>
    <w:rsid w:val="003111B8"/>
    <w:rsid w:val="003114A9"/>
    <w:rsid w:val="00311840"/>
    <w:rsid w:val="00311D9B"/>
    <w:rsid w:val="003124D9"/>
    <w:rsid w:val="00312594"/>
    <w:rsid w:val="0031285A"/>
    <w:rsid w:val="00312955"/>
    <w:rsid w:val="00312ACD"/>
    <w:rsid w:val="00312AE7"/>
    <w:rsid w:val="00312D6F"/>
    <w:rsid w:val="00313150"/>
    <w:rsid w:val="0031316A"/>
    <w:rsid w:val="00313FEE"/>
    <w:rsid w:val="00314257"/>
    <w:rsid w:val="0031436B"/>
    <w:rsid w:val="00314AAE"/>
    <w:rsid w:val="00314E75"/>
    <w:rsid w:val="00314FAF"/>
    <w:rsid w:val="003151B2"/>
    <w:rsid w:val="00315270"/>
    <w:rsid w:val="00315498"/>
    <w:rsid w:val="00315BF4"/>
    <w:rsid w:val="00316120"/>
    <w:rsid w:val="00316131"/>
    <w:rsid w:val="003161A4"/>
    <w:rsid w:val="00316474"/>
    <w:rsid w:val="003165FA"/>
    <w:rsid w:val="003166BE"/>
    <w:rsid w:val="00316CFE"/>
    <w:rsid w:val="00316D19"/>
    <w:rsid w:val="0031737E"/>
    <w:rsid w:val="00317395"/>
    <w:rsid w:val="003173D0"/>
    <w:rsid w:val="003175CF"/>
    <w:rsid w:val="00317669"/>
    <w:rsid w:val="00317EA9"/>
    <w:rsid w:val="00320B7F"/>
    <w:rsid w:val="00320C1F"/>
    <w:rsid w:val="00320D76"/>
    <w:rsid w:val="003211A4"/>
    <w:rsid w:val="003211C6"/>
    <w:rsid w:val="00322107"/>
    <w:rsid w:val="00322355"/>
    <w:rsid w:val="00322846"/>
    <w:rsid w:val="00322D20"/>
    <w:rsid w:val="00322F8B"/>
    <w:rsid w:val="0032333F"/>
    <w:rsid w:val="00323636"/>
    <w:rsid w:val="00323B0F"/>
    <w:rsid w:val="00323BC7"/>
    <w:rsid w:val="00323CF4"/>
    <w:rsid w:val="0032400C"/>
    <w:rsid w:val="003242D1"/>
    <w:rsid w:val="00324901"/>
    <w:rsid w:val="00324E8B"/>
    <w:rsid w:val="00325290"/>
    <w:rsid w:val="003254BA"/>
    <w:rsid w:val="00325A8F"/>
    <w:rsid w:val="003262D2"/>
    <w:rsid w:val="00326332"/>
    <w:rsid w:val="00326340"/>
    <w:rsid w:val="0032636A"/>
    <w:rsid w:val="00326831"/>
    <w:rsid w:val="00326D13"/>
    <w:rsid w:val="00326DA7"/>
    <w:rsid w:val="00326EE3"/>
    <w:rsid w:val="003270E4"/>
    <w:rsid w:val="003274EB"/>
    <w:rsid w:val="00327FE4"/>
    <w:rsid w:val="003300FE"/>
    <w:rsid w:val="00330247"/>
    <w:rsid w:val="003306A9"/>
    <w:rsid w:val="003308DB"/>
    <w:rsid w:val="0033096C"/>
    <w:rsid w:val="00330CB0"/>
    <w:rsid w:val="00330D74"/>
    <w:rsid w:val="00330D89"/>
    <w:rsid w:val="00330DAA"/>
    <w:rsid w:val="00330F4F"/>
    <w:rsid w:val="00330F5C"/>
    <w:rsid w:val="003318C1"/>
    <w:rsid w:val="00331A21"/>
    <w:rsid w:val="003321A0"/>
    <w:rsid w:val="00332836"/>
    <w:rsid w:val="00332C74"/>
    <w:rsid w:val="00332D4B"/>
    <w:rsid w:val="00332F5B"/>
    <w:rsid w:val="00332F7A"/>
    <w:rsid w:val="00333121"/>
    <w:rsid w:val="0033357A"/>
    <w:rsid w:val="003339D9"/>
    <w:rsid w:val="00333A75"/>
    <w:rsid w:val="00333A92"/>
    <w:rsid w:val="00333EB6"/>
    <w:rsid w:val="00334219"/>
    <w:rsid w:val="003344DA"/>
    <w:rsid w:val="003347D1"/>
    <w:rsid w:val="00334890"/>
    <w:rsid w:val="00334D71"/>
    <w:rsid w:val="003353D6"/>
    <w:rsid w:val="00335629"/>
    <w:rsid w:val="00335757"/>
    <w:rsid w:val="00335E01"/>
    <w:rsid w:val="00336375"/>
    <w:rsid w:val="0033650D"/>
    <w:rsid w:val="003366C9"/>
    <w:rsid w:val="0033678C"/>
    <w:rsid w:val="00336A0C"/>
    <w:rsid w:val="00336CA9"/>
    <w:rsid w:val="003371B0"/>
    <w:rsid w:val="00337613"/>
    <w:rsid w:val="00337BCE"/>
    <w:rsid w:val="00337CD4"/>
    <w:rsid w:val="00340BE6"/>
    <w:rsid w:val="00340DF1"/>
    <w:rsid w:val="00340F14"/>
    <w:rsid w:val="003410D2"/>
    <w:rsid w:val="003410F2"/>
    <w:rsid w:val="003412DE"/>
    <w:rsid w:val="003413D8"/>
    <w:rsid w:val="0034243D"/>
    <w:rsid w:val="00342786"/>
    <w:rsid w:val="00342A20"/>
    <w:rsid w:val="003438DC"/>
    <w:rsid w:val="00343A1F"/>
    <w:rsid w:val="00343BEF"/>
    <w:rsid w:val="0034407D"/>
    <w:rsid w:val="003442DF"/>
    <w:rsid w:val="0034445B"/>
    <w:rsid w:val="0034452C"/>
    <w:rsid w:val="00345075"/>
    <w:rsid w:val="003451D0"/>
    <w:rsid w:val="003452B5"/>
    <w:rsid w:val="0034546B"/>
    <w:rsid w:val="003456F2"/>
    <w:rsid w:val="00346CCB"/>
    <w:rsid w:val="00346D39"/>
    <w:rsid w:val="00346D8D"/>
    <w:rsid w:val="00346DDC"/>
    <w:rsid w:val="00346DF3"/>
    <w:rsid w:val="0034735E"/>
    <w:rsid w:val="003474A7"/>
    <w:rsid w:val="00347CA4"/>
    <w:rsid w:val="00350FBE"/>
    <w:rsid w:val="003517F9"/>
    <w:rsid w:val="00351A1F"/>
    <w:rsid w:val="00351BA9"/>
    <w:rsid w:val="00351BD6"/>
    <w:rsid w:val="00351CE2"/>
    <w:rsid w:val="00351DFC"/>
    <w:rsid w:val="0035224B"/>
    <w:rsid w:val="003523E6"/>
    <w:rsid w:val="00352514"/>
    <w:rsid w:val="0035272A"/>
    <w:rsid w:val="003529D4"/>
    <w:rsid w:val="003532F2"/>
    <w:rsid w:val="00353367"/>
    <w:rsid w:val="00353694"/>
    <w:rsid w:val="003536CB"/>
    <w:rsid w:val="00353B01"/>
    <w:rsid w:val="00353CBB"/>
    <w:rsid w:val="00354359"/>
    <w:rsid w:val="00354952"/>
    <w:rsid w:val="00354D03"/>
    <w:rsid w:val="00354DBF"/>
    <w:rsid w:val="00354F25"/>
    <w:rsid w:val="00354F64"/>
    <w:rsid w:val="003550BD"/>
    <w:rsid w:val="003554FD"/>
    <w:rsid w:val="00355515"/>
    <w:rsid w:val="00355A7D"/>
    <w:rsid w:val="00355D2B"/>
    <w:rsid w:val="0035620E"/>
    <w:rsid w:val="0035626A"/>
    <w:rsid w:val="00356385"/>
    <w:rsid w:val="00356E9F"/>
    <w:rsid w:val="003572E4"/>
    <w:rsid w:val="003575BE"/>
    <w:rsid w:val="003578C2"/>
    <w:rsid w:val="00357C6B"/>
    <w:rsid w:val="00357CFE"/>
    <w:rsid w:val="00360345"/>
    <w:rsid w:val="00360448"/>
    <w:rsid w:val="00360705"/>
    <w:rsid w:val="003608E6"/>
    <w:rsid w:val="00360A12"/>
    <w:rsid w:val="00360AEB"/>
    <w:rsid w:val="0036103D"/>
    <w:rsid w:val="003616B7"/>
    <w:rsid w:val="0036179E"/>
    <w:rsid w:val="003617A0"/>
    <w:rsid w:val="003618FD"/>
    <w:rsid w:val="00361981"/>
    <w:rsid w:val="00361A05"/>
    <w:rsid w:val="00361A8B"/>
    <w:rsid w:val="00361D2A"/>
    <w:rsid w:val="003622D4"/>
    <w:rsid w:val="0036239A"/>
    <w:rsid w:val="003624B6"/>
    <w:rsid w:val="003624C4"/>
    <w:rsid w:val="00362F3F"/>
    <w:rsid w:val="003635A8"/>
    <w:rsid w:val="00363A88"/>
    <w:rsid w:val="00363B00"/>
    <w:rsid w:val="00363C2C"/>
    <w:rsid w:val="0036453D"/>
    <w:rsid w:val="00364664"/>
    <w:rsid w:val="00364ABF"/>
    <w:rsid w:val="00364E05"/>
    <w:rsid w:val="00364EF3"/>
    <w:rsid w:val="003654AC"/>
    <w:rsid w:val="003658C6"/>
    <w:rsid w:val="0036599C"/>
    <w:rsid w:val="00365E7F"/>
    <w:rsid w:val="00366876"/>
    <w:rsid w:val="003668F4"/>
    <w:rsid w:val="003669A9"/>
    <w:rsid w:val="003669E1"/>
    <w:rsid w:val="00367281"/>
    <w:rsid w:val="00367383"/>
    <w:rsid w:val="003679CF"/>
    <w:rsid w:val="00367A3D"/>
    <w:rsid w:val="00367C34"/>
    <w:rsid w:val="00367DCD"/>
    <w:rsid w:val="00370538"/>
    <w:rsid w:val="00370C5E"/>
    <w:rsid w:val="003710CF"/>
    <w:rsid w:val="00371A2E"/>
    <w:rsid w:val="00372B50"/>
    <w:rsid w:val="00372C06"/>
    <w:rsid w:val="00373269"/>
    <w:rsid w:val="003733A8"/>
    <w:rsid w:val="003734B5"/>
    <w:rsid w:val="00373573"/>
    <w:rsid w:val="0037358A"/>
    <w:rsid w:val="0037374E"/>
    <w:rsid w:val="00373D4B"/>
    <w:rsid w:val="003743CF"/>
    <w:rsid w:val="00375026"/>
    <w:rsid w:val="003750DA"/>
    <w:rsid w:val="003750F6"/>
    <w:rsid w:val="00375624"/>
    <w:rsid w:val="003760B1"/>
    <w:rsid w:val="003760FC"/>
    <w:rsid w:val="00377270"/>
    <w:rsid w:val="003773B1"/>
    <w:rsid w:val="0037742F"/>
    <w:rsid w:val="00377805"/>
    <w:rsid w:val="00377DFA"/>
    <w:rsid w:val="00380027"/>
    <w:rsid w:val="00380229"/>
    <w:rsid w:val="003806E9"/>
    <w:rsid w:val="00380740"/>
    <w:rsid w:val="0038133E"/>
    <w:rsid w:val="00381398"/>
    <w:rsid w:val="00381984"/>
    <w:rsid w:val="00381ADA"/>
    <w:rsid w:val="00381C3C"/>
    <w:rsid w:val="003822E7"/>
    <w:rsid w:val="00382301"/>
    <w:rsid w:val="0038282A"/>
    <w:rsid w:val="00382A05"/>
    <w:rsid w:val="003834E7"/>
    <w:rsid w:val="0038365C"/>
    <w:rsid w:val="0038369B"/>
    <w:rsid w:val="00383AF5"/>
    <w:rsid w:val="00383B78"/>
    <w:rsid w:val="003841DB"/>
    <w:rsid w:val="00384D4F"/>
    <w:rsid w:val="00385469"/>
    <w:rsid w:val="0038586B"/>
    <w:rsid w:val="00385A9D"/>
    <w:rsid w:val="00385E65"/>
    <w:rsid w:val="00385EAD"/>
    <w:rsid w:val="00386026"/>
    <w:rsid w:val="0038609D"/>
    <w:rsid w:val="003866AA"/>
    <w:rsid w:val="003867AA"/>
    <w:rsid w:val="00386969"/>
    <w:rsid w:val="00386991"/>
    <w:rsid w:val="00386D9A"/>
    <w:rsid w:val="00386F71"/>
    <w:rsid w:val="0038707C"/>
    <w:rsid w:val="00387108"/>
    <w:rsid w:val="00387121"/>
    <w:rsid w:val="003871F5"/>
    <w:rsid w:val="0038721D"/>
    <w:rsid w:val="003878ED"/>
    <w:rsid w:val="00387C59"/>
    <w:rsid w:val="003902B1"/>
    <w:rsid w:val="0039043F"/>
    <w:rsid w:val="003905A4"/>
    <w:rsid w:val="003909EE"/>
    <w:rsid w:val="00390C4D"/>
    <w:rsid w:val="0039159E"/>
    <w:rsid w:val="003916D7"/>
    <w:rsid w:val="0039179C"/>
    <w:rsid w:val="0039194F"/>
    <w:rsid w:val="003919BF"/>
    <w:rsid w:val="00391A35"/>
    <w:rsid w:val="00392241"/>
    <w:rsid w:val="003922A2"/>
    <w:rsid w:val="00392409"/>
    <w:rsid w:val="00392625"/>
    <w:rsid w:val="003926C8"/>
    <w:rsid w:val="00392D99"/>
    <w:rsid w:val="00393F70"/>
    <w:rsid w:val="003940CA"/>
    <w:rsid w:val="0039481D"/>
    <w:rsid w:val="00394BFB"/>
    <w:rsid w:val="00394E59"/>
    <w:rsid w:val="00394E7F"/>
    <w:rsid w:val="0039500D"/>
    <w:rsid w:val="0039507A"/>
    <w:rsid w:val="0039507F"/>
    <w:rsid w:val="00395396"/>
    <w:rsid w:val="00395599"/>
    <w:rsid w:val="00395823"/>
    <w:rsid w:val="00395FBE"/>
    <w:rsid w:val="00395FF4"/>
    <w:rsid w:val="00396353"/>
    <w:rsid w:val="00396896"/>
    <w:rsid w:val="003969F9"/>
    <w:rsid w:val="00396A5E"/>
    <w:rsid w:val="00396BA0"/>
    <w:rsid w:val="00396FD0"/>
    <w:rsid w:val="003977C8"/>
    <w:rsid w:val="003979B0"/>
    <w:rsid w:val="00397CBA"/>
    <w:rsid w:val="00397E18"/>
    <w:rsid w:val="003A09F4"/>
    <w:rsid w:val="003A0BB2"/>
    <w:rsid w:val="003A0C19"/>
    <w:rsid w:val="003A1037"/>
    <w:rsid w:val="003A1346"/>
    <w:rsid w:val="003A1599"/>
    <w:rsid w:val="003A1A7A"/>
    <w:rsid w:val="003A2392"/>
    <w:rsid w:val="003A2541"/>
    <w:rsid w:val="003A26EA"/>
    <w:rsid w:val="003A2831"/>
    <w:rsid w:val="003A31BF"/>
    <w:rsid w:val="003A355A"/>
    <w:rsid w:val="003A38E2"/>
    <w:rsid w:val="003A3AC3"/>
    <w:rsid w:val="003A3CB6"/>
    <w:rsid w:val="003A3D07"/>
    <w:rsid w:val="003A3DEA"/>
    <w:rsid w:val="003A3ED1"/>
    <w:rsid w:val="003A423A"/>
    <w:rsid w:val="003A42F0"/>
    <w:rsid w:val="003A44DB"/>
    <w:rsid w:val="003A4631"/>
    <w:rsid w:val="003A47FB"/>
    <w:rsid w:val="003A4C14"/>
    <w:rsid w:val="003A4D95"/>
    <w:rsid w:val="003A4FDA"/>
    <w:rsid w:val="003A51C6"/>
    <w:rsid w:val="003A5669"/>
    <w:rsid w:val="003A5AC1"/>
    <w:rsid w:val="003A5FD4"/>
    <w:rsid w:val="003A6304"/>
    <w:rsid w:val="003A6579"/>
    <w:rsid w:val="003A66B1"/>
    <w:rsid w:val="003A6964"/>
    <w:rsid w:val="003A6C91"/>
    <w:rsid w:val="003A6DB0"/>
    <w:rsid w:val="003A6DD9"/>
    <w:rsid w:val="003A711B"/>
    <w:rsid w:val="003A7458"/>
    <w:rsid w:val="003A746E"/>
    <w:rsid w:val="003A758B"/>
    <w:rsid w:val="003A779E"/>
    <w:rsid w:val="003B0046"/>
    <w:rsid w:val="003B01FB"/>
    <w:rsid w:val="003B0280"/>
    <w:rsid w:val="003B06FB"/>
    <w:rsid w:val="003B07F9"/>
    <w:rsid w:val="003B0CE9"/>
    <w:rsid w:val="003B0CEB"/>
    <w:rsid w:val="003B0E5D"/>
    <w:rsid w:val="003B0EBD"/>
    <w:rsid w:val="003B12EE"/>
    <w:rsid w:val="003B13A2"/>
    <w:rsid w:val="003B1402"/>
    <w:rsid w:val="003B1504"/>
    <w:rsid w:val="003B150F"/>
    <w:rsid w:val="003B1570"/>
    <w:rsid w:val="003B1652"/>
    <w:rsid w:val="003B1825"/>
    <w:rsid w:val="003B2449"/>
    <w:rsid w:val="003B26FD"/>
    <w:rsid w:val="003B28E4"/>
    <w:rsid w:val="003B2CB9"/>
    <w:rsid w:val="003B2DF4"/>
    <w:rsid w:val="003B2E03"/>
    <w:rsid w:val="003B2F8B"/>
    <w:rsid w:val="003B3107"/>
    <w:rsid w:val="003B3112"/>
    <w:rsid w:val="003B3971"/>
    <w:rsid w:val="003B3CFE"/>
    <w:rsid w:val="003B3E96"/>
    <w:rsid w:val="003B43C1"/>
    <w:rsid w:val="003B4403"/>
    <w:rsid w:val="003B4613"/>
    <w:rsid w:val="003B4BB2"/>
    <w:rsid w:val="003B5113"/>
    <w:rsid w:val="003B5261"/>
    <w:rsid w:val="003B553E"/>
    <w:rsid w:val="003B55D1"/>
    <w:rsid w:val="003B5B61"/>
    <w:rsid w:val="003B5B7D"/>
    <w:rsid w:val="003B5B90"/>
    <w:rsid w:val="003B5D34"/>
    <w:rsid w:val="003B5D98"/>
    <w:rsid w:val="003B6233"/>
    <w:rsid w:val="003B6287"/>
    <w:rsid w:val="003B6376"/>
    <w:rsid w:val="003B63C8"/>
    <w:rsid w:val="003B648E"/>
    <w:rsid w:val="003B6737"/>
    <w:rsid w:val="003B680C"/>
    <w:rsid w:val="003B6C16"/>
    <w:rsid w:val="003B7018"/>
    <w:rsid w:val="003B727D"/>
    <w:rsid w:val="003B7B5A"/>
    <w:rsid w:val="003C0733"/>
    <w:rsid w:val="003C0E81"/>
    <w:rsid w:val="003C126E"/>
    <w:rsid w:val="003C127A"/>
    <w:rsid w:val="003C1321"/>
    <w:rsid w:val="003C1654"/>
    <w:rsid w:val="003C1836"/>
    <w:rsid w:val="003C21EC"/>
    <w:rsid w:val="003C2461"/>
    <w:rsid w:val="003C2C61"/>
    <w:rsid w:val="003C30E1"/>
    <w:rsid w:val="003C30E5"/>
    <w:rsid w:val="003C3D23"/>
    <w:rsid w:val="003C3D6F"/>
    <w:rsid w:val="003C3F10"/>
    <w:rsid w:val="003C3F25"/>
    <w:rsid w:val="003C4F1F"/>
    <w:rsid w:val="003C54E5"/>
    <w:rsid w:val="003C5542"/>
    <w:rsid w:val="003C5892"/>
    <w:rsid w:val="003C5BCA"/>
    <w:rsid w:val="003C5D51"/>
    <w:rsid w:val="003C64A0"/>
    <w:rsid w:val="003C66DB"/>
    <w:rsid w:val="003C66F1"/>
    <w:rsid w:val="003C6BC4"/>
    <w:rsid w:val="003C72D9"/>
    <w:rsid w:val="003C737A"/>
    <w:rsid w:val="003C761E"/>
    <w:rsid w:val="003C7C15"/>
    <w:rsid w:val="003C7D19"/>
    <w:rsid w:val="003C7D2F"/>
    <w:rsid w:val="003C7E90"/>
    <w:rsid w:val="003D00CF"/>
    <w:rsid w:val="003D0587"/>
    <w:rsid w:val="003D0640"/>
    <w:rsid w:val="003D08D9"/>
    <w:rsid w:val="003D0C5A"/>
    <w:rsid w:val="003D0DFE"/>
    <w:rsid w:val="003D0E02"/>
    <w:rsid w:val="003D119B"/>
    <w:rsid w:val="003D11CB"/>
    <w:rsid w:val="003D1828"/>
    <w:rsid w:val="003D1889"/>
    <w:rsid w:val="003D1A6A"/>
    <w:rsid w:val="003D1DE4"/>
    <w:rsid w:val="003D1E9A"/>
    <w:rsid w:val="003D2046"/>
    <w:rsid w:val="003D2422"/>
    <w:rsid w:val="003D24C0"/>
    <w:rsid w:val="003D267E"/>
    <w:rsid w:val="003D27F1"/>
    <w:rsid w:val="003D2812"/>
    <w:rsid w:val="003D2B38"/>
    <w:rsid w:val="003D2EAD"/>
    <w:rsid w:val="003D38F6"/>
    <w:rsid w:val="003D39A1"/>
    <w:rsid w:val="003D3B42"/>
    <w:rsid w:val="003D3E13"/>
    <w:rsid w:val="003D3F1D"/>
    <w:rsid w:val="003D3F80"/>
    <w:rsid w:val="003D3FB6"/>
    <w:rsid w:val="003D3FBF"/>
    <w:rsid w:val="003D4570"/>
    <w:rsid w:val="003D45D2"/>
    <w:rsid w:val="003D46D8"/>
    <w:rsid w:val="003D4797"/>
    <w:rsid w:val="003D4A30"/>
    <w:rsid w:val="003D4AD7"/>
    <w:rsid w:val="003D4B25"/>
    <w:rsid w:val="003D4BA2"/>
    <w:rsid w:val="003D4E3B"/>
    <w:rsid w:val="003D5995"/>
    <w:rsid w:val="003D5AA2"/>
    <w:rsid w:val="003D60C2"/>
    <w:rsid w:val="003D6302"/>
    <w:rsid w:val="003D6854"/>
    <w:rsid w:val="003D71EA"/>
    <w:rsid w:val="003D7452"/>
    <w:rsid w:val="003D7799"/>
    <w:rsid w:val="003D79BB"/>
    <w:rsid w:val="003D7C98"/>
    <w:rsid w:val="003D7D9D"/>
    <w:rsid w:val="003E0543"/>
    <w:rsid w:val="003E093D"/>
    <w:rsid w:val="003E0E80"/>
    <w:rsid w:val="003E0ED8"/>
    <w:rsid w:val="003E1321"/>
    <w:rsid w:val="003E1434"/>
    <w:rsid w:val="003E1CA5"/>
    <w:rsid w:val="003E271B"/>
    <w:rsid w:val="003E33A1"/>
    <w:rsid w:val="003E3719"/>
    <w:rsid w:val="003E3E4F"/>
    <w:rsid w:val="003E5147"/>
    <w:rsid w:val="003E518E"/>
    <w:rsid w:val="003E519A"/>
    <w:rsid w:val="003E5329"/>
    <w:rsid w:val="003E532E"/>
    <w:rsid w:val="003E5603"/>
    <w:rsid w:val="003E573D"/>
    <w:rsid w:val="003E5A7E"/>
    <w:rsid w:val="003E5BD5"/>
    <w:rsid w:val="003E5F7A"/>
    <w:rsid w:val="003E622A"/>
    <w:rsid w:val="003E65FA"/>
    <w:rsid w:val="003E67A6"/>
    <w:rsid w:val="003E6CD7"/>
    <w:rsid w:val="003E6D45"/>
    <w:rsid w:val="003E6DB6"/>
    <w:rsid w:val="003E71E2"/>
    <w:rsid w:val="003E749E"/>
    <w:rsid w:val="003E77B1"/>
    <w:rsid w:val="003E7880"/>
    <w:rsid w:val="003E7BB5"/>
    <w:rsid w:val="003F01C9"/>
    <w:rsid w:val="003F023B"/>
    <w:rsid w:val="003F024D"/>
    <w:rsid w:val="003F02E2"/>
    <w:rsid w:val="003F04AF"/>
    <w:rsid w:val="003F05F2"/>
    <w:rsid w:val="003F08A2"/>
    <w:rsid w:val="003F0D8B"/>
    <w:rsid w:val="003F0FD0"/>
    <w:rsid w:val="003F114C"/>
    <w:rsid w:val="003F13BD"/>
    <w:rsid w:val="003F166D"/>
    <w:rsid w:val="003F184E"/>
    <w:rsid w:val="003F1B65"/>
    <w:rsid w:val="003F21B0"/>
    <w:rsid w:val="003F288C"/>
    <w:rsid w:val="003F2A83"/>
    <w:rsid w:val="003F2BD3"/>
    <w:rsid w:val="003F2BEB"/>
    <w:rsid w:val="003F2C0C"/>
    <w:rsid w:val="003F2FAF"/>
    <w:rsid w:val="003F2FEB"/>
    <w:rsid w:val="003F36D4"/>
    <w:rsid w:val="003F3B03"/>
    <w:rsid w:val="003F3B88"/>
    <w:rsid w:val="003F3BB2"/>
    <w:rsid w:val="003F3E59"/>
    <w:rsid w:val="003F3ECE"/>
    <w:rsid w:val="003F3F4E"/>
    <w:rsid w:val="003F4156"/>
    <w:rsid w:val="003F4430"/>
    <w:rsid w:val="003F552C"/>
    <w:rsid w:val="003F56AD"/>
    <w:rsid w:val="003F5863"/>
    <w:rsid w:val="003F586C"/>
    <w:rsid w:val="003F5898"/>
    <w:rsid w:val="003F59AA"/>
    <w:rsid w:val="003F5AA3"/>
    <w:rsid w:val="003F5ADF"/>
    <w:rsid w:val="003F620F"/>
    <w:rsid w:val="003F6216"/>
    <w:rsid w:val="003F6307"/>
    <w:rsid w:val="003F6968"/>
    <w:rsid w:val="003F6AC1"/>
    <w:rsid w:val="003F6B0F"/>
    <w:rsid w:val="003F6BC8"/>
    <w:rsid w:val="003F70DC"/>
    <w:rsid w:val="003F7165"/>
    <w:rsid w:val="003F7515"/>
    <w:rsid w:val="003F7A53"/>
    <w:rsid w:val="003F7B8A"/>
    <w:rsid w:val="003F7D94"/>
    <w:rsid w:val="0040012E"/>
    <w:rsid w:val="00400387"/>
    <w:rsid w:val="00400940"/>
    <w:rsid w:val="00400B29"/>
    <w:rsid w:val="00400C2F"/>
    <w:rsid w:val="00401585"/>
    <w:rsid w:val="00402044"/>
    <w:rsid w:val="004025D9"/>
    <w:rsid w:val="00402812"/>
    <w:rsid w:val="00402C0F"/>
    <w:rsid w:val="00402E9B"/>
    <w:rsid w:val="00402EE1"/>
    <w:rsid w:val="0040316D"/>
    <w:rsid w:val="0040337A"/>
    <w:rsid w:val="004033B3"/>
    <w:rsid w:val="004033C5"/>
    <w:rsid w:val="0040355F"/>
    <w:rsid w:val="00403683"/>
    <w:rsid w:val="0040394C"/>
    <w:rsid w:val="00403BFE"/>
    <w:rsid w:val="00403C18"/>
    <w:rsid w:val="00403FC0"/>
    <w:rsid w:val="004041C0"/>
    <w:rsid w:val="00404271"/>
    <w:rsid w:val="004043A7"/>
    <w:rsid w:val="0040457A"/>
    <w:rsid w:val="004045F5"/>
    <w:rsid w:val="00404A05"/>
    <w:rsid w:val="0040504B"/>
    <w:rsid w:val="00405109"/>
    <w:rsid w:val="0040518C"/>
    <w:rsid w:val="004059F4"/>
    <w:rsid w:val="00405DDB"/>
    <w:rsid w:val="00405E5F"/>
    <w:rsid w:val="00406254"/>
    <w:rsid w:val="00406385"/>
    <w:rsid w:val="0040672D"/>
    <w:rsid w:val="0040678E"/>
    <w:rsid w:val="00406D08"/>
    <w:rsid w:val="00406E4F"/>
    <w:rsid w:val="00407401"/>
    <w:rsid w:val="00407752"/>
    <w:rsid w:val="00407775"/>
    <w:rsid w:val="00407866"/>
    <w:rsid w:val="00407A86"/>
    <w:rsid w:val="00407B68"/>
    <w:rsid w:val="00407DBD"/>
    <w:rsid w:val="00407FE5"/>
    <w:rsid w:val="004101B0"/>
    <w:rsid w:val="00410326"/>
    <w:rsid w:val="004104BC"/>
    <w:rsid w:val="00410708"/>
    <w:rsid w:val="00410E19"/>
    <w:rsid w:val="00410EB0"/>
    <w:rsid w:val="00410EC7"/>
    <w:rsid w:val="00410F72"/>
    <w:rsid w:val="0041121F"/>
    <w:rsid w:val="0041180C"/>
    <w:rsid w:val="00411AF0"/>
    <w:rsid w:val="00411B13"/>
    <w:rsid w:val="00411B39"/>
    <w:rsid w:val="00411FD7"/>
    <w:rsid w:val="004124A7"/>
    <w:rsid w:val="004127A7"/>
    <w:rsid w:val="00412DBC"/>
    <w:rsid w:val="00413089"/>
    <w:rsid w:val="0041313E"/>
    <w:rsid w:val="004139CD"/>
    <w:rsid w:val="00413A1E"/>
    <w:rsid w:val="00414476"/>
    <w:rsid w:val="004144BD"/>
    <w:rsid w:val="004144E9"/>
    <w:rsid w:val="00414700"/>
    <w:rsid w:val="0041495E"/>
    <w:rsid w:val="00414C2E"/>
    <w:rsid w:val="004151CF"/>
    <w:rsid w:val="00415413"/>
    <w:rsid w:val="00415530"/>
    <w:rsid w:val="00415C41"/>
    <w:rsid w:val="00416364"/>
    <w:rsid w:val="0041674C"/>
    <w:rsid w:val="00416835"/>
    <w:rsid w:val="00416BFC"/>
    <w:rsid w:val="00416C8A"/>
    <w:rsid w:val="00416D30"/>
    <w:rsid w:val="00416E13"/>
    <w:rsid w:val="00417529"/>
    <w:rsid w:val="0041799F"/>
    <w:rsid w:val="00417E8A"/>
    <w:rsid w:val="00417EA9"/>
    <w:rsid w:val="00420249"/>
    <w:rsid w:val="0042036B"/>
    <w:rsid w:val="0042047F"/>
    <w:rsid w:val="0042059F"/>
    <w:rsid w:val="004207CC"/>
    <w:rsid w:val="00420A02"/>
    <w:rsid w:val="00420AA6"/>
    <w:rsid w:val="00420B9F"/>
    <w:rsid w:val="00420CA5"/>
    <w:rsid w:val="00421512"/>
    <w:rsid w:val="0042192C"/>
    <w:rsid w:val="00421B6E"/>
    <w:rsid w:val="00421D3D"/>
    <w:rsid w:val="00421EF5"/>
    <w:rsid w:val="0042222D"/>
    <w:rsid w:val="00422260"/>
    <w:rsid w:val="00422354"/>
    <w:rsid w:val="004224F8"/>
    <w:rsid w:val="00423D07"/>
    <w:rsid w:val="00423D20"/>
    <w:rsid w:val="00423DC3"/>
    <w:rsid w:val="00423F47"/>
    <w:rsid w:val="0042413F"/>
    <w:rsid w:val="00424862"/>
    <w:rsid w:val="00424A1A"/>
    <w:rsid w:val="00424D3A"/>
    <w:rsid w:val="00424F69"/>
    <w:rsid w:val="00425BA3"/>
    <w:rsid w:val="00425F67"/>
    <w:rsid w:val="00426036"/>
    <w:rsid w:val="00426210"/>
    <w:rsid w:val="0042673A"/>
    <w:rsid w:val="00427214"/>
    <w:rsid w:val="00427407"/>
    <w:rsid w:val="004277F1"/>
    <w:rsid w:val="00427E0B"/>
    <w:rsid w:val="00430484"/>
    <w:rsid w:val="004304DB"/>
    <w:rsid w:val="00431128"/>
    <w:rsid w:val="00431161"/>
    <w:rsid w:val="004319F8"/>
    <w:rsid w:val="00431AAA"/>
    <w:rsid w:val="00431D60"/>
    <w:rsid w:val="00431E55"/>
    <w:rsid w:val="00432026"/>
    <w:rsid w:val="004321F6"/>
    <w:rsid w:val="00432C4B"/>
    <w:rsid w:val="00433044"/>
    <w:rsid w:val="00433143"/>
    <w:rsid w:val="0043394F"/>
    <w:rsid w:val="00433B57"/>
    <w:rsid w:val="00433E03"/>
    <w:rsid w:val="00434088"/>
    <w:rsid w:val="00434823"/>
    <w:rsid w:val="00434C17"/>
    <w:rsid w:val="00434CBB"/>
    <w:rsid w:val="00434FA6"/>
    <w:rsid w:val="00434FC8"/>
    <w:rsid w:val="004353ED"/>
    <w:rsid w:val="004357AA"/>
    <w:rsid w:val="00435829"/>
    <w:rsid w:val="00435E6E"/>
    <w:rsid w:val="00436136"/>
    <w:rsid w:val="00436FEA"/>
    <w:rsid w:val="004370C3"/>
    <w:rsid w:val="00437193"/>
    <w:rsid w:val="004375A9"/>
    <w:rsid w:val="004375B9"/>
    <w:rsid w:val="004375CE"/>
    <w:rsid w:val="004376E5"/>
    <w:rsid w:val="0043773E"/>
    <w:rsid w:val="00437778"/>
    <w:rsid w:val="004377D6"/>
    <w:rsid w:val="004378AB"/>
    <w:rsid w:val="00437A0A"/>
    <w:rsid w:val="00437DB3"/>
    <w:rsid w:val="00440CCF"/>
    <w:rsid w:val="00441726"/>
    <w:rsid w:val="00441749"/>
    <w:rsid w:val="00441FE8"/>
    <w:rsid w:val="00442585"/>
    <w:rsid w:val="00442822"/>
    <w:rsid w:val="004428D0"/>
    <w:rsid w:val="00442BB4"/>
    <w:rsid w:val="00442CA3"/>
    <w:rsid w:val="00442EA1"/>
    <w:rsid w:val="00442FF7"/>
    <w:rsid w:val="004431BF"/>
    <w:rsid w:val="004433BB"/>
    <w:rsid w:val="00444185"/>
    <w:rsid w:val="004443A7"/>
    <w:rsid w:val="0044442C"/>
    <w:rsid w:val="004449E6"/>
    <w:rsid w:val="00444B43"/>
    <w:rsid w:val="00445322"/>
    <w:rsid w:val="00445941"/>
    <w:rsid w:val="004460DB"/>
    <w:rsid w:val="004461B7"/>
    <w:rsid w:val="004464AC"/>
    <w:rsid w:val="004464EB"/>
    <w:rsid w:val="00446521"/>
    <w:rsid w:val="00446939"/>
    <w:rsid w:val="00446CC8"/>
    <w:rsid w:val="00447224"/>
    <w:rsid w:val="0044732B"/>
    <w:rsid w:val="00447530"/>
    <w:rsid w:val="00447820"/>
    <w:rsid w:val="00447D26"/>
    <w:rsid w:val="00447DFC"/>
    <w:rsid w:val="00447F13"/>
    <w:rsid w:val="00447FFD"/>
    <w:rsid w:val="00450895"/>
    <w:rsid w:val="00450EA7"/>
    <w:rsid w:val="00450F26"/>
    <w:rsid w:val="00451081"/>
    <w:rsid w:val="00451868"/>
    <w:rsid w:val="00451EDA"/>
    <w:rsid w:val="00452627"/>
    <w:rsid w:val="00452F29"/>
    <w:rsid w:val="004539D5"/>
    <w:rsid w:val="004539F6"/>
    <w:rsid w:val="004540F0"/>
    <w:rsid w:val="004541D3"/>
    <w:rsid w:val="0045432D"/>
    <w:rsid w:val="00455156"/>
    <w:rsid w:val="004552B3"/>
    <w:rsid w:val="00455439"/>
    <w:rsid w:val="00455AB2"/>
    <w:rsid w:val="00455D45"/>
    <w:rsid w:val="00455E50"/>
    <w:rsid w:val="00456209"/>
    <w:rsid w:val="00456251"/>
    <w:rsid w:val="00456928"/>
    <w:rsid w:val="0045692B"/>
    <w:rsid w:val="00456A57"/>
    <w:rsid w:val="004574BC"/>
    <w:rsid w:val="00457616"/>
    <w:rsid w:val="004579F7"/>
    <w:rsid w:val="00457A85"/>
    <w:rsid w:val="00457D3E"/>
    <w:rsid w:val="00457D70"/>
    <w:rsid w:val="00457E1C"/>
    <w:rsid w:val="00457F79"/>
    <w:rsid w:val="0046021B"/>
    <w:rsid w:val="004606B8"/>
    <w:rsid w:val="004607D7"/>
    <w:rsid w:val="00460825"/>
    <w:rsid w:val="00460832"/>
    <w:rsid w:val="00461044"/>
    <w:rsid w:val="00461085"/>
    <w:rsid w:val="00461527"/>
    <w:rsid w:val="00461D13"/>
    <w:rsid w:val="00462306"/>
    <w:rsid w:val="0046290A"/>
    <w:rsid w:val="00462CB6"/>
    <w:rsid w:val="00463B7C"/>
    <w:rsid w:val="0046428A"/>
    <w:rsid w:val="00464595"/>
    <w:rsid w:val="004646C0"/>
    <w:rsid w:val="004648B2"/>
    <w:rsid w:val="00464A16"/>
    <w:rsid w:val="00464F7B"/>
    <w:rsid w:val="0046538F"/>
    <w:rsid w:val="004654CF"/>
    <w:rsid w:val="004658B5"/>
    <w:rsid w:val="004663ED"/>
    <w:rsid w:val="004664A6"/>
    <w:rsid w:val="004668F9"/>
    <w:rsid w:val="004675D8"/>
    <w:rsid w:val="0046767C"/>
    <w:rsid w:val="0046777B"/>
    <w:rsid w:val="00467BA4"/>
    <w:rsid w:val="00467D9C"/>
    <w:rsid w:val="00470039"/>
    <w:rsid w:val="0047025F"/>
    <w:rsid w:val="00470826"/>
    <w:rsid w:val="0047100C"/>
    <w:rsid w:val="0047113F"/>
    <w:rsid w:val="0047121F"/>
    <w:rsid w:val="00471773"/>
    <w:rsid w:val="0047183E"/>
    <w:rsid w:val="00471EA5"/>
    <w:rsid w:val="00471F40"/>
    <w:rsid w:val="00471FB1"/>
    <w:rsid w:val="004720D6"/>
    <w:rsid w:val="0047259B"/>
    <w:rsid w:val="0047271A"/>
    <w:rsid w:val="00472A79"/>
    <w:rsid w:val="00472D26"/>
    <w:rsid w:val="00472EBD"/>
    <w:rsid w:val="0047317A"/>
    <w:rsid w:val="004731C3"/>
    <w:rsid w:val="004733EE"/>
    <w:rsid w:val="004739ED"/>
    <w:rsid w:val="00473E02"/>
    <w:rsid w:val="00473F19"/>
    <w:rsid w:val="00474746"/>
    <w:rsid w:val="00474CF0"/>
    <w:rsid w:val="00474D80"/>
    <w:rsid w:val="00474F29"/>
    <w:rsid w:val="00475249"/>
    <w:rsid w:val="00475CF0"/>
    <w:rsid w:val="00475CFE"/>
    <w:rsid w:val="00475D20"/>
    <w:rsid w:val="00475E22"/>
    <w:rsid w:val="00475F06"/>
    <w:rsid w:val="00476095"/>
    <w:rsid w:val="004760A8"/>
    <w:rsid w:val="004761C8"/>
    <w:rsid w:val="00476510"/>
    <w:rsid w:val="004767C6"/>
    <w:rsid w:val="00476BE8"/>
    <w:rsid w:val="00477476"/>
    <w:rsid w:val="004779A8"/>
    <w:rsid w:val="00477A7F"/>
    <w:rsid w:val="00477AAB"/>
    <w:rsid w:val="00477C2C"/>
    <w:rsid w:val="00477E5D"/>
    <w:rsid w:val="00477FA4"/>
    <w:rsid w:val="00480021"/>
    <w:rsid w:val="004800ED"/>
    <w:rsid w:val="00480791"/>
    <w:rsid w:val="0048088E"/>
    <w:rsid w:val="004808A5"/>
    <w:rsid w:val="004809C2"/>
    <w:rsid w:val="00480AB5"/>
    <w:rsid w:val="00480DCA"/>
    <w:rsid w:val="00480F2B"/>
    <w:rsid w:val="00481338"/>
    <w:rsid w:val="00481A01"/>
    <w:rsid w:val="0048208E"/>
    <w:rsid w:val="0048226A"/>
    <w:rsid w:val="004822E5"/>
    <w:rsid w:val="00482440"/>
    <w:rsid w:val="00482720"/>
    <w:rsid w:val="0048313A"/>
    <w:rsid w:val="0048331F"/>
    <w:rsid w:val="0048337A"/>
    <w:rsid w:val="004835E7"/>
    <w:rsid w:val="00483691"/>
    <w:rsid w:val="00483DDA"/>
    <w:rsid w:val="004840B7"/>
    <w:rsid w:val="00484874"/>
    <w:rsid w:val="004849B2"/>
    <w:rsid w:val="00484C01"/>
    <w:rsid w:val="00484C8F"/>
    <w:rsid w:val="00485091"/>
    <w:rsid w:val="00485666"/>
    <w:rsid w:val="004859E1"/>
    <w:rsid w:val="00485A5C"/>
    <w:rsid w:val="00485EA0"/>
    <w:rsid w:val="00485EB7"/>
    <w:rsid w:val="004866F1"/>
    <w:rsid w:val="004867E2"/>
    <w:rsid w:val="0048693C"/>
    <w:rsid w:val="00487214"/>
    <w:rsid w:val="004872E6"/>
    <w:rsid w:val="00487AE0"/>
    <w:rsid w:val="00487C8B"/>
    <w:rsid w:val="00487EE5"/>
    <w:rsid w:val="004904CC"/>
    <w:rsid w:val="00490B17"/>
    <w:rsid w:val="00490C7D"/>
    <w:rsid w:val="0049109F"/>
    <w:rsid w:val="004910CB"/>
    <w:rsid w:val="00491B3A"/>
    <w:rsid w:val="00491C16"/>
    <w:rsid w:val="00491C7E"/>
    <w:rsid w:val="00492CFD"/>
    <w:rsid w:val="00492DB2"/>
    <w:rsid w:val="00492F37"/>
    <w:rsid w:val="00493201"/>
    <w:rsid w:val="00493B67"/>
    <w:rsid w:val="00493DE7"/>
    <w:rsid w:val="00494180"/>
    <w:rsid w:val="004941F4"/>
    <w:rsid w:val="00494207"/>
    <w:rsid w:val="004948CA"/>
    <w:rsid w:val="00494CB1"/>
    <w:rsid w:val="00494DD5"/>
    <w:rsid w:val="004950AA"/>
    <w:rsid w:val="004950DE"/>
    <w:rsid w:val="00495690"/>
    <w:rsid w:val="00495D0A"/>
    <w:rsid w:val="00495ED0"/>
    <w:rsid w:val="0049628A"/>
    <w:rsid w:val="004962D2"/>
    <w:rsid w:val="0049683A"/>
    <w:rsid w:val="0049695F"/>
    <w:rsid w:val="004973DA"/>
    <w:rsid w:val="0049745A"/>
    <w:rsid w:val="00497943"/>
    <w:rsid w:val="004A0188"/>
    <w:rsid w:val="004A0368"/>
    <w:rsid w:val="004A03CE"/>
    <w:rsid w:val="004A05CB"/>
    <w:rsid w:val="004A0954"/>
    <w:rsid w:val="004A0D80"/>
    <w:rsid w:val="004A0DA1"/>
    <w:rsid w:val="004A12FC"/>
    <w:rsid w:val="004A13D6"/>
    <w:rsid w:val="004A14B0"/>
    <w:rsid w:val="004A15A0"/>
    <w:rsid w:val="004A15B4"/>
    <w:rsid w:val="004A1B3F"/>
    <w:rsid w:val="004A2189"/>
    <w:rsid w:val="004A240D"/>
    <w:rsid w:val="004A24F0"/>
    <w:rsid w:val="004A2794"/>
    <w:rsid w:val="004A2A45"/>
    <w:rsid w:val="004A2EA2"/>
    <w:rsid w:val="004A3223"/>
    <w:rsid w:val="004A4487"/>
    <w:rsid w:val="004A52E9"/>
    <w:rsid w:val="004A5CA0"/>
    <w:rsid w:val="004A5E48"/>
    <w:rsid w:val="004A6040"/>
    <w:rsid w:val="004A614D"/>
    <w:rsid w:val="004A61E9"/>
    <w:rsid w:val="004A6201"/>
    <w:rsid w:val="004A651E"/>
    <w:rsid w:val="004A6597"/>
    <w:rsid w:val="004A664F"/>
    <w:rsid w:val="004A672D"/>
    <w:rsid w:val="004A6866"/>
    <w:rsid w:val="004A6E36"/>
    <w:rsid w:val="004A7204"/>
    <w:rsid w:val="004A721C"/>
    <w:rsid w:val="004A747C"/>
    <w:rsid w:val="004A7848"/>
    <w:rsid w:val="004A789C"/>
    <w:rsid w:val="004A793B"/>
    <w:rsid w:val="004A7960"/>
    <w:rsid w:val="004A79AE"/>
    <w:rsid w:val="004A7CC0"/>
    <w:rsid w:val="004A7F15"/>
    <w:rsid w:val="004B01BE"/>
    <w:rsid w:val="004B01D8"/>
    <w:rsid w:val="004B0B01"/>
    <w:rsid w:val="004B0CF8"/>
    <w:rsid w:val="004B0D66"/>
    <w:rsid w:val="004B113D"/>
    <w:rsid w:val="004B1705"/>
    <w:rsid w:val="004B19EC"/>
    <w:rsid w:val="004B1CB4"/>
    <w:rsid w:val="004B25CF"/>
    <w:rsid w:val="004B2B31"/>
    <w:rsid w:val="004B2F18"/>
    <w:rsid w:val="004B30C3"/>
    <w:rsid w:val="004B30ED"/>
    <w:rsid w:val="004B35E4"/>
    <w:rsid w:val="004B3A1D"/>
    <w:rsid w:val="004B3DDB"/>
    <w:rsid w:val="004B3F94"/>
    <w:rsid w:val="004B44FD"/>
    <w:rsid w:val="004B4573"/>
    <w:rsid w:val="004B45C8"/>
    <w:rsid w:val="004B4C59"/>
    <w:rsid w:val="004B4C7F"/>
    <w:rsid w:val="004B4EB6"/>
    <w:rsid w:val="004B579F"/>
    <w:rsid w:val="004B5B03"/>
    <w:rsid w:val="004B5CFC"/>
    <w:rsid w:val="004B6802"/>
    <w:rsid w:val="004B68D9"/>
    <w:rsid w:val="004B6918"/>
    <w:rsid w:val="004B69A4"/>
    <w:rsid w:val="004B6F79"/>
    <w:rsid w:val="004B702F"/>
    <w:rsid w:val="004B720F"/>
    <w:rsid w:val="004B765D"/>
    <w:rsid w:val="004B774D"/>
    <w:rsid w:val="004B7EF3"/>
    <w:rsid w:val="004C0110"/>
    <w:rsid w:val="004C016F"/>
    <w:rsid w:val="004C0218"/>
    <w:rsid w:val="004C02A3"/>
    <w:rsid w:val="004C081D"/>
    <w:rsid w:val="004C0AF1"/>
    <w:rsid w:val="004C0B0B"/>
    <w:rsid w:val="004C0E00"/>
    <w:rsid w:val="004C17D6"/>
    <w:rsid w:val="004C18A4"/>
    <w:rsid w:val="004C1B0F"/>
    <w:rsid w:val="004C1C04"/>
    <w:rsid w:val="004C1C64"/>
    <w:rsid w:val="004C2749"/>
    <w:rsid w:val="004C2AC2"/>
    <w:rsid w:val="004C2AFD"/>
    <w:rsid w:val="004C2E08"/>
    <w:rsid w:val="004C317E"/>
    <w:rsid w:val="004C3948"/>
    <w:rsid w:val="004C3955"/>
    <w:rsid w:val="004C3ADD"/>
    <w:rsid w:val="004C3B65"/>
    <w:rsid w:val="004C3F73"/>
    <w:rsid w:val="004C42F4"/>
    <w:rsid w:val="004C4AED"/>
    <w:rsid w:val="004C4D34"/>
    <w:rsid w:val="004C5065"/>
    <w:rsid w:val="004C52E3"/>
    <w:rsid w:val="004C5835"/>
    <w:rsid w:val="004C5F0D"/>
    <w:rsid w:val="004C6A74"/>
    <w:rsid w:val="004C78BA"/>
    <w:rsid w:val="004C79F3"/>
    <w:rsid w:val="004C7E89"/>
    <w:rsid w:val="004C7EBA"/>
    <w:rsid w:val="004D0077"/>
    <w:rsid w:val="004D0690"/>
    <w:rsid w:val="004D0AA9"/>
    <w:rsid w:val="004D0BD7"/>
    <w:rsid w:val="004D0CE3"/>
    <w:rsid w:val="004D0DAD"/>
    <w:rsid w:val="004D10BB"/>
    <w:rsid w:val="004D14A1"/>
    <w:rsid w:val="004D17C8"/>
    <w:rsid w:val="004D22C7"/>
    <w:rsid w:val="004D2946"/>
    <w:rsid w:val="004D2A2C"/>
    <w:rsid w:val="004D2A45"/>
    <w:rsid w:val="004D2B42"/>
    <w:rsid w:val="004D2BC5"/>
    <w:rsid w:val="004D2C2D"/>
    <w:rsid w:val="004D30BC"/>
    <w:rsid w:val="004D3237"/>
    <w:rsid w:val="004D34EF"/>
    <w:rsid w:val="004D3661"/>
    <w:rsid w:val="004D36C9"/>
    <w:rsid w:val="004D38A4"/>
    <w:rsid w:val="004D3984"/>
    <w:rsid w:val="004D3A5C"/>
    <w:rsid w:val="004D3B87"/>
    <w:rsid w:val="004D3F9D"/>
    <w:rsid w:val="004D4676"/>
    <w:rsid w:val="004D4709"/>
    <w:rsid w:val="004D486A"/>
    <w:rsid w:val="004D4B41"/>
    <w:rsid w:val="004D51AD"/>
    <w:rsid w:val="004D5659"/>
    <w:rsid w:val="004D5761"/>
    <w:rsid w:val="004D5AF6"/>
    <w:rsid w:val="004D5D03"/>
    <w:rsid w:val="004D5E2C"/>
    <w:rsid w:val="004D5E42"/>
    <w:rsid w:val="004D6262"/>
    <w:rsid w:val="004D62C1"/>
    <w:rsid w:val="004D6499"/>
    <w:rsid w:val="004D66C2"/>
    <w:rsid w:val="004D69B5"/>
    <w:rsid w:val="004D6AFC"/>
    <w:rsid w:val="004D71AF"/>
    <w:rsid w:val="004D7214"/>
    <w:rsid w:val="004D7227"/>
    <w:rsid w:val="004D73B8"/>
    <w:rsid w:val="004D74FC"/>
    <w:rsid w:val="004D7895"/>
    <w:rsid w:val="004D79CC"/>
    <w:rsid w:val="004D7B5E"/>
    <w:rsid w:val="004E00EE"/>
    <w:rsid w:val="004E065B"/>
    <w:rsid w:val="004E06FC"/>
    <w:rsid w:val="004E0E7F"/>
    <w:rsid w:val="004E0EB8"/>
    <w:rsid w:val="004E13D8"/>
    <w:rsid w:val="004E18E9"/>
    <w:rsid w:val="004E205C"/>
    <w:rsid w:val="004E246E"/>
    <w:rsid w:val="004E2927"/>
    <w:rsid w:val="004E2ADC"/>
    <w:rsid w:val="004E3133"/>
    <w:rsid w:val="004E3561"/>
    <w:rsid w:val="004E38B2"/>
    <w:rsid w:val="004E43B2"/>
    <w:rsid w:val="004E471C"/>
    <w:rsid w:val="004E49A8"/>
    <w:rsid w:val="004E4F9F"/>
    <w:rsid w:val="004E50EA"/>
    <w:rsid w:val="004E582A"/>
    <w:rsid w:val="004E5B99"/>
    <w:rsid w:val="004E5E3C"/>
    <w:rsid w:val="004E652B"/>
    <w:rsid w:val="004E6579"/>
    <w:rsid w:val="004E65A2"/>
    <w:rsid w:val="004E66B5"/>
    <w:rsid w:val="004E66BE"/>
    <w:rsid w:val="004E6797"/>
    <w:rsid w:val="004E6993"/>
    <w:rsid w:val="004E6A23"/>
    <w:rsid w:val="004E735E"/>
    <w:rsid w:val="004E7450"/>
    <w:rsid w:val="004E77E2"/>
    <w:rsid w:val="004E7930"/>
    <w:rsid w:val="004E7B66"/>
    <w:rsid w:val="004E7B98"/>
    <w:rsid w:val="004E7BD1"/>
    <w:rsid w:val="004E7EBF"/>
    <w:rsid w:val="004F021B"/>
    <w:rsid w:val="004F028B"/>
    <w:rsid w:val="004F0B09"/>
    <w:rsid w:val="004F0CD6"/>
    <w:rsid w:val="004F0D94"/>
    <w:rsid w:val="004F1B96"/>
    <w:rsid w:val="004F1D02"/>
    <w:rsid w:val="004F1E5C"/>
    <w:rsid w:val="004F2169"/>
    <w:rsid w:val="004F2679"/>
    <w:rsid w:val="004F2F21"/>
    <w:rsid w:val="004F313B"/>
    <w:rsid w:val="004F352D"/>
    <w:rsid w:val="004F37E9"/>
    <w:rsid w:val="004F3DE5"/>
    <w:rsid w:val="004F40AD"/>
    <w:rsid w:val="004F412F"/>
    <w:rsid w:val="004F4493"/>
    <w:rsid w:val="004F4518"/>
    <w:rsid w:val="004F45FE"/>
    <w:rsid w:val="004F4927"/>
    <w:rsid w:val="004F4BA2"/>
    <w:rsid w:val="004F5649"/>
    <w:rsid w:val="004F5784"/>
    <w:rsid w:val="004F5AB6"/>
    <w:rsid w:val="004F5B88"/>
    <w:rsid w:val="004F60BC"/>
    <w:rsid w:val="004F6183"/>
    <w:rsid w:val="004F671C"/>
    <w:rsid w:val="004F6913"/>
    <w:rsid w:val="004F693D"/>
    <w:rsid w:val="004F6BCD"/>
    <w:rsid w:val="004F72E7"/>
    <w:rsid w:val="004F75F7"/>
    <w:rsid w:val="004F777D"/>
    <w:rsid w:val="004F7865"/>
    <w:rsid w:val="005000AE"/>
    <w:rsid w:val="00500262"/>
    <w:rsid w:val="005005C9"/>
    <w:rsid w:val="00500711"/>
    <w:rsid w:val="00500A75"/>
    <w:rsid w:val="00500B3F"/>
    <w:rsid w:val="00500D6D"/>
    <w:rsid w:val="00500F2C"/>
    <w:rsid w:val="00501502"/>
    <w:rsid w:val="00501686"/>
    <w:rsid w:val="0050174E"/>
    <w:rsid w:val="00501854"/>
    <w:rsid w:val="00501E1E"/>
    <w:rsid w:val="00502048"/>
    <w:rsid w:val="0050219B"/>
    <w:rsid w:val="00502D2A"/>
    <w:rsid w:val="00502FDC"/>
    <w:rsid w:val="00503277"/>
    <w:rsid w:val="0050344F"/>
    <w:rsid w:val="005035D6"/>
    <w:rsid w:val="00503C7A"/>
    <w:rsid w:val="00503E16"/>
    <w:rsid w:val="00503F17"/>
    <w:rsid w:val="00503F3A"/>
    <w:rsid w:val="00504049"/>
    <w:rsid w:val="00504D89"/>
    <w:rsid w:val="00504E2E"/>
    <w:rsid w:val="00505038"/>
    <w:rsid w:val="00505245"/>
    <w:rsid w:val="00505290"/>
    <w:rsid w:val="005052BB"/>
    <w:rsid w:val="00505AC4"/>
    <w:rsid w:val="0050654F"/>
    <w:rsid w:val="00506568"/>
    <w:rsid w:val="00506928"/>
    <w:rsid w:val="00506990"/>
    <w:rsid w:val="005069EF"/>
    <w:rsid w:val="00506DD7"/>
    <w:rsid w:val="00507085"/>
    <w:rsid w:val="00507106"/>
    <w:rsid w:val="00507506"/>
    <w:rsid w:val="00507595"/>
    <w:rsid w:val="0050760F"/>
    <w:rsid w:val="005077EF"/>
    <w:rsid w:val="0050780E"/>
    <w:rsid w:val="00510618"/>
    <w:rsid w:val="00510B76"/>
    <w:rsid w:val="00511212"/>
    <w:rsid w:val="00511497"/>
    <w:rsid w:val="00511856"/>
    <w:rsid w:val="00511AA0"/>
    <w:rsid w:val="00511AD5"/>
    <w:rsid w:val="00511DC7"/>
    <w:rsid w:val="00511E7C"/>
    <w:rsid w:val="00511F9F"/>
    <w:rsid w:val="00512046"/>
    <w:rsid w:val="0051209D"/>
    <w:rsid w:val="005123FD"/>
    <w:rsid w:val="00512C45"/>
    <w:rsid w:val="00512FEC"/>
    <w:rsid w:val="00513105"/>
    <w:rsid w:val="0051336C"/>
    <w:rsid w:val="00513635"/>
    <w:rsid w:val="00513706"/>
    <w:rsid w:val="0051378D"/>
    <w:rsid w:val="005138BB"/>
    <w:rsid w:val="00513B30"/>
    <w:rsid w:val="00513B3D"/>
    <w:rsid w:val="00513B6F"/>
    <w:rsid w:val="00513DD3"/>
    <w:rsid w:val="00513E7A"/>
    <w:rsid w:val="005142C5"/>
    <w:rsid w:val="0051451B"/>
    <w:rsid w:val="005145A0"/>
    <w:rsid w:val="0051469D"/>
    <w:rsid w:val="00514BD3"/>
    <w:rsid w:val="0051501B"/>
    <w:rsid w:val="00515129"/>
    <w:rsid w:val="005152B5"/>
    <w:rsid w:val="00515453"/>
    <w:rsid w:val="00515886"/>
    <w:rsid w:val="00515DDD"/>
    <w:rsid w:val="005161FC"/>
    <w:rsid w:val="005164E7"/>
    <w:rsid w:val="00516778"/>
    <w:rsid w:val="00516799"/>
    <w:rsid w:val="005169D8"/>
    <w:rsid w:val="00517064"/>
    <w:rsid w:val="005170B2"/>
    <w:rsid w:val="00517409"/>
    <w:rsid w:val="005174F0"/>
    <w:rsid w:val="005176B2"/>
    <w:rsid w:val="00517AC1"/>
    <w:rsid w:val="00517E1F"/>
    <w:rsid w:val="00517EDD"/>
    <w:rsid w:val="00520107"/>
    <w:rsid w:val="00520514"/>
    <w:rsid w:val="005205BB"/>
    <w:rsid w:val="005206B0"/>
    <w:rsid w:val="00520718"/>
    <w:rsid w:val="005207DD"/>
    <w:rsid w:val="00520CCA"/>
    <w:rsid w:val="00520D29"/>
    <w:rsid w:val="00520E5E"/>
    <w:rsid w:val="0052123C"/>
    <w:rsid w:val="00521319"/>
    <w:rsid w:val="005213A2"/>
    <w:rsid w:val="00521701"/>
    <w:rsid w:val="0052172E"/>
    <w:rsid w:val="005223BA"/>
    <w:rsid w:val="005224F5"/>
    <w:rsid w:val="00522BC8"/>
    <w:rsid w:val="00523C28"/>
    <w:rsid w:val="00523D56"/>
    <w:rsid w:val="00523E60"/>
    <w:rsid w:val="00524070"/>
    <w:rsid w:val="005242A5"/>
    <w:rsid w:val="00524AC2"/>
    <w:rsid w:val="00525008"/>
    <w:rsid w:val="00525558"/>
    <w:rsid w:val="0052561D"/>
    <w:rsid w:val="00525D45"/>
    <w:rsid w:val="005271B1"/>
    <w:rsid w:val="005274AD"/>
    <w:rsid w:val="005277F7"/>
    <w:rsid w:val="00527E5B"/>
    <w:rsid w:val="00527F29"/>
    <w:rsid w:val="005302D3"/>
    <w:rsid w:val="00530330"/>
    <w:rsid w:val="005303B6"/>
    <w:rsid w:val="005303CF"/>
    <w:rsid w:val="00530719"/>
    <w:rsid w:val="00530A8F"/>
    <w:rsid w:val="00531261"/>
    <w:rsid w:val="0053176B"/>
    <w:rsid w:val="0053177D"/>
    <w:rsid w:val="00531AFC"/>
    <w:rsid w:val="00532113"/>
    <w:rsid w:val="005321E5"/>
    <w:rsid w:val="0053245C"/>
    <w:rsid w:val="005329B8"/>
    <w:rsid w:val="00532B14"/>
    <w:rsid w:val="0053374C"/>
    <w:rsid w:val="005339B3"/>
    <w:rsid w:val="00533FEC"/>
    <w:rsid w:val="005341B3"/>
    <w:rsid w:val="005342CE"/>
    <w:rsid w:val="005345AA"/>
    <w:rsid w:val="005345E3"/>
    <w:rsid w:val="00534736"/>
    <w:rsid w:val="0053555D"/>
    <w:rsid w:val="00535C20"/>
    <w:rsid w:val="00535C43"/>
    <w:rsid w:val="0053613A"/>
    <w:rsid w:val="00536560"/>
    <w:rsid w:val="00536A8F"/>
    <w:rsid w:val="00536D06"/>
    <w:rsid w:val="00536E21"/>
    <w:rsid w:val="00536F42"/>
    <w:rsid w:val="00537182"/>
    <w:rsid w:val="005377AE"/>
    <w:rsid w:val="00537B02"/>
    <w:rsid w:val="00537D41"/>
    <w:rsid w:val="00537FB8"/>
    <w:rsid w:val="00537FFB"/>
    <w:rsid w:val="005402B7"/>
    <w:rsid w:val="005404AF"/>
    <w:rsid w:val="005408CE"/>
    <w:rsid w:val="00540E3D"/>
    <w:rsid w:val="00540FC1"/>
    <w:rsid w:val="00541168"/>
    <w:rsid w:val="00541709"/>
    <w:rsid w:val="00541A71"/>
    <w:rsid w:val="00541CD2"/>
    <w:rsid w:val="00541D07"/>
    <w:rsid w:val="00541E29"/>
    <w:rsid w:val="00541E37"/>
    <w:rsid w:val="00541EDD"/>
    <w:rsid w:val="005421E3"/>
    <w:rsid w:val="0054226A"/>
    <w:rsid w:val="00542334"/>
    <w:rsid w:val="00542513"/>
    <w:rsid w:val="00542743"/>
    <w:rsid w:val="005427E4"/>
    <w:rsid w:val="0054281F"/>
    <w:rsid w:val="00542AA2"/>
    <w:rsid w:val="00542C2D"/>
    <w:rsid w:val="005430C0"/>
    <w:rsid w:val="005434AD"/>
    <w:rsid w:val="005434E5"/>
    <w:rsid w:val="0054370F"/>
    <w:rsid w:val="00543B04"/>
    <w:rsid w:val="005447C6"/>
    <w:rsid w:val="00544A5C"/>
    <w:rsid w:val="005450F9"/>
    <w:rsid w:val="00545BB1"/>
    <w:rsid w:val="00545CC0"/>
    <w:rsid w:val="00545D8B"/>
    <w:rsid w:val="00545E0C"/>
    <w:rsid w:val="005467D3"/>
    <w:rsid w:val="005469DD"/>
    <w:rsid w:val="00546F05"/>
    <w:rsid w:val="005478BD"/>
    <w:rsid w:val="005479E3"/>
    <w:rsid w:val="00547B23"/>
    <w:rsid w:val="00547E42"/>
    <w:rsid w:val="00547F7D"/>
    <w:rsid w:val="005506AE"/>
    <w:rsid w:val="0055098D"/>
    <w:rsid w:val="00550BA7"/>
    <w:rsid w:val="00551781"/>
    <w:rsid w:val="00551985"/>
    <w:rsid w:val="00551F4F"/>
    <w:rsid w:val="00552072"/>
    <w:rsid w:val="00552144"/>
    <w:rsid w:val="00552346"/>
    <w:rsid w:val="005524BB"/>
    <w:rsid w:val="005528C5"/>
    <w:rsid w:val="00552966"/>
    <w:rsid w:val="00552BD3"/>
    <w:rsid w:val="00552D7A"/>
    <w:rsid w:val="0055317F"/>
    <w:rsid w:val="005532A0"/>
    <w:rsid w:val="005533C3"/>
    <w:rsid w:val="0055341C"/>
    <w:rsid w:val="00553E58"/>
    <w:rsid w:val="0055404A"/>
    <w:rsid w:val="005543E0"/>
    <w:rsid w:val="00554E2A"/>
    <w:rsid w:val="00555109"/>
    <w:rsid w:val="00556624"/>
    <w:rsid w:val="0055667D"/>
    <w:rsid w:val="005567AC"/>
    <w:rsid w:val="005569A9"/>
    <w:rsid w:val="00556B35"/>
    <w:rsid w:val="0055725D"/>
    <w:rsid w:val="005573DD"/>
    <w:rsid w:val="0055741A"/>
    <w:rsid w:val="005574E0"/>
    <w:rsid w:val="005574EB"/>
    <w:rsid w:val="00557698"/>
    <w:rsid w:val="005577E1"/>
    <w:rsid w:val="00557861"/>
    <w:rsid w:val="00557D73"/>
    <w:rsid w:val="00557E19"/>
    <w:rsid w:val="00557EEA"/>
    <w:rsid w:val="00557FC8"/>
    <w:rsid w:val="0056056F"/>
    <w:rsid w:val="005610AA"/>
    <w:rsid w:val="005611B7"/>
    <w:rsid w:val="00561822"/>
    <w:rsid w:val="005618D4"/>
    <w:rsid w:val="00561993"/>
    <w:rsid w:val="00561A6C"/>
    <w:rsid w:val="00561F59"/>
    <w:rsid w:val="00561F6F"/>
    <w:rsid w:val="005621C5"/>
    <w:rsid w:val="0056283A"/>
    <w:rsid w:val="00562BB4"/>
    <w:rsid w:val="00562DAB"/>
    <w:rsid w:val="00562DC7"/>
    <w:rsid w:val="00562E0E"/>
    <w:rsid w:val="00563164"/>
    <w:rsid w:val="00563615"/>
    <w:rsid w:val="00563694"/>
    <w:rsid w:val="0056389D"/>
    <w:rsid w:val="005639F5"/>
    <w:rsid w:val="0056446D"/>
    <w:rsid w:val="00564703"/>
    <w:rsid w:val="00564867"/>
    <w:rsid w:val="00564C9D"/>
    <w:rsid w:val="00564DF6"/>
    <w:rsid w:val="00564FBD"/>
    <w:rsid w:val="00565068"/>
    <w:rsid w:val="0056546D"/>
    <w:rsid w:val="00565AB1"/>
    <w:rsid w:val="00565AB5"/>
    <w:rsid w:val="00565C79"/>
    <w:rsid w:val="00565DF0"/>
    <w:rsid w:val="0056627F"/>
    <w:rsid w:val="00566484"/>
    <w:rsid w:val="00566936"/>
    <w:rsid w:val="0056696F"/>
    <w:rsid w:val="00566A22"/>
    <w:rsid w:val="0056701E"/>
    <w:rsid w:val="00567CCD"/>
    <w:rsid w:val="00570156"/>
    <w:rsid w:val="005703A0"/>
    <w:rsid w:val="00570529"/>
    <w:rsid w:val="005708F1"/>
    <w:rsid w:val="00570F66"/>
    <w:rsid w:val="0057115D"/>
    <w:rsid w:val="0057139A"/>
    <w:rsid w:val="00571AC3"/>
    <w:rsid w:val="00571EF5"/>
    <w:rsid w:val="00572077"/>
    <w:rsid w:val="00572269"/>
    <w:rsid w:val="005722DB"/>
    <w:rsid w:val="0057244A"/>
    <w:rsid w:val="005727FA"/>
    <w:rsid w:val="00572CE9"/>
    <w:rsid w:val="00572F26"/>
    <w:rsid w:val="00572F94"/>
    <w:rsid w:val="005733F8"/>
    <w:rsid w:val="00573D2D"/>
    <w:rsid w:val="00574071"/>
    <w:rsid w:val="005744BD"/>
    <w:rsid w:val="005744D9"/>
    <w:rsid w:val="00574A98"/>
    <w:rsid w:val="005750C5"/>
    <w:rsid w:val="005752DE"/>
    <w:rsid w:val="0057557A"/>
    <w:rsid w:val="0057566C"/>
    <w:rsid w:val="00575D60"/>
    <w:rsid w:val="00575D8D"/>
    <w:rsid w:val="00575DF5"/>
    <w:rsid w:val="00576128"/>
    <w:rsid w:val="0057641F"/>
    <w:rsid w:val="00576450"/>
    <w:rsid w:val="0057690C"/>
    <w:rsid w:val="00576949"/>
    <w:rsid w:val="00576972"/>
    <w:rsid w:val="005769E5"/>
    <w:rsid w:val="00577248"/>
    <w:rsid w:val="005772C2"/>
    <w:rsid w:val="00577C15"/>
    <w:rsid w:val="005800D0"/>
    <w:rsid w:val="0058073E"/>
    <w:rsid w:val="005808DD"/>
    <w:rsid w:val="00580D6F"/>
    <w:rsid w:val="00580F58"/>
    <w:rsid w:val="00581253"/>
    <w:rsid w:val="00581309"/>
    <w:rsid w:val="00581B17"/>
    <w:rsid w:val="00581BA4"/>
    <w:rsid w:val="0058247A"/>
    <w:rsid w:val="00582615"/>
    <w:rsid w:val="00582B3F"/>
    <w:rsid w:val="00583699"/>
    <w:rsid w:val="005837CB"/>
    <w:rsid w:val="00583A00"/>
    <w:rsid w:val="00583A2A"/>
    <w:rsid w:val="00583EE8"/>
    <w:rsid w:val="0058406B"/>
    <w:rsid w:val="00584323"/>
    <w:rsid w:val="0058440C"/>
    <w:rsid w:val="005844B1"/>
    <w:rsid w:val="0058498D"/>
    <w:rsid w:val="00584B21"/>
    <w:rsid w:val="0058587F"/>
    <w:rsid w:val="00585CDD"/>
    <w:rsid w:val="005865DC"/>
    <w:rsid w:val="00586945"/>
    <w:rsid w:val="00586CEF"/>
    <w:rsid w:val="00587058"/>
    <w:rsid w:val="00587263"/>
    <w:rsid w:val="00587E21"/>
    <w:rsid w:val="00587EC4"/>
    <w:rsid w:val="00590444"/>
    <w:rsid w:val="0059044B"/>
    <w:rsid w:val="00590493"/>
    <w:rsid w:val="005906B7"/>
    <w:rsid w:val="00590B5F"/>
    <w:rsid w:val="00590C56"/>
    <w:rsid w:val="005917E0"/>
    <w:rsid w:val="00591870"/>
    <w:rsid w:val="00591957"/>
    <w:rsid w:val="00591C26"/>
    <w:rsid w:val="00591E95"/>
    <w:rsid w:val="0059203A"/>
    <w:rsid w:val="0059228E"/>
    <w:rsid w:val="00592500"/>
    <w:rsid w:val="0059268F"/>
    <w:rsid w:val="0059271D"/>
    <w:rsid w:val="00592BD3"/>
    <w:rsid w:val="0059346B"/>
    <w:rsid w:val="00593681"/>
    <w:rsid w:val="005936DE"/>
    <w:rsid w:val="00593773"/>
    <w:rsid w:val="0059384D"/>
    <w:rsid w:val="0059393F"/>
    <w:rsid w:val="00593F0D"/>
    <w:rsid w:val="00594142"/>
    <w:rsid w:val="00594DDB"/>
    <w:rsid w:val="0059575F"/>
    <w:rsid w:val="005957C8"/>
    <w:rsid w:val="0059660F"/>
    <w:rsid w:val="0059673D"/>
    <w:rsid w:val="00596C54"/>
    <w:rsid w:val="00597147"/>
    <w:rsid w:val="00597198"/>
    <w:rsid w:val="00597B54"/>
    <w:rsid w:val="00597BF9"/>
    <w:rsid w:val="00597E58"/>
    <w:rsid w:val="005A00E5"/>
    <w:rsid w:val="005A02B2"/>
    <w:rsid w:val="005A037B"/>
    <w:rsid w:val="005A037E"/>
    <w:rsid w:val="005A03F2"/>
    <w:rsid w:val="005A046F"/>
    <w:rsid w:val="005A07C9"/>
    <w:rsid w:val="005A0BBF"/>
    <w:rsid w:val="005A0C11"/>
    <w:rsid w:val="005A0DA7"/>
    <w:rsid w:val="005A19CF"/>
    <w:rsid w:val="005A1BC4"/>
    <w:rsid w:val="005A2225"/>
    <w:rsid w:val="005A2313"/>
    <w:rsid w:val="005A26F9"/>
    <w:rsid w:val="005A2B38"/>
    <w:rsid w:val="005A2E71"/>
    <w:rsid w:val="005A3069"/>
    <w:rsid w:val="005A309A"/>
    <w:rsid w:val="005A3217"/>
    <w:rsid w:val="005A3303"/>
    <w:rsid w:val="005A367F"/>
    <w:rsid w:val="005A373D"/>
    <w:rsid w:val="005A3BFC"/>
    <w:rsid w:val="005A4053"/>
    <w:rsid w:val="005A50B8"/>
    <w:rsid w:val="005A57C3"/>
    <w:rsid w:val="005A598D"/>
    <w:rsid w:val="005A5A72"/>
    <w:rsid w:val="005A62ED"/>
    <w:rsid w:val="005A6496"/>
    <w:rsid w:val="005A685A"/>
    <w:rsid w:val="005A6C2A"/>
    <w:rsid w:val="005A6D4D"/>
    <w:rsid w:val="005A6F0B"/>
    <w:rsid w:val="005A7096"/>
    <w:rsid w:val="005A7112"/>
    <w:rsid w:val="005A756A"/>
    <w:rsid w:val="005A768A"/>
    <w:rsid w:val="005A7881"/>
    <w:rsid w:val="005A7E0B"/>
    <w:rsid w:val="005A7F3D"/>
    <w:rsid w:val="005A7FBF"/>
    <w:rsid w:val="005B0238"/>
    <w:rsid w:val="005B073B"/>
    <w:rsid w:val="005B0799"/>
    <w:rsid w:val="005B0B58"/>
    <w:rsid w:val="005B0BD3"/>
    <w:rsid w:val="005B0E77"/>
    <w:rsid w:val="005B1E73"/>
    <w:rsid w:val="005B24DE"/>
    <w:rsid w:val="005B2708"/>
    <w:rsid w:val="005B2E69"/>
    <w:rsid w:val="005B2F87"/>
    <w:rsid w:val="005B348C"/>
    <w:rsid w:val="005B3543"/>
    <w:rsid w:val="005B3A0E"/>
    <w:rsid w:val="005B3D28"/>
    <w:rsid w:val="005B41C7"/>
    <w:rsid w:val="005B46BF"/>
    <w:rsid w:val="005B4E53"/>
    <w:rsid w:val="005B4FB1"/>
    <w:rsid w:val="005B52F2"/>
    <w:rsid w:val="005B5799"/>
    <w:rsid w:val="005B5857"/>
    <w:rsid w:val="005B6595"/>
    <w:rsid w:val="005B6698"/>
    <w:rsid w:val="005B7084"/>
    <w:rsid w:val="005B7B0E"/>
    <w:rsid w:val="005B7CB5"/>
    <w:rsid w:val="005B7FDD"/>
    <w:rsid w:val="005C00A4"/>
    <w:rsid w:val="005C09E0"/>
    <w:rsid w:val="005C0AA6"/>
    <w:rsid w:val="005C0AEA"/>
    <w:rsid w:val="005C0D7B"/>
    <w:rsid w:val="005C19C4"/>
    <w:rsid w:val="005C1A5B"/>
    <w:rsid w:val="005C1B83"/>
    <w:rsid w:val="005C25E4"/>
    <w:rsid w:val="005C25FF"/>
    <w:rsid w:val="005C2926"/>
    <w:rsid w:val="005C299A"/>
    <w:rsid w:val="005C2D55"/>
    <w:rsid w:val="005C346B"/>
    <w:rsid w:val="005C35F5"/>
    <w:rsid w:val="005C3B54"/>
    <w:rsid w:val="005C3C71"/>
    <w:rsid w:val="005C3CC2"/>
    <w:rsid w:val="005C425A"/>
    <w:rsid w:val="005C43F7"/>
    <w:rsid w:val="005C457B"/>
    <w:rsid w:val="005C495B"/>
    <w:rsid w:val="005C4C84"/>
    <w:rsid w:val="005C4F27"/>
    <w:rsid w:val="005C5ABC"/>
    <w:rsid w:val="005C5D3B"/>
    <w:rsid w:val="005C656D"/>
    <w:rsid w:val="005C693C"/>
    <w:rsid w:val="005C6975"/>
    <w:rsid w:val="005C6D99"/>
    <w:rsid w:val="005C6E11"/>
    <w:rsid w:val="005C702B"/>
    <w:rsid w:val="005C70CC"/>
    <w:rsid w:val="005C7257"/>
    <w:rsid w:val="005C76DF"/>
    <w:rsid w:val="005C7938"/>
    <w:rsid w:val="005D0022"/>
    <w:rsid w:val="005D01D1"/>
    <w:rsid w:val="005D044B"/>
    <w:rsid w:val="005D044D"/>
    <w:rsid w:val="005D08E5"/>
    <w:rsid w:val="005D09BA"/>
    <w:rsid w:val="005D0ABD"/>
    <w:rsid w:val="005D0CBD"/>
    <w:rsid w:val="005D1146"/>
    <w:rsid w:val="005D12CC"/>
    <w:rsid w:val="005D15AD"/>
    <w:rsid w:val="005D18AD"/>
    <w:rsid w:val="005D1A7E"/>
    <w:rsid w:val="005D1B5D"/>
    <w:rsid w:val="005D24BE"/>
    <w:rsid w:val="005D2622"/>
    <w:rsid w:val="005D26B4"/>
    <w:rsid w:val="005D2745"/>
    <w:rsid w:val="005D2BC9"/>
    <w:rsid w:val="005D2C9E"/>
    <w:rsid w:val="005D31B1"/>
    <w:rsid w:val="005D31D4"/>
    <w:rsid w:val="005D3207"/>
    <w:rsid w:val="005D3D37"/>
    <w:rsid w:val="005D429C"/>
    <w:rsid w:val="005D49A9"/>
    <w:rsid w:val="005D4A1F"/>
    <w:rsid w:val="005D4E6F"/>
    <w:rsid w:val="005D544D"/>
    <w:rsid w:val="005D556B"/>
    <w:rsid w:val="005D57F3"/>
    <w:rsid w:val="005D5907"/>
    <w:rsid w:val="005D59C1"/>
    <w:rsid w:val="005D6400"/>
    <w:rsid w:val="005D64AD"/>
    <w:rsid w:val="005D67CF"/>
    <w:rsid w:val="005D67F6"/>
    <w:rsid w:val="005D6A63"/>
    <w:rsid w:val="005D6DA4"/>
    <w:rsid w:val="005D724A"/>
    <w:rsid w:val="005D72D8"/>
    <w:rsid w:val="005D72F7"/>
    <w:rsid w:val="005D74D0"/>
    <w:rsid w:val="005D7697"/>
    <w:rsid w:val="005D7BB0"/>
    <w:rsid w:val="005D7C4F"/>
    <w:rsid w:val="005E1948"/>
    <w:rsid w:val="005E1995"/>
    <w:rsid w:val="005E1B1B"/>
    <w:rsid w:val="005E1B60"/>
    <w:rsid w:val="005E288E"/>
    <w:rsid w:val="005E2E24"/>
    <w:rsid w:val="005E30F5"/>
    <w:rsid w:val="005E33C2"/>
    <w:rsid w:val="005E348F"/>
    <w:rsid w:val="005E369E"/>
    <w:rsid w:val="005E3BF5"/>
    <w:rsid w:val="005E3E5D"/>
    <w:rsid w:val="005E3F6F"/>
    <w:rsid w:val="005E4461"/>
    <w:rsid w:val="005E4954"/>
    <w:rsid w:val="005E4CF9"/>
    <w:rsid w:val="005E4D8F"/>
    <w:rsid w:val="005E5312"/>
    <w:rsid w:val="005E5702"/>
    <w:rsid w:val="005E57BF"/>
    <w:rsid w:val="005E5E75"/>
    <w:rsid w:val="005E5E84"/>
    <w:rsid w:val="005E643E"/>
    <w:rsid w:val="005E646C"/>
    <w:rsid w:val="005E69B7"/>
    <w:rsid w:val="005E6CBC"/>
    <w:rsid w:val="005E6D38"/>
    <w:rsid w:val="005E6FA6"/>
    <w:rsid w:val="005E72FF"/>
    <w:rsid w:val="005E73C0"/>
    <w:rsid w:val="005E7A3C"/>
    <w:rsid w:val="005F05D4"/>
    <w:rsid w:val="005F0772"/>
    <w:rsid w:val="005F07ED"/>
    <w:rsid w:val="005F09BA"/>
    <w:rsid w:val="005F1616"/>
    <w:rsid w:val="005F16EC"/>
    <w:rsid w:val="005F1768"/>
    <w:rsid w:val="005F17FC"/>
    <w:rsid w:val="005F1B13"/>
    <w:rsid w:val="005F218A"/>
    <w:rsid w:val="005F26D4"/>
    <w:rsid w:val="005F2706"/>
    <w:rsid w:val="005F2836"/>
    <w:rsid w:val="005F29DC"/>
    <w:rsid w:val="005F34AE"/>
    <w:rsid w:val="005F3A57"/>
    <w:rsid w:val="005F3CD3"/>
    <w:rsid w:val="005F4323"/>
    <w:rsid w:val="005F43B4"/>
    <w:rsid w:val="005F43D2"/>
    <w:rsid w:val="005F4665"/>
    <w:rsid w:val="005F47DE"/>
    <w:rsid w:val="005F4B67"/>
    <w:rsid w:val="005F50F5"/>
    <w:rsid w:val="005F594C"/>
    <w:rsid w:val="005F5BE0"/>
    <w:rsid w:val="005F5F36"/>
    <w:rsid w:val="005F5FDB"/>
    <w:rsid w:val="005F643C"/>
    <w:rsid w:val="005F64BA"/>
    <w:rsid w:val="005F6672"/>
    <w:rsid w:val="005F6A8F"/>
    <w:rsid w:val="005F6BB7"/>
    <w:rsid w:val="005F7588"/>
    <w:rsid w:val="005F75F9"/>
    <w:rsid w:val="0060000F"/>
    <w:rsid w:val="00600025"/>
    <w:rsid w:val="006000A4"/>
    <w:rsid w:val="00600BC4"/>
    <w:rsid w:val="00600C8A"/>
    <w:rsid w:val="00600F31"/>
    <w:rsid w:val="00600FDF"/>
    <w:rsid w:val="00601357"/>
    <w:rsid w:val="00601736"/>
    <w:rsid w:val="00601B33"/>
    <w:rsid w:val="00601C7B"/>
    <w:rsid w:val="006023EE"/>
    <w:rsid w:val="0060241C"/>
    <w:rsid w:val="00602DB3"/>
    <w:rsid w:val="00602FD5"/>
    <w:rsid w:val="0060306E"/>
    <w:rsid w:val="0060314A"/>
    <w:rsid w:val="00603DB9"/>
    <w:rsid w:val="00604527"/>
    <w:rsid w:val="006045CA"/>
    <w:rsid w:val="0060493A"/>
    <w:rsid w:val="00604AE6"/>
    <w:rsid w:val="00604D8E"/>
    <w:rsid w:val="00604F58"/>
    <w:rsid w:val="006061F6"/>
    <w:rsid w:val="006061F7"/>
    <w:rsid w:val="00606271"/>
    <w:rsid w:val="006063A0"/>
    <w:rsid w:val="00606462"/>
    <w:rsid w:val="00606A93"/>
    <w:rsid w:val="00606B95"/>
    <w:rsid w:val="00606FBA"/>
    <w:rsid w:val="00607669"/>
    <w:rsid w:val="006076F4"/>
    <w:rsid w:val="006077C7"/>
    <w:rsid w:val="00607AFD"/>
    <w:rsid w:val="00607F0D"/>
    <w:rsid w:val="00607FBB"/>
    <w:rsid w:val="00610141"/>
    <w:rsid w:val="00611B12"/>
    <w:rsid w:val="00611D39"/>
    <w:rsid w:val="0061281B"/>
    <w:rsid w:val="00612AE0"/>
    <w:rsid w:val="00612F97"/>
    <w:rsid w:val="0061345D"/>
    <w:rsid w:val="00613AEF"/>
    <w:rsid w:val="00613D14"/>
    <w:rsid w:val="00613E77"/>
    <w:rsid w:val="00613F15"/>
    <w:rsid w:val="00614249"/>
    <w:rsid w:val="0061440F"/>
    <w:rsid w:val="00614D5A"/>
    <w:rsid w:val="00615067"/>
    <w:rsid w:val="0061530C"/>
    <w:rsid w:val="00615355"/>
    <w:rsid w:val="0061549B"/>
    <w:rsid w:val="006154DA"/>
    <w:rsid w:val="00615516"/>
    <w:rsid w:val="006155B2"/>
    <w:rsid w:val="0061585B"/>
    <w:rsid w:val="00615920"/>
    <w:rsid w:val="00615956"/>
    <w:rsid w:val="00615B8C"/>
    <w:rsid w:val="00615EDB"/>
    <w:rsid w:val="0061609A"/>
    <w:rsid w:val="006160BE"/>
    <w:rsid w:val="00616294"/>
    <w:rsid w:val="0061633B"/>
    <w:rsid w:val="006163C5"/>
    <w:rsid w:val="00616802"/>
    <w:rsid w:val="00616946"/>
    <w:rsid w:val="00616C03"/>
    <w:rsid w:val="0061784F"/>
    <w:rsid w:val="00617D73"/>
    <w:rsid w:val="00617E12"/>
    <w:rsid w:val="00620124"/>
    <w:rsid w:val="00620342"/>
    <w:rsid w:val="00620C25"/>
    <w:rsid w:val="00621477"/>
    <w:rsid w:val="00621944"/>
    <w:rsid w:val="00621975"/>
    <w:rsid w:val="00621A2D"/>
    <w:rsid w:val="00621ADA"/>
    <w:rsid w:val="00621AE3"/>
    <w:rsid w:val="00621D22"/>
    <w:rsid w:val="00621E16"/>
    <w:rsid w:val="00622236"/>
    <w:rsid w:val="00622379"/>
    <w:rsid w:val="00622AD3"/>
    <w:rsid w:val="00622B48"/>
    <w:rsid w:val="00623801"/>
    <w:rsid w:val="006238E4"/>
    <w:rsid w:val="00623DAE"/>
    <w:rsid w:val="00623F7B"/>
    <w:rsid w:val="00623FC7"/>
    <w:rsid w:val="00624378"/>
    <w:rsid w:val="00624560"/>
    <w:rsid w:val="00624B2A"/>
    <w:rsid w:val="00624BD4"/>
    <w:rsid w:val="00625186"/>
    <w:rsid w:val="006253BA"/>
    <w:rsid w:val="0062553F"/>
    <w:rsid w:val="00625A1C"/>
    <w:rsid w:val="00625A62"/>
    <w:rsid w:val="00625A89"/>
    <w:rsid w:val="00625F49"/>
    <w:rsid w:val="00626649"/>
    <w:rsid w:val="00627504"/>
    <w:rsid w:val="0062787D"/>
    <w:rsid w:val="006278ED"/>
    <w:rsid w:val="00627ADF"/>
    <w:rsid w:val="00627BC7"/>
    <w:rsid w:val="00627C6A"/>
    <w:rsid w:val="00627DBC"/>
    <w:rsid w:val="00627F03"/>
    <w:rsid w:val="0063011E"/>
    <w:rsid w:val="006301A0"/>
    <w:rsid w:val="006301C0"/>
    <w:rsid w:val="00630306"/>
    <w:rsid w:val="00630810"/>
    <w:rsid w:val="006309FB"/>
    <w:rsid w:val="00631160"/>
    <w:rsid w:val="006312D2"/>
    <w:rsid w:val="0063158F"/>
    <w:rsid w:val="00631D6B"/>
    <w:rsid w:val="00631D80"/>
    <w:rsid w:val="00631FB4"/>
    <w:rsid w:val="00632183"/>
    <w:rsid w:val="006321F2"/>
    <w:rsid w:val="0063221D"/>
    <w:rsid w:val="0063284E"/>
    <w:rsid w:val="00632C96"/>
    <w:rsid w:val="00632D4B"/>
    <w:rsid w:val="00632D73"/>
    <w:rsid w:val="006330A1"/>
    <w:rsid w:val="00633146"/>
    <w:rsid w:val="00633468"/>
    <w:rsid w:val="0063388D"/>
    <w:rsid w:val="00633A22"/>
    <w:rsid w:val="00633C3A"/>
    <w:rsid w:val="00633DE6"/>
    <w:rsid w:val="00633E57"/>
    <w:rsid w:val="00634015"/>
    <w:rsid w:val="00634627"/>
    <w:rsid w:val="00634734"/>
    <w:rsid w:val="0063479F"/>
    <w:rsid w:val="0063490F"/>
    <w:rsid w:val="00635346"/>
    <w:rsid w:val="006353F0"/>
    <w:rsid w:val="006354A6"/>
    <w:rsid w:val="006357B5"/>
    <w:rsid w:val="00635D7B"/>
    <w:rsid w:val="006364A1"/>
    <w:rsid w:val="006365A4"/>
    <w:rsid w:val="0063678E"/>
    <w:rsid w:val="0063703E"/>
    <w:rsid w:val="00637376"/>
    <w:rsid w:val="00637BFD"/>
    <w:rsid w:val="00637C5C"/>
    <w:rsid w:val="00637EB4"/>
    <w:rsid w:val="006403CD"/>
    <w:rsid w:val="006405C5"/>
    <w:rsid w:val="006406C2"/>
    <w:rsid w:val="00640CC6"/>
    <w:rsid w:val="006410B8"/>
    <w:rsid w:val="00641644"/>
    <w:rsid w:val="00641762"/>
    <w:rsid w:val="006417D7"/>
    <w:rsid w:val="00641C4E"/>
    <w:rsid w:val="00641EF9"/>
    <w:rsid w:val="00641FB3"/>
    <w:rsid w:val="006421EB"/>
    <w:rsid w:val="0064302D"/>
    <w:rsid w:val="0064334C"/>
    <w:rsid w:val="00643D4C"/>
    <w:rsid w:val="0064434C"/>
    <w:rsid w:val="006445D1"/>
    <w:rsid w:val="00644801"/>
    <w:rsid w:val="00644908"/>
    <w:rsid w:val="0064498A"/>
    <w:rsid w:val="00644B6B"/>
    <w:rsid w:val="00644D32"/>
    <w:rsid w:val="00644D51"/>
    <w:rsid w:val="006450AA"/>
    <w:rsid w:val="006457AB"/>
    <w:rsid w:val="006457EA"/>
    <w:rsid w:val="00645CD0"/>
    <w:rsid w:val="00645D7B"/>
    <w:rsid w:val="00645DB7"/>
    <w:rsid w:val="00645EB1"/>
    <w:rsid w:val="006463F6"/>
    <w:rsid w:val="00646510"/>
    <w:rsid w:val="00646866"/>
    <w:rsid w:val="006471CC"/>
    <w:rsid w:val="006472FE"/>
    <w:rsid w:val="00647A29"/>
    <w:rsid w:val="00647F46"/>
    <w:rsid w:val="0065025D"/>
    <w:rsid w:val="00650593"/>
    <w:rsid w:val="0065079F"/>
    <w:rsid w:val="006509D7"/>
    <w:rsid w:val="006510FB"/>
    <w:rsid w:val="00651110"/>
    <w:rsid w:val="00651F45"/>
    <w:rsid w:val="00652A28"/>
    <w:rsid w:val="00652F7A"/>
    <w:rsid w:val="0065331F"/>
    <w:rsid w:val="0065379F"/>
    <w:rsid w:val="00654050"/>
    <w:rsid w:val="0065414D"/>
    <w:rsid w:val="00654E16"/>
    <w:rsid w:val="00655B2B"/>
    <w:rsid w:val="00655CE4"/>
    <w:rsid w:val="00655DED"/>
    <w:rsid w:val="00656188"/>
    <w:rsid w:val="0065623C"/>
    <w:rsid w:val="006567C5"/>
    <w:rsid w:val="0065680D"/>
    <w:rsid w:val="0065693F"/>
    <w:rsid w:val="0065707A"/>
    <w:rsid w:val="0065715A"/>
    <w:rsid w:val="0065764B"/>
    <w:rsid w:val="006576D8"/>
    <w:rsid w:val="00657789"/>
    <w:rsid w:val="00657B84"/>
    <w:rsid w:val="00657C15"/>
    <w:rsid w:val="00657C24"/>
    <w:rsid w:val="00660074"/>
    <w:rsid w:val="006601F3"/>
    <w:rsid w:val="006605BF"/>
    <w:rsid w:val="00660BE3"/>
    <w:rsid w:val="00660D5D"/>
    <w:rsid w:val="00660F28"/>
    <w:rsid w:val="006610F1"/>
    <w:rsid w:val="006610F8"/>
    <w:rsid w:val="00661554"/>
    <w:rsid w:val="006618FC"/>
    <w:rsid w:val="00661B0A"/>
    <w:rsid w:val="00661C42"/>
    <w:rsid w:val="00661C6B"/>
    <w:rsid w:val="00661F8A"/>
    <w:rsid w:val="00662180"/>
    <w:rsid w:val="00662275"/>
    <w:rsid w:val="0066245A"/>
    <w:rsid w:val="0066254D"/>
    <w:rsid w:val="006628FE"/>
    <w:rsid w:val="00662D3E"/>
    <w:rsid w:val="006632F6"/>
    <w:rsid w:val="00663913"/>
    <w:rsid w:val="0066396B"/>
    <w:rsid w:val="00664528"/>
    <w:rsid w:val="0066489C"/>
    <w:rsid w:val="00664B8C"/>
    <w:rsid w:val="00664D2E"/>
    <w:rsid w:val="00664E24"/>
    <w:rsid w:val="00664ECD"/>
    <w:rsid w:val="00664F5C"/>
    <w:rsid w:val="00665F6C"/>
    <w:rsid w:val="00666289"/>
    <w:rsid w:val="0066645D"/>
    <w:rsid w:val="0066678F"/>
    <w:rsid w:val="00666DE9"/>
    <w:rsid w:val="0066767B"/>
    <w:rsid w:val="00667818"/>
    <w:rsid w:val="00667A4B"/>
    <w:rsid w:val="00667AB8"/>
    <w:rsid w:val="00667B67"/>
    <w:rsid w:val="00667BE3"/>
    <w:rsid w:val="0067014A"/>
    <w:rsid w:val="00670798"/>
    <w:rsid w:val="006709C5"/>
    <w:rsid w:val="00670B1F"/>
    <w:rsid w:val="00670FBC"/>
    <w:rsid w:val="00671004"/>
    <w:rsid w:val="006717F2"/>
    <w:rsid w:val="006719E1"/>
    <w:rsid w:val="00671C90"/>
    <w:rsid w:val="00671DB8"/>
    <w:rsid w:val="00671DD5"/>
    <w:rsid w:val="00671E92"/>
    <w:rsid w:val="0067212F"/>
    <w:rsid w:val="00672419"/>
    <w:rsid w:val="00672646"/>
    <w:rsid w:val="00672C84"/>
    <w:rsid w:val="00672D97"/>
    <w:rsid w:val="00672FA9"/>
    <w:rsid w:val="006731BA"/>
    <w:rsid w:val="006731DD"/>
    <w:rsid w:val="0067350C"/>
    <w:rsid w:val="006738C5"/>
    <w:rsid w:val="006739CC"/>
    <w:rsid w:val="00673F38"/>
    <w:rsid w:val="00673F62"/>
    <w:rsid w:val="006740D6"/>
    <w:rsid w:val="00674E42"/>
    <w:rsid w:val="0067575E"/>
    <w:rsid w:val="00675D25"/>
    <w:rsid w:val="00676563"/>
    <w:rsid w:val="00677252"/>
    <w:rsid w:val="0067734C"/>
    <w:rsid w:val="006776D2"/>
    <w:rsid w:val="0067781A"/>
    <w:rsid w:val="00677B6D"/>
    <w:rsid w:val="006802A0"/>
    <w:rsid w:val="006804D7"/>
    <w:rsid w:val="00680922"/>
    <w:rsid w:val="00681288"/>
    <w:rsid w:val="0068130B"/>
    <w:rsid w:val="006813F8"/>
    <w:rsid w:val="006818B8"/>
    <w:rsid w:val="00682112"/>
    <w:rsid w:val="006821FB"/>
    <w:rsid w:val="0068241B"/>
    <w:rsid w:val="00682BA6"/>
    <w:rsid w:val="00682E86"/>
    <w:rsid w:val="00682FBC"/>
    <w:rsid w:val="00683047"/>
    <w:rsid w:val="006830BA"/>
    <w:rsid w:val="00683D22"/>
    <w:rsid w:val="00683EC4"/>
    <w:rsid w:val="006842E5"/>
    <w:rsid w:val="0068542B"/>
    <w:rsid w:val="00685493"/>
    <w:rsid w:val="006859B6"/>
    <w:rsid w:val="00685AAE"/>
    <w:rsid w:val="00685DDB"/>
    <w:rsid w:val="0068636A"/>
    <w:rsid w:val="006867BB"/>
    <w:rsid w:val="00686957"/>
    <w:rsid w:val="00686A88"/>
    <w:rsid w:val="00686EC6"/>
    <w:rsid w:val="00687166"/>
    <w:rsid w:val="006872BA"/>
    <w:rsid w:val="006872CB"/>
    <w:rsid w:val="0068740A"/>
    <w:rsid w:val="00687A7C"/>
    <w:rsid w:val="00687BF6"/>
    <w:rsid w:val="00690499"/>
    <w:rsid w:val="00690547"/>
    <w:rsid w:val="00690795"/>
    <w:rsid w:val="00690A10"/>
    <w:rsid w:val="00691648"/>
    <w:rsid w:val="006917D7"/>
    <w:rsid w:val="00691A89"/>
    <w:rsid w:val="00692290"/>
    <w:rsid w:val="00692513"/>
    <w:rsid w:val="0069287A"/>
    <w:rsid w:val="00692A3B"/>
    <w:rsid w:val="00692DE0"/>
    <w:rsid w:val="0069323C"/>
    <w:rsid w:val="00693398"/>
    <w:rsid w:val="00693531"/>
    <w:rsid w:val="006937D7"/>
    <w:rsid w:val="0069385A"/>
    <w:rsid w:val="00693867"/>
    <w:rsid w:val="0069434C"/>
    <w:rsid w:val="00694469"/>
    <w:rsid w:val="006944E4"/>
    <w:rsid w:val="00694C17"/>
    <w:rsid w:val="00694E42"/>
    <w:rsid w:val="00694E87"/>
    <w:rsid w:val="00694F44"/>
    <w:rsid w:val="006956D8"/>
    <w:rsid w:val="0069571F"/>
    <w:rsid w:val="00695B5B"/>
    <w:rsid w:val="0069610C"/>
    <w:rsid w:val="006962BE"/>
    <w:rsid w:val="0069644E"/>
    <w:rsid w:val="00696466"/>
    <w:rsid w:val="006968E2"/>
    <w:rsid w:val="00696977"/>
    <w:rsid w:val="00696EF9"/>
    <w:rsid w:val="00696F51"/>
    <w:rsid w:val="0069732C"/>
    <w:rsid w:val="00697966"/>
    <w:rsid w:val="006979A5"/>
    <w:rsid w:val="00697CEA"/>
    <w:rsid w:val="00697E69"/>
    <w:rsid w:val="006A0159"/>
    <w:rsid w:val="006A016F"/>
    <w:rsid w:val="006A0313"/>
    <w:rsid w:val="006A03F2"/>
    <w:rsid w:val="006A0DF7"/>
    <w:rsid w:val="006A0EB9"/>
    <w:rsid w:val="006A1ABC"/>
    <w:rsid w:val="006A1D0D"/>
    <w:rsid w:val="006A209D"/>
    <w:rsid w:val="006A21C6"/>
    <w:rsid w:val="006A2AD0"/>
    <w:rsid w:val="006A2F2F"/>
    <w:rsid w:val="006A2FD1"/>
    <w:rsid w:val="006A3169"/>
    <w:rsid w:val="006A31FB"/>
    <w:rsid w:val="006A3361"/>
    <w:rsid w:val="006A349D"/>
    <w:rsid w:val="006A3CFE"/>
    <w:rsid w:val="006A3D4D"/>
    <w:rsid w:val="006A4321"/>
    <w:rsid w:val="006A43D9"/>
    <w:rsid w:val="006A47E9"/>
    <w:rsid w:val="006A48D5"/>
    <w:rsid w:val="006A4A4A"/>
    <w:rsid w:val="006A4A9B"/>
    <w:rsid w:val="006A4CAB"/>
    <w:rsid w:val="006A4D8B"/>
    <w:rsid w:val="006A4F7E"/>
    <w:rsid w:val="006A5784"/>
    <w:rsid w:val="006A57E5"/>
    <w:rsid w:val="006A587D"/>
    <w:rsid w:val="006A5A4C"/>
    <w:rsid w:val="006A5FDC"/>
    <w:rsid w:val="006A6330"/>
    <w:rsid w:val="006A6407"/>
    <w:rsid w:val="006A69D4"/>
    <w:rsid w:val="006A6B99"/>
    <w:rsid w:val="006A72D8"/>
    <w:rsid w:val="006A7783"/>
    <w:rsid w:val="006A7E5F"/>
    <w:rsid w:val="006A7EBF"/>
    <w:rsid w:val="006B0257"/>
    <w:rsid w:val="006B091C"/>
    <w:rsid w:val="006B09E4"/>
    <w:rsid w:val="006B1174"/>
    <w:rsid w:val="006B11CB"/>
    <w:rsid w:val="006B14C0"/>
    <w:rsid w:val="006B19E8"/>
    <w:rsid w:val="006B1CF4"/>
    <w:rsid w:val="006B1D4D"/>
    <w:rsid w:val="006B1FEC"/>
    <w:rsid w:val="006B254D"/>
    <w:rsid w:val="006B261B"/>
    <w:rsid w:val="006B28A1"/>
    <w:rsid w:val="006B2B51"/>
    <w:rsid w:val="006B2C90"/>
    <w:rsid w:val="006B2FB4"/>
    <w:rsid w:val="006B2FBA"/>
    <w:rsid w:val="006B3307"/>
    <w:rsid w:val="006B343D"/>
    <w:rsid w:val="006B35E6"/>
    <w:rsid w:val="006B42A8"/>
    <w:rsid w:val="006B465A"/>
    <w:rsid w:val="006B47CF"/>
    <w:rsid w:val="006B485B"/>
    <w:rsid w:val="006B4DC0"/>
    <w:rsid w:val="006B570C"/>
    <w:rsid w:val="006B5904"/>
    <w:rsid w:val="006B5B19"/>
    <w:rsid w:val="006B5E2A"/>
    <w:rsid w:val="006B65BC"/>
    <w:rsid w:val="006B6DD0"/>
    <w:rsid w:val="006B6E66"/>
    <w:rsid w:val="006B7A4F"/>
    <w:rsid w:val="006C00C4"/>
    <w:rsid w:val="006C01F7"/>
    <w:rsid w:val="006C024F"/>
    <w:rsid w:val="006C0399"/>
    <w:rsid w:val="006C05C1"/>
    <w:rsid w:val="006C0C89"/>
    <w:rsid w:val="006C0FC0"/>
    <w:rsid w:val="006C13CB"/>
    <w:rsid w:val="006C17C6"/>
    <w:rsid w:val="006C1BF5"/>
    <w:rsid w:val="006C22C8"/>
    <w:rsid w:val="006C2A8E"/>
    <w:rsid w:val="006C2BA4"/>
    <w:rsid w:val="006C2C13"/>
    <w:rsid w:val="006C2CA9"/>
    <w:rsid w:val="006C2FC3"/>
    <w:rsid w:val="006C3255"/>
    <w:rsid w:val="006C325A"/>
    <w:rsid w:val="006C3836"/>
    <w:rsid w:val="006C393E"/>
    <w:rsid w:val="006C3C6C"/>
    <w:rsid w:val="006C3F26"/>
    <w:rsid w:val="006C3F5B"/>
    <w:rsid w:val="006C4424"/>
    <w:rsid w:val="006C4506"/>
    <w:rsid w:val="006C45BC"/>
    <w:rsid w:val="006C471F"/>
    <w:rsid w:val="006C4D17"/>
    <w:rsid w:val="006C5922"/>
    <w:rsid w:val="006C60DE"/>
    <w:rsid w:val="006C616B"/>
    <w:rsid w:val="006C6324"/>
    <w:rsid w:val="006C63EE"/>
    <w:rsid w:val="006C671A"/>
    <w:rsid w:val="006D0073"/>
    <w:rsid w:val="006D01E0"/>
    <w:rsid w:val="006D02A8"/>
    <w:rsid w:val="006D0B01"/>
    <w:rsid w:val="006D0D17"/>
    <w:rsid w:val="006D133B"/>
    <w:rsid w:val="006D1539"/>
    <w:rsid w:val="006D18D9"/>
    <w:rsid w:val="006D1B15"/>
    <w:rsid w:val="006D1F4F"/>
    <w:rsid w:val="006D26EC"/>
    <w:rsid w:val="006D2887"/>
    <w:rsid w:val="006D2AD8"/>
    <w:rsid w:val="006D2AE7"/>
    <w:rsid w:val="006D2C71"/>
    <w:rsid w:val="006D3496"/>
    <w:rsid w:val="006D35E8"/>
    <w:rsid w:val="006D3A7D"/>
    <w:rsid w:val="006D3C6A"/>
    <w:rsid w:val="006D3C7D"/>
    <w:rsid w:val="006D3E27"/>
    <w:rsid w:val="006D4141"/>
    <w:rsid w:val="006D450C"/>
    <w:rsid w:val="006D4659"/>
    <w:rsid w:val="006D4A2E"/>
    <w:rsid w:val="006D55F5"/>
    <w:rsid w:val="006D57DA"/>
    <w:rsid w:val="006D5BE8"/>
    <w:rsid w:val="006D5BF5"/>
    <w:rsid w:val="006D5D37"/>
    <w:rsid w:val="006D5D5F"/>
    <w:rsid w:val="006D5EBD"/>
    <w:rsid w:val="006D5FD7"/>
    <w:rsid w:val="006D60CD"/>
    <w:rsid w:val="006D6252"/>
    <w:rsid w:val="006D6651"/>
    <w:rsid w:val="006D68FB"/>
    <w:rsid w:val="006D6A2B"/>
    <w:rsid w:val="006D6B4F"/>
    <w:rsid w:val="006D6E1D"/>
    <w:rsid w:val="006D7055"/>
    <w:rsid w:val="006E0314"/>
    <w:rsid w:val="006E047E"/>
    <w:rsid w:val="006E0FDE"/>
    <w:rsid w:val="006E11C6"/>
    <w:rsid w:val="006E13B6"/>
    <w:rsid w:val="006E1DBC"/>
    <w:rsid w:val="006E1EAD"/>
    <w:rsid w:val="006E1F5E"/>
    <w:rsid w:val="006E215E"/>
    <w:rsid w:val="006E2192"/>
    <w:rsid w:val="006E21C0"/>
    <w:rsid w:val="006E22B8"/>
    <w:rsid w:val="006E23B9"/>
    <w:rsid w:val="006E26F0"/>
    <w:rsid w:val="006E2867"/>
    <w:rsid w:val="006E2868"/>
    <w:rsid w:val="006E2BDA"/>
    <w:rsid w:val="006E2FE4"/>
    <w:rsid w:val="006E3153"/>
    <w:rsid w:val="006E34DB"/>
    <w:rsid w:val="006E35F3"/>
    <w:rsid w:val="006E3616"/>
    <w:rsid w:val="006E3697"/>
    <w:rsid w:val="006E42E3"/>
    <w:rsid w:val="006E45A4"/>
    <w:rsid w:val="006E4709"/>
    <w:rsid w:val="006E49E4"/>
    <w:rsid w:val="006E4A37"/>
    <w:rsid w:val="006E4DBA"/>
    <w:rsid w:val="006E50D6"/>
    <w:rsid w:val="006E529C"/>
    <w:rsid w:val="006E58C9"/>
    <w:rsid w:val="006E595A"/>
    <w:rsid w:val="006E5E06"/>
    <w:rsid w:val="006E64DF"/>
    <w:rsid w:val="006E67A5"/>
    <w:rsid w:val="006E723B"/>
    <w:rsid w:val="006E73CD"/>
    <w:rsid w:val="006E74F4"/>
    <w:rsid w:val="006E7528"/>
    <w:rsid w:val="006E778D"/>
    <w:rsid w:val="006E79C9"/>
    <w:rsid w:val="006E7B6E"/>
    <w:rsid w:val="006F0128"/>
    <w:rsid w:val="006F01B8"/>
    <w:rsid w:val="006F0244"/>
    <w:rsid w:val="006F06C7"/>
    <w:rsid w:val="006F07CD"/>
    <w:rsid w:val="006F0ABB"/>
    <w:rsid w:val="006F0B54"/>
    <w:rsid w:val="006F0F9A"/>
    <w:rsid w:val="006F1478"/>
    <w:rsid w:val="006F161F"/>
    <w:rsid w:val="006F1C52"/>
    <w:rsid w:val="006F1E81"/>
    <w:rsid w:val="006F2023"/>
    <w:rsid w:val="006F209B"/>
    <w:rsid w:val="006F2146"/>
    <w:rsid w:val="006F23A8"/>
    <w:rsid w:val="006F284F"/>
    <w:rsid w:val="006F287E"/>
    <w:rsid w:val="006F299B"/>
    <w:rsid w:val="006F306C"/>
    <w:rsid w:val="006F327E"/>
    <w:rsid w:val="006F32CC"/>
    <w:rsid w:val="006F3B26"/>
    <w:rsid w:val="006F48E1"/>
    <w:rsid w:val="006F4911"/>
    <w:rsid w:val="006F49A1"/>
    <w:rsid w:val="006F5357"/>
    <w:rsid w:val="006F5414"/>
    <w:rsid w:val="006F577B"/>
    <w:rsid w:val="006F5935"/>
    <w:rsid w:val="006F595B"/>
    <w:rsid w:val="006F6097"/>
    <w:rsid w:val="006F60C5"/>
    <w:rsid w:val="006F62AD"/>
    <w:rsid w:val="006F6372"/>
    <w:rsid w:val="006F63A5"/>
    <w:rsid w:val="006F64B1"/>
    <w:rsid w:val="006F67E0"/>
    <w:rsid w:val="006F6DBE"/>
    <w:rsid w:val="006F7333"/>
    <w:rsid w:val="006F7A09"/>
    <w:rsid w:val="006F7E7E"/>
    <w:rsid w:val="007001CA"/>
    <w:rsid w:val="00700546"/>
    <w:rsid w:val="00700743"/>
    <w:rsid w:val="00700AE1"/>
    <w:rsid w:val="00700BE0"/>
    <w:rsid w:val="00701262"/>
    <w:rsid w:val="00701405"/>
    <w:rsid w:val="00701419"/>
    <w:rsid w:val="0070142B"/>
    <w:rsid w:val="00701484"/>
    <w:rsid w:val="007018A8"/>
    <w:rsid w:val="00702529"/>
    <w:rsid w:val="0070276E"/>
    <w:rsid w:val="00702ABD"/>
    <w:rsid w:val="00702BFE"/>
    <w:rsid w:val="00702D47"/>
    <w:rsid w:val="00702D97"/>
    <w:rsid w:val="00702DF3"/>
    <w:rsid w:val="00702F8F"/>
    <w:rsid w:val="00703613"/>
    <w:rsid w:val="007038D8"/>
    <w:rsid w:val="00703B19"/>
    <w:rsid w:val="00703C87"/>
    <w:rsid w:val="00703D02"/>
    <w:rsid w:val="00704046"/>
    <w:rsid w:val="007040E0"/>
    <w:rsid w:val="007040E2"/>
    <w:rsid w:val="00704359"/>
    <w:rsid w:val="00704A5A"/>
    <w:rsid w:val="00704BF9"/>
    <w:rsid w:val="00704D50"/>
    <w:rsid w:val="007050DF"/>
    <w:rsid w:val="007051E6"/>
    <w:rsid w:val="007052AB"/>
    <w:rsid w:val="00705354"/>
    <w:rsid w:val="00705781"/>
    <w:rsid w:val="00705911"/>
    <w:rsid w:val="00705B14"/>
    <w:rsid w:val="00706077"/>
    <w:rsid w:val="007064D6"/>
    <w:rsid w:val="007065C5"/>
    <w:rsid w:val="007066A2"/>
    <w:rsid w:val="007066C8"/>
    <w:rsid w:val="00706946"/>
    <w:rsid w:val="00706A25"/>
    <w:rsid w:val="00706CBF"/>
    <w:rsid w:val="007070C9"/>
    <w:rsid w:val="00707469"/>
    <w:rsid w:val="007076C3"/>
    <w:rsid w:val="00707986"/>
    <w:rsid w:val="007079FC"/>
    <w:rsid w:val="00707A98"/>
    <w:rsid w:val="00707C44"/>
    <w:rsid w:val="00707CED"/>
    <w:rsid w:val="00707D11"/>
    <w:rsid w:val="00707D16"/>
    <w:rsid w:val="00707DE7"/>
    <w:rsid w:val="0071037D"/>
    <w:rsid w:val="007106A2"/>
    <w:rsid w:val="00710834"/>
    <w:rsid w:val="00710935"/>
    <w:rsid w:val="007110B9"/>
    <w:rsid w:val="00711A36"/>
    <w:rsid w:val="00711B17"/>
    <w:rsid w:val="00711D3F"/>
    <w:rsid w:val="0071235C"/>
    <w:rsid w:val="00712429"/>
    <w:rsid w:val="007125D3"/>
    <w:rsid w:val="00712607"/>
    <w:rsid w:val="007127BF"/>
    <w:rsid w:val="00712885"/>
    <w:rsid w:val="007128E5"/>
    <w:rsid w:val="00712961"/>
    <w:rsid w:val="00712BA1"/>
    <w:rsid w:val="00712BAC"/>
    <w:rsid w:val="007131C3"/>
    <w:rsid w:val="00713820"/>
    <w:rsid w:val="007138CC"/>
    <w:rsid w:val="0071399E"/>
    <w:rsid w:val="007140D7"/>
    <w:rsid w:val="00714AAD"/>
    <w:rsid w:val="00714C26"/>
    <w:rsid w:val="00714CD5"/>
    <w:rsid w:val="0071522B"/>
    <w:rsid w:val="0071529C"/>
    <w:rsid w:val="00715482"/>
    <w:rsid w:val="0071565F"/>
    <w:rsid w:val="007159A0"/>
    <w:rsid w:val="00715B03"/>
    <w:rsid w:val="00715F77"/>
    <w:rsid w:val="0071614A"/>
    <w:rsid w:val="00716333"/>
    <w:rsid w:val="007169A9"/>
    <w:rsid w:val="007170DA"/>
    <w:rsid w:val="007172AD"/>
    <w:rsid w:val="007174A1"/>
    <w:rsid w:val="00717546"/>
    <w:rsid w:val="00717A14"/>
    <w:rsid w:val="00717E6C"/>
    <w:rsid w:val="0072008F"/>
    <w:rsid w:val="00720535"/>
    <w:rsid w:val="007205FD"/>
    <w:rsid w:val="00720801"/>
    <w:rsid w:val="00720832"/>
    <w:rsid w:val="00720D59"/>
    <w:rsid w:val="00720E14"/>
    <w:rsid w:val="007210CF"/>
    <w:rsid w:val="00721643"/>
    <w:rsid w:val="007218CD"/>
    <w:rsid w:val="00721CAB"/>
    <w:rsid w:val="00722585"/>
    <w:rsid w:val="0072282F"/>
    <w:rsid w:val="007228A4"/>
    <w:rsid w:val="00722B1B"/>
    <w:rsid w:val="00722B44"/>
    <w:rsid w:val="00722BC7"/>
    <w:rsid w:val="00722BF8"/>
    <w:rsid w:val="007235FF"/>
    <w:rsid w:val="00723792"/>
    <w:rsid w:val="00723EA3"/>
    <w:rsid w:val="0072416F"/>
    <w:rsid w:val="0072443D"/>
    <w:rsid w:val="007246A6"/>
    <w:rsid w:val="00724D3E"/>
    <w:rsid w:val="007250B3"/>
    <w:rsid w:val="0072534F"/>
    <w:rsid w:val="00725530"/>
    <w:rsid w:val="007255AF"/>
    <w:rsid w:val="00725A50"/>
    <w:rsid w:val="00725E11"/>
    <w:rsid w:val="007267EF"/>
    <w:rsid w:val="00726B13"/>
    <w:rsid w:val="00726C38"/>
    <w:rsid w:val="00726F66"/>
    <w:rsid w:val="00726FE3"/>
    <w:rsid w:val="0072742E"/>
    <w:rsid w:val="00727513"/>
    <w:rsid w:val="007275E8"/>
    <w:rsid w:val="00727906"/>
    <w:rsid w:val="00727A06"/>
    <w:rsid w:val="00727AE4"/>
    <w:rsid w:val="00727C94"/>
    <w:rsid w:val="00727E66"/>
    <w:rsid w:val="00730230"/>
    <w:rsid w:val="0073068A"/>
    <w:rsid w:val="00730D0F"/>
    <w:rsid w:val="00730DA3"/>
    <w:rsid w:val="00731288"/>
    <w:rsid w:val="00731B0A"/>
    <w:rsid w:val="00731EAE"/>
    <w:rsid w:val="00731EE5"/>
    <w:rsid w:val="007321B4"/>
    <w:rsid w:val="00732897"/>
    <w:rsid w:val="00732B18"/>
    <w:rsid w:val="00732BAC"/>
    <w:rsid w:val="00732CAF"/>
    <w:rsid w:val="00733073"/>
    <w:rsid w:val="007331EB"/>
    <w:rsid w:val="007333DF"/>
    <w:rsid w:val="0073346B"/>
    <w:rsid w:val="007336A8"/>
    <w:rsid w:val="00733812"/>
    <w:rsid w:val="00733A92"/>
    <w:rsid w:val="0073405D"/>
    <w:rsid w:val="007340CD"/>
    <w:rsid w:val="007341FD"/>
    <w:rsid w:val="007342F4"/>
    <w:rsid w:val="007342F5"/>
    <w:rsid w:val="0073437D"/>
    <w:rsid w:val="0073441D"/>
    <w:rsid w:val="007347CA"/>
    <w:rsid w:val="00734AD5"/>
    <w:rsid w:val="00734C83"/>
    <w:rsid w:val="00734CFE"/>
    <w:rsid w:val="00735033"/>
    <w:rsid w:val="00735070"/>
    <w:rsid w:val="00735140"/>
    <w:rsid w:val="0073531D"/>
    <w:rsid w:val="00735328"/>
    <w:rsid w:val="00735BAA"/>
    <w:rsid w:val="00736752"/>
    <w:rsid w:val="00736853"/>
    <w:rsid w:val="0073685B"/>
    <w:rsid w:val="0073689F"/>
    <w:rsid w:val="00737826"/>
    <w:rsid w:val="00737A1F"/>
    <w:rsid w:val="00737AB5"/>
    <w:rsid w:val="00737F39"/>
    <w:rsid w:val="00740022"/>
    <w:rsid w:val="007409CC"/>
    <w:rsid w:val="00740FF1"/>
    <w:rsid w:val="00741087"/>
    <w:rsid w:val="00741E17"/>
    <w:rsid w:val="00742415"/>
    <w:rsid w:val="00742C27"/>
    <w:rsid w:val="00743250"/>
    <w:rsid w:val="0074334B"/>
    <w:rsid w:val="00743396"/>
    <w:rsid w:val="0074367C"/>
    <w:rsid w:val="007449BF"/>
    <w:rsid w:val="00744CCF"/>
    <w:rsid w:val="00744D49"/>
    <w:rsid w:val="00744E48"/>
    <w:rsid w:val="00745580"/>
    <w:rsid w:val="00745ACF"/>
    <w:rsid w:val="00745B67"/>
    <w:rsid w:val="00745EF0"/>
    <w:rsid w:val="00746058"/>
    <w:rsid w:val="00746121"/>
    <w:rsid w:val="007463FE"/>
    <w:rsid w:val="00746437"/>
    <w:rsid w:val="0074677B"/>
    <w:rsid w:val="007467E8"/>
    <w:rsid w:val="0074693C"/>
    <w:rsid w:val="007469D3"/>
    <w:rsid w:val="00746AF6"/>
    <w:rsid w:val="00746BC0"/>
    <w:rsid w:val="00746C3A"/>
    <w:rsid w:val="00746DF1"/>
    <w:rsid w:val="007471BF"/>
    <w:rsid w:val="00747855"/>
    <w:rsid w:val="00747ABF"/>
    <w:rsid w:val="00747C04"/>
    <w:rsid w:val="00747D22"/>
    <w:rsid w:val="00747F0F"/>
    <w:rsid w:val="007505DC"/>
    <w:rsid w:val="00750B0D"/>
    <w:rsid w:val="007510B4"/>
    <w:rsid w:val="007517CD"/>
    <w:rsid w:val="00751C65"/>
    <w:rsid w:val="00751DB9"/>
    <w:rsid w:val="007520A0"/>
    <w:rsid w:val="00752142"/>
    <w:rsid w:val="007522A4"/>
    <w:rsid w:val="007523F9"/>
    <w:rsid w:val="007528BF"/>
    <w:rsid w:val="00752A01"/>
    <w:rsid w:val="00753093"/>
    <w:rsid w:val="0075330E"/>
    <w:rsid w:val="0075357E"/>
    <w:rsid w:val="0075397F"/>
    <w:rsid w:val="00753B29"/>
    <w:rsid w:val="00753D92"/>
    <w:rsid w:val="007546BF"/>
    <w:rsid w:val="007546E8"/>
    <w:rsid w:val="0075481C"/>
    <w:rsid w:val="00754826"/>
    <w:rsid w:val="00754975"/>
    <w:rsid w:val="007549A3"/>
    <w:rsid w:val="007549C6"/>
    <w:rsid w:val="00754A54"/>
    <w:rsid w:val="00754CAF"/>
    <w:rsid w:val="00754E53"/>
    <w:rsid w:val="0075511E"/>
    <w:rsid w:val="00755198"/>
    <w:rsid w:val="007553EF"/>
    <w:rsid w:val="007556D2"/>
    <w:rsid w:val="00755AC7"/>
    <w:rsid w:val="0075655D"/>
    <w:rsid w:val="00756750"/>
    <w:rsid w:val="007573E8"/>
    <w:rsid w:val="007579F5"/>
    <w:rsid w:val="00757A35"/>
    <w:rsid w:val="00757B7C"/>
    <w:rsid w:val="007603C7"/>
    <w:rsid w:val="0076091C"/>
    <w:rsid w:val="00760A95"/>
    <w:rsid w:val="00760C4E"/>
    <w:rsid w:val="00760E30"/>
    <w:rsid w:val="00760F9E"/>
    <w:rsid w:val="0076146C"/>
    <w:rsid w:val="007614C0"/>
    <w:rsid w:val="007616E6"/>
    <w:rsid w:val="007618B3"/>
    <w:rsid w:val="00761CEE"/>
    <w:rsid w:val="007623C4"/>
    <w:rsid w:val="007627BE"/>
    <w:rsid w:val="007629FA"/>
    <w:rsid w:val="00762BB7"/>
    <w:rsid w:val="00763226"/>
    <w:rsid w:val="00763629"/>
    <w:rsid w:val="00763B83"/>
    <w:rsid w:val="00763E17"/>
    <w:rsid w:val="00764038"/>
    <w:rsid w:val="0076417E"/>
    <w:rsid w:val="007641C2"/>
    <w:rsid w:val="0076456F"/>
    <w:rsid w:val="00764A75"/>
    <w:rsid w:val="00764F03"/>
    <w:rsid w:val="00764F70"/>
    <w:rsid w:val="00765297"/>
    <w:rsid w:val="00765B04"/>
    <w:rsid w:val="00765B1A"/>
    <w:rsid w:val="00765DC1"/>
    <w:rsid w:val="00765F0E"/>
    <w:rsid w:val="0076614F"/>
    <w:rsid w:val="0076649B"/>
    <w:rsid w:val="00766EDD"/>
    <w:rsid w:val="0076740F"/>
    <w:rsid w:val="00767EE9"/>
    <w:rsid w:val="00770234"/>
    <w:rsid w:val="007705B2"/>
    <w:rsid w:val="007705FA"/>
    <w:rsid w:val="00770D1B"/>
    <w:rsid w:val="00770E5B"/>
    <w:rsid w:val="007711AE"/>
    <w:rsid w:val="007718F5"/>
    <w:rsid w:val="00771A33"/>
    <w:rsid w:val="00771CD1"/>
    <w:rsid w:val="00771E68"/>
    <w:rsid w:val="007720C5"/>
    <w:rsid w:val="0077279B"/>
    <w:rsid w:val="0077295B"/>
    <w:rsid w:val="00772AB0"/>
    <w:rsid w:val="00772D5A"/>
    <w:rsid w:val="00772DD4"/>
    <w:rsid w:val="00772FE5"/>
    <w:rsid w:val="007735C0"/>
    <w:rsid w:val="007736A6"/>
    <w:rsid w:val="00773B56"/>
    <w:rsid w:val="00773C54"/>
    <w:rsid w:val="0077432E"/>
    <w:rsid w:val="00774C2D"/>
    <w:rsid w:val="00774E35"/>
    <w:rsid w:val="00775070"/>
    <w:rsid w:val="007755BE"/>
    <w:rsid w:val="00775F97"/>
    <w:rsid w:val="007761BB"/>
    <w:rsid w:val="007770A3"/>
    <w:rsid w:val="00777335"/>
    <w:rsid w:val="00777E77"/>
    <w:rsid w:val="00777FB5"/>
    <w:rsid w:val="0078016C"/>
    <w:rsid w:val="0078027F"/>
    <w:rsid w:val="00780486"/>
    <w:rsid w:val="00780502"/>
    <w:rsid w:val="0078050B"/>
    <w:rsid w:val="00780AF6"/>
    <w:rsid w:val="00780B86"/>
    <w:rsid w:val="00780BB0"/>
    <w:rsid w:val="00780C36"/>
    <w:rsid w:val="0078127B"/>
    <w:rsid w:val="00781C22"/>
    <w:rsid w:val="00781CBD"/>
    <w:rsid w:val="00781D8E"/>
    <w:rsid w:val="007823EF"/>
    <w:rsid w:val="007824BB"/>
    <w:rsid w:val="00782534"/>
    <w:rsid w:val="00782A54"/>
    <w:rsid w:val="00782C35"/>
    <w:rsid w:val="00783195"/>
    <w:rsid w:val="00783717"/>
    <w:rsid w:val="00783C4F"/>
    <w:rsid w:val="007843F2"/>
    <w:rsid w:val="007846FA"/>
    <w:rsid w:val="0078492F"/>
    <w:rsid w:val="00784A26"/>
    <w:rsid w:val="00784C7B"/>
    <w:rsid w:val="007850EF"/>
    <w:rsid w:val="0078525B"/>
    <w:rsid w:val="0078569D"/>
    <w:rsid w:val="007859E6"/>
    <w:rsid w:val="00785A9F"/>
    <w:rsid w:val="00785B09"/>
    <w:rsid w:val="007868FA"/>
    <w:rsid w:val="00786925"/>
    <w:rsid w:val="00786E44"/>
    <w:rsid w:val="00786ECA"/>
    <w:rsid w:val="007876B5"/>
    <w:rsid w:val="007878CE"/>
    <w:rsid w:val="00787B95"/>
    <w:rsid w:val="00787DCE"/>
    <w:rsid w:val="00787EE7"/>
    <w:rsid w:val="00790271"/>
    <w:rsid w:val="007904F4"/>
    <w:rsid w:val="00790F72"/>
    <w:rsid w:val="007916C5"/>
    <w:rsid w:val="007918C8"/>
    <w:rsid w:val="00791A8E"/>
    <w:rsid w:val="00791DF8"/>
    <w:rsid w:val="00791E77"/>
    <w:rsid w:val="00791FD3"/>
    <w:rsid w:val="00792187"/>
    <w:rsid w:val="007921C3"/>
    <w:rsid w:val="00792328"/>
    <w:rsid w:val="0079255C"/>
    <w:rsid w:val="007925DF"/>
    <w:rsid w:val="00792682"/>
    <w:rsid w:val="0079279F"/>
    <w:rsid w:val="007929D8"/>
    <w:rsid w:val="00792E16"/>
    <w:rsid w:val="0079303D"/>
    <w:rsid w:val="0079320D"/>
    <w:rsid w:val="007933FD"/>
    <w:rsid w:val="00793D75"/>
    <w:rsid w:val="00793E3A"/>
    <w:rsid w:val="007942A8"/>
    <w:rsid w:val="00794FA4"/>
    <w:rsid w:val="00795697"/>
    <w:rsid w:val="00795C74"/>
    <w:rsid w:val="0079641A"/>
    <w:rsid w:val="007964D3"/>
    <w:rsid w:val="00796B31"/>
    <w:rsid w:val="00796CB3"/>
    <w:rsid w:val="00797138"/>
    <w:rsid w:val="0079715D"/>
    <w:rsid w:val="00797329"/>
    <w:rsid w:val="00797470"/>
    <w:rsid w:val="0079748B"/>
    <w:rsid w:val="007978A7"/>
    <w:rsid w:val="007A041D"/>
    <w:rsid w:val="007A06EA"/>
    <w:rsid w:val="007A077A"/>
    <w:rsid w:val="007A08AA"/>
    <w:rsid w:val="007A0A12"/>
    <w:rsid w:val="007A0B3D"/>
    <w:rsid w:val="007A132D"/>
    <w:rsid w:val="007A1345"/>
    <w:rsid w:val="007A153D"/>
    <w:rsid w:val="007A1552"/>
    <w:rsid w:val="007A1889"/>
    <w:rsid w:val="007A1D15"/>
    <w:rsid w:val="007A25EC"/>
    <w:rsid w:val="007A2D33"/>
    <w:rsid w:val="007A2DDB"/>
    <w:rsid w:val="007A34B1"/>
    <w:rsid w:val="007A3A00"/>
    <w:rsid w:val="007A3D14"/>
    <w:rsid w:val="007A3E08"/>
    <w:rsid w:val="007A3E88"/>
    <w:rsid w:val="007A3FA5"/>
    <w:rsid w:val="007A4028"/>
    <w:rsid w:val="007A41A7"/>
    <w:rsid w:val="007A47E6"/>
    <w:rsid w:val="007A49DD"/>
    <w:rsid w:val="007A4FE3"/>
    <w:rsid w:val="007A54FA"/>
    <w:rsid w:val="007A56BC"/>
    <w:rsid w:val="007A68CA"/>
    <w:rsid w:val="007A6D04"/>
    <w:rsid w:val="007A70BA"/>
    <w:rsid w:val="007A7A37"/>
    <w:rsid w:val="007A7B34"/>
    <w:rsid w:val="007B0061"/>
    <w:rsid w:val="007B03DE"/>
    <w:rsid w:val="007B06D5"/>
    <w:rsid w:val="007B06E1"/>
    <w:rsid w:val="007B0904"/>
    <w:rsid w:val="007B0D68"/>
    <w:rsid w:val="007B13D2"/>
    <w:rsid w:val="007B1578"/>
    <w:rsid w:val="007B15DF"/>
    <w:rsid w:val="007B1DFD"/>
    <w:rsid w:val="007B251D"/>
    <w:rsid w:val="007B2E6F"/>
    <w:rsid w:val="007B33F6"/>
    <w:rsid w:val="007B3533"/>
    <w:rsid w:val="007B364F"/>
    <w:rsid w:val="007B3FB4"/>
    <w:rsid w:val="007B421E"/>
    <w:rsid w:val="007B42B0"/>
    <w:rsid w:val="007B48EF"/>
    <w:rsid w:val="007B4E2F"/>
    <w:rsid w:val="007B4F58"/>
    <w:rsid w:val="007B4FAD"/>
    <w:rsid w:val="007B528D"/>
    <w:rsid w:val="007B56CA"/>
    <w:rsid w:val="007B5933"/>
    <w:rsid w:val="007B59C2"/>
    <w:rsid w:val="007B5C9F"/>
    <w:rsid w:val="007B6129"/>
    <w:rsid w:val="007B636F"/>
    <w:rsid w:val="007B63CA"/>
    <w:rsid w:val="007B6DD4"/>
    <w:rsid w:val="007B75FF"/>
    <w:rsid w:val="007B77D1"/>
    <w:rsid w:val="007B79E3"/>
    <w:rsid w:val="007B7A1B"/>
    <w:rsid w:val="007B7A29"/>
    <w:rsid w:val="007C00C1"/>
    <w:rsid w:val="007C07B5"/>
    <w:rsid w:val="007C07C7"/>
    <w:rsid w:val="007C085A"/>
    <w:rsid w:val="007C09C4"/>
    <w:rsid w:val="007C0D4F"/>
    <w:rsid w:val="007C0DF6"/>
    <w:rsid w:val="007C1700"/>
    <w:rsid w:val="007C1AF7"/>
    <w:rsid w:val="007C1B30"/>
    <w:rsid w:val="007C1CD9"/>
    <w:rsid w:val="007C20CE"/>
    <w:rsid w:val="007C2144"/>
    <w:rsid w:val="007C22E1"/>
    <w:rsid w:val="007C2C00"/>
    <w:rsid w:val="007C2F3B"/>
    <w:rsid w:val="007C329F"/>
    <w:rsid w:val="007C32EF"/>
    <w:rsid w:val="007C361D"/>
    <w:rsid w:val="007C36BA"/>
    <w:rsid w:val="007C3899"/>
    <w:rsid w:val="007C3950"/>
    <w:rsid w:val="007C3FD5"/>
    <w:rsid w:val="007C4024"/>
    <w:rsid w:val="007C40BF"/>
    <w:rsid w:val="007C4117"/>
    <w:rsid w:val="007C423C"/>
    <w:rsid w:val="007C45C7"/>
    <w:rsid w:val="007C47B4"/>
    <w:rsid w:val="007C4B32"/>
    <w:rsid w:val="007C4B84"/>
    <w:rsid w:val="007C59E6"/>
    <w:rsid w:val="007C652A"/>
    <w:rsid w:val="007C6762"/>
    <w:rsid w:val="007C6770"/>
    <w:rsid w:val="007C67CE"/>
    <w:rsid w:val="007C6834"/>
    <w:rsid w:val="007C6E33"/>
    <w:rsid w:val="007C709C"/>
    <w:rsid w:val="007C70FF"/>
    <w:rsid w:val="007C7254"/>
    <w:rsid w:val="007C7427"/>
    <w:rsid w:val="007C76F9"/>
    <w:rsid w:val="007C7820"/>
    <w:rsid w:val="007C78C9"/>
    <w:rsid w:val="007C7C25"/>
    <w:rsid w:val="007D004F"/>
    <w:rsid w:val="007D0100"/>
    <w:rsid w:val="007D02B8"/>
    <w:rsid w:val="007D035F"/>
    <w:rsid w:val="007D06B2"/>
    <w:rsid w:val="007D0B38"/>
    <w:rsid w:val="007D0FF8"/>
    <w:rsid w:val="007D1015"/>
    <w:rsid w:val="007D14F2"/>
    <w:rsid w:val="007D2872"/>
    <w:rsid w:val="007D31CB"/>
    <w:rsid w:val="007D3333"/>
    <w:rsid w:val="007D334F"/>
    <w:rsid w:val="007D38C2"/>
    <w:rsid w:val="007D3AE0"/>
    <w:rsid w:val="007D3D70"/>
    <w:rsid w:val="007D4445"/>
    <w:rsid w:val="007D4D50"/>
    <w:rsid w:val="007D5440"/>
    <w:rsid w:val="007D54D9"/>
    <w:rsid w:val="007D5746"/>
    <w:rsid w:val="007D5A2A"/>
    <w:rsid w:val="007D5A7A"/>
    <w:rsid w:val="007D5C03"/>
    <w:rsid w:val="007D6103"/>
    <w:rsid w:val="007D62C6"/>
    <w:rsid w:val="007D651A"/>
    <w:rsid w:val="007D68DC"/>
    <w:rsid w:val="007D69EB"/>
    <w:rsid w:val="007D6CF0"/>
    <w:rsid w:val="007D7101"/>
    <w:rsid w:val="007D7294"/>
    <w:rsid w:val="007D7BA8"/>
    <w:rsid w:val="007D7BEA"/>
    <w:rsid w:val="007E0153"/>
    <w:rsid w:val="007E0573"/>
    <w:rsid w:val="007E128F"/>
    <w:rsid w:val="007E14FA"/>
    <w:rsid w:val="007E1654"/>
    <w:rsid w:val="007E180A"/>
    <w:rsid w:val="007E1902"/>
    <w:rsid w:val="007E1D04"/>
    <w:rsid w:val="007E1FE1"/>
    <w:rsid w:val="007E2354"/>
    <w:rsid w:val="007E2CF9"/>
    <w:rsid w:val="007E2E7C"/>
    <w:rsid w:val="007E37CF"/>
    <w:rsid w:val="007E3983"/>
    <w:rsid w:val="007E3B05"/>
    <w:rsid w:val="007E3C9A"/>
    <w:rsid w:val="007E3D07"/>
    <w:rsid w:val="007E3F30"/>
    <w:rsid w:val="007E49E4"/>
    <w:rsid w:val="007E4B4A"/>
    <w:rsid w:val="007E51AE"/>
    <w:rsid w:val="007E5282"/>
    <w:rsid w:val="007E5AEB"/>
    <w:rsid w:val="007E5CA2"/>
    <w:rsid w:val="007E5FC9"/>
    <w:rsid w:val="007E6C12"/>
    <w:rsid w:val="007E719B"/>
    <w:rsid w:val="007E7272"/>
    <w:rsid w:val="007E73BF"/>
    <w:rsid w:val="007E753C"/>
    <w:rsid w:val="007E7756"/>
    <w:rsid w:val="007F0103"/>
    <w:rsid w:val="007F0C63"/>
    <w:rsid w:val="007F0ED1"/>
    <w:rsid w:val="007F1017"/>
    <w:rsid w:val="007F10E8"/>
    <w:rsid w:val="007F134F"/>
    <w:rsid w:val="007F15A6"/>
    <w:rsid w:val="007F1845"/>
    <w:rsid w:val="007F1851"/>
    <w:rsid w:val="007F1893"/>
    <w:rsid w:val="007F19D5"/>
    <w:rsid w:val="007F1DD5"/>
    <w:rsid w:val="007F2075"/>
    <w:rsid w:val="007F22F6"/>
    <w:rsid w:val="007F2770"/>
    <w:rsid w:val="007F2E33"/>
    <w:rsid w:val="007F2E5E"/>
    <w:rsid w:val="007F2E94"/>
    <w:rsid w:val="007F3918"/>
    <w:rsid w:val="007F3B36"/>
    <w:rsid w:val="007F3BE6"/>
    <w:rsid w:val="007F4A3F"/>
    <w:rsid w:val="007F4A61"/>
    <w:rsid w:val="007F4D97"/>
    <w:rsid w:val="007F5255"/>
    <w:rsid w:val="007F55EE"/>
    <w:rsid w:val="007F563A"/>
    <w:rsid w:val="007F56CC"/>
    <w:rsid w:val="007F56E0"/>
    <w:rsid w:val="007F57A2"/>
    <w:rsid w:val="007F57AE"/>
    <w:rsid w:val="007F5953"/>
    <w:rsid w:val="007F5E09"/>
    <w:rsid w:val="007F5F8D"/>
    <w:rsid w:val="007F60F5"/>
    <w:rsid w:val="007F61A0"/>
    <w:rsid w:val="007F61A5"/>
    <w:rsid w:val="007F61C2"/>
    <w:rsid w:val="007F6BA9"/>
    <w:rsid w:val="007F6C4B"/>
    <w:rsid w:val="007F6D80"/>
    <w:rsid w:val="007F74B8"/>
    <w:rsid w:val="007F78B1"/>
    <w:rsid w:val="007F790A"/>
    <w:rsid w:val="007F7AF3"/>
    <w:rsid w:val="007F7B15"/>
    <w:rsid w:val="007F7F52"/>
    <w:rsid w:val="007F7FBF"/>
    <w:rsid w:val="007F7FCA"/>
    <w:rsid w:val="0080034B"/>
    <w:rsid w:val="008003CD"/>
    <w:rsid w:val="0080069B"/>
    <w:rsid w:val="00800FC8"/>
    <w:rsid w:val="00801C08"/>
    <w:rsid w:val="00801FCF"/>
    <w:rsid w:val="00801FE2"/>
    <w:rsid w:val="0080209A"/>
    <w:rsid w:val="00802BDC"/>
    <w:rsid w:val="00802DF7"/>
    <w:rsid w:val="00803696"/>
    <w:rsid w:val="008039A6"/>
    <w:rsid w:val="00803A0B"/>
    <w:rsid w:val="00803C19"/>
    <w:rsid w:val="008040CE"/>
    <w:rsid w:val="008044E3"/>
    <w:rsid w:val="0080457C"/>
    <w:rsid w:val="00804774"/>
    <w:rsid w:val="00804978"/>
    <w:rsid w:val="0080505E"/>
    <w:rsid w:val="00805142"/>
    <w:rsid w:val="00805271"/>
    <w:rsid w:val="0080575E"/>
    <w:rsid w:val="0080581C"/>
    <w:rsid w:val="00805F03"/>
    <w:rsid w:val="00805FCE"/>
    <w:rsid w:val="00806196"/>
    <w:rsid w:val="008062FF"/>
    <w:rsid w:val="008065A8"/>
    <w:rsid w:val="0080670B"/>
    <w:rsid w:val="008067E7"/>
    <w:rsid w:val="00806A10"/>
    <w:rsid w:val="00806BC1"/>
    <w:rsid w:val="00806C20"/>
    <w:rsid w:val="008074B4"/>
    <w:rsid w:val="0080784D"/>
    <w:rsid w:val="00807939"/>
    <w:rsid w:val="00807A8B"/>
    <w:rsid w:val="00807B64"/>
    <w:rsid w:val="008108A0"/>
    <w:rsid w:val="008109AC"/>
    <w:rsid w:val="00810F9B"/>
    <w:rsid w:val="00811050"/>
    <w:rsid w:val="00811141"/>
    <w:rsid w:val="0081126A"/>
    <w:rsid w:val="00811383"/>
    <w:rsid w:val="00811629"/>
    <w:rsid w:val="00811642"/>
    <w:rsid w:val="008116C1"/>
    <w:rsid w:val="00811E18"/>
    <w:rsid w:val="00811F53"/>
    <w:rsid w:val="00812149"/>
    <w:rsid w:val="00812978"/>
    <w:rsid w:val="00812CAC"/>
    <w:rsid w:val="008138B2"/>
    <w:rsid w:val="00813939"/>
    <w:rsid w:val="00813BD9"/>
    <w:rsid w:val="00813E60"/>
    <w:rsid w:val="00813F2C"/>
    <w:rsid w:val="00814607"/>
    <w:rsid w:val="00814908"/>
    <w:rsid w:val="00814A1A"/>
    <w:rsid w:val="00814AC4"/>
    <w:rsid w:val="00814F34"/>
    <w:rsid w:val="008150D9"/>
    <w:rsid w:val="00815B0E"/>
    <w:rsid w:val="00816361"/>
    <w:rsid w:val="00816439"/>
    <w:rsid w:val="008165CC"/>
    <w:rsid w:val="008166EF"/>
    <w:rsid w:val="00816C56"/>
    <w:rsid w:val="00816EC0"/>
    <w:rsid w:val="00816FEF"/>
    <w:rsid w:val="00817217"/>
    <w:rsid w:val="00817450"/>
    <w:rsid w:val="008178F4"/>
    <w:rsid w:val="00817AE2"/>
    <w:rsid w:val="00817C7F"/>
    <w:rsid w:val="00817FB1"/>
    <w:rsid w:val="00820101"/>
    <w:rsid w:val="00820186"/>
    <w:rsid w:val="008203C7"/>
    <w:rsid w:val="008204F6"/>
    <w:rsid w:val="00820765"/>
    <w:rsid w:val="008208CF"/>
    <w:rsid w:val="00820A8C"/>
    <w:rsid w:val="00821296"/>
    <w:rsid w:val="008215FB"/>
    <w:rsid w:val="008216A7"/>
    <w:rsid w:val="008216F7"/>
    <w:rsid w:val="00821779"/>
    <w:rsid w:val="0082180B"/>
    <w:rsid w:val="00821838"/>
    <w:rsid w:val="008219A2"/>
    <w:rsid w:val="00821B8E"/>
    <w:rsid w:val="008220CC"/>
    <w:rsid w:val="0082237E"/>
    <w:rsid w:val="008227E9"/>
    <w:rsid w:val="008228E5"/>
    <w:rsid w:val="00822F76"/>
    <w:rsid w:val="008230E4"/>
    <w:rsid w:val="00823174"/>
    <w:rsid w:val="008236E0"/>
    <w:rsid w:val="00823B4A"/>
    <w:rsid w:val="00823BF1"/>
    <w:rsid w:val="008241B2"/>
    <w:rsid w:val="008241DA"/>
    <w:rsid w:val="0082420E"/>
    <w:rsid w:val="0082497F"/>
    <w:rsid w:val="00824B80"/>
    <w:rsid w:val="00825196"/>
    <w:rsid w:val="00825208"/>
    <w:rsid w:val="00825751"/>
    <w:rsid w:val="0082596F"/>
    <w:rsid w:val="00825B26"/>
    <w:rsid w:val="008264EB"/>
    <w:rsid w:val="00826712"/>
    <w:rsid w:val="00826774"/>
    <w:rsid w:val="008267A7"/>
    <w:rsid w:val="008268CE"/>
    <w:rsid w:val="00826D1C"/>
    <w:rsid w:val="00826FF8"/>
    <w:rsid w:val="0082700A"/>
    <w:rsid w:val="00827C23"/>
    <w:rsid w:val="008304D8"/>
    <w:rsid w:val="0083051E"/>
    <w:rsid w:val="00830B5C"/>
    <w:rsid w:val="00830D03"/>
    <w:rsid w:val="0083114B"/>
    <w:rsid w:val="00831469"/>
    <w:rsid w:val="00831661"/>
    <w:rsid w:val="008318D3"/>
    <w:rsid w:val="00831BB8"/>
    <w:rsid w:val="008320D6"/>
    <w:rsid w:val="008322D2"/>
    <w:rsid w:val="0083247B"/>
    <w:rsid w:val="008324B0"/>
    <w:rsid w:val="008324C0"/>
    <w:rsid w:val="008327D2"/>
    <w:rsid w:val="00832C7D"/>
    <w:rsid w:val="00832D5C"/>
    <w:rsid w:val="00833181"/>
    <w:rsid w:val="00833B05"/>
    <w:rsid w:val="008340C4"/>
    <w:rsid w:val="00834131"/>
    <w:rsid w:val="0083483F"/>
    <w:rsid w:val="00834AE7"/>
    <w:rsid w:val="00834B21"/>
    <w:rsid w:val="00834ED5"/>
    <w:rsid w:val="00835671"/>
    <w:rsid w:val="008357D8"/>
    <w:rsid w:val="008362B4"/>
    <w:rsid w:val="008363B1"/>
    <w:rsid w:val="008368B0"/>
    <w:rsid w:val="008370D6"/>
    <w:rsid w:val="00837165"/>
    <w:rsid w:val="00837C9E"/>
    <w:rsid w:val="00837F90"/>
    <w:rsid w:val="008405FF"/>
    <w:rsid w:val="00840736"/>
    <w:rsid w:val="00840CA2"/>
    <w:rsid w:val="00840DFE"/>
    <w:rsid w:val="0084118F"/>
    <w:rsid w:val="0084135A"/>
    <w:rsid w:val="00841E17"/>
    <w:rsid w:val="008429FD"/>
    <w:rsid w:val="00842CB2"/>
    <w:rsid w:val="00842D06"/>
    <w:rsid w:val="00842EBA"/>
    <w:rsid w:val="0084374F"/>
    <w:rsid w:val="008437E7"/>
    <w:rsid w:val="00844A22"/>
    <w:rsid w:val="00844AEB"/>
    <w:rsid w:val="00844D96"/>
    <w:rsid w:val="00845027"/>
    <w:rsid w:val="00845149"/>
    <w:rsid w:val="00845161"/>
    <w:rsid w:val="00845330"/>
    <w:rsid w:val="008455F0"/>
    <w:rsid w:val="00845C98"/>
    <w:rsid w:val="00845D08"/>
    <w:rsid w:val="00845D24"/>
    <w:rsid w:val="00846332"/>
    <w:rsid w:val="00846652"/>
    <w:rsid w:val="0084676D"/>
    <w:rsid w:val="00847495"/>
    <w:rsid w:val="00847703"/>
    <w:rsid w:val="0084780B"/>
    <w:rsid w:val="00847CA5"/>
    <w:rsid w:val="00847DF5"/>
    <w:rsid w:val="0085000D"/>
    <w:rsid w:val="00850049"/>
    <w:rsid w:val="0085042F"/>
    <w:rsid w:val="008509BD"/>
    <w:rsid w:val="00850EF9"/>
    <w:rsid w:val="008510CE"/>
    <w:rsid w:val="008512EC"/>
    <w:rsid w:val="00851545"/>
    <w:rsid w:val="00851E0C"/>
    <w:rsid w:val="008522F8"/>
    <w:rsid w:val="00852425"/>
    <w:rsid w:val="008529C0"/>
    <w:rsid w:val="00852AE4"/>
    <w:rsid w:val="00852C30"/>
    <w:rsid w:val="0085300F"/>
    <w:rsid w:val="0085309D"/>
    <w:rsid w:val="0085373B"/>
    <w:rsid w:val="00853CBE"/>
    <w:rsid w:val="00854145"/>
    <w:rsid w:val="00855096"/>
    <w:rsid w:val="00855482"/>
    <w:rsid w:val="00855506"/>
    <w:rsid w:val="00855F7F"/>
    <w:rsid w:val="008561CD"/>
    <w:rsid w:val="00856400"/>
    <w:rsid w:val="008565A6"/>
    <w:rsid w:val="00856675"/>
    <w:rsid w:val="008566AD"/>
    <w:rsid w:val="00856897"/>
    <w:rsid w:val="00856D2A"/>
    <w:rsid w:val="00856E57"/>
    <w:rsid w:val="00856E9A"/>
    <w:rsid w:val="00856F46"/>
    <w:rsid w:val="00857201"/>
    <w:rsid w:val="00857222"/>
    <w:rsid w:val="00857593"/>
    <w:rsid w:val="0085776F"/>
    <w:rsid w:val="00857AFF"/>
    <w:rsid w:val="00857B70"/>
    <w:rsid w:val="00857C3E"/>
    <w:rsid w:val="00857DD8"/>
    <w:rsid w:val="00857DF3"/>
    <w:rsid w:val="008601B0"/>
    <w:rsid w:val="008605B9"/>
    <w:rsid w:val="00860685"/>
    <w:rsid w:val="0086075D"/>
    <w:rsid w:val="00861073"/>
    <w:rsid w:val="00861243"/>
    <w:rsid w:val="008612E6"/>
    <w:rsid w:val="00861591"/>
    <w:rsid w:val="00861910"/>
    <w:rsid w:val="00861949"/>
    <w:rsid w:val="00861B12"/>
    <w:rsid w:val="00861D0D"/>
    <w:rsid w:val="00862053"/>
    <w:rsid w:val="00862502"/>
    <w:rsid w:val="0086272F"/>
    <w:rsid w:val="00862CC1"/>
    <w:rsid w:val="008635C5"/>
    <w:rsid w:val="008638F8"/>
    <w:rsid w:val="00863DE8"/>
    <w:rsid w:val="008642A7"/>
    <w:rsid w:val="008642CE"/>
    <w:rsid w:val="008644B0"/>
    <w:rsid w:val="00864554"/>
    <w:rsid w:val="00864E5B"/>
    <w:rsid w:val="00865184"/>
    <w:rsid w:val="00865666"/>
    <w:rsid w:val="0086570B"/>
    <w:rsid w:val="008658F8"/>
    <w:rsid w:val="008659B5"/>
    <w:rsid w:val="008660D4"/>
    <w:rsid w:val="0086612B"/>
    <w:rsid w:val="0086616E"/>
    <w:rsid w:val="00866603"/>
    <w:rsid w:val="00866A3B"/>
    <w:rsid w:val="00866AE5"/>
    <w:rsid w:val="00866C03"/>
    <w:rsid w:val="00866CBE"/>
    <w:rsid w:val="00867728"/>
    <w:rsid w:val="008679E3"/>
    <w:rsid w:val="00870290"/>
    <w:rsid w:val="0087029F"/>
    <w:rsid w:val="00870AB6"/>
    <w:rsid w:val="00871090"/>
    <w:rsid w:val="00871509"/>
    <w:rsid w:val="00871786"/>
    <w:rsid w:val="00871F6F"/>
    <w:rsid w:val="00871FA9"/>
    <w:rsid w:val="008721F1"/>
    <w:rsid w:val="0087237C"/>
    <w:rsid w:val="008724EA"/>
    <w:rsid w:val="00872741"/>
    <w:rsid w:val="008728E9"/>
    <w:rsid w:val="00872F50"/>
    <w:rsid w:val="00873344"/>
    <w:rsid w:val="0087341D"/>
    <w:rsid w:val="0087348A"/>
    <w:rsid w:val="00873596"/>
    <w:rsid w:val="00873BAC"/>
    <w:rsid w:val="0087442A"/>
    <w:rsid w:val="00874E25"/>
    <w:rsid w:val="00875321"/>
    <w:rsid w:val="008756F0"/>
    <w:rsid w:val="008757DD"/>
    <w:rsid w:val="00875B3E"/>
    <w:rsid w:val="00875C33"/>
    <w:rsid w:val="00875E9E"/>
    <w:rsid w:val="0087624B"/>
    <w:rsid w:val="00876638"/>
    <w:rsid w:val="0087687F"/>
    <w:rsid w:val="00876978"/>
    <w:rsid w:val="00877690"/>
    <w:rsid w:val="0087782E"/>
    <w:rsid w:val="00877916"/>
    <w:rsid w:val="00877D66"/>
    <w:rsid w:val="0088004A"/>
    <w:rsid w:val="0088031C"/>
    <w:rsid w:val="008809B5"/>
    <w:rsid w:val="00880BCB"/>
    <w:rsid w:val="00881845"/>
    <w:rsid w:val="00881A7F"/>
    <w:rsid w:val="00882326"/>
    <w:rsid w:val="00882421"/>
    <w:rsid w:val="00882528"/>
    <w:rsid w:val="00882578"/>
    <w:rsid w:val="00882874"/>
    <w:rsid w:val="00882C81"/>
    <w:rsid w:val="00882E3C"/>
    <w:rsid w:val="00883069"/>
    <w:rsid w:val="0088308A"/>
    <w:rsid w:val="0088316E"/>
    <w:rsid w:val="00883787"/>
    <w:rsid w:val="008841DE"/>
    <w:rsid w:val="008844D6"/>
    <w:rsid w:val="008851A5"/>
    <w:rsid w:val="00885356"/>
    <w:rsid w:val="008855E4"/>
    <w:rsid w:val="008857F1"/>
    <w:rsid w:val="0088589E"/>
    <w:rsid w:val="00885A76"/>
    <w:rsid w:val="00885AB1"/>
    <w:rsid w:val="008862AF"/>
    <w:rsid w:val="0088667E"/>
    <w:rsid w:val="008868D2"/>
    <w:rsid w:val="00886B1A"/>
    <w:rsid w:val="00886CD2"/>
    <w:rsid w:val="00887573"/>
    <w:rsid w:val="0088759C"/>
    <w:rsid w:val="008875FD"/>
    <w:rsid w:val="00887A7B"/>
    <w:rsid w:val="00887CBD"/>
    <w:rsid w:val="00887DBE"/>
    <w:rsid w:val="00890AE5"/>
    <w:rsid w:val="00890BBE"/>
    <w:rsid w:val="00890F18"/>
    <w:rsid w:val="00891108"/>
    <w:rsid w:val="0089188B"/>
    <w:rsid w:val="00891E6F"/>
    <w:rsid w:val="008921C6"/>
    <w:rsid w:val="008922BA"/>
    <w:rsid w:val="008922E2"/>
    <w:rsid w:val="0089275D"/>
    <w:rsid w:val="00892A36"/>
    <w:rsid w:val="008930F9"/>
    <w:rsid w:val="00893239"/>
    <w:rsid w:val="0089330D"/>
    <w:rsid w:val="00893A00"/>
    <w:rsid w:val="00893A9D"/>
    <w:rsid w:val="00893BFF"/>
    <w:rsid w:val="00893E4E"/>
    <w:rsid w:val="00893F24"/>
    <w:rsid w:val="00894489"/>
    <w:rsid w:val="008944C1"/>
    <w:rsid w:val="00894CD6"/>
    <w:rsid w:val="00894D2B"/>
    <w:rsid w:val="00894D8B"/>
    <w:rsid w:val="0089523C"/>
    <w:rsid w:val="00895A67"/>
    <w:rsid w:val="0089616F"/>
    <w:rsid w:val="008963A5"/>
    <w:rsid w:val="0089666E"/>
    <w:rsid w:val="00896D5D"/>
    <w:rsid w:val="0089769D"/>
    <w:rsid w:val="008976E3"/>
    <w:rsid w:val="008A031F"/>
    <w:rsid w:val="008A0864"/>
    <w:rsid w:val="008A09B0"/>
    <w:rsid w:val="008A0BD7"/>
    <w:rsid w:val="008A0D6F"/>
    <w:rsid w:val="008A15F8"/>
    <w:rsid w:val="008A1B81"/>
    <w:rsid w:val="008A1C26"/>
    <w:rsid w:val="008A1D6B"/>
    <w:rsid w:val="008A21C2"/>
    <w:rsid w:val="008A2301"/>
    <w:rsid w:val="008A2407"/>
    <w:rsid w:val="008A2649"/>
    <w:rsid w:val="008A2740"/>
    <w:rsid w:val="008A2A29"/>
    <w:rsid w:val="008A2BF8"/>
    <w:rsid w:val="008A3158"/>
    <w:rsid w:val="008A3286"/>
    <w:rsid w:val="008A3363"/>
    <w:rsid w:val="008A3371"/>
    <w:rsid w:val="008A36D3"/>
    <w:rsid w:val="008A39C6"/>
    <w:rsid w:val="008A3C3E"/>
    <w:rsid w:val="008A4EC2"/>
    <w:rsid w:val="008A578F"/>
    <w:rsid w:val="008A5D1F"/>
    <w:rsid w:val="008A5E85"/>
    <w:rsid w:val="008A6430"/>
    <w:rsid w:val="008A67D9"/>
    <w:rsid w:val="008A71BF"/>
    <w:rsid w:val="008A724E"/>
    <w:rsid w:val="008A75DD"/>
    <w:rsid w:val="008A79DE"/>
    <w:rsid w:val="008B03F0"/>
    <w:rsid w:val="008B0B94"/>
    <w:rsid w:val="008B1538"/>
    <w:rsid w:val="008B16AF"/>
    <w:rsid w:val="008B1757"/>
    <w:rsid w:val="008B184B"/>
    <w:rsid w:val="008B1C33"/>
    <w:rsid w:val="008B24F5"/>
    <w:rsid w:val="008B25B6"/>
    <w:rsid w:val="008B2BF3"/>
    <w:rsid w:val="008B2DE0"/>
    <w:rsid w:val="008B3D86"/>
    <w:rsid w:val="008B3DB1"/>
    <w:rsid w:val="008B3EA5"/>
    <w:rsid w:val="008B3F49"/>
    <w:rsid w:val="008B4487"/>
    <w:rsid w:val="008B486A"/>
    <w:rsid w:val="008B4B6F"/>
    <w:rsid w:val="008B4C67"/>
    <w:rsid w:val="008B4DC7"/>
    <w:rsid w:val="008B502A"/>
    <w:rsid w:val="008B59E3"/>
    <w:rsid w:val="008B5C54"/>
    <w:rsid w:val="008B5CEF"/>
    <w:rsid w:val="008B5EAC"/>
    <w:rsid w:val="008B6372"/>
    <w:rsid w:val="008B6605"/>
    <w:rsid w:val="008B7501"/>
    <w:rsid w:val="008B77A5"/>
    <w:rsid w:val="008B78DD"/>
    <w:rsid w:val="008B7992"/>
    <w:rsid w:val="008B7C25"/>
    <w:rsid w:val="008B7D7E"/>
    <w:rsid w:val="008B7E34"/>
    <w:rsid w:val="008C005E"/>
    <w:rsid w:val="008C0349"/>
    <w:rsid w:val="008C03BD"/>
    <w:rsid w:val="008C0824"/>
    <w:rsid w:val="008C0A57"/>
    <w:rsid w:val="008C0AC6"/>
    <w:rsid w:val="008C0F9A"/>
    <w:rsid w:val="008C1172"/>
    <w:rsid w:val="008C1702"/>
    <w:rsid w:val="008C1937"/>
    <w:rsid w:val="008C27EE"/>
    <w:rsid w:val="008C285C"/>
    <w:rsid w:val="008C2F04"/>
    <w:rsid w:val="008C31DB"/>
    <w:rsid w:val="008C33E4"/>
    <w:rsid w:val="008C34D6"/>
    <w:rsid w:val="008C3BDC"/>
    <w:rsid w:val="008C3EE9"/>
    <w:rsid w:val="008C3F4A"/>
    <w:rsid w:val="008C403C"/>
    <w:rsid w:val="008C43F8"/>
    <w:rsid w:val="008C47AB"/>
    <w:rsid w:val="008C4902"/>
    <w:rsid w:val="008C4D09"/>
    <w:rsid w:val="008C5154"/>
    <w:rsid w:val="008C53BF"/>
    <w:rsid w:val="008C5610"/>
    <w:rsid w:val="008C5739"/>
    <w:rsid w:val="008C5CFE"/>
    <w:rsid w:val="008C5E85"/>
    <w:rsid w:val="008C607A"/>
    <w:rsid w:val="008C610B"/>
    <w:rsid w:val="008C6123"/>
    <w:rsid w:val="008C61AD"/>
    <w:rsid w:val="008C6836"/>
    <w:rsid w:val="008C69B4"/>
    <w:rsid w:val="008C6C8A"/>
    <w:rsid w:val="008C6EA7"/>
    <w:rsid w:val="008C6F3A"/>
    <w:rsid w:val="008C7282"/>
    <w:rsid w:val="008C7701"/>
    <w:rsid w:val="008C78E7"/>
    <w:rsid w:val="008C7ECB"/>
    <w:rsid w:val="008D03F5"/>
    <w:rsid w:val="008D07F4"/>
    <w:rsid w:val="008D0DB5"/>
    <w:rsid w:val="008D0EC5"/>
    <w:rsid w:val="008D120C"/>
    <w:rsid w:val="008D17AF"/>
    <w:rsid w:val="008D1A03"/>
    <w:rsid w:val="008D1AA7"/>
    <w:rsid w:val="008D2FBB"/>
    <w:rsid w:val="008D357C"/>
    <w:rsid w:val="008D3613"/>
    <w:rsid w:val="008D3709"/>
    <w:rsid w:val="008D38BE"/>
    <w:rsid w:val="008D3B86"/>
    <w:rsid w:val="008D400A"/>
    <w:rsid w:val="008D41AC"/>
    <w:rsid w:val="008D41FE"/>
    <w:rsid w:val="008D43FD"/>
    <w:rsid w:val="008D4755"/>
    <w:rsid w:val="008D4C3D"/>
    <w:rsid w:val="008D517C"/>
    <w:rsid w:val="008D539F"/>
    <w:rsid w:val="008D5617"/>
    <w:rsid w:val="008D5747"/>
    <w:rsid w:val="008D593B"/>
    <w:rsid w:val="008D5CD0"/>
    <w:rsid w:val="008D5F08"/>
    <w:rsid w:val="008D5F79"/>
    <w:rsid w:val="008D6243"/>
    <w:rsid w:val="008D6575"/>
    <w:rsid w:val="008D65C7"/>
    <w:rsid w:val="008D6B81"/>
    <w:rsid w:val="008D6B96"/>
    <w:rsid w:val="008D6D3F"/>
    <w:rsid w:val="008D718F"/>
    <w:rsid w:val="008D743C"/>
    <w:rsid w:val="008D7ACE"/>
    <w:rsid w:val="008D7B66"/>
    <w:rsid w:val="008E02A4"/>
    <w:rsid w:val="008E0906"/>
    <w:rsid w:val="008E0A21"/>
    <w:rsid w:val="008E0A9E"/>
    <w:rsid w:val="008E0D14"/>
    <w:rsid w:val="008E0D3C"/>
    <w:rsid w:val="008E1053"/>
    <w:rsid w:val="008E114B"/>
    <w:rsid w:val="008E17E4"/>
    <w:rsid w:val="008E1B9E"/>
    <w:rsid w:val="008E1D1D"/>
    <w:rsid w:val="008E213A"/>
    <w:rsid w:val="008E2376"/>
    <w:rsid w:val="008E25D6"/>
    <w:rsid w:val="008E2BD7"/>
    <w:rsid w:val="008E2DB3"/>
    <w:rsid w:val="008E350F"/>
    <w:rsid w:val="008E371D"/>
    <w:rsid w:val="008E38D3"/>
    <w:rsid w:val="008E3EE9"/>
    <w:rsid w:val="008E3F84"/>
    <w:rsid w:val="008E3FD9"/>
    <w:rsid w:val="008E464B"/>
    <w:rsid w:val="008E4D87"/>
    <w:rsid w:val="008E526F"/>
    <w:rsid w:val="008E527B"/>
    <w:rsid w:val="008E55AB"/>
    <w:rsid w:val="008E5C74"/>
    <w:rsid w:val="008E5F34"/>
    <w:rsid w:val="008E61B5"/>
    <w:rsid w:val="008E6239"/>
    <w:rsid w:val="008E6292"/>
    <w:rsid w:val="008E62F1"/>
    <w:rsid w:val="008E6652"/>
    <w:rsid w:val="008E6935"/>
    <w:rsid w:val="008E6E4C"/>
    <w:rsid w:val="008E763C"/>
    <w:rsid w:val="008F0352"/>
    <w:rsid w:val="008F0600"/>
    <w:rsid w:val="008F06A7"/>
    <w:rsid w:val="008F0743"/>
    <w:rsid w:val="008F0C4B"/>
    <w:rsid w:val="008F0E25"/>
    <w:rsid w:val="008F11F8"/>
    <w:rsid w:val="008F120A"/>
    <w:rsid w:val="008F12A8"/>
    <w:rsid w:val="008F12D7"/>
    <w:rsid w:val="008F1B47"/>
    <w:rsid w:val="008F23C4"/>
    <w:rsid w:val="008F27E0"/>
    <w:rsid w:val="008F2D66"/>
    <w:rsid w:val="008F2DA6"/>
    <w:rsid w:val="008F310E"/>
    <w:rsid w:val="008F317F"/>
    <w:rsid w:val="008F33A8"/>
    <w:rsid w:val="008F37FE"/>
    <w:rsid w:val="008F3D52"/>
    <w:rsid w:val="008F40C5"/>
    <w:rsid w:val="008F4278"/>
    <w:rsid w:val="008F47B5"/>
    <w:rsid w:val="008F48EB"/>
    <w:rsid w:val="008F492F"/>
    <w:rsid w:val="008F4BAC"/>
    <w:rsid w:val="008F4F0B"/>
    <w:rsid w:val="008F560E"/>
    <w:rsid w:val="008F5690"/>
    <w:rsid w:val="008F5A3C"/>
    <w:rsid w:val="008F5C18"/>
    <w:rsid w:val="008F69CB"/>
    <w:rsid w:val="008F6AD4"/>
    <w:rsid w:val="008F6DBD"/>
    <w:rsid w:val="008F741F"/>
    <w:rsid w:val="008F74EE"/>
    <w:rsid w:val="008F75FB"/>
    <w:rsid w:val="008F7B1F"/>
    <w:rsid w:val="008F7F43"/>
    <w:rsid w:val="00900194"/>
    <w:rsid w:val="00900478"/>
    <w:rsid w:val="009005FC"/>
    <w:rsid w:val="00900621"/>
    <w:rsid w:val="009009DE"/>
    <w:rsid w:val="00900D1F"/>
    <w:rsid w:val="00900D64"/>
    <w:rsid w:val="00901221"/>
    <w:rsid w:val="009018FB"/>
    <w:rsid w:val="00901910"/>
    <w:rsid w:val="0090290C"/>
    <w:rsid w:val="00902BC3"/>
    <w:rsid w:val="00903440"/>
    <w:rsid w:val="0090380A"/>
    <w:rsid w:val="0090388D"/>
    <w:rsid w:val="00903F39"/>
    <w:rsid w:val="009046C4"/>
    <w:rsid w:val="00904864"/>
    <w:rsid w:val="00905C54"/>
    <w:rsid w:val="00905E78"/>
    <w:rsid w:val="00905EA4"/>
    <w:rsid w:val="00905FAF"/>
    <w:rsid w:val="009062A5"/>
    <w:rsid w:val="00906856"/>
    <w:rsid w:val="00906AC5"/>
    <w:rsid w:val="00906E35"/>
    <w:rsid w:val="00907000"/>
    <w:rsid w:val="009072A6"/>
    <w:rsid w:val="0090737A"/>
    <w:rsid w:val="009073D8"/>
    <w:rsid w:val="0090744C"/>
    <w:rsid w:val="009074E9"/>
    <w:rsid w:val="0090752F"/>
    <w:rsid w:val="00907639"/>
    <w:rsid w:val="00907699"/>
    <w:rsid w:val="00907810"/>
    <w:rsid w:val="0090788E"/>
    <w:rsid w:val="0090790F"/>
    <w:rsid w:val="009100F8"/>
    <w:rsid w:val="00910402"/>
    <w:rsid w:val="00910463"/>
    <w:rsid w:val="0091061E"/>
    <w:rsid w:val="00910B9B"/>
    <w:rsid w:val="00910FA7"/>
    <w:rsid w:val="00911272"/>
    <w:rsid w:val="00911339"/>
    <w:rsid w:val="00911389"/>
    <w:rsid w:val="00911851"/>
    <w:rsid w:val="00911DD0"/>
    <w:rsid w:val="00911E2C"/>
    <w:rsid w:val="00911FBF"/>
    <w:rsid w:val="009121A2"/>
    <w:rsid w:val="00912466"/>
    <w:rsid w:val="00912947"/>
    <w:rsid w:val="00912B54"/>
    <w:rsid w:val="00912CC8"/>
    <w:rsid w:val="00913209"/>
    <w:rsid w:val="009135D6"/>
    <w:rsid w:val="00913EC3"/>
    <w:rsid w:val="00914194"/>
    <w:rsid w:val="00914375"/>
    <w:rsid w:val="009144E5"/>
    <w:rsid w:val="00914588"/>
    <w:rsid w:val="00914755"/>
    <w:rsid w:val="00914C77"/>
    <w:rsid w:val="00914D44"/>
    <w:rsid w:val="00915062"/>
    <w:rsid w:val="0091523D"/>
    <w:rsid w:val="009156CC"/>
    <w:rsid w:val="00915885"/>
    <w:rsid w:val="0091632E"/>
    <w:rsid w:val="00916C92"/>
    <w:rsid w:val="00916CA9"/>
    <w:rsid w:val="00916EA1"/>
    <w:rsid w:val="00916FCC"/>
    <w:rsid w:val="00917360"/>
    <w:rsid w:val="00917456"/>
    <w:rsid w:val="009174B4"/>
    <w:rsid w:val="00917DF9"/>
    <w:rsid w:val="009207F0"/>
    <w:rsid w:val="00920874"/>
    <w:rsid w:val="009208ED"/>
    <w:rsid w:val="00920E47"/>
    <w:rsid w:val="00920F8D"/>
    <w:rsid w:val="009210E8"/>
    <w:rsid w:val="009216C5"/>
    <w:rsid w:val="00921AAB"/>
    <w:rsid w:val="00921ACB"/>
    <w:rsid w:val="00921AEB"/>
    <w:rsid w:val="00921D4E"/>
    <w:rsid w:val="009220D5"/>
    <w:rsid w:val="009221A5"/>
    <w:rsid w:val="009221AB"/>
    <w:rsid w:val="009221C6"/>
    <w:rsid w:val="00922330"/>
    <w:rsid w:val="009227A9"/>
    <w:rsid w:val="00922919"/>
    <w:rsid w:val="00923264"/>
    <w:rsid w:val="00923319"/>
    <w:rsid w:val="0092369B"/>
    <w:rsid w:val="009239FB"/>
    <w:rsid w:val="00923D80"/>
    <w:rsid w:val="00923E5D"/>
    <w:rsid w:val="00924267"/>
    <w:rsid w:val="009249A4"/>
    <w:rsid w:val="00924BE1"/>
    <w:rsid w:val="00925105"/>
    <w:rsid w:val="00925333"/>
    <w:rsid w:val="00925671"/>
    <w:rsid w:val="00925A1E"/>
    <w:rsid w:val="00925B1F"/>
    <w:rsid w:val="00925E9A"/>
    <w:rsid w:val="009260A9"/>
    <w:rsid w:val="00926C6C"/>
    <w:rsid w:val="00926CBB"/>
    <w:rsid w:val="00926FE3"/>
    <w:rsid w:val="00927537"/>
    <w:rsid w:val="00927A64"/>
    <w:rsid w:val="00927AA5"/>
    <w:rsid w:val="00927E09"/>
    <w:rsid w:val="00927F03"/>
    <w:rsid w:val="009301E2"/>
    <w:rsid w:val="0093020B"/>
    <w:rsid w:val="00930857"/>
    <w:rsid w:val="009311BD"/>
    <w:rsid w:val="0093180E"/>
    <w:rsid w:val="009318C8"/>
    <w:rsid w:val="009319FF"/>
    <w:rsid w:val="00931BA6"/>
    <w:rsid w:val="00931D47"/>
    <w:rsid w:val="00931DF6"/>
    <w:rsid w:val="00931FC4"/>
    <w:rsid w:val="00932020"/>
    <w:rsid w:val="009323C2"/>
    <w:rsid w:val="00932681"/>
    <w:rsid w:val="0093298E"/>
    <w:rsid w:val="00932EA5"/>
    <w:rsid w:val="009331E9"/>
    <w:rsid w:val="00933413"/>
    <w:rsid w:val="009335D8"/>
    <w:rsid w:val="009338B4"/>
    <w:rsid w:val="00933A62"/>
    <w:rsid w:val="00933BB7"/>
    <w:rsid w:val="009341E3"/>
    <w:rsid w:val="00934908"/>
    <w:rsid w:val="00934988"/>
    <w:rsid w:val="00934C64"/>
    <w:rsid w:val="00935691"/>
    <w:rsid w:val="009356DC"/>
    <w:rsid w:val="009357BA"/>
    <w:rsid w:val="00935995"/>
    <w:rsid w:val="00935B9B"/>
    <w:rsid w:val="00935F57"/>
    <w:rsid w:val="00936135"/>
    <w:rsid w:val="009361D6"/>
    <w:rsid w:val="0093633C"/>
    <w:rsid w:val="00936723"/>
    <w:rsid w:val="009367B1"/>
    <w:rsid w:val="00936B1D"/>
    <w:rsid w:val="00936CE0"/>
    <w:rsid w:val="00936DD6"/>
    <w:rsid w:val="00936E7E"/>
    <w:rsid w:val="00937089"/>
    <w:rsid w:val="009372A8"/>
    <w:rsid w:val="00937D4F"/>
    <w:rsid w:val="00937F2C"/>
    <w:rsid w:val="00937F47"/>
    <w:rsid w:val="00937F4A"/>
    <w:rsid w:val="00937F52"/>
    <w:rsid w:val="009401F8"/>
    <w:rsid w:val="00940324"/>
    <w:rsid w:val="00940602"/>
    <w:rsid w:val="0094063E"/>
    <w:rsid w:val="00940841"/>
    <w:rsid w:val="0094098A"/>
    <w:rsid w:val="00940E3B"/>
    <w:rsid w:val="00940F87"/>
    <w:rsid w:val="00941C7F"/>
    <w:rsid w:val="00941CAB"/>
    <w:rsid w:val="00941DED"/>
    <w:rsid w:val="00942113"/>
    <w:rsid w:val="00942389"/>
    <w:rsid w:val="009427CC"/>
    <w:rsid w:val="009429FA"/>
    <w:rsid w:val="00943186"/>
    <w:rsid w:val="00943357"/>
    <w:rsid w:val="00943974"/>
    <w:rsid w:val="00943E61"/>
    <w:rsid w:val="00944230"/>
    <w:rsid w:val="00944597"/>
    <w:rsid w:val="00944711"/>
    <w:rsid w:val="00944F8A"/>
    <w:rsid w:val="00944F96"/>
    <w:rsid w:val="00944F9A"/>
    <w:rsid w:val="009450E3"/>
    <w:rsid w:val="0094539C"/>
    <w:rsid w:val="00945595"/>
    <w:rsid w:val="00945654"/>
    <w:rsid w:val="00945B23"/>
    <w:rsid w:val="00945EC3"/>
    <w:rsid w:val="00946088"/>
    <w:rsid w:val="00946675"/>
    <w:rsid w:val="00946CF9"/>
    <w:rsid w:val="00946EF4"/>
    <w:rsid w:val="00947193"/>
    <w:rsid w:val="0094748C"/>
    <w:rsid w:val="00947556"/>
    <w:rsid w:val="00947659"/>
    <w:rsid w:val="009479CC"/>
    <w:rsid w:val="00947B5A"/>
    <w:rsid w:val="00947D2E"/>
    <w:rsid w:val="00950A61"/>
    <w:rsid w:val="00950D66"/>
    <w:rsid w:val="009510A2"/>
    <w:rsid w:val="00951457"/>
    <w:rsid w:val="00951667"/>
    <w:rsid w:val="00951738"/>
    <w:rsid w:val="009517B2"/>
    <w:rsid w:val="0095216C"/>
    <w:rsid w:val="00952AFE"/>
    <w:rsid w:val="00952E28"/>
    <w:rsid w:val="0095301C"/>
    <w:rsid w:val="00953257"/>
    <w:rsid w:val="009533AC"/>
    <w:rsid w:val="00953416"/>
    <w:rsid w:val="00953A83"/>
    <w:rsid w:val="009540C0"/>
    <w:rsid w:val="00954577"/>
    <w:rsid w:val="00954733"/>
    <w:rsid w:val="0095474C"/>
    <w:rsid w:val="00954BDF"/>
    <w:rsid w:val="00954C2D"/>
    <w:rsid w:val="0095509A"/>
    <w:rsid w:val="00955605"/>
    <w:rsid w:val="00955BD6"/>
    <w:rsid w:val="00956096"/>
    <w:rsid w:val="0095627D"/>
    <w:rsid w:val="0095640C"/>
    <w:rsid w:val="00956658"/>
    <w:rsid w:val="00956789"/>
    <w:rsid w:val="00956D70"/>
    <w:rsid w:val="00957667"/>
    <w:rsid w:val="00957D92"/>
    <w:rsid w:val="00957FD9"/>
    <w:rsid w:val="00960394"/>
    <w:rsid w:val="00960720"/>
    <w:rsid w:val="0096090A"/>
    <w:rsid w:val="00960DC0"/>
    <w:rsid w:val="00961222"/>
    <w:rsid w:val="009615F8"/>
    <w:rsid w:val="00961B5F"/>
    <w:rsid w:val="00961BBE"/>
    <w:rsid w:val="00961D03"/>
    <w:rsid w:val="00961EFC"/>
    <w:rsid w:val="00962156"/>
    <w:rsid w:val="00962CB9"/>
    <w:rsid w:val="00962DA5"/>
    <w:rsid w:val="0096303E"/>
    <w:rsid w:val="0096325D"/>
    <w:rsid w:val="00964312"/>
    <w:rsid w:val="009644C4"/>
    <w:rsid w:val="00965655"/>
    <w:rsid w:val="00965B8A"/>
    <w:rsid w:val="00965CDD"/>
    <w:rsid w:val="00965E91"/>
    <w:rsid w:val="00966740"/>
    <w:rsid w:val="009669E3"/>
    <w:rsid w:val="00966AB5"/>
    <w:rsid w:val="00966D56"/>
    <w:rsid w:val="00966DE2"/>
    <w:rsid w:val="009677C1"/>
    <w:rsid w:val="0096782D"/>
    <w:rsid w:val="00970083"/>
    <w:rsid w:val="009701E3"/>
    <w:rsid w:val="009703E9"/>
    <w:rsid w:val="0097071F"/>
    <w:rsid w:val="00970728"/>
    <w:rsid w:val="00970B47"/>
    <w:rsid w:val="0097148B"/>
    <w:rsid w:val="00971502"/>
    <w:rsid w:val="009717AC"/>
    <w:rsid w:val="00971B5A"/>
    <w:rsid w:val="00971EA4"/>
    <w:rsid w:val="0097201D"/>
    <w:rsid w:val="00972682"/>
    <w:rsid w:val="009726AD"/>
    <w:rsid w:val="00972702"/>
    <w:rsid w:val="00972A48"/>
    <w:rsid w:val="009732F9"/>
    <w:rsid w:val="00973A58"/>
    <w:rsid w:val="00973AEB"/>
    <w:rsid w:val="00973DAD"/>
    <w:rsid w:val="00974215"/>
    <w:rsid w:val="009745AE"/>
    <w:rsid w:val="00974BE0"/>
    <w:rsid w:val="00974D6D"/>
    <w:rsid w:val="009751C1"/>
    <w:rsid w:val="00975AE9"/>
    <w:rsid w:val="00976094"/>
    <w:rsid w:val="009764FF"/>
    <w:rsid w:val="00976595"/>
    <w:rsid w:val="009765F4"/>
    <w:rsid w:val="0097660F"/>
    <w:rsid w:val="00976A88"/>
    <w:rsid w:val="00976D07"/>
    <w:rsid w:val="00977535"/>
    <w:rsid w:val="00977797"/>
    <w:rsid w:val="00977A44"/>
    <w:rsid w:val="00977DF2"/>
    <w:rsid w:val="0098021C"/>
    <w:rsid w:val="00980277"/>
    <w:rsid w:val="00980457"/>
    <w:rsid w:val="00980A8F"/>
    <w:rsid w:val="00980D21"/>
    <w:rsid w:val="00981177"/>
    <w:rsid w:val="0098119F"/>
    <w:rsid w:val="009811F1"/>
    <w:rsid w:val="00981320"/>
    <w:rsid w:val="0098179E"/>
    <w:rsid w:val="009817C5"/>
    <w:rsid w:val="00981F26"/>
    <w:rsid w:val="00981FC8"/>
    <w:rsid w:val="009822F2"/>
    <w:rsid w:val="009824EA"/>
    <w:rsid w:val="00982844"/>
    <w:rsid w:val="00982923"/>
    <w:rsid w:val="00982945"/>
    <w:rsid w:val="00982AFE"/>
    <w:rsid w:val="009832DE"/>
    <w:rsid w:val="00983AAC"/>
    <w:rsid w:val="00983E0A"/>
    <w:rsid w:val="00983E57"/>
    <w:rsid w:val="0098420C"/>
    <w:rsid w:val="00984620"/>
    <w:rsid w:val="00984799"/>
    <w:rsid w:val="0098564D"/>
    <w:rsid w:val="00985DE2"/>
    <w:rsid w:val="00985E1B"/>
    <w:rsid w:val="00986481"/>
    <w:rsid w:val="0098675D"/>
    <w:rsid w:val="00986B24"/>
    <w:rsid w:val="00986DA3"/>
    <w:rsid w:val="00986EB6"/>
    <w:rsid w:val="00987904"/>
    <w:rsid w:val="00987BA4"/>
    <w:rsid w:val="00987D0C"/>
    <w:rsid w:val="00990716"/>
    <w:rsid w:val="00990CB3"/>
    <w:rsid w:val="00990F37"/>
    <w:rsid w:val="00991560"/>
    <w:rsid w:val="009921DA"/>
    <w:rsid w:val="009923CB"/>
    <w:rsid w:val="009926E0"/>
    <w:rsid w:val="00992D60"/>
    <w:rsid w:val="0099333E"/>
    <w:rsid w:val="00993753"/>
    <w:rsid w:val="00993755"/>
    <w:rsid w:val="009939C8"/>
    <w:rsid w:val="00993F20"/>
    <w:rsid w:val="0099405A"/>
    <w:rsid w:val="0099414F"/>
    <w:rsid w:val="0099419A"/>
    <w:rsid w:val="009943B5"/>
    <w:rsid w:val="0099451E"/>
    <w:rsid w:val="009946E9"/>
    <w:rsid w:val="00994857"/>
    <w:rsid w:val="0099496E"/>
    <w:rsid w:val="00994ACB"/>
    <w:rsid w:val="00994ADE"/>
    <w:rsid w:val="00994BB7"/>
    <w:rsid w:val="0099520C"/>
    <w:rsid w:val="009952C2"/>
    <w:rsid w:val="0099547B"/>
    <w:rsid w:val="00995CF6"/>
    <w:rsid w:val="00996521"/>
    <w:rsid w:val="00996A28"/>
    <w:rsid w:val="00996B1A"/>
    <w:rsid w:val="00996E8E"/>
    <w:rsid w:val="00997303"/>
    <w:rsid w:val="00997597"/>
    <w:rsid w:val="009978F7"/>
    <w:rsid w:val="00997AB3"/>
    <w:rsid w:val="009A01A5"/>
    <w:rsid w:val="009A05B6"/>
    <w:rsid w:val="009A13FC"/>
    <w:rsid w:val="009A16BF"/>
    <w:rsid w:val="009A16F0"/>
    <w:rsid w:val="009A18F6"/>
    <w:rsid w:val="009A1AEB"/>
    <w:rsid w:val="009A1E50"/>
    <w:rsid w:val="009A1EE1"/>
    <w:rsid w:val="009A237A"/>
    <w:rsid w:val="009A2771"/>
    <w:rsid w:val="009A29B7"/>
    <w:rsid w:val="009A2D4D"/>
    <w:rsid w:val="009A2DCC"/>
    <w:rsid w:val="009A30B8"/>
    <w:rsid w:val="009A32D8"/>
    <w:rsid w:val="009A391D"/>
    <w:rsid w:val="009A39FF"/>
    <w:rsid w:val="009A3A00"/>
    <w:rsid w:val="009A3B78"/>
    <w:rsid w:val="009A4440"/>
    <w:rsid w:val="009A4736"/>
    <w:rsid w:val="009A48F3"/>
    <w:rsid w:val="009A5ABC"/>
    <w:rsid w:val="009A5D7B"/>
    <w:rsid w:val="009A60BF"/>
    <w:rsid w:val="009A6179"/>
    <w:rsid w:val="009A678A"/>
    <w:rsid w:val="009A77B8"/>
    <w:rsid w:val="009A78C1"/>
    <w:rsid w:val="009A7E2F"/>
    <w:rsid w:val="009A7EEF"/>
    <w:rsid w:val="009A7F10"/>
    <w:rsid w:val="009B0609"/>
    <w:rsid w:val="009B082D"/>
    <w:rsid w:val="009B0837"/>
    <w:rsid w:val="009B099D"/>
    <w:rsid w:val="009B0AB1"/>
    <w:rsid w:val="009B0C08"/>
    <w:rsid w:val="009B176E"/>
    <w:rsid w:val="009B1855"/>
    <w:rsid w:val="009B1C83"/>
    <w:rsid w:val="009B1DD4"/>
    <w:rsid w:val="009B2309"/>
    <w:rsid w:val="009B2532"/>
    <w:rsid w:val="009B26CB"/>
    <w:rsid w:val="009B2B76"/>
    <w:rsid w:val="009B2E1E"/>
    <w:rsid w:val="009B2ED0"/>
    <w:rsid w:val="009B2F96"/>
    <w:rsid w:val="009B3236"/>
    <w:rsid w:val="009B37A2"/>
    <w:rsid w:val="009B3B3D"/>
    <w:rsid w:val="009B3CC6"/>
    <w:rsid w:val="009B3E26"/>
    <w:rsid w:val="009B487B"/>
    <w:rsid w:val="009B4FEA"/>
    <w:rsid w:val="009B5244"/>
    <w:rsid w:val="009B527D"/>
    <w:rsid w:val="009B57BB"/>
    <w:rsid w:val="009B589C"/>
    <w:rsid w:val="009B5FF5"/>
    <w:rsid w:val="009B62C9"/>
    <w:rsid w:val="009B64BA"/>
    <w:rsid w:val="009B66E3"/>
    <w:rsid w:val="009B6D19"/>
    <w:rsid w:val="009B6D40"/>
    <w:rsid w:val="009B7179"/>
    <w:rsid w:val="009B74A2"/>
    <w:rsid w:val="009B7951"/>
    <w:rsid w:val="009B797A"/>
    <w:rsid w:val="009B7D16"/>
    <w:rsid w:val="009C0434"/>
    <w:rsid w:val="009C0894"/>
    <w:rsid w:val="009C11EA"/>
    <w:rsid w:val="009C1271"/>
    <w:rsid w:val="009C137F"/>
    <w:rsid w:val="009C1421"/>
    <w:rsid w:val="009C15CC"/>
    <w:rsid w:val="009C167A"/>
    <w:rsid w:val="009C18D4"/>
    <w:rsid w:val="009C1929"/>
    <w:rsid w:val="009C20E2"/>
    <w:rsid w:val="009C2300"/>
    <w:rsid w:val="009C2BE3"/>
    <w:rsid w:val="009C2C25"/>
    <w:rsid w:val="009C3171"/>
    <w:rsid w:val="009C3706"/>
    <w:rsid w:val="009C3A3A"/>
    <w:rsid w:val="009C3B8C"/>
    <w:rsid w:val="009C3B94"/>
    <w:rsid w:val="009C3C0C"/>
    <w:rsid w:val="009C3ED6"/>
    <w:rsid w:val="009C45A8"/>
    <w:rsid w:val="009C4712"/>
    <w:rsid w:val="009C489D"/>
    <w:rsid w:val="009C4A4A"/>
    <w:rsid w:val="009C4B14"/>
    <w:rsid w:val="009C53FA"/>
    <w:rsid w:val="009C59E1"/>
    <w:rsid w:val="009C5A6A"/>
    <w:rsid w:val="009C5E6B"/>
    <w:rsid w:val="009C6491"/>
    <w:rsid w:val="009C666E"/>
    <w:rsid w:val="009C67C1"/>
    <w:rsid w:val="009C6CEA"/>
    <w:rsid w:val="009C761F"/>
    <w:rsid w:val="009C77DC"/>
    <w:rsid w:val="009C7AA2"/>
    <w:rsid w:val="009C7B85"/>
    <w:rsid w:val="009C7C0B"/>
    <w:rsid w:val="009C7E4C"/>
    <w:rsid w:val="009C7E65"/>
    <w:rsid w:val="009D003C"/>
    <w:rsid w:val="009D003F"/>
    <w:rsid w:val="009D00F3"/>
    <w:rsid w:val="009D0254"/>
    <w:rsid w:val="009D04E4"/>
    <w:rsid w:val="009D09D1"/>
    <w:rsid w:val="009D0D0E"/>
    <w:rsid w:val="009D0E5E"/>
    <w:rsid w:val="009D0F77"/>
    <w:rsid w:val="009D1268"/>
    <w:rsid w:val="009D18C8"/>
    <w:rsid w:val="009D1A64"/>
    <w:rsid w:val="009D1C0A"/>
    <w:rsid w:val="009D23F4"/>
    <w:rsid w:val="009D24C6"/>
    <w:rsid w:val="009D2AF5"/>
    <w:rsid w:val="009D2B9A"/>
    <w:rsid w:val="009D2F69"/>
    <w:rsid w:val="009D3081"/>
    <w:rsid w:val="009D3376"/>
    <w:rsid w:val="009D3447"/>
    <w:rsid w:val="009D38AD"/>
    <w:rsid w:val="009D3AE2"/>
    <w:rsid w:val="009D3C90"/>
    <w:rsid w:val="009D3F89"/>
    <w:rsid w:val="009D3FFA"/>
    <w:rsid w:val="009D404B"/>
    <w:rsid w:val="009D4380"/>
    <w:rsid w:val="009D4CC1"/>
    <w:rsid w:val="009D4D03"/>
    <w:rsid w:val="009D4D76"/>
    <w:rsid w:val="009D5B91"/>
    <w:rsid w:val="009D5FDC"/>
    <w:rsid w:val="009D6A1B"/>
    <w:rsid w:val="009D6AA7"/>
    <w:rsid w:val="009D6CEA"/>
    <w:rsid w:val="009D739A"/>
    <w:rsid w:val="009D758B"/>
    <w:rsid w:val="009D7667"/>
    <w:rsid w:val="009D792E"/>
    <w:rsid w:val="009E0827"/>
    <w:rsid w:val="009E0DFE"/>
    <w:rsid w:val="009E0E15"/>
    <w:rsid w:val="009E154E"/>
    <w:rsid w:val="009E1824"/>
    <w:rsid w:val="009E191E"/>
    <w:rsid w:val="009E198D"/>
    <w:rsid w:val="009E22C5"/>
    <w:rsid w:val="009E2333"/>
    <w:rsid w:val="009E28E7"/>
    <w:rsid w:val="009E2A93"/>
    <w:rsid w:val="009E2CD1"/>
    <w:rsid w:val="009E31F6"/>
    <w:rsid w:val="009E347F"/>
    <w:rsid w:val="009E3531"/>
    <w:rsid w:val="009E374B"/>
    <w:rsid w:val="009E37D5"/>
    <w:rsid w:val="009E43EC"/>
    <w:rsid w:val="009E4664"/>
    <w:rsid w:val="009E49E2"/>
    <w:rsid w:val="009E4C07"/>
    <w:rsid w:val="009E54A7"/>
    <w:rsid w:val="009E579B"/>
    <w:rsid w:val="009E5882"/>
    <w:rsid w:val="009E5F69"/>
    <w:rsid w:val="009E65B4"/>
    <w:rsid w:val="009E66F4"/>
    <w:rsid w:val="009E68B7"/>
    <w:rsid w:val="009E7014"/>
    <w:rsid w:val="009E711D"/>
    <w:rsid w:val="009E777F"/>
    <w:rsid w:val="009F065F"/>
    <w:rsid w:val="009F0720"/>
    <w:rsid w:val="009F0837"/>
    <w:rsid w:val="009F09D4"/>
    <w:rsid w:val="009F0BA3"/>
    <w:rsid w:val="009F1542"/>
    <w:rsid w:val="009F1610"/>
    <w:rsid w:val="009F1EF1"/>
    <w:rsid w:val="009F1EF8"/>
    <w:rsid w:val="009F21FC"/>
    <w:rsid w:val="009F3693"/>
    <w:rsid w:val="009F3784"/>
    <w:rsid w:val="009F3927"/>
    <w:rsid w:val="009F42D3"/>
    <w:rsid w:val="009F448F"/>
    <w:rsid w:val="009F4850"/>
    <w:rsid w:val="009F4971"/>
    <w:rsid w:val="009F4992"/>
    <w:rsid w:val="009F4A8A"/>
    <w:rsid w:val="009F51BC"/>
    <w:rsid w:val="009F52BD"/>
    <w:rsid w:val="009F56CC"/>
    <w:rsid w:val="009F5782"/>
    <w:rsid w:val="009F5B17"/>
    <w:rsid w:val="009F6119"/>
    <w:rsid w:val="009F6120"/>
    <w:rsid w:val="009F61E5"/>
    <w:rsid w:val="009F6526"/>
    <w:rsid w:val="009F6DF9"/>
    <w:rsid w:val="009F797F"/>
    <w:rsid w:val="009F79E3"/>
    <w:rsid w:val="009F7E7D"/>
    <w:rsid w:val="00A0016B"/>
    <w:rsid w:val="00A00435"/>
    <w:rsid w:val="00A004C3"/>
    <w:rsid w:val="00A00626"/>
    <w:rsid w:val="00A0073C"/>
    <w:rsid w:val="00A00C39"/>
    <w:rsid w:val="00A00D76"/>
    <w:rsid w:val="00A01184"/>
    <w:rsid w:val="00A01275"/>
    <w:rsid w:val="00A01449"/>
    <w:rsid w:val="00A0163A"/>
    <w:rsid w:val="00A01B55"/>
    <w:rsid w:val="00A0212E"/>
    <w:rsid w:val="00A02640"/>
    <w:rsid w:val="00A026D1"/>
    <w:rsid w:val="00A02CCE"/>
    <w:rsid w:val="00A02DAB"/>
    <w:rsid w:val="00A03252"/>
    <w:rsid w:val="00A032C6"/>
    <w:rsid w:val="00A03392"/>
    <w:rsid w:val="00A035D8"/>
    <w:rsid w:val="00A037C2"/>
    <w:rsid w:val="00A03D08"/>
    <w:rsid w:val="00A03D43"/>
    <w:rsid w:val="00A03DEF"/>
    <w:rsid w:val="00A04095"/>
    <w:rsid w:val="00A04099"/>
    <w:rsid w:val="00A04210"/>
    <w:rsid w:val="00A042A1"/>
    <w:rsid w:val="00A04380"/>
    <w:rsid w:val="00A04786"/>
    <w:rsid w:val="00A047C8"/>
    <w:rsid w:val="00A04F3F"/>
    <w:rsid w:val="00A052F7"/>
    <w:rsid w:val="00A05403"/>
    <w:rsid w:val="00A05438"/>
    <w:rsid w:val="00A05472"/>
    <w:rsid w:val="00A059E1"/>
    <w:rsid w:val="00A05B5B"/>
    <w:rsid w:val="00A05B78"/>
    <w:rsid w:val="00A05BCC"/>
    <w:rsid w:val="00A05C32"/>
    <w:rsid w:val="00A06013"/>
    <w:rsid w:val="00A0624B"/>
    <w:rsid w:val="00A06453"/>
    <w:rsid w:val="00A0653F"/>
    <w:rsid w:val="00A06697"/>
    <w:rsid w:val="00A0670D"/>
    <w:rsid w:val="00A06C65"/>
    <w:rsid w:val="00A06F6E"/>
    <w:rsid w:val="00A0753B"/>
    <w:rsid w:val="00A07767"/>
    <w:rsid w:val="00A07BB2"/>
    <w:rsid w:val="00A101C7"/>
    <w:rsid w:val="00A1029A"/>
    <w:rsid w:val="00A10711"/>
    <w:rsid w:val="00A11224"/>
    <w:rsid w:val="00A113B9"/>
    <w:rsid w:val="00A11873"/>
    <w:rsid w:val="00A11CD0"/>
    <w:rsid w:val="00A122E6"/>
    <w:rsid w:val="00A123E0"/>
    <w:rsid w:val="00A12884"/>
    <w:rsid w:val="00A12913"/>
    <w:rsid w:val="00A12BCD"/>
    <w:rsid w:val="00A12C7B"/>
    <w:rsid w:val="00A131EA"/>
    <w:rsid w:val="00A13407"/>
    <w:rsid w:val="00A138E6"/>
    <w:rsid w:val="00A13948"/>
    <w:rsid w:val="00A13C92"/>
    <w:rsid w:val="00A13E0E"/>
    <w:rsid w:val="00A1432F"/>
    <w:rsid w:val="00A1437B"/>
    <w:rsid w:val="00A14464"/>
    <w:rsid w:val="00A146CD"/>
    <w:rsid w:val="00A14758"/>
    <w:rsid w:val="00A148D2"/>
    <w:rsid w:val="00A148DF"/>
    <w:rsid w:val="00A14E53"/>
    <w:rsid w:val="00A152FE"/>
    <w:rsid w:val="00A1555B"/>
    <w:rsid w:val="00A155C5"/>
    <w:rsid w:val="00A1572B"/>
    <w:rsid w:val="00A15817"/>
    <w:rsid w:val="00A1624C"/>
    <w:rsid w:val="00A16423"/>
    <w:rsid w:val="00A16AD8"/>
    <w:rsid w:val="00A16E4D"/>
    <w:rsid w:val="00A17408"/>
    <w:rsid w:val="00A17705"/>
    <w:rsid w:val="00A1776B"/>
    <w:rsid w:val="00A1782D"/>
    <w:rsid w:val="00A1789D"/>
    <w:rsid w:val="00A179AB"/>
    <w:rsid w:val="00A17A24"/>
    <w:rsid w:val="00A2021E"/>
    <w:rsid w:val="00A20596"/>
    <w:rsid w:val="00A208FB"/>
    <w:rsid w:val="00A20907"/>
    <w:rsid w:val="00A2091E"/>
    <w:rsid w:val="00A209C3"/>
    <w:rsid w:val="00A20E34"/>
    <w:rsid w:val="00A21599"/>
    <w:rsid w:val="00A215C5"/>
    <w:rsid w:val="00A21833"/>
    <w:rsid w:val="00A21BA9"/>
    <w:rsid w:val="00A21C04"/>
    <w:rsid w:val="00A21C95"/>
    <w:rsid w:val="00A21CF3"/>
    <w:rsid w:val="00A22233"/>
    <w:rsid w:val="00A222E0"/>
    <w:rsid w:val="00A22403"/>
    <w:rsid w:val="00A23905"/>
    <w:rsid w:val="00A23A1A"/>
    <w:rsid w:val="00A23AA1"/>
    <w:rsid w:val="00A245A3"/>
    <w:rsid w:val="00A24813"/>
    <w:rsid w:val="00A252FE"/>
    <w:rsid w:val="00A258EB"/>
    <w:rsid w:val="00A25B46"/>
    <w:rsid w:val="00A25B4A"/>
    <w:rsid w:val="00A25D03"/>
    <w:rsid w:val="00A25D95"/>
    <w:rsid w:val="00A25E42"/>
    <w:rsid w:val="00A2654E"/>
    <w:rsid w:val="00A27016"/>
    <w:rsid w:val="00A272A6"/>
    <w:rsid w:val="00A273B1"/>
    <w:rsid w:val="00A2754C"/>
    <w:rsid w:val="00A2796A"/>
    <w:rsid w:val="00A279DF"/>
    <w:rsid w:val="00A27AEC"/>
    <w:rsid w:val="00A27B55"/>
    <w:rsid w:val="00A27E61"/>
    <w:rsid w:val="00A3034D"/>
    <w:rsid w:val="00A30470"/>
    <w:rsid w:val="00A307D2"/>
    <w:rsid w:val="00A30AD2"/>
    <w:rsid w:val="00A30F25"/>
    <w:rsid w:val="00A31026"/>
    <w:rsid w:val="00A3126D"/>
    <w:rsid w:val="00A31285"/>
    <w:rsid w:val="00A316BE"/>
    <w:rsid w:val="00A319F5"/>
    <w:rsid w:val="00A320DB"/>
    <w:rsid w:val="00A326BF"/>
    <w:rsid w:val="00A32D30"/>
    <w:rsid w:val="00A32E2A"/>
    <w:rsid w:val="00A33537"/>
    <w:rsid w:val="00A3365E"/>
    <w:rsid w:val="00A338F8"/>
    <w:rsid w:val="00A34068"/>
    <w:rsid w:val="00A3425A"/>
    <w:rsid w:val="00A343F0"/>
    <w:rsid w:val="00A3485D"/>
    <w:rsid w:val="00A34A8F"/>
    <w:rsid w:val="00A34B7A"/>
    <w:rsid w:val="00A34C42"/>
    <w:rsid w:val="00A34D29"/>
    <w:rsid w:val="00A34EAF"/>
    <w:rsid w:val="00A34FEE"/>
    <w:rsid w:val="00A3592E"/>
    <w:rsid w:val="00A3598D"/>
    <w:rsid w:val="00A35D12"/>
    <w:rsid w:val="00A35D16"/>
    <w:rsid w:val="00A35FF8"/>
    <w:rsid w:val="00A3607B"/>
    <w:rsid w:val="00A36739"/>
    <w:rsid w:val="00A36785"/>
    <w:rsid w:val="00A368BF"/>
    <w:rsid w:val="00A36AEB"/>
    <w:rsid w:val="00A36C2A"/>
    <w:rsid w:val="00A36CDE"/>
    <w:rsid w:val="00A374D6"/>
    <w:rsid w:val="00A3797B"/>
    <w:rsid w:val="00A37A43"/>
    <w:rsid w:val="00A37AC2"/>
    <w:rsid w:val="00A37B67"/>
    <w:rsid w:val="00A37BCD"/>
    <w:rsid w:val="00A37F35"/>
    <w:rsid w:val="00A37FA8"/>
    <w:rsid w:val="00A401F9"/>
    <w:rsid w:val="00A40207"/>
    <w:rsid w:val="00A4117D"/>
    <w:rsid w:val="00A41689"/>
    <w:rsid w:val="00A41C8E"/>
    <w:rsid w:val="00A4204D"/>
    <w:rsid w:val="00A4240F"/>
    <w:rsid w:val="00A42592"/>
    <w:rsid w:val="00A426B7"/>
    <w:rsid w:val="00A4281A"/>
    <w:rsid w:val="00A4284D"/>
    <w:rsid w:val="00A428B1"/>
    <w:rsid w:val="00A42C53"/>
    <w:rsid w:val="00A43BC0"/>
    <w:rsid w:val="00A43C59"/>
    <w:rsid w:val="00A43FFA"/>
    <w:rsid w:val="00A44549"/>
    <w:rsid w:val="00A44696"/>
    <w:rsid w:val="00A4489C"/>
    <w:rsid w:val="00A4490B"/>
    <w:rsid w:val="00A44D1C"/>
    <w:rsid w:val="00A44DCA"/>
    <w:rsid w:val="00A45387"/>
    <w:rsid w:val="00A453FD"/>
    <w:rsid w:val="00A4543E"/>
    <w:rsid w:val="00A4552A"/>
    <w:rsid w:val="00A4563C"/>
    <w:rsid w:val="00A4578F"/>
    <w:rsid w:val="00A4596D"/>
    <w:rsid w:val="00A45C66"/>
    <w:rsid w:val="00A45DA8"/>
    <w:rsid w:val="00A4605B"/>
    <w:rsid w:val="00A46394"/>
    <w:rsid w:val="00A4645C"/>
    <w:rsid w:val="00A4669D"/>
    <w:rsid w:val="00A466A9"/>
    <w:rsid w:val="00A469D6"/>
    <w:rsid w:val="00A471B1"/>
    <w:rsid w:val="00A47CE0"/>
    <w:rsid w:val="00A47EC3"/>
    <w:rsid w:val="00A50492"/>
    <w:rsid w:val="00A50603"/>
    <w:rsid w:val="00A5061E"/>
    <w:rsid w:val="00A50BAC"/>
    <w:rsid w:val="00A50CCB"/>
    <w:rsid w:val="00A50ECD"/>
    <w:rsid w:val="00A50F03"/>
    <w:rsid w:val="00A50F3F"/>
    <w:rsid w:val="00A51164"/>
    <w:rsid w:val="00A51251"/>
    <w:rsid w:val="00A514B3"/>
    <w:rsid w:val="00A515A9"/>
    <w:rsid w:val="00A516F2"/>
    <w:rsid w:val="00A518F3"/>
    <w:rsid w:val="00A51B47"/>
    <w:rsid w:val="00A51C66"/>
    <w:rsid w:val="00A52671"/>
    <w:rsid w:val="00A5267A"/>
    <w:rsid w:val="00A52729"/>
    <w:rsid w:val="00A53012"/>
    <w:rsid w:val="00A531A9"/>
    <w:rsid w:val="00A53634"/>
    <w:rsid w:val="00A53675"/>
    <w:rsid w:val="00A55202"/>
    <w:rsid w:val="00A5548D"/>
    <w:rsid w:val="00A55602"/>
    <w:rsid w:val="00A5579A"/>
    <w:rsid w:val="00A55EF3"/>
    <w:rsid w:val="00A56055"/>
    <w:rsid w:val="00A564D7"/>
    <w:rsid w:val="00A56810"/>
    <w:rsid w:val="00A56883"/>
    <w:rsid w:val="00A56B6A"/>
    <w:rsid w:val="00A57585"/>
    <w:rsid w:val="00A575B9"/>
    <w:rsid w:val="00A575FA"/>
    <w:rsid w:val="00A578DC"/>
    <w:rsid w:val="00A579B6"/>
    <w:rsid w:val="00A57BDB"/>
    <w:rsid w:val="00A57F7B"/>
    <w:rsid w:val="00A603ED"/>
    <w:rsid w:val="00A613C5"/>
    <w:rsid w:val="00A61815"/>
    <w:rsid w:val="00A61B2B"/>
    <w:rsid w:val="00A61BEE"/>
    <w:rsid w:val="00A61D7C"/>
    <w:rsid w:val="00A62BB3"/>
    <w:rsid w:val="00A62DED"/>
    <w:rsid w:val="00A62FAC"/>
    <w:rsid w:val="00A6324B"/>
    <w:rsid w:val="00A633ED"/>
    <w:rsid w:val="00A6388A"/>
    <w:rsid w:val="00A640E2"/>
    <w:rsid w:val="00A64242"/>
    <w:rsid w:val="00A642A6"/>
    <w:rsid w:val="00A64988"/>
    <w:rsid w:val="00A64B4E"/>
    <w:rsid w:val="00A64D65"/>
    <w:rsid w:val="00A64DE1"/>
    <w:rsid w:val="00A64F24"/>
    <w:rsid w:val="00A6597C"/>
    <w:rsid w:val="00A65BBE"/>
    <w:rsid w:val="00A65C57"/>
    <w:rsid w:val="00A6615D"/>
    <w:rsid w:val="00A66165"/>
    <w:rsid w:val="00A66A2E"/>
    <w:rsid w:val="00A67224"/>
    <w:rsid w:val="00A6725B"/>
    <w:rsid w:val="00A7027E"/>
    <w:rsid w:val="00A70342"/>
    <w:rsid w:val="00A7051D"/>
    <w:rsid w:val="00A70605"/>
    <w:rsid w:val="00A70FCA"/>
    <w:rsid w:val="00A716D1"/>
    <w:rsid w:val="00A71A2A"/>
    <w:rsid w:val="00A71B7F"/>
    <w:rsid w:val="00A71BB9"/>
    <w:rsid w:val="00A71CCC"/>
    <w:rsid w:val="00A71F77"/>
    <w:rsid w:val="00A71F86"/>
    <w:rsid w:val="00A723B5"/>
    <w:rsid w:val="00A723EE"/>
    <w:rsid w:val="00A7243A"/>
    <w:rsid w:val="00A7296F"/>
    <w:rsid w:val="00A72B1A"/>
    <w:rsid w:val="00A72EE8"/>
    <w:rsid w:val="00A72F47"/>
    <w:rsid w:val="00A72F5C"/>
    <w:rsid w:val="00A73134"/>
    <w:rsid w:val="00A73598"/>
    <w:rsid w:val="00A7365A"/>
    <w:rsid w:val="00A7436D"/>
    <w:rsid w:val="00A74DF9"/>
    <w:rsid w:val="00A74E5D"/>
    <w:rsid w:val="00A74F29"/>
    <w:rsid w:val="00A751A1"/>
    <w:rsid w:val="00A75572"/>
    <w:rsid w:val="00A7561A"/>
    <w:rsid w:val="00A75925"/>
    <w:rsid w:val="00A76001"/>
    <w:rsid w:val="00A7612E"/>
    <w:rsid w:val="00A7651C"/>
    <w:rsid w:val="00A76880"/>
    <w:rsid w:val="00A768E4"/>
    <w:rsid w:val="00A768ED"/>
    <w:rsid w:val="00A76F9A"/>
    <w:rsid w:val="00A7709A"/>
    <w:rsid w:val="00A770ED"/>
    <w:rsid w:val="00A777B2"/>
    <w:rsid w:val="00A77C16"/>
    <w:rsid w:val="00A80265"/>
    <w:rsid w:val="00A80509"/>
    <w:rsid w:val="00A809F9"/>
    <w:rsid w:val="00A80CFF"/>
    <w:rsid w:val="00A81460"/>
    <w:rsid w:val="00A81B83"/>
    <w:rsid w:val="00A81DAA"/>
    <w:rsid w:val="00A81F63"/>
    <w:rsid w:val="00A82397"/>
    <w:rsid w:val="00A825D4"/>
    <w:rsid w:val="00A828F6"/>
    <w:rsid w:val="00A82B73"/>
    <w:rsid w:val="00A82E37"/>
    <w:rsid w:val="00A8329E"/>
    <w:rsid w:val="00A8355E"/>
    <w:rsid w:val="00A83B75"/>
    <w:rsid w:val="00A83BE0"/>
    <w:rsid w:val="00A83CEE"/>
    <w:rsid w:val="00A83E41"/>
    <w:rsid w:val="00A84AD1"/>
    <w:rsid w:val="00A84CCA"/>
    <w:rsid w:val="00A8508C"/>
    <w:rsid w:val="00A851D5"/>
    <w:rsid w:val="00A8529D"/>
    <w:rsid w:val="00A8601E"/>
    <w:rsid w:val="00A860A3"/>
    <w:rsid w:val="00A8646B"/>
    <w:rsid w:val="00A86875"/>
    <w:rsid w:val="00A86E8B"/>
    <w:rsid w:val="00A870D3"/>
    <w:rsid w:val="00A87164"/>
    <w:rsid w:val="00A871A9"/>
    <w:rsid w:val="00A87885"/>
    <w:rsid w:val="00A87975"/>
    <w:rsid w:val="00A87C06"/>
    <w:rsid w:val="00A90041"/>
    <w:rsid w:val="00A903C6"/>
    <w:rsid w:val="00A90591"/>
    <w:rsid w:val="00A90C33"/>
    <w:rsid w:val="00A92707"/>
    <w:rsid w:val="00A9282A"/>
    <w:rsid w:val="00A92A30"/>
    <w:rsid w:val="00A92A60"/>
    <w:rsid w:val="00A92D1A"/>
    <w:rsid w:val="00A93072"/>
    <w:rsid w:val="00A9317D"/>
    <w:rsid w:val="00A9342B"/>
    <w:rsid w:val="00A9385C"/>
    <w:rsid w:val="00A938BD"/>
    <w:rsid w:val="00A93953"/>
    <w:rsid w:val="00A939AF"/>
    <w:rsid w:val="00A93BD4"/>
    <w:rsid w:val="00A93EB7"/>
    <w:rsid w:val="00A93EBE"/>
    <w:rsid w:val="00A93F03"/>
    <w:rsid w:val="00A9469F"/>
    <w:rsid w:val="00A94828"/>
    <w:rsid w:val="00A94CBC"/>
    <w:rsid w:val="00A95215"/>
    <w:rsid w:val="00A959D8"/>
    <w:rsid w:val="00A96206"/>
    <w:rsid w:val="00A96208"/>
    <w:rsid w:val="00A96EE8"/>
    <w:rsid w:val="00A96F11"/>
    <w:rsid w:val="00A97913"/>
    <w:rsid w:val="00A97B42"/>
    <w:rsid w:val="00A97E30"/>
    <w:rsid w:val="00AA0401"/>
    <w:rsid w:val="00AA0989"/>
    <w:rsid w:val="00AA0BEA"/>
    <w:rsid w:val="00AA0CAB"/>
    <w:rsid w:val="00AA113D"/>
    <w:rsid w:val="00AA1A77"/>
    <w:rsid w:val="00AA2CF6"/>
    <w:rsid w:val="00AA306D"/>
    <w:rsid w:val="00AA320C"/>
    <w:rsid w:val="00AA3282"/>
    <w:rsid w:val="00AA3551"/>
    <w:rsid w:val="00AA41E6"/>
    <w:rsid w:val="00AA426B"/>
    <w:rsid w:val="00AA45DC"/>
    <w:rsid w:val="00AA4955"/>
    <w:rsid w:val="00AA4989"/>
    <w:rsid w:val="00AA4A21"/>
    <w:rsid w:val="00AA4F1C"/>
    <w:rsid w:val="00AA51F3"/>
    <w:rsid w:val="00AA53FC"/>
    <w:rsid w:val="00AA5877"/>
    <w:rsid w:val="00AA600B"/>
    <w:rsid w:val="00AA61F6"/>
    <w:rsid w:val="00AA6432"/>
    <w:rsid w:val="00AA646C"/>
    <w:rsid w:val="00AA655A"/>
    <w:rsid w:val="00AA6649"/>
    <w:rsid w:val="00AA6793"/>
    <w:rsid w:val="00AA6BD5"/>
    <w:rsid w:val="00AA6BD8"/>
    <w:rsid w:val="00AA6C7D"/>
    <w:rsid w:val="00AA6FA6"/>
    <w:rsid w:val="00AA739C"/>
    <w:rsid w:val="00AA7616"/>
    <w:rsid w:val="00AA7809"/>
    <w:rsid w:val="00AA786B"/>
    <w:rsid w:val="00AA7FD6"/>
    <w:rsid w:val="00AB005B"/>
    <w:rsid w:val="00AB02E4"/>
    <w:rsid w:val="00AB042A"/>
    <w:rsid w:val="00AB044D"/>
    <w:rsid w:val="00AB05B4"/>
    <w:rsid w:val="00AB06AC"/>
    <w:rsid w:val="00AB0C3D"/>
    <w:rsid w:val="00AB1035"/>
    <w:rsid w:val="00AB11AD"/>
    <w:rsid w:val="00AB1485"/>
    <w:rsid w:val="00AB1565"/>
    <w:rsid w:val="00AB15CE"/>
    <w:rsid w:val="00AB1609"/>
    <w:rsid w:val="00AB16B4"/>
    <w:rsid w:val="00AB19EF"/>
    <w:rsid w:val="00AB23D7"/>
    <w:rsid w:val="00AB2495"/>
    <w:rsid w:val="00AB2535"/>
    <w:rsid w:val="00AB2A2C"/>
    <w:rsid w:val="00AB2AA0"/>
    <w:rsid w:val="00AB2B4E"/>
    <w:rsid w:val="00AB2D34"/>
    <w:rsid w:val="00AB2EC0"/>
    <w:rsid w:val="00AB3424"/>
    <w:rsid w:val="00AB3427"/>
    <w:rsid w:val="00AB3430"/>
    <w:rsid w:val="00AB34C9"/>
    <w:rsid w:val="00AB35D3"/>
    <w:rsid w:val="00AB368F"/>
    <w:rsid w:val="00AB37B9"/>
    <w:rsid w:val="00AB389F"/>
    <w:rsid w:val="00AB3A95"/>
    <w:rsid w:val="00AB3B90"/>
    <w:rsid w:val="00AB4540"/>
    <w:rsid w:val="00AB4620"/>
    <w:rsid w:val="00AB4AD1"/>
    <w:rsid w:val="00AB4E6D"/>
    <w:rsid w:val="00AB569E"/>
    <w:rsid w:val="00AB5D0C"/>
    <w:rsid w:val="00AB5E07"/>
    <w:rsid w:val="00AB614A"/>
    <w:rsid w:val="00AB61B5"/>
    <w:rsid w:val="00AB6FA3"/>
    <w:rsid w:val="00AB70B2"/>
    <w:rsid w:val="00AB710E"/>
    <w:rsid w:val="00AB713A"/>
    <w:rsid w:val="00AB7152"/>
    <w:rsid w:val="00AB7299"/>
    <w:rsid w:val="00AB7350"/>
    <w:rsid w:val="00AB751C"/>
    <w:rsid w:val="00AB7A2B"/>
    <w:rsid w:val="00AB7CFA"/>
    <w:rsid w:val="00AB7DBD"/>
    <w:rsid w:val="00AC0360"/>
    <w:rsid w:val="00AC04EE"/>
    <w:rsid w:val="00AC0788"/>
    <w:rsid w:val="00AC0F32"/>
    <w:rsid w:val="00AC1036"/>
    <w:rsid w:val="00AC125D"/>
    <w:rsid w:val="00AC1437"/>
    <w:rsid w:val="00AC1449"/>
    <w:rsid w:val="00AC1EA7"/>
    <w:rsid w:val="00AC2692"/>
    <w:rsid w:val="00AC26EC"/>
    <w:rsid w:val="00AC2767"/>
    <w:rsid w:val="00AC2E34"/>
    <w:rsid w:val="00AC3273"/>
    <w:rsid w:val="00AC32E9"/>
    <w:rsid w:val="00AC357E"/>
    <w:rsid w:val="00AC422C"/>
    <w:rsid w:val="00AC46F6"/>
    <w:rsid w:val="00AC56F6"/>
    <w:rsid w:val="00AC5B42"/>
    <w:rsid w:val="00AC5B48"/>
    <w:rsid w:val="00AC5D3F"/>
    <w:rsid w:val="00AC5D69"/>
    <w:rsid w:val="00AC6277"/>
    <w:rsid w:val="00AC7046"/>
    <w:rsid w:val="00AC737B"/>
    <w:rsid w:val="00AC7C69"/>
    <w:rsid w:val="00AC7D99"/>
    <w:rsid w:val="00AD01B2"/>
    <w:rsid w:val="00AD03AE"/>
    <w:rsid w:val="00AD0482"/>
    <w:rsid w:val="00AD0647"/>
    <w:rsid w:val="00AD0741"/>
    <w:rsid w:val="00AD0C68"/>
    <w:rsid w:val="00AD0CD7"/>
    <w:rsid w:val="00AD0D78"/>
    <w:rsid w:val="00AD0E3E"/>
    <w:rsid w:val="00AD1450"/>
    <w:rsid w:val="00AD15E8"/>
    <w:rsid w:val="00AD16BC"/>
    <w:rsid w:val="00AD228D"/>
    <w:rsid w:val="00AD22DE"/>
    <w:rsid w:val="00AD2B83"/>
    <w:rsid w:val="00AD2D25"/>
    <w:rsid w:val="00AD2F59"/>
    <w:rsid w:val="00AD325C"/>
    <w:rsid w:val="00AD33BE"/>
    <w:rsid w:val="00AD356D"/>
    <w:rsid w:val="00AD35B1"/>
    <w:rsid w:val="00AD3608"/>
    <w:rsid w:val="00AD3C88"/>
    <w:rsid w:val="00AD3FD6"/>
    <w:rsid w:val="00AD4AF9"/>
    <w:rsid w:val="00AD4F55"/>
    <w:rsid w:val="00AD5C98"/>
    <w:rsid w:val="00AD5FA0"/>
    <w:rsid w:val="00AD60A1"/>
    <w:rsid w:val="00AD622D"/>
    <w:rsid w:val="00AD6502"/>
    <w:rsid w:val="00AD6AB5"/>
    <w:rsid w:val="00AD6B42"/>
    <w:rsid w:val="00AD6F91"/>
    <w:rsid w:val="00AD73C4"/>
    <w:rsid w:val="00AD780E"/>
    <w:rsid w:val="00AE0084"/>
    <w:rsid w:val="00AE023D"/>
    <w:rsid w:val="00AE024E"/>
    <w:rsid w:val="00AE050B"/>
    <w:rsid w:val="00AE0515"/>
    <w:rsid w:val="00AE0544"/>
    <w:rsid w:val="00AE0611"/>
    <w:rsid w:val="00AE0695"/>
    <w:rsid w:val="00AE0923"/>
    <w:rsid w:val="00AE1373"/>
    <w:rsid w:val="00AE14FF"/>
    <w:rsid w:val="00AE1964"/>
    <w:rsid w:val="00AE196A"/>
    <w:rsid w:val="00AE1C58"/>
    <w:rsid w:val="00AE1E66"/>
    <w:rsid w:val="00AE1E79"/>
    <w:rsid w:val="00AE1FB5"/>
    <w:rsid w:val="00AE23D5"/>
    <w:rsid w:val="00AE2613"/>
    <w:rsid w:val="00AE277C"/>
    <w:rsid w:val="00AE2939"/>
    <w:rsid w:val="00AE298D"/>
    <w:rsid w:val="00AE2C7A"/>
    <w:rsid w:val="00AE2E3B"/>
    <w:rsid w:val="00AE35B7"/>
    <w:rsid w:val="00AE3E7E"/>
    <w:rsid w:val="00AE41AE"/>
    <w:rsid w:val="00AE4446"/>
    <w:rsid w:val="00AE4AD0"/>
    <w:rsid w:val="00AE4B1A"/>
    <w:rsid w:val="00AE4CC2"/>
    <w:rsid w:val="00AE4FF1"/>
    <w:rsid w:val="00AE53E4"/>
    <w:rsid w:val="00AE5914"/>
    <w:rsid w:val="00AE5FB1"/>
    <w:rsid w:val="00AE60FE"/>
    <w:rsid w:val="00AE64D1"/>
    <w:rsid w:val="00AE6656"/>
    <w:rsid w:val="00AE66AF"/>
    <w:rsid w:val="00AE66E5"/>
    <w:rsid w:val="00AE6774"/>
    <w:rsid w:val="00AE71B1"/>
    <w:rsid w:val="00AE7433"/>
    <w:rsid w:val="00AE75BF"/>
    <w:rsid w:val="00AE7957"/>
    <w:rsid w:val="00AE7E53"/>
    <w:rsid w:val="00AF00ED"/>
    <w:rsid w:val="00AF0222"/>
    <w:rsid w:val="00AF05F1"/>
    <w:rsid w:val="00AF0C2E"/>
    <w:rsid w:val="00AF0E61"/>
    <w:rsid w:val="00AF105C"/>
    <w:rsid w:val="00AF1315"/>
    <w:rsid w:val="00AF133D"/>
    <w:rsid w:val="00AF145A"/>
    <w:rsid w:val="00AF19BF"/>
    <w:rsid w:val="00AF1CB1"/>
    <w:rsid w:val="00AF1DCC"/>
    <w:rsid w:val="00AF1FBB"/>
    <w:rsid w:val="00AF2519"/>
    <w:rsid w:val="00AF2BA6"/>
    <w:rsid w:val="00AF2C38"/>
    <w:rsid w:val="00AF2DC3"/>
    <w:rsid w:val="00AF2DF6"/>
    <w:rsid w:val="00AF2F2D"/>
    <w:rsid w:val="00AF3CDE"/>
    <w:rsid w:val="00AF3ECC"/>
    <w:rsid w:val="00AF4449"/>
    <w:rsid w:val="00AF4616"/>
    <w:rsid w:val="00AF4785"/>
    <w:rsid w:val="00AF4910"/>
    <w:rsid w:val="00AF4A89"/>
    <w:rsid w:val="00AF4B3F"/>
    <w:rsid w:val="00AF4BA7"/>
    <w:rsid w:val="00AF50A0"/>
    <w:rsid w:val="00AF5244"/>
    <w:rsid w:val="00AF5315"/>
    <w:rsid w:val="00AF5951"/>
    <w:rsid w:val="00AF62AB"/>
    <w:rsid w:val="00AF6CD5"/>
    <w:rsid w:val="00AF6E43"/>
    <w:rsid w:val="00AF7D22"/>
    <w:rsid w:val="00B000D0"/>
    <w:rsid w:val="00B001A1"/>
    <w:rsid w:val="00B007E5"/>
    <w:rsid w:val="00B00CAB"/>
    <w:rsid w:val="00B01025"/>
    <w:rsid w:val="00B011C0"/>
    <w:rsid w:val="00B02128"/>
    <w:rsid w:val="00B0225C"/>
    <w:rsid w:val="00B022E1"/>
    <w:rsid w:val="00B0255D"/>
    <w:rsid w:val="00B02563"/>
    <w:rsid w:val="00B02B9D"/>
    <w:rsid w:val="00B02BEC"/>
    <w:rsid w:val="00B033E5"/>
    <w:rsid w:val="00B03589"/>
    <w:rsid w:val="00B03A63"/>
    <w:rsid w:val="00B03FC1"/>
    <w:rsid w:val="00B0439E"/>
    <w:rsid w:val="00B05AFD"/>
    <w:rsid w:val="00B05DC7"/>
    <w:rsid w:val="00B071E8"/>
    <w:rsid w:val="00B073E5"/>
    <w:rsid w:val="00B075C3"/>
    <w:rsid w:val="00B07B38"/>
    <w:rsid w:val="00B07E0B"/>
    <w:rsid w:val="00B07EB4"/>
    <w:rsid w:val="00B102C5"/>
    <w:rsid w:val="00B105EF"/>
    <w:rsid w:val="00B1101D"/>
    <w:rsid w:val="00B11376"/>
    <w:rsid w:val="00B11605"/>
    <w:rsid w:val="00B118A5"/>
    <w:rsid w:val="00B11FF9"/>
    <w:rsid w:val="00B12195"/>
    <w:rsid w:val="00B1236B"/>
    <w:rsid w:val="00B129A4"/>
    <w:rsid w:val="00B12DB6"/>
    <w:rsid w:val="00B12E46"/>
    <w:rsid w:val="00B13493"/>
    <w:rsid w:val="00B13781"/>
    <w:rsid w:val="00B138AF"/>
    <w:rsid w:val="00B13BA2"/>
    <w:rsid w:val="00B13D35"/>
    <w:rsid w:val="00B13EFC"/>
    <w:rsid w:val="00B1434E"/>
    <w:rsid w:val="00B1479F"/>
    <w:rsid w:val="00B14E7F"/>
    <w:rsid w:val="00B16022"/>
    <w:rsid w:val="00B16225"/>
    <w:rsid w:val="00B16912"/>
    <w:rsid w:val="00B1694E"/>
    <w:rsid w:val="00B16B4C"/>
    <w:rsid w:val="00B16BA2"/>
    <w:rsid w:val="00B16C01"/>
    <w:rsid w:val="00B16C11"/>
    <w:rsid w:val="00B16D3A"/>
    <w:rsid w:val="00B17583"/>
    <w:rsid w:val="00B17884"/>
    <w:rsid w:val="00B17A0E"/>
    <w:rsid w:val="00B17C6C"/>
    <w:rsid w:val="00B17D0A"/>
    <w:rsid w:val="00B17D32"/>
    <w:rsid w:val="00B17DF3"/>
    <w:rsid w:val="00B17E3F"/>
    <w:rsid w:val="00B17EAC"/>
    <w:rsid w:val="00B201A4"/>
    <w:rsid w:val="00B201D1"/>
    <w:rsid w:val="00B20630"/>
    <w:rsid w:val="00B20CFA"/>
    <w:rsid w:val="00B20D01"/>
    <w:rsid w:val="00B20F46"/>
    <w:rsid w:val="00B210B6"/>
    <w:rsid w:val="00B213A6"/>
    <w:rsid w:val="00B215E4"/>
    <w:rsid w:val="00B21819"/>
    <w:rsid w:val="00B218AA"/>
    <w:rsid w:val="00B21B99"/>
    <w:rsid w:val="00B224A9"/>
    <w:rsid w:val="00B2265A"/>
    <w:rsid w:val="00B22A77"/>
    <w:rsid w:val="00B22B2C"/>
    <w:rsid w:val="00B22BEF"/>
    <w:rsid w:val="00B22D46"/>
    <w:rsid w:val="00B2319B"/>
    <w:rsid w:val="00B231E7"/>
    <w:rsid w:val="00B23213"/>
    <w:rsid w:val="00B23520"/>
    <w:rsid w:val="00B235B0"/>
    <w:rsid w:val="00B23BCC"/>
    <w:rsid w:val="00B23DD2"/>
    <w:rsid w:val="00B23F7F"/>
    <w:rsid w:val="00B242AD"/>
    <w:rsid w:val="00B24606"/>
    <w:rsid w:val="00B24A5F"/>
    <w:rsid w:val="00B24DF6"/>
    <w:rsid w:val="00B24FD0"/>
    <w:rsid w:val="00B25588"/>
    <w:rsid w:val="00B25671"/>
    <w:rsid w:val="00B259AC"/>
    <w:rsid w:val="00B25AD0"/>
    <w:rsid w:val="00B25B07"/>
    <w:rsid w:val="00B261C7"/>
    <w:rsid w:val="00B26221"/>
    <w:rsid w:val="00B26270"/>
    <w:rsid w:val="00B268EE"/>
    <w:rsid w:val="00B26912"/>
    <w:rsid w:val="00B269F7"/>
    <w:rsid w:val="00B277FE"/>
    <w:rsid w:val="00B27A61"/>
    <w:rsid w:val="00B27A81"/>
    <w:rsid w:val="00B27BAC"/>
    <w:rsid w:val="00B27CA9"/>
    <w:rsid w:val="00B31020"/>
    <w:rsid w:val="00B310A8"/>
    <w:rsid w:val="00B31DB2"/>
    <w:rsid w:val="00B32107"/>
    <w:rsid w:val="00B32141"/>
    <w:rsid w:val="00B3282C"/>
    <w:rsid w:val="00B32AC5"/>
    <w:rsid w:val="00B33193"/>
    <w:rsid w:val="00B33A85"/>
    <w:rsid w:val="00B33CF1"/>
    <w:rsid w:val="00B33DF9"/>
    <w:rsid w:val="00B33ECF"/>
    <w:rsid w:val="00B33F7D"/>
    <w:rsid w:val="00B341EF"/>
    <w:rsid w:val="00B34240"/>
    <w:rsid w:val="00B342AB"/>
    <w:rsid w:val="00B343ED"/>
    <w:rsid w:val="00B34819"/>
    <w:rsid w:val="00B34A36"/>
    <w:rsid w:val="00B34AFA"/>
    <w:rsid w:val="00B34C15"/>
    <w:rsid w:val="00B34FE2"/>
    <w:rsid w:val="00B35166"/>
    <w:rsid w:val="00B35526"/>
    <w:rsid w:val="00B357D8"/>
    <w:rsid w:val="00B35995"/>
    <w:rsid w:val="00B35E4F"/>
    <w:rsid w:val="00B36046"/>
    <w:rsid w:val="00B360F4"/>
    <w:rsid w:val="00B3641F"/>
    <w:rsid w:val="00B36A00"/>
    <w:rsid w:val="00B37102"/>
    <w:rsid w:val="00B37663"/>
    <w:rsid w:val="00B37921"/>
    <w:rsid w:val="00B3792B"/>
    <w:rsid w:val="00B379D3"/>
    <w:rsid w:val="00B37BFC"/>
    <w:rsid w:val="00B37CD6"/>
    <w:rsid w:val="00B37E1E"/>
    <w:rsid w:val="00B37EF2"/>
    <w:rsid w:val="00B40116"/>
    <w:rsid w:val="00B40304"/>
    <w:rsid w:val="00B40358"/>
    <w:rsid w:val="00B40B7D"/>
    <w:rsid w:val="00B40D0E"/>
    <w:rsid w:val="00B40FC2"/>
    <w:rsid w:val="00B41459"/>
    <w:rsid w:val="00B41614"/>
    <w:rsid w:val="00B4167C"/>
    <w:rsid w:val="00B41719"/>
    <w:rsid w:val="00B41A7A"/>
    <w:rsid w:val="00B41B83"/>
    <w:rsid w:val="00B420D7"/>
    <w:rsid w:val="00B421EA"/>
    <w:rsid w:val="00B4242B"/>
    <w:rsid w:val="00B42851"/>
    <w:rsid w:val="00B42C52"/>
    <w:rsid w:val="00B42F80"/>
    <w:rsid w:val="00B4309E"/>
    <w:rsid w:val="00B430C9"/>
    <w:rsid w:val="00B434B7"/>
    <w:rsid w:val="00B435CB"/>
    <w:rsid w:val="00B43E2D"/>
    <w:rsid w:val="00B4409D"/>
    <w:rsid w:val="00B440B6"/>
    <w:rsid w:val="00B44341"/>
    <w:rsid w:val="00B446D6"/>
    <w:rsid w:val="00B44867"/>
    <w:rsid w:val="00B4488B"/>
    <w:rsid w:val="00B448D7"/>
    <w:rsid w:val="00B45009"/>
    <w:rsid w:val="00B4542A"/>
    <w:rsid w:val="00B45556"/>
    <w:rsid w:val="00B465A2"/>
    <w:rsid w:val="00B465EC"/>
    <w:rsid w:val="00B46AD6"/>
    <w:rsid w:val="00B46AEB"/>
    <w:rsid w:val="00B476DF"/>
    <w:rsid w:val="00B4783B"/>
    <w:rsid w:val="00B47DC7"/>
    <w:rsid w:val="00B505C8"/>
    <w:rsid w:val="00B50955"/>
    <w:rsid w:val="00B50A6F"/>
    <w:rsid w:val="00B50DAB"/>
    <w:rsid w:val="00B50DB8"/>
    <w:rsid w:val="00B50E22"/>
    <w:rsid w:val="00B50E7B"/>
    <w:rsid w:val="00B50FAF"/>
    <w:rsid w:val="00B5137A"/>
    <w:rsid w:val="00B5175C"/>
    <w:rsid w:val="00B51AF5"/>
    <w:rsid w:val="00B51C92"/>
    <w:rsid w:val="00B522B1"/>
    <w:rsid w:val="00B52512"/>
    <w:rsid w:val="00B52552"/>
    <w:rsid w:val="00B52AA8"/>
    <w:rsid w:val="00B52BD1"/>
    <w:rsid w:val="00B52F64"/>
    <w:rsid w:val="00B53385"/>
    <w:rsid w:val="00B53654"/>
    <w:rsid w:val="00B53815"/>
    <w:rsid w:val="00B53877"/>
    <w:rsid w:val="00B53905"/>
    <w:rsid w:val="00B5399D"/>
    <w:rsid w:val="00B53EF7"/>
    <w:rsid w:val="00B543A5"/>
    <w:rsid w:val="00B5451E"/>
    <w:rsid w:val="00B546DB"/>
    <w:rsid w:val="00B54B5B"/>
    <w:rsid w:val="00B54C09"/>
    <w:rsid w:val="00B54EB3"/>
    <w:rsid w:val="00B55061"/>
    <w:rsid w:val="00B55160"/>
    <w:rsid w:val="00B5540A"/>
    <w:rsid w:val="00B55489"/>
    <w:rsid w:val="00B55498"/>
    <w:rsid w:val="00B554F8"/>
    <w:rsid w:val="00B55609"/>
    <w:rsid w:val="00B5562E"/>
    <w:rsid w:val="00B55862"/>
    <w:rsid w:val="00B55D65"/>
    <w:rsid w:val="00B56305"/>
    <w:rsid w:val="00B5634A"/>
    <w:rsid w:val="00B5656E"/>
    <w:rsid w:val="00B565C0"/>
    <w:rsid w:val="00B56662"/>
    <w:rsid w:val="00B56C64"/>
    <w:rsid w:val="00B56E05"/>
    <w:rsid w:val="00B56EA0"/>
    <w:rsid w:val="00B56EFD"/>
    <w:rsid w:val="00B57000"/>
    <w:rsid w:val="00B571A4"/>
    <w:rsid w:val="00B572F0"/>
    <w:rsid w:val="00B576D2"/>
    <w:rsid w:val="00B579C4"/>
    <w:rsid w:val="00B579E8"/>
    <w:rsid w:val="00B57E06"/>
    <w:rsid w:val="00B57EE8"/>
    <w:rsid w:val="00B57F91"/>
    <w:rsid w:val="00B6013C"/>
    <w:rsid w:val="00B6053B"/>
    <w:rsid w:val="00B605A2"/>
    <w:rsid w:val="00B605FC"/>
    <w:rsid w:val="00B607FA"/>
    <w:rsid w:val="00B60831"/>
    <w:rsid w:val="00B60877"/>
    <w:rsid w:val="00B60939"/>
    <w:rsid w:val="00B60AFD"/>
    <w:rsid w:val="00B60CA7"/>
    <w:rsid w:val="00B60FE1"/>
    <w:rsid w:val="00B614F1"/>
    <w:rsid w:val="00B6199C"/>
    <w:rsid w:val="00B61A23"/>
    <w:rsid w:val="00B61C53"/>
    <w:rsid w:val="00B61D20"/>
    <w:rsid w:val="00B61E6B"/>
    <w:rsid w:val="00B61F12"/>
    <w:rsid w:val="00B62390"/>
    <w:rsid w:val="00B62715"/>
    <w:rsid w:val="00B62728"/>
    <w:rsid w:val="00B6397F"/>
    <w:rsid w:val="00B641BF"/>
    <w:rsid w:val="00B642C8"/>
    <w:rsid w:val="00B64913"/>
    <w:rsid w:val="00B65346"/>
    <w:rsid w:val="00B65611"/>
    <w:rsid w:val="00B657E8"/>
    <w:rsid w:val="00B65D00"/>
    <w:rsid w:val="00B6626F"/>
    <w:rsid w:val="00B66473"/>
    <w:rsid w:val="00B664D3"/>
    <w:rsid w:val="00B6688A"/>
    <w:rsid w:val="00B66907"/>
    <w:rsid w:val="00B66B91"/>
    <w:rsid w:val="00B66CF8"/>
    <w:rsid w:val="00B66E6A"/>
    <w:rsid w:val="00B672C0"/>
    <w:rsid w:val="00B673C7"/>
    <w:rsid w:val="00B67438"/>
    <w:rsid w:val="00B67475"/>
    <w:rsid w:val="00B67A07"/>
    <w:rsid w:val="00B67BDC"/>
    <w:rsid w:val="00B67C94"/>
    <w:rsid w:val="00B70043"/>
    <w:rsid w:val="00B706DB"/>
    <w:rsid w:val="00B70962"/>
    <w:rsid w:val="00B70E8E"/>
    <w:rsid w:val="00B7132B"/>
    <w:rsid w:val="00B716C6"/>
    <w:rsid w:val="00B71D8D"/>
    <w:rsid w:val="00B71DE4"/>
    <w:rsid w:val="00B720AD"/>
    <w:rsid w:val="00B72112"/>
    <w:rsid w:val="00B721AA"/>
    <w:rsid w:val="00B724ED"/>
    <w:rsid w:val="00B72717"/>
    <w:rsid w:val="00B7284A"/>
    <w:rsid w:val="00B72873"/>
    <w:rsid w:val="00B728B4"/>
    <w:rsid w:val="00B728D2"/>
    <w:rsid w:val="00B72F68"/>
    <w:rsid w:val="00B73437"/>
    <w:rsid w:val="00B73ED3"/>
    <w:rsid w:val="00B73FB3"/>
    <w:rsid w:val="00B74243"/>
    <w:rsid w:val="00B74485"/>
    <w:rsid w:val="00B744C9"/>
    <w:rsid w:val="00B74839"/>
    <w:rsid w:val="00B74E65"/>
    <w:rsid w:val="00B760F8"/>
    <w:rsid w:val="00B761BA"/>
    <w:rsid w:val="00B7637F"/>
    <w:rsid w:val="00B76587"/>
    <w:rsid w:val="00B769D5"/>
    <w:rsid w:val="00B76C92"/>
    <w:rsid w:val="00B7746E"/>
    <w:rsid w:val="00B77475"/>
    <w:rsid w:val="00B77702"/>
    <w:rsid w:val="00B7793A"/>
    <w:rsid w:val="00B7797E"/>
    <w:rsid w:val="00B77E86"/>
    <w:rsid w:val="00B80065"/>
    <w:rsid w:val="00B8011F"/>
    <w:rsid w:val="00B80311"/>
    <w:rsid w:val="00B807EA"/>
    <w:rsid w:val="00B808DA"/>
    <w:rsid w:val="00B80E01"/>
    <w:rsid w:val="00B80EFD"/>
    <w:rsid w:val="00B818A4"/>
    <w:rsid w:val="00B819DB"/>
    <w:rsid w:val="00B824B5"/>
    <w:rsid w:val="00B824D5"/>
    <w:rsid w:val="00B826A4"/>
    <w:rsid w:val="00B82C7E"/>
    <w:rsid w:val="00B83199"/>
    <w:rsid w:val="00B83739"/>
    <w:rsid w:val="00B84117"/>
    <w:rsid w:val="00B84759"/>
    <w:rsid w:val="00B84960"/>
    <w:rsid w:val="00B84D27"/>
    <w:rsid w:val="00B84D80"/>
    <w:rsid w:val="00B84F97"/>
    <w:rsid w:val="00B8526C"/>
    <w:rsid w:val="00B85320"/>
    <w:rsid w:val="00B858F0"/>
    <w:rsid w:val="00B8592E"/>
    <w:rsid w:val="00B85AA2"/>
    <w:rsid w:val="00B85DB1"/>
    <w:rsid w:val="00B85EE6"/>
    <w:rsid w:val="00B8649C"/>
    <w:rsid w:val="00B86824"/>
    <w:rsid w:val="00B8695D"/>
    <w:rsid w:val="00B86E39"/>
    <w:rsid w:val="00B87885"/>
    <w:rsid w:val="00B878B0"/>
    <w:rsid w:val="00B87978"/>
    <w:rsid w:val="00B87CD5"/>
    <w:rsid w:val="00B87EA0"/>
    <w:rsid w:val="00B87F0A"/>
    <w:rsid w:val="00B9013F"/>
    <w:rsid w:val="00B90264"/>
    <w:rsid w:val="00B90359"/>
    <w:rsid w:val="00B905C8"/>
    <w:rsid w:val="00B9072F"/>
    <w:rsid w:val="00B90820"/>
    <w:rsid w:val="00B90898"/>
    <w:rsid w:val="00B908F2"/>
    <w:rsid w:val="00B90949"/>
    <w:rsid w:val="00B9096D"/>
    <w:rsid w:val="00B909E1"/>
    <w:rsid w:val="00B90C48"/>
    <w:rsid w:val="00B90DE0"/>
    <w:rsid w:val="00B910A2"/>
    <w:rsid w:val="00B91201"/>
    <w:rsid w:val="00B91580"/>
    <w:rsid w:val="00B915D1"/>
    <w:rsid w:val="00B91BAE"/>
    <w:rsid w:val="00B91BB8"/>
    <w:rsid w:val="00B928D8"/>
    <w:rsid w:val="00B928DF"/>
    <w:rsid w:val="00B9295E"/>
    <w:rsid w:val="00B92A85"/>
    <w:rsid w:val="00B92BC9"/>
    <w:rsid w:val="00B92D0B"/>
    <w:rsid w:val="00B92DA0"/>
    <w:rsid w:val="00B9338A"/>
    <w:rsid w:val="00B939EE"/>
    <w:rsid w:val="00B93D55"/>
    <w:rsid w:val="00B93E97"/>
    <w:rsid w:val="00B94063"/>
    <w:rsid w:val="00B94070"/>
    <w:rsid w:val="00B9483A"/>
    <w:rsid w:val="00B948CF"/>
    <w:rsid w:val="00B94945"/>
    <w:rsid w:val="00B94DD6"/>
    <w:rsid w:val="00B951C7"/>
    <w:rsid w:val="00B953CF"/>
    <w:rsid w:val="00B95CA6"/>
    <w:rsid w:val="00B95F7A"/>
    <w:rsid w:val="00B96607"/>
    <w:rsid w:val="00B9667B"/>
    <w:rsid w:val="00B966C1"/>
    <w:rsid w:val="00B9687A"/>
    <w:rsid w:val="00B96AC1"/>
    <w:rsid w:val="00B97227"/>
    <w:rsid w:val="00B976EC"/>
    <w:rsid w:val="00B977D2"/>
    <w:rsid w:val="00B97858"/>
    <w:rsid w:val="00B97956"/>
    <w:rsid w:val="00B979BC"/>
    <w:rsid w:val="00B97B21"/>
    <w:rsid w:val="00BA03D5"/>
    <w:rsid w:val="00BA04C5"/>
    <w:rsid w:val="00BA0BAD"/>
    <w:rsid w:val="00BA0DFB"/>
    <w:rsid w:val="00BA111C"/>
    <w:rsid w:val="00BA113D"/>
    <w:rsid w:val="00BA1A9A"/>
    <w:rsid w:val="00BA1AF8"/>
    <w:rsid w:val="00BA1CC5"/>
    <w:rsid w:val="00BA22F0"/>
    <w:rsid w:val="00BA232D"/>
    <w:rsid w:val="00BA2942"/>
    <w:rsid w:val="00BA2DD3"/>
    <w:rsid w:val="00BA2E2E"/>
    <w:rsid w:val="00BA3189"/>
    <w:rsid w:val="00BA3209"/>
    <w:rsid w:val="00BA322D"/>
    <w:rsid w:val="00BA36AF"/>
    <w:rsid w:val="00BA3FD5"/>
    <w:rsid w:val="00BA41ED"/>
    <w:rsid w:val="00BA4698"/>
    <w:rsid w:val="00BA4A16"/>
    <w:rsid w:val="00BA4BF8"/>
    <w:rsid w:val="00BA4C1C"/>
    <w:rsid w:val="00BA4E1A"/>
    <w:rsid w:val="00BA4E1C"/>
    <w:rsid w:val="00BA5454"/>
    <w:rsid w:val="00BA565C"/>
    <w:rsid w:val="00BA5726"/>
    <w:rsid w:val="00BA57A1"/>
    <w:rsid w:val="00BA598C"/>
    <w:rsid w:val="00BA6103"/>
    <w:rsid w:val="00BA6378"/>
    <w:rsid w:val="00BA63D1"/>
    <w:rsid w:val="00BA63FA"/>
    <w:rsid w:val="00BA660B"/>
    <w:rsid w:val="00BA6921"/>
    <w:rsid w:val="00BA6996"/>
    <w:rsid w:val="00BA6E57"/>
    <w:rsid w:val="00BA7420"/>
    <w:rsid w:val="00BA7A7A"/>
    <w:rsid w:val="00BA7D0F"/>
    <w:rsid w:val="00BA7FC9"/>
    <w:rsid w:val="00BB00B3"/>
    <w:rsid w:val="00BB0579"/>
    <w:rsid w:val="00BB05D9"/>
    <w:rsid w:val="00BB0BDD"/>
    <w:rsid w:val="00BB0C08"/>
    <w:rsid w:val="00BB0DD7"/>
    <w:rsid w:val="00BB14F6"/>
    <w:rsid w:val="00BB1601"/>
    <w:rsid w:val="00BB176C"/>
    <w:rsid w:val="00BB1A42"/>
    <w:rsid w:val="00BB1D59"/>
    <w:rsid w:val="00BB27F2"/>
    <w:rsid w:val="00BB29BE"/>
    <w:rsid w:val="00BB2A73"/>
    <w:rsid w:val="00BB2C96"/>
    <w:rsid w:val="00BB37F0"/>
    <w:rsid w:val="00BB3949"/>
    <w:rsid w:val="00BB3A45"/>
    <w:rsid w:val="00BB44EA"/>
    <w:rsid w:val="00BB458E"/>
    <w:rsid w:val="00BB45A5"/>
    <w:rsid w:val="00BB4ACC"/>
    <w:rsid w:val="00BB4B84"/>
    <w:rsid w:val="00BB513E"/>
    <w:rsid w:val="00BB53F2"/>
    <w:rsid w:val="00BB55C4"/>
    <w:rsid w:val="00BB5EB4"/>
    <w:rsid w:val="00BB60C2"/>
    <w:rsid w:val="00BB6193"/>
    <w:rsid w:val="00BB6BA4"/>
    <w:rsid w:val="00BB703E"/>
    <w:rsid w:val="00BB71D6"/>
    <w:rsid w:val="00BB732D"/>
    <w:rsid w:val="00BB73FF"/>
    <w:rsid w:val="00BB7405"/>
    <w:rsid w:val="00BB7787"/>
    <w:rsid w:val="00BC0122"/>
    <w:rsid w:val="00BC0428"/>
    <w:rsid w:val="00BC063F"/>
    <w:rsid w:val="00BC068D"/>
    <w:rsid w:val="00BC08B9"/>
    <w:rsid w:val="00BC0C10"/>
    <w:rsid w:val="00BC0D38"/>
    <w:rsid w:val="00BC0F9E"/>
    <w:rsid w:val="00BC122D"/>
    <w:rsid w:val="00BC12CB"/>
    <w:rsid w:val="00BC14E5"/>
    <w:rsid w:val="00BC15E3"/>
    <w:rsid w:val="00BC166C"/>
    <w:rsid w:val="00BC1A71"/>
    <w:rsid w:val="00BC1A79"/>
    <w:rsid w:val="00BC1C2F"/>
    <w:rsid w:val="00BC1D07"/>
    <w:rsid w:val="00BC1EF4"/>
    <w:rsid w:val="00BC2083"/>
    <w:rsid w:val="00BC20A0"/>
    <w:rsid w:val="00BC22F0"/>
    <w:rsid w:val="00BC2361"/>
    <w:rsid w:val="00BC25BE"/>
    <w:rsid w:val="00BC2E50"/>
    <w:rsid w:val="00BC2E61"/>
    <w:rsid w:val="00BC2F52"/>
    <w:rsid w:val="00BC3631"/>
    <w:rsid w:val="00BC3662"/>
    <w:rsid w:val="00BC38DC"/>
    <w:rsid w:val="00BC3E49"/>
    <w:rsid w:val="00BC3EFE"/>
    <w:rsid w:val="00BC3F98"/>
    <w:rsid w:val="00BC4258"/>
    <w:rsid w:val="00BC44CA"/>
    <w:rsid w:val="00BC4515"/>
    <w:rsid w:val="00BC4572"/>
    <w:rsid w:val="00BC4721"/>
    <w:rsid w:val="00BC4774"/>
    <w:rsid w:val="00BC49ED"/>
    <w:rsid w:val="00BC4DC1"/>
    <w:rsid w:val="00BC5016"/>
    <w:rsid w:val="00BC5293"/>
    <w:rsid w:val="00BC591F"/>
    <w:rsid w:val="00BC5932"/>
    <w:rsid w:val="00BC5D96"/>
    <w:rsid w:val="00BC6385"/>
    <w:rsid w:val="00BC6947"/>
    <w:rsid w:val="00BC730F"/>
    <w:rsid w:val="00BC733E"/>
    <w:rsid w:val="00BC7AE2"/>
    <w:rsid w:val="00BC7D6D"/>
    <w:rsid w:val="00BC7E2C"/>
    <w:rsid w:val="00BD0380"/>
    <w:rsid w:val="00BD064B"/>
    <w:rsid w:val="00BD078C"/>
    <w:rsid w:val="00BD0AE5"/>
    <w:rsid w:val="00BD1325"/>
    <w:rsid w:val="00BD133E"/>
    <w:rsid w:val="00BD1C5F"/>
    <w:rsid w:val="00BD1D2A"/>
    <w:rsid w:val="00BD2108"/>
    <w:rsid w:val="00BD2232"/>
    <w:rsid w:val="00BD285D"/>
    <w:rsid w:val="00BD28A3"/>
    <w:rsid w:val="00BD29A2"/>
    <w:rsid w:val="00BD2DD7"/>
    <w:rsid w:val="00BD307E"/>
    <w:rsid w:val="00BD37C8"/>
    <w:rsid w:val="00BD391B"/>
    <w:rsid w:val="00BD3AA1"/>
    <w:rsid w:val="00BD3EA9"/>
    <w:rsid w:val="00BD439F"/>
    <w:rsid w:val="00BD463F"/>
    <w:rsid w:val="00BD47E2"/>
    <w:rsid w:val="00BD5148"/>
    <w:rsid w:val="00BD56BF"/>
    <w:rsid w:val="00BD5AE3"/>
    <w:rsid w:val="00BD5D6D"/>
    <w:rsid w:val="00BD6411"/>
    <w:rsid w:val="00BD68A3"/>
    <w:rsid w:val="00BD6938"/>
    <w:rsid w:val="00BD6CF3"/>
    <w:rsid w:val="00BD6F64"/>
    <w:rsid w:val="00BD709C"/>
    <w:rsid w:val="00BD7C44"/>
    <w:rsid w:val="00BD7C51"/>
    <w:rsid w:val="00BD7E16"/>
    <w:rsid w:val="00BD7F72"/>
    <w:rsid w:val="00BE0902"/>
    <w:rsid w:val="00BE0939"/>
    <w:rsid w:val="00BE0947"/>
    <w:rsid w:val="00BE0ADB"/>
    <w:rsid w:val="00BE0D07"/>
    <w:rsid w:val="00BE0ECA"/>
    <w:rsid w:val="00BE14FE"/>
    <w:rsid w:val="00BE15B0"/>
    <w:rsid w:val="00BE15D4"/>
    <w:rsid w:val="00BE165E"/>
    <w:rsid w:val="00BE18B5"/>
    <w:rsid w:val="00BE1D43"/>
    <w:rsid w:val="00BE1F89"/>
    <w:rsid w:val="00BE2180"/>
    <w:rsid w:val="00BE21F2"/>
    <w:rsid w:val="00BE235B"/>
    <w:rsid w:val="00BE38C0"/>
    <w:rsid w:val="00BE3BC1"/>
    <w:rsid w:val="00BE3CD9"/>
    <w:rsid w:val="00BE4166"/>
    <w:rsid w:val="00BE4275"/>
    <w:rsid w:val="00BE4700"/>
    <w:rsid w:val="00BE48CC"/>
    <w:rsid w:val="00BE4ABE"/>
    <w:rsid w:val="00BE4BA4"/>
    <w:rsid w:val="00BE4F2D"/>
    <w:rsid w:val="00BE571F"/>
    <w:rsid w:val="00BE609A"/>
    <w:rsid w:val="00BE60E0"/>
    <w:rsid w:val="00BE62E1"/>
    <w:rsid w:val="00BE6540"/>
    <w:rsid w:val="00BE68C3"/>
    <w:rsid w:val="00BE6DA4"/>
    <w:rsid w:val="00BE703D"/>
    <w:rsid w:val="00BE728F"/>
    <w:rsid w:val="00BE75FF"/>
    <w:rsid w:val="00BE7663"/>
    <w:rsid w:val="00BE7AB2"/>
    <w:rsid w:val="00BF0366"/>
    <w:rsid w:val="00BF06AE"/>
    <w:rsid w:val="00BF0AA2"/>
    <w:rsid w:val="00BF0B66"/>
    <w:rsid w:val="00BF0D27"/>
    <w:rsid w:val="00BF0F95"/>
    <w:rsid w:val="00BF12D3"/>
    <w:rsid w:val="00BF1548"/>
    <w:rsid w:val="00BF1848"/>
    <w:rsid w:val="00BF1BF6"/>
    <w:rsid w:val="00BF1E64"/>
    <w:rsid w:val="00BF1F3F"/>
    <w:rsid w:val="00BF208F"/>
    <w:rsid w:val="00BF2433"/>
    <w:rsid w:val="00BF25D7"/>
    <w:rsid w:val="00BF2743"/>
    <w:rsid w:val="00BF28AB"/>
    <w:rsid w:val="00BF2A15"/>
    <w:rsid w:val="00BF2E6E"/>
    <w:rsid w:val="00BF2FD7"/>
    <w:rsid w:val="00BF30CA"/>
    <w:rsid w:val="00BF3A31"/>
    <w:rsid w:val="00BF3FE5"/>
    <w:rsid w:val="00BF402C"/>
    <w:rsid w:val="00BF4093"/>
    <w:rsid w:val="00BF449D"/>
    <w:rsid w:val="00BF49FD"/>
    <w:rsid w:val="00BF4BD2"/>
    <w:rsid w:val="00BF4E6D"/>
    <w:rsid w:val="00BF5944"/>
    <w:rsid w:val="00BF598D"/>
    <w:rsid w:val="00BF5D15"/>
    <w:rsid w:val="00BF5FAB"/>
    <w:rsid w:val="00BF61C9"/>
    <w:rsid w:val="00BF6544"/>
    <w:rsid w:val="00BF66F2"/>
    <w:rsid w:val="00BF6B43"/>
    <w:rsid w:val="00BF6C94"/>
    <w:rsid w:val="00BF6E93"/>
    <w:rsid w:val="00BF7CCD"/>
    <w:rsid w:val="00BF7F9C"/>
    <w:rsid w:val="00C000DC"/>
    <w:rsid w:val="00C00424"/>
    <w:rsid w:val="00C0054D"/>
    <w:rsid w:val="00C009C9"/>
    <w:rsid w:val="00C00BB0"/>
    <w:rsid w:val="00C010F9"/>
    <w:rsid w:val="00C01B9B"/>
    <w:rsid w:val="00C022CB"/>
    <w:rsid w:val="00C02B07"/>
    <w:rsid w:val="00C033EA"/>
    <w:rsid w:val="00C039E8"/>
    <w:rsid w:val="00C03B0E"/>
    <w:rsid w:val="00C043AD"/>
    <w:rsid w:val="00C046CB"/>
    <w:rsid w:val="00C04C47"/>
    <w:rsid w:val="00C04C4F"/>
    <w:rsid w:val="00C04CB4"/>
    <w:rsid w:val="00C054A5"/>
    <w:rsid w:val="00C0563F"/>
    <w:rsid w:val="00C059F9"/>
    <w:rsid w:val="00C05BE2"/>
    <w:rsid w:val="00C05C42"/>
    <w:rsid w:val="00C05F5A"/>
    <w:rsid w:val="00C05FFD"/>
    <w:rsid w:val="00C06131"/>
    <w:rsid w:val="00C06612"/>
    <w:rsid w:val="00C06648"/>
    <w:rsid w:val="00C06B1F"/>
    <w:rsid w:val="00C07194"/>
    <w:rsid w:val="00C07550"/>
    <w:rsid w:val="00C0774D"/>
    <w:rsid w:val="00C07A93"/>
    <w:rsid w:val="00C07FC4"/>
    <w:rsid w:val="00C108BA"/>
    <w:rsid w:val="00C10921"/>
    <w:rsid w:val="00C10A3E"/>
    <w:rsid w:val="00C10C7E"/>
    <w:rsid w:val="00C10E64"/>
    <w:rsid w:val="00C110D5"/>
    <w:rsid w:val="00C111D1"/>
    <w:rsid w:val="00C114D3"/>
    <w:rsid w:val="00C1179F"/>
    <w:rsid w:val="00C11910"/>
    <w:rsid w:val="00C11D88"/>
    <w:rsid w:val="00C127B9"/>
    <w:rsid w:val="00C128FA"/>
    <w:rsid w:val="00C12A41"/>
    <w:rsid w:val="00C12C14"/>
    <w:rsid w:val="00C12C29"/>
    <w:rsid w:val="00C12C35"/>
    <w:rsid w:val="00C132DA"/>
    <w:rsid w:val="00C132F6"/>
    <w:rsid w:val="00C1416F"/>
    <w:rsid w:val="00C143B5"/>
    <w:rsid w:val="00C145C2"/>
    <w:rsid w:val="00C14622"/>
    <w:rsid w:val="00C1462D"/>
    <w:rsid w:val="00C147AB"/>
    <w:rsid w:val="00C14846"/>
    <w:rsid w:val="00C14AB1"/>
    <w:rsid w:val="00C14C36"/>
    <w:rsid w:val="00C1544F"/>
    <w:rsid w:val="00C15825"/>
    <w:rsid w:val="00C15D6E"/>
    <w:rsid w:val="00C15F04"/>
    <w:rsid w:val="00C15FB0"/>
    <w:rsid w:val="00C162B2"/>
    <w:rsid w:val="00C16AB4"/>
    <w:rsid w:val="00C16BA3"/>
    <w:rsid w:val="00C16C8F"/>
    <w:rsid w:val="00C1758F"/>
    <w:rsid w:val="00C179B3"/>
    <w:rsid w:val="00C17E3F"/>
    <w:rsid w:val="00C17EB2"/>
    <w:rsid w:val="00C200AA"/>
    <w:rsid w:val="00C20577"/>
    <w:rsid w:val="00C20696"/>
    <w:rsid w:val="00C20846"/>
    <w:rsid w:val="00C20D8B"/>
    <w:rsid w:val="00C212E5"/>
    <w:rsid w:val="00C214BF"/>
    <w:rsid w:val="00C21865"/>
    <w:rsid w:val="00C21B07"/>
    <w:rsid w:val="00C21F64"/>
    <w:rsid w:val="00C2212E"/>
    <w:rsid w:val="00C226A2"/>
    <w:rsid w:val="00C22BB5"/>
    <w:rsid w:val="00C22D70"/>
    <w:rsid w:val="00C23149"/>
    <w:rsid w:val="00C236E2"/>
    <w:rsid w:val="00C237ED"/>
    <w:rsid w:val="00C23AA3"/>
    <w:rsid w:val="00C244B2"/>
    <w:rsid w:val="00C2461F"/>
    <w:rsid w:val="00C24632"/>
    <w:rsid w:val="00C2494B"/>
    <w:rsid w:val="00C250A1"/>
    <w:rsid w:val="00C2516D"/>
    <w:rsid w:val="00C2538E"/>
    <w:rsid w:val="00C25418"/>
    <w:rsid w:val="00C259EB"/>
    <w:rsid w:val="00C25D9C"/>
    <w:rsid w:val="00C2636A"/>
    <w:rsid w:val="00C269AD"/>
    <w:rsid w:val="00C26DB9"/>
    <w:rsid w:val="00C26F6C"/>
    <w:rsid w:val="00C27085"/>
    <w:rsid w:val="00C27363"/>
    <w:rsid w:val="00C2778B"/>
    <w:rsid w:val="00C277FD"/>
    <w:rsid w:val="00C27963"/>
    <w:rsid w:val="00C27E5C"/>
    <w:rsid w:val="00C27F4E"/>
    <w:rsid w:val="00C30851"/>
    <w:rsid w:val="00C30C8F"/>
    <w:rsid w:val="00C315C7"/>
    <w:rsid w:val="00C31649"/>
    <w:rsid w:val="00C31970"/>
    <w:rsid w:val="00C31AE0"/>
    <w:rsid w:val="00C31C1A"/>
    <w:rsid w:val="00C32652"/>
    <w:rsid w:val="00C3274A"/>
    <w:rsid w:val="00C3298E"/>
    <w:rsid w:val="00C329BE"/>
    <w:rsid w:val="00C32B6D"/>
    <w:rsid w:val="00C32B9A"/>
    <w:rsid w:val="00C32F99"/>
    <w:rsid w:val="00C33033"/>
    <w:rsid w:val="00C33196"/>
    <w:rsid w:val="00C336A8"/>
    <w:rsid w:val="00C338D8"/>
    <w:rsid w:val="00C33A73"/>
    <w:rsid w:val="00C33B09"/>
    <w:rsid w:val="00C3434C"/>
    <w:rsid w:val="00C345D5"/>
    <w:rsid w:val="00C346C8"/>
    <w:rsid w:val="00C3483F"/>
    <w:rsid w:val="00C34A36"/>
    <w:rsid w:val="00C34B3D"/>
    <w:rsid w:val="00C34C1A"/>
    <w:rsid w:val="00C34CDC"/>
    <w:rsid w:val="00C353A9"/>
    <w:rsid w:val="00C357F2"/>
    <w:rsid w:val="00C3658C"/>
    <w:rsid w:val="00C36710"/>
    <w:rsid w:val="00C369CB"/>
    <w:rsid w:val="00C37EF1"/>
    <w:rsid w:val="00C37F97"/>
    <w:rsid w:val="00C40032"/>
    <w:rsid w:val="00C40385"/>
    <w:rsid w:val="00C404DF"/>
    <w:rsid w:val="00C40631"/>
    <w:rsid w:val="00C4083B"/>
    <w:rsid w:val="00C408EF"/>
    <w:rsid w:val="00C40A7A"/>
    <w:rsid w:val="00C40D70"/>
    <w:rsid w:val="00C410DE"/>
    <w:rsid w:val="00C411D3"/>
    <w:rsid w:val="00C41520"/>
    <w:rsid w:val="00C41768"/>
    <w:rsid w:val="00C41771"/>
    <w:rsid w:val="00C41F26"/>
    <w:rsid w:val="00C421F4"/>
    <w:rsid w:val="00C42595"/>
    <w:rsid w:val="00C42628"/>
    <w:rsid w:val="00C426D6"/>
    <w:rsid w:val="00C42776"/>
    <w:rsid w:val="00C42C5F"/>
    <w:rsid w:val="00C42CEC"/>
    <w:rsid w:val="00C42E15"/>
    <w:rsid w:val="00C43051"/>
    <w:rsid w:val="00C4344E"/>
    <w:rsid w:val="00C435FA"/>
    <w:rsid w:val="00C436A1"/>
    <w:rsid w:val="00C43762"/>
    <w:rsid w:val="00C439A9"/>
    <w:rsid w:val="00C4401A"/>
    <w:rsid w:val="00C442CF"/>
    <w:rsid w:val="00C44650"/>
    <w:rsid w:val="00C45065"/>
    <w:rsid w:val="00C45414"/>
    <w:rsid w:val="00C45F39"/>
    <w:rsid w:val="00C4661C"/>
    <w:rsid w:val="00C46D45"/>
    <w:rsid w:val="00C46E88"/>
    <w:rsid w:val="00C475AA"/>
    <w:rsid w:val="00C4762E"/>
    <w:rsid w:val="00C47B01"/>
    <w:rsid w:val="00C47D6E"/>
    <w:rsid w:val="00C47DA0"/>
    <w:rsid w:val="00C47F6E"/>
    <w:rsid w:val="00C47FF6"/>
    <w:rsid w:val="00C50325"/>
    <w:rsid w:val="00C50973"/>
    <w:rsid w:val="00C50A6E"/>
    <w:rsid w:val="00C51143"/>
    <w:rsid w:val="00C51E09"/>
    <w:rsid w:val="00C527C7"/>
    <w:rsid w:val="00C5334E"/>
    <w:rsid w:val="00C533E1"/>
    <w:rsid w:val="00C5379B"/>
    <w:rsid w:val="00C53C98"/>
    <w:rsid w:val="00C541C8"/>
    <w:rsid w:val="00C5426A"/>
    <w:rsid w:val="00C54E01"/>
    <w:rsid w:val="00C55AB9"/>
    <w:rsid w:val="00C55E18"/>
    <w:rsid w:val="00C569DF"/>
    <w:rsid w:val="00C56AA8"/>
    <w:rsid w:val="00C56C2C"/>
    <w:rsid w:val="00C56DA6"/>
    <w:rsid w:val="00C56FCF"/>
    <w:rsid w:val="00C5795C"/>
    <w:rsid w:val="00C57A23"/>
    <w:rsid w:val="00C57B6C"/>
    <w:rsid w:val="00C57FDF"/>
    <w:rsid w:val="00C602BE"/>
    <w:rsid w:val="00C60797"/>
    <w:rsid w:val="00C607A2"/>
    <w:rsid w:val="00C60AA0"/>
    <w:rsid w:val="00C60B33"/>
    <w:rsid w:val="00C611C6"/>
    <w:rsid w:val="00C613FB"/>
    <w:rsid w:val="00C6182A"/>
    <w:rsid w:val="00C6188A"/>
    <w:rsid w:val="00C61A59"/>
    <w:rsid w:val="00C621BA"/>
    <w:rsid w:val="00C628A6"/>
    <w:rsid w:val="00C62A2B"/>
    <w:rsid w:val="00C62C5E"/>
    <w:rsid w:val="00C6384E"/>
    <w:rsid w:val="00C63A3E"/>
    <w:rsid w:val="00C63AC1"/>
    <w:rsid w:val="00C63EE8"/>
    <w:rsid w:val="00C63F3F"/>
    <w:rsid w:val="00C6415F"/>
    <w:rsid w:val="00C64344"/>
    <w:rsid w:val="00C643BB"/>
    <w:rsid w:val="00C64B58"/>
    <w:rsid w:val="00C65108"/>
    <w:rsid w:val="00C6531F"/>
    <w:rsid w:val="00C65576"/>
    <w:rsid w:val="00C65ABE"/>
    <w:rsid w:val="00C66165"/>
    <w:rsid w:val="00C662B7"/>
    <w:rsid w:val="00C66327"/>
    <w:rsid w:val="00C66407"/>
    <w:rsid w:val="00C66583"/>
    <w:rsid w:val="00C665C1"/>
    <w:rsid w:val="00C67109"/>
    <w:rsid w:val="00C67197"/>
    <w:rsid w:val="00C671E7"/>
    <w:rsid w:val="00C67740"/>
    <w:rsid w:val="00C67F8D"/>
    <w:rsid w:val="00C701DE"/>
    <w:rsid w:val="00C70416"/>
    <w:rsid w:val="00C7060A"/>
    <w:rsid w:val="00C71089"/>
    <w:rsid w:val="00C7151A"/>
    <w:rsid w:val="00C717E3"/>
    <w:rsid w:val="00C71AE9"/>
    <w:rsid w:val="00C71B5E"/>
    <w:rsid w:val="00C71C4F"/>
    <w:rsid w:val="00C71C75"/>
    <w:rsid w:val="00C71F60"/>
    <w:rsid w:val="00C72016"/>
    <w:rsid w:val="00C72241"/>
    <w:rsid w:val="00C7266F"/>
    <w:rsid w:val="00C726A1"/>
    <w:rsid w:val="00C72F15"/>
    <w:rsid w:val="00C7358D"/>
    <w:rsid w:val="00C736FD"/>
    <w:rsid w:val="00C73DAB"/>
    <w:rsid w:val="00C741A7"/>
    <w:rsid w:val="00C74240"/>
    <w:rsid w:val="00C7441A"/>
    <w:rsid w:val="00C74A2C"/>
    <w:rsid w:val="00C750C8"/>
    <w:rsid w:val="00C75258"/>
    <w:rsid w:val="00C7560F"/>
    <w:rsid w:val="00C75656"/>
    <w:rsid w:val="00C760E4"/>
    <w:rsid w:val="00C76411"/>
    <w:rsid w:val="00C76641"/>
    <w:rsid w:val="00C7689E"/>
    <w:rsid w:val="00C76A73"/>
    <w:rsid w:val="00C76AAB"/>
    <w:rsid w:val="00C76B7E"/>
    <w:rsid w:val="00C76C0D"/>
    <w:rsid w:val="00C77053"/>
    <w:rsid w:val="00C77438"/>
    <w:rsid w:val="00C77470"/>
    <w:rsid w:val="00C778B2"/>
    <w:rsid w:val="00C77983"/>
    <w:rsid w:val="00C77BA9"/>
    <w:rsid w:val="00C77BC5"/>
    <w:rsid w:val="00C8000C"/>
    <w:rsid w:val="00C80A0E"/>
    <w:rsid w:val="00C80E65"/>
    <w:rsid w:val="00C81AEA"/>
    <w:rsid w:val="00C81C0A"/>
    <w:rsid w:val="00C8213F"/>
    <w:rsid w:val="00C829B8"/>
    <w:rsid w:val="00C8303F"/>
    <w:rsid w:val="00C83153"/>
    <w:rsid w:val="00C831F2"/>
    <w:rsid w:val="00C83805"/>
    <w:rsid w:val="00C83E10"/>
    <w:rsid w:val="00C83FFE"/>
    <w:rsid w:val="00C845C0"/>
    <w:rsid w:val="00C84EC4"/>
    <w:rsid w:val="00C85154"/>
    <w:rsid w:val="00C8584E"/>
    <w:rsid w:val="00C85A70"/>
    <w:rsid w:val="00C85D5B"/>
    <w:rsid w:val="00C85FD3"/>
    <w:rsid w:val="00C864B9"/>
    <w:rsid w:val="00C86795"/>
    <w:rsid w:val="00C86B38"/>
    <w:rsid w:val="00C86C2E"/>
    <w:rsid w:val="00C86C61"/>
    <w:rsid w:val="00C86EAA"/>
    <w:rsid w:val="00C86FD3"/>
    <w:rsid w:val="00C87021"/>
    <w:rsid w:val="00C8763C"/>
    <w:rsid w:val="00C8797A"/>
    <w:rsid w:val="00C87B04"/>
    <w:rsid w:val="00C900B8"/>
    <w:rsid w:val="00C90197"/>
    <w:rsid w:val="00C9019F"/>
    <w:rsid w:val="00C9088A"/>
    <w:rsid w:val="00C90C38"/>
    <w:rsid w:val="00C90C71"/>
    <w:rsid w:val="00C90CB9"/>
    <w:rsid w:val="00C9150F"/>
    <w:rsid w:val="00C91FD1"/>
    <w:rsid w:val="00C921FF"/>
    <w:rsid w:val="00C92494"/>
    <w:rsid w:val="00C92B36"/>
    <w:rsid w:val="00C92E73"/>
    <w:rsid w:val="00C930D2"/>
    <w:rsid w:val="00C931CF"/>
    <w:rsid w:val="00C9338F"/>
    <w:rsid w:val="00C93429"/>
    <w:rsid w:val="00C93727"/>
    <w:rsid w:val="00C938CF"/>
    <w:rsid w:val="00C939D5"/>
    <w:rsid w:val="00C93BA7"/>
    <w:rsid w:val="00C93C25"/>
    <w:rsid w:val="00C93DB1"/>
    <w:rsid w:val="00C94053"/>
    <w:rsid w:val="00C9450F"/>
    <w:rsid w:val="00C94C73"/>
    <w:rsid w:val="00C95181"/>
    <w:rsid w:val="00C953D8"/>
    <w:rsid w:val="00C95426"/>
    <w:rsid w:val="00C95BC7"/>
    <w:rsid w:val="00C9624D"/>
    <w:rsid w:val="00C9628C"/>
    <w:rsid w:val="00C96586"/>
    <w:rsid w:val="00C9699F"/>
    <w:rsid w:val="00C969DA"/>
    <w:rsid w:val="00C96FE6"/>
    <w:rsid w:val="00C973FB"/>
    <w:rsid w:val="00C976BB"/>
    <w:rsid w:val="00CA03E3"/>
    <w:rsid w:val="00CA0A53"/>
    <w:rsid w:val="00CA0C2A"/>
    <w:rsid w:val="00CA0FC4"/>
    <w:rsid w:val="00CA138A"/>
    <w:rsid w:val="00CA1994"/>
    <w:rsid w:val="00CA1A8D"/>
    <w:rsid w:val="00CA2048"/>
    <w:rsid w:val="00CA21A5"/>
    <w:rsid w:val="00CA2381"/>
    <w:rsid w:val="00CA2386"/>
    <w:rsid w:val="00CA27EE"/>
    <w:rsid w:val="00CA28D7"/>
    <w:rsid w:val="00CA2C77"/>
    <w:rsid w:val="00CA387B"/>
    <w:rsid w:val="00CA3ADD"/>
    <w:rsid w:val="00CA3B04"/>
    <w:rsid w:val="00CA3BAC"/>
    <w:rsid w:val="00CA3CDB"/>
    <w:rsid w:val="00CA4363"/>
    <w:rsid w:val="00CA444F"/>
    <w:rsid w:val="00CA451A"/>
    <w:rsid w:val="00CA460C"/>
    <w:rsid w:val="00CA4AA2"/>
    <w:rsid w:val="00CA4DF5"/>
    <w:rsid w:val="00CA50BE"/>
    <w:rsid w:val="00CA50E1"/>
    <w:rsid w:val="00CA5245"/>
    <w:rsid w:val="00CA53E0"/>
    <w:rsid w:val="00CA55FE"/>
    <w:rsid w:val="00CA5676"/>
    <w:rsid w:val="00CA56EE"/>
    <w:rsid w:val="00CA5CF9"/>
    <w:rsid w:val="00CA6617"/>
    <w:rsid w:val="00CA68AC"/>
    <w:rsid w:val="00CA6A93"/>
    <w:rsid w:val="00CA6DAD"/>
    <w:rsid w:val="00CA7101"/>
    <w:rsid w:val="00CA71F4"/>
    <w:rsid w:val="00CA760B"/>
    <w:rsid w:val="00CA7863"/>
    <w:rsid w:val="00CA79F3"/>
    <w:rsid w:val="00CA7B09"/>
    <w:rsid w:val="00CB0031"/>
    <w:rsid w:val="00CB0081"/>
    <w:rsid w:val="00CB00D1"/>
    <w:rsid w:val="00CB0365"/>
    <w:rsid w:val="00CB0531"/>
    <w:rsid w:val="00CB0988"/>
    <w:rsid w:val="00CB10DC"/>
    <w:rsid w:val="00CB1135"/>
    <w:rsid w:val="00CB12A5"/>
    <w:rsid w:val="00CB12D8"/>
    <w:rsid w:val="00CB1726"/>
    <w:rsid w:val="00CB1B3F"/>
    <w:rsid w:val="00CB1CAC"/>
    <w:rsid w:val="00CB1F90"/>
    <w:rsid w:val="00CB2086"/>
    <w:rsid w:val="00CB24A6"/>
    <w:rsid w:val="00CB2688"/>
    <w:rsid w:val="00CB27C7"/>
    <w:rsid w:val="00CB2CB2"/>
    <w:rsid w:val="00CB2CE6"/>
    <w:rsid w:val="00CB2D22"/>
    <w:rsid w:val="00CB2F2A"/>
    <w:rsid w:val="00CB3118"/>
    <w:rsid w:val="00CB3378"/>
    <w:rsid w:val="00CB34C4"/>
    <w:rsid w:val="00CB3844"/>
    <w:rsid w:val="00CB3896"/>
    <w:rsid w:val="00CB3A3D"/>
    <w:rsid w:val="00CB3E78"/>
    <w:rsid w:val="00CB3FE8"/>
    <w:rsid w:val="00CB45A5"/>
    <w:rsid w:val="00CB474E"/>
    <w:rsid w:val="00CB4C7D"/>
    <w:rsid w:val="00CB5B1A"/>
    <w:rsid w:val="00CB5BD9"/>
    <w:rsid w:val="00CB5DB7"/>
    <w:rsid w:val="00CB5F9F"/>
    <w:rsid w:val="00CB61AA"/>
    <w:rsid w:val="00CB6345"/>
    <w:rsid w:val="00CB64DB"/>
    <w:rsid w:val="00CB65D9"/>
    <w:rsid w:val="00CB684C"/>
    <w:rsid w:val="00CB6B22"/>
    <w:rsid w:val="00CB6B9A"/>
    <w:rsid w:val="00CB75AA"/>
    <w:rsid w:val="00CB76D9"/>
    <w:rsid w:val="00CB7958"/>
    <w:rsid w:val="00CB7C34"/>
    <w:rsid w:val="00CB7DE8"/>
    <w:rsid w:val="00CB7F5F"/>
    <w:rsid w:val="00CC0342"/>
    <w:rsid w:val="00CC08B8"/>
    <w:rsid w:val="00CC0FCE"/>
    <w:rsid w:val="00CC106A"/>
    <w:rsid w:val="00CC11CA"/>
    <w:rsid w:val="00CC12CB"/>
    <w:rsid w:val="00CC158E"/>
    <w:rsid w:val="00CC1AA0"/>
    <w:rsid w:val="00CC1B39"/>
    <w:rsid w:val="00CC1BFA"/>
    <w:rsid w:val="00CC1EBA"/>
    <w:rsid w:val="00CC2534"/>
    <w:rsid w:val="00CC2781"/>
    <w:rsid w:val="00CC27D9"/>
    <w:rsid w:val="00CC2848"/>
    <w:rsid w:val="00CC2E4E"/>
    <w:rsid w:val="00CC2E9F"/>
    <w:rsid w:val="00CC3015"/>
    <w:rsid w:val="00CC3450"/>
    <w:rsid w:val="00CC35EA"/>
    <w:rsid w:val="00CC3778"/>
    <w:rsid w:val="00CC3848"/>
    <w:rsid w:val="00CC392A"/>
    <w:rsid w:val="00CC3BF9"/>
    <w:rsid w:val="00CC45E5"/>
    <w:rsid w:val="00CC4663"/>
    <w:rsid w:val="00CC4AA5"/>
    <w:rsid w:val="00CC5194"/>
    <w:rsid w:val="00CC56CB"/>
    <w:rsid w:val="00CC57DB"/>
    <w:rsid w:val="00CC5B3A"/>
    <w:rsid w:val="00CC5C9E"/>
    <w:rsid w:val="00CC5FF1"/>
    <w:rsid w:val="00CC62FE"/>
    <w:rsid w:val="00CC6D5E"/>
    <w:rsid w:val="00CC6DC4"/>
    <w:rsid w:val="00CC6EA2"/>
    <w:rsid w:val="00CC7270"/>
    <w:rsid w:val="00CC7455"/>
    <w:rsid w:val="00CC7D80"/>
    <w:rsid w:val="00CC7E94"/>
    <w:rsid w:val="00CD01FE"/>
    <w:rsid w:val="00CD0200"/>
    <w:rsid w:val="00CD06B4"/>
    <w:rsid w:val="00CD0DE3"/>
    <w:rsid w:val="00CD1336"/>
    <w:rsid w:val="00CD19BC"/>
    <w:rsid w:val="00CD19F7"/>
    <w:rsid w:val="00CD1C62"/>
    <w:rsid w:val="00CD1D4C"/>
    <w:rsid w:val="00CD216D"/>
    <w:rsid w:val="00CD245E"/>
    <w:rsid w:val="00CD261D"/>
    <w:rsid w:val="00CD2668"/>
    <w:rsid w:val="00CD2687"/>
    <w:rsid w:val="00CD2776"/>
    <w:rsid w:val="00CD2DB6"/>
    <w:rsid w:val="00CD396D"/>
    <w:rsid w:val="00CD3EB2"/>
    <w:rsid w:val="00CD3F77"/>
    <w:rsid w:val="00CD45D2"/>
    <w:rsid w:val="00CD4CA7"/>
    <w:rsid w:val="00CD51B5"/>
    <w:rsid w:val="00CD5312"/>
    <w:rsid w:val="00CD5558"/>
    <w:rsid w:val="00CD582E"/>
    <w:rsid w:val="00CD5AC5"/>
    <w:rsid w:val="00CD6110"/>
    <w:rsid w:val="00CD61F8"/>
    <w:rsid w:val="00CD62DC"/>
    <w:rsid w:val="00CD6979"/>
    <w:rsid w:val="00CD6ADC"/>
    <w:rsid w:val="00CD7193"/>
    <w:rsid w:val="00CD759A"/>
    <w:rsid w:val="00CD75A2"/>
    <w:rsid w:val="00CD7F57"/>
    <w:rsid w:val="00CE07A6"/>
    <w:rsid w:val="00CE0A83"/>
    <w:rsid w:val="00CE0D86"/>
    <w:rsid w:val="00CE1198"/>
    <w:rsid w:val="00CE132E"/>
    <w:rsid w:val="00CE1C52"/>
    <w:rsid w:val="00CE1E58"/>
    <w:rsid w:val="00CE2088"/>
    <w:rsid w:val="00CE299B"/>
    <w:rsid w:val="00CE3027"/>
    <w:rsid w:val="00CE32DF"/>
    <w:rsid w:val="00CE34EE"/>
    <w:rsid w:val="00CE383F"/>
    <w:rsid w:val="00CE38C8"/>
    <w:rsid w:val="00CE39E3"/>
    <w:rsid w:val="00CE4C0E"/>
    <w:rsid w:val="00CE524F"/>
    <w:rsid w:val="00CE540C"/>
    <w:rsid w:val="00CE58CC"/>
    <w:rsid w:val="00CE5921"/>
    <w:rsid w:val="00CE5A48"/>
    <w:rsid w:val="00CE6092"/>
    <w:rsid w:val="00CE6274"/>
    <w:rsid w:val="00CE62AE"/>
    <w:rsid w:val="00CE6BF2"/>
    <w:rsid w:val="00CE75CB"/>
    <w:rsid w:val="00CE77B6"/>
    <w:rsid w:val="00CE7BE7"/>
    <w:rsid w:val="00CE7D5E"/>
    <w:rsid w:val="00CE7DD1"/>
    <w:rsid w:val="00CE7E2C"/>
    <w:rsid w:val="00CE7EC8"/>
    <w:rsid w:val="00CE7F87"/>
    <w:rsid w:val="00CF00A5"/>
    <w:rsid w:val="00CF023D"/>
    <w:rsid w:val="00CF034A"/>
    <w:rsid w:val="00CF04AB"/>
    <w:rsid w:val="00CF070F"/>
    <w:rsid w:val="00CF0917"/>
    <w:rsid w:val="00CF0A18"/>
    <w:rsid w:val="00CF0B91"/>
    <w:rsid w:val="00CF101D"/>
    <w:rsid w:val="00CF13D3"/>
    <w:rsid w:val="00CF1515"/>
    <w:rsid w:val="00CF175B"/>
    <w:rsid w:val="00CF1848"/>
    <w:rsid w:val="00CF1896"/>
    <w:rsid w:val="00CF1CE9"/>
    <w:rsid w:val="00CF23F8"/>
    <w:rsid w:val="00CF2788"/>
    <w:rsid w:val="00CF2818"/>
    <w:rsid w:val="00CF2A1E"/>
    <w:rsid w:val="00CF2B34"/>
    <w:rsid w:val="00CF2B85"/>
    <w:rsid w:val="00CF2B8D"/>
    <w:rsid w:val="00CF3070"/>
    <w:rsid w:val="00CF3558"/>
    <w:rsid w:val="00CF374D"/>
    <w:rsid w:val="00CF3A1B"/>
    <w:rsid w:val="00CF441A"/>
    <w:rsid w:val="00CF456B"/>
    <w:rsid w:val="00CF4768"/>
    <w:rsid w:val="00CF5954"/>
    <w:rsid w:val="00CF5A22"/>
    <w:rsid w:val="00CF6001"/>
    <w:rsid w:val="00CF63A7"/>
    <w:rsid w:val="00CF6406"/>
    <w:rsid w:val="00CF695A"/>
    <w:rsid w:val="00CF7980"/>
    <w:rsid w:val="00CF7998"/>
    <w:rsid w:val="00CF7A40"/>
    <w:rsid w:val="00D001E5"/>
    <w:rsid w:val="00D0082F"/>
    <w:rsid w:val="00D00B12"/>
    <w:rsid w:val="00D0133A"/>
    <w:rsid w:val="00D0141D"/>
    <w:rsid w:val="00D0165F"/>
    <w:rsid w:val="00D0197A"/>
    <w:rsid w:val="00D019AE"/>
    <w:rsid w:val="00D019B2"/>
    <w:rsid w:val="00D01F46"/>
    <w:rsid w:val="00D01FF9"/>
    <w:rsid w:val="00D0256E"/>
    <w:rsid w:val="00D0262E"/>
    <w:rsid w:val="00D029AD"/>
    <w:rsid w:val="00D03672"/>
    <w:rsid w:val="00D03679"/>
    <w:rsid w:val="00D03975"/>
    <w:rsid w:val="00D03FC1"/>
    <w:rsid w:val="00D04050"/>
    <w:rsid w:val="00D04094"/>
    <w:rsid w:val="00D0467B"/>
    <w:rsid w:val="00D0470F"/>
    <w:rsid w:val="00D04A28"/>
    <w:rsid w:val="00D04C33"/>
    <w:rsid w:val="00D052A2"/>
    <w:rsid w:val="00D05447"/>
    <w:rsid w:val="00D05E09"/>
    <w:rsid w:val="00D05E15"/>
    <w:rsid w:val="00D05E3D"/>
    <w:rsid w:val="00D06077"/>
    <w:rsid w:val="00D06139"/>
    <w:rsid w:val="00D0633D"/>
    <w:rsid w:val="00D06343"/>
    <w:rsid w:val="00D06B66"/>
    <w:rsid w:val="00D070AB"/>
    <w:rsid w:val="00D07F4A"/>
    <w:rsid w:val="00D104CC"/>
    <w:rsid w:val="00D10C8E"/>
    <w:rsid w:val="00D10E70"/>
    <w:rsid w:val="00D110BD"/>
    <w:rsid w:val="00D11147"/>
    <w:rsid w:val="00D11A75"/>
    <w:rsid w:val="00D11A7C"/>
    <w:rsid w:val="00D1201B"/>
    <w:rsid w:val="00D123C4"/>
    <w:rsid w:val="00D12509"/>
    <w:rsid w:val="00D12A5E"/>
    <w:rsid w:val="00D133D3"/>
    <w:rsid w:val="00D135A9"/>
    <w:rsid w:val="00D13675"/>
    <w:rsid w:val="00D1388E"/>
    <w:rsid w:val="00D13924"/>
    <w:rsid w:val="00D1411B"/>
    <w:rsid w:val="00D141E1"/>
    <w:rsid w:val="00D141E7"/>
    <w:rsid w:val="00D14385"/>
    <w:rsid w:val="00D1439F"/>
    <w:rsid w:val="00D14A90"/>
    <w:rsid w:val="00D14AA6"/>
    <w:rsid w:val="00D14F69"/>
    <w:rsid w:val="00D15314"/>
    <w:rsid w:val="00D1561A"/>
    <w:rsid w:val="00D157E3"/>
    <w:rsid w:val="00D15B48"/>
    <w:rsid w:val="00D15C70"/>
    <w:rsid w:val="00D15FD2"/>
    <w:rsid w:val="00D160FC"/>
    <w:rsid w:val="00D16413"/>
    <w:rsid w:val="00D165DE"/>
    <w:rsid w:val="00D16B15"/>
    <w:rsid w:val="00D17231"/>
    <w:rsid w:val="00D17456"/>
    <w:rsid w:val="00D174DB"/>
    <w:rsid w:val="00D1752E"/>
    <w:rsid w:val="00D17D6C"/>
    <w:rsid w:val="00D20106"/>
    <w:rsid w:val="00D201EC"/>
    <w:rsid w:val="00D203AB"/>
    <w:rsid w:val="00D206F3"/>
    <w:rsid w:val="00D20940"/>
    <w:rsid w:val="00D20A79"/>
    <w:rsid w:val="00D2102A"/>
    <w:rsid w:val="00D21082"/>
    <w:rsid w:val="00D21390"/>
    <w:rsid w:val="00D214D4"/>
    <w:rsid w:val="00D2155B"/>
    <w:rsid w:val="00D2157C"/>
    <w:rsid w:val="00D21594"/>
    <w:rsid w:val="00D2164F"/>
    <w:rsid w:val="00D21D81"/>
    <w:rsid w:val="00D21DE6"/>
    <w:rsid w:val="00D2207F"/>
    <w:rsid w:val="00D225CF"/>
    <w:rsid w:val="00D22C1F"/>
    <w:rsid w:val="00D22DA7"/>
    <w:rsid w:val="00D22FA1"/>
    <w:rsid w:val="00D23133"/>
    <w:rsid w:val="00D232AD"/>
    <w:rsid w:val="00D23CA7"/>
    <w:rsid w:val="00D23D11"/>
    <w:rsid w:val="00D2417B"/>
    <w:rsid w:val="00D24476"/>
    <w:rsid w:val="00D244B6"/>
    <w:rsid w:val="00D2466F"/>
    <w:rsid w:val="00D24707"/>
    <w:rsid w:val="00D249DD"/>
    <w:rsid w:val="00D24A62"/>
    <w:rsid w:val="00D2540B"/>
    <w:rsid w:val="00D25550"/>
    <w:rsid w:val="00D25600"/>
    <w:rsid w:val="00D257FF"/>
    <w:rsid w:val="00D25853"/>
    <w:rsid w:val="00D25D44"/>
    <w:rsid w:val="00D25E20"/>
    <w:rsid w:val="00D26202"/>
    <w:rsid w:val="00D263C9"/>
    <w:rsid w:val="00D267CC"/>
    <w:rsid w:val="00D26A03"/>
    <w:rsid w:val="00D26A9D"/>
    <w:rsid w:val="00D26C0A"/>
    <w:rsid w:val="00D2754D"/>
    <w:rsid w:val="00D27988"/>
    <w:rsid w:val="00D27B27"/>
    <w:rsid w:val="00D27D65"/>
    <w:rsid w:val="00D27D79"/>
    <w:rsid w:val="00D30038"/>
    <w:rsid w:val="00D30074"/>
    <w:rsid w:val="00D302F0"/>
    <w:rsid w:val="00D30631"/>
    <w:rsid w:val="00D30691"/>
    <w:rsid w:val="00D30D5B"/>
    <w:rsid w:val="00D30ECE"/>
    <w:rsid w:val="00D30F1D"/>
    <w:rsid w:val="00D311C5"/>
    <w:rsid w:val="00D3128C"/>
    <w:rsid w:val="00D318F5"/>
    <w:rsid w:val="00D31C84"/>
    <w:rsid w:val="00D31D23"/>
    <w:rsid w:val="00D31D6D"/>
    <w:rsid w:val="00D32B0E"/>
    <w:rsid w:val="00D33203"/>
    <w:rsid w:val="00D33BE9"/>
    <w:rsid w:val="00D33CA9"/>
    <w:rsid w:val="00D33D45"/>
    <w:rsid w:val="00D33D8E"/>
    <w:rsid w:val="00D33DC3"/>
    <w:rsid w:val="00D33F93"/>
    <w:rsid w:val="00D341EA"/>
    <w:rsid w:val="00D34203"/>
    <w:rsid w:val="00D34C68"/>
    <w:rsid w:val="00D34E4F"/>
    <w:rsid w:val="00D350A5"/>
    <w:rsid w:val="00D35124"/>
    <w:rsid w:val="00D35657"/>
    <w:rsid w:val="00D357FF"/>
    <w:rsid w:val="00D35DF9"/>
    <w:rsid w:val="00D36863"/>
    <w:rsid w:val="00D36B6E"/>
    <w:rsid w:val="00D37079"/>
    <w:rsid w:val="00D37149"/>
    <w:rsid w:val="00D373FC"/>
    <w:rsid w:val="00D3793C"/>
    <w:rsid w:val="00D37AEE"/>
    <w:rsid w:val="00D37B11"/>
    <w:rsid w:val="00D37B59"/>
    <w:rsid w:val="00D400C1"/>
    <w:rsid w:val="00D40586"/>
    <w:rsid w:val="00D40746"/>
    <w:rsid w:val="00D4090D"/>
    <w:rsid w:val="00D41502"/>
    <w:rsid w:val="00D415CC"/>
    <w:rsid w:val="00D416AC"/>
    <w:rsid w:val="00D41D41"/>
    <w:rsid w:val="00D4238D"/>
    <w:rsid w:val="00D424C7"/>
    <w:rsid w:val="00D4259C"/>
    <w:rsid w:val="00D427BB"/>
    <w:rsid w:val="00D42DA9"/>
    <w:rsid w:val="00D43101"/>
    <w:rsid w:val="00D431ED"/>
    <w:rsid w:val="00D43233"/>
    <w:rsid w:val="00D432A5"/>
    <w:rsid w:val="00D434B6"/>
    <w:rsid w:val="00D4394D"/>
    <w:rsid w:val="00D43B2A"/>
    <w:rsid w:val="00D43CF1"/>
    <w:rsid w:val="00D43D83"/>
    <w:rsid w:val="00D441A7"/>
    <w:rsid w:val="00D44247"/>
    <w:rsid w:val="00D4431E"/>
    <w:rsid w:val="00D449C8"/>
    <w:rsid w:val="00D449D6"/>
    <w:rsid w:val="00D44FA9"/>
    <w:rsid w:val="00D454E2"/>
    <w:rsid w:val="00D45D95"/>
    <w:rsid w:val="00D45EC0"/>
    <w:rsid w:val="00D461F3"/>
    <w:rsid w:val="00D4651D"/>
    <w:rsid w:val="00D465DF"/>
    <w:rsid w:val="00D46899"/>
    <w:rsid w:val="00D46B9A"/>
    <w:rsid w:val="00D46C71"/>
    <w:rsid w:val="00D46CA0"/>
    <w:rsid w:val="00D46CD9"/>
    <w:rsid w:val="00D46E52"/>
    <w:rsid w:val="00D47172"/>
    <w:rsid w:val="00D47575"/>
    <w:rsid w:val="00D47702"/>
    <w:rsid w:val="00D4782D"/>
    <w:rsid w:val="00D478C7"/>
    <w:rsid w:val="00D47937"/>
    <w:rsid w:val="00D5030B"/>
    <w:rsid w:val="00D503A7"/>
    <w:rsid w:val="00D506CF"/>
    <w:rsid w:val="00D508A9"/>
    <w:rsid w:val="00D5127D"/>
    <w:rsid w:val="00D51665"/>
    <w:rsid w:val="00D52107"/>
    <w:rsid w:val="00D522C6"/>
    <w:rsid w:val="00D522EE"/>
    <w:rsid w:val="00D5235C"/>
    <w:rsid w:val="00D5236D"/>
    <w:rsid w:val="00D5237A"/>
    <w:rsid w:val="00D5243B"/>
    <w:rsid w:val="00D529CE"/>
    <w:rsid w:val="00D52C90"/>
    <w:rsid w:val="00D52CB8"/>
    <w:rsid w:val="00D53324"/>
    <w:rsid w:val="00D533EC"/>
    <w:rsid w:val="00D53524"/>
    <w:rsid w:val="00D5359B"/>
    <w:rsid w:val="00D53BA9"/>
    <w:rsid w:val="00D53DB6"/>
    <w:rsid w:val="00D542B4"/>
    <w:rsid w:val="00D54643"/>
    <w:rsid w:val="00D54935"/>
    <w:rsid w:val="00D54A61"/>
    <w:rsid w:val="00D54A8A"/>
    <w:rsid w:val="00D54DBC"/>
    <w:rsid w:val="00D54FE0"/>
    <w:rsid w:val="00D55297"/>
    <w:rsid w:val="00D55794"/>
    <w:rsid w:val="00D55C9C"/>
    <w:rsid w:val="00D55D00"/>
    <w:rsid w:val="00D5607A"/>
    <w:rsid w:val="00D560F7"/>
    <w:rsid w:val="00D56618"/>
    <w:rsid w:val="00D568BD"/>
    <w:rsid w:val="00D56906"/>
    <w:rsid w:val="00D56A95"/>
    <w:rsid w:val="00D56C11"/>
    <w:rsid w:val="00D57524"/>
    <w:rsid w:val="00D57561"/>
    <w:rsid w:val="00D57831"/>
    <w:rsid w:val="00D57981"/>
    <w:rsid w:val="00D57B13"/>
    <w:rsid w:val="00D57B3B"/>
    <w:rsid w:val="00D602CA"/>
    <w:rsid w:val="00D6076E"/>
    <w:rsid w:val="00D608D4"/>
    <w:rsid w:val="00D6099E"/>
    <w:rsid w:val="00D60BD2"/>
    <w:rsid w:val="00D60D1A"/>
    <w:rsid w:val="00D6118C"/>
    <w:rsid w:val="00D611C5"/>
    <w:rsid w:val="00D615D4"/>
    <w:rsid w:val="00D61957"/>
    <w:rsid w:val="00D61BFC"/>
    <w:rsid w:val="00D61C49"/>
    <w:rsid w:val="00D61C8D"/>
    <w:rsid w:val="00D61CDF"/>
    <w:rsid w:val="00D623B0"/>
    <w:rsid w:val="00D626CE"/>
    <w:rsid w:val="00D62B8C"/>
    <w:rsid w:val="00D62CA1"/>
    <w:rsid w:val="00D6303D"/>
    <w:rsid w:val="00D63617"/>
    <w:rsid w:val="00D64060"/>
    <w:rsid w:val="00D641F8"/>
    <w:rsid w:val="00D651B5"/>
    <w:rsid w:val="00D6588D"/>
    <w:rsid w:val="00D65B3E"/>
    <w:rsid w:val="00D65E39"/>
    <w:rsid w:val="00D66109"/>
    <w:rsid w:val="00D66419"/>
    <w:rsid w:val="00D66DE3"/>
    <w:rsid w:val="00D67648"/>
    <w:rsid w:val="00D70569"/>
    <w:rsid w:val="00D70663"/>
    <w:rsid w:val="00D70AD4"/>
    <w:rsid w:val="00D70B9C"/>
    <w:rsid w:val="00D70C86"/>
    <w:rsid w:val="00D70F16"/>
    <w:rsid w:val="00D7125F"/>
    <w:rsid w:val="00D713A7"/>
    <w:rsid w:val="00D71956"/>
    <w:rsid w:val="00D71F1A"/>
    <w:rsid w:val="00D72617"/>
    <w:rsid w:val="00D72B5E"/>
    <w:rsid w:val="00D72E16"/>
    <w:rsid w:val="00D72F57"/>
    <w:rsid w:val="00D73178"/>
    <w:rsid w:val="00D7322B"/>
    <w:rsid w:val="00D73253"/>
    <w:rsid w:val="00D73DAD"/>
    <w:rsid w:val="00D73E95"/>
    <w:rsid w:val="00D73F3F"/>
    <w:rsid w:val="00D7401B"/>
    <w:rsid w:val="00D7440B"/>
    <w:rsid w:val="00D74C66"/>
    <w:rsid w:val="00D754F9"/>
    <w:rsid w:val="00D75A1A"/>
    <w:rsid w:val="00D763E7"/>
    <w:rsid w:val="00D76A44"/>
    <w:rsid w:val="00D76C93"/>
    <w:rsid w:val="00D77013"/>
    <w:rsid w:val="00D7707D"/>
    <w:rsid w:val="00D774BC"/>
    <w:rsid w:val="00D77796"/>
    <w:rsid w:val="00D77DAE"/>
    <w:rsid w:val="00D80287"/>
    <w:rsid w:val="00D803A4"/>
    <w:rsid w:val="00D8041C"/>
    <w:rsid w:val="00D80A62"/>
    <w:rsid w:val="00D80F08"/>
    <w:rsid w:val="00D81285"/>
    <w:rsid w:val="00D81367"/>
    <w:rsid w:val="00D815EF"/>
    <w:rsid w:val="00D81915"/>
    <w:rsid w:val="00D81949"/>
    <w:rsid w:val="00D81D7A"/>
    <w:rsid w:val="00D81F26"/>
    <w:rsid w:val="00D822E2"/>
    <w:rsid w:val="00D824AC"/>
    <w:rsid w:val="00D826B2"/>
    <w:rsid w:val="00D82CEF"/>
    <w:rsid w:val="00D82D0D"/>
    <w:rsid w:val="00D83487"/>
    <w:rsid w:val="00D83875"/>
    <w:rsid w:val="00D83D99"/>
    <w:rsid w:val="00D83F8F"/>
    <w:rsid w:val="00D843F2"/>
    <w:rsid w:val="00D845C9"/>
    <w:rsid w:val="00D84D80"/>
    <w:rsid w:val="00D85276"/>
    <w:rsid w:val="00D85DD4"/>
    <w:rsid w:val="00D85F25"/>
    <w:rsid w:val="00D86231"/>
    <w:rsid w:val="00D86338"/>
    <w:rsid w:val="00D8661C"/>
    <w:rsid w:val="00D86813"/>
    <w:rsid w:val="00D86C4D"/>
    <w:rsid w:val="00D86E46"/>
    <w:rsid w:val="00D872BA"/>
    <w:rsid w:val="00D872FC"/>
    <w:rsid w:val="00D87434"/>
    <w:rsid w:val="00D87607"/>
    <w:rsid w:val="00D87E23"/>
    <w:rsid w:val="00D87E6F"/>
    <w:rsid w:val="00D87EAD"/>
    <w:rsid w:val="00D90199"/>
    <w:rsid w:val="00D9092A"/>
    <w:rsid w:val="00D90B51"/>
    <w:rsid w:val="00D912AB"/>
    <w:rsid w:val="00D91635"/>
    <w:rsid w:val="00D9177A"/>
    <w:rsid w:val="00D91923"/>
    <w:rsid w:val="00D92025"/>
    <w:rsid w:val="00D92195"/>
    <w:rsid w:val="00D923EB"/>
    <w:rsid w:val="00D92611"/>
    <w:rsid w:val="00D9270D"/>
    <w:rsid w:val="00D92C95"/>
    <w:rsid w:val="00D92CF6"/>
    <w:rsid w:val="00D932EC"/>
    <w:rsid w:val="00D93753"/>
    <w:rsid w:val="00D939B2"/>
    <w:rsid w:val="00D939C4"/>
    <w:rsid w:val="00D939E9"/>
    <w:rsid w:val="00D93E94"/>
    <w:rsid w:val="00D93F51"/>
    <w:rsid w:val="00D941F0"/>
    <w:rsid w:val="00D94311"/>
    <w:rsid w:val="00D948C2"/>
    <w:rsid w:val="00D94A31"/>
    <w:rsid w:val="00D95032"/>
    <w:rsid w:val="00D9636A"/>
    <w:rsid w:val="00D966CD"/>
    <w:rsid w:val="00D96B71"/>
    <w:rsid w:val="00D9728E"/>
    <w:rsid w:val="00D97401"/>
    <w:rsid w:val="00D977FF"/>
    <w:rsid w:val="00D97B15"/>
    <w:rsid w:val="00D97F73"/>
    <w:rsid w:val="00DA031E"/>
    <w:rsid w:val="00DA0415"/>
    <w:rsid w:val="00DA0444"/>
    <w:rsid w:val="00DA1025"/>
    <w:rsid w:val="00DA1177"/>
    <w:rsid w:val="00DA146A"/>
    <w:rsid w:val="00DA1C33"/>
    <w:rsid w:val="00DA1E2A"/>
    <w:rsid w:val="00DA1ECD"/>
    <w:rsid w:val="00DA21FE"/>
    <w:rsid w:val="00DA2759"/>
    <w:rsid w:val="00DA2D54"/>
    <w:rsid w:val="00DA3167"/>
    <w:rsid w:val="00DA31CA"/>
    <w:rsid w:val="00DA39F1"/>
    <w:rsid w:val="00DA43E4"/>
    <w:rsid w:val="00DA4733"/>
    <w:rsid w:val="00DA4A1A"/>
    <w:rsid w:val="00DA4A7E"/>
    <w:rsid w:val="00DA4A8A"/>
    <w:rsid w:val="00DA4B76"/>
    <w:rsid w:val="00DA4CD0"/>
    <w:rsid w:val="00DA4DC3"/>
    <w:rsid w:val="00DA4F42"/>
    <w:rsid w:val="00DA5201"/>
    <w:rsid w:val="00DA52F9"/>
    <w:rsid w:val="00DA549D"/>
    <w:rsid w:val="00DA55D2"/>
    <w:rsid w:val="00DA592F"/>
    <w:rsid w:val="00DA5D82"/>
    <w:rsid w:val="00DA5DC7"/>
    <w:rsid w:val="00DA5EBC"/>
    <w:rsid w:val="00DA5F7F"/>
    <w:rsid w:val="00DA5F8A"/>
    <w:rsid w:val="00DA615F"/>
    <w:rsid w:val="00DA6A5B"/>
    <w:rsid w:val="00DA6D94"/>
    <w:rsid w:val="00DA7092"/>
    <w:rsid w:val="00DA73F6"/>
    <w:rsid w:val="00DA768A"/>
    <w:rsid w:val="00DA77A5"/>
    <w:rsid w:val="00DA77EF"/>
    <w:rsid w:val="00DA7C6F"/>
    <w:rsid w:val="00DB01D5"/>
    <w:rsid w:val="00DB03A2"/>
    <w:rsid w:val="00DB0E36"/>
    <w:rsid w:val="00DB1540"/>
    <w:rsid w:val="00DB18F9"/>
    <w:rsid w:val="00DB19CF"/>
    <w:rsid w:val="00DB1A3A"/>
    <w:rsid w:val="00DB2073"/>
    <w:rsid w:val="00DB23F8"/>
    <w:rsid w:val="00DB250F"/>
    <w:rsid w:val="00DB29F6"/>
    <w:rsid w:val="00DB2CE4"/>
    <w:rsid w:val="00DB2F69"/>
    <w:rsid w:val="00DB2F93"/>
    <w:rsid w:val="00DB31F9"/>
    <w:rsid w:val="00DB33FA"/>
    <w:rsid w:val="00DB3745"/>
    <w:rsid w:val="00DB3C3B"/>
    <w:rsid w:val="00DB3D39"/>
    <w:rsid w:val="00DB3DBF"/>
    <w:rsid w:val="00DB3F29"/>
    <w:rsid w:val="00DB442F"/>
    <w:rsid w:val="00DB461C"/>
    <w:rsid w:val="00DB484F"/>
    <w:rsid w:val="00DB5136"/>
    <w:rsid w:val="00DB544B"/>
    <w:rsid w:val="00DB601A"/>
    <w:rsid w:val="00DB6296"/>
    <w:rsid w:val="00DB6323"/>
    <w:rsid w:val="00DB642C"/>
    <w:rsid w:val="00DB644D"/>
    <w:rsid w:val="00DB64DC"/>
    <w:rsid w:val="00DB67A0"/>
    <w:rsid w:val="00DB6887"/>
    <w:rsid w:val="00DB6DBA"/>
    <w:rsid w:val="00DB72E7"/>
    <w:rsid w:val="00DB75C9"/>
    <w:rsid w:val="00DB77F7"/>
    <w:rsid w:val="00DB7D22"/>
    <w:rsid w:val="00DC04F6"/>
    <w:rsid w:val="00DC0690"/>
    <w:rsid w:val="00DC0B09"/>
    <w:rsid w:val="00DC0DE6"/>
    <w:rsid w:val="00DC0E0F"/>
    <w:rsid w:val="00DC1263"/>
    <w:rsid w:val="00DC164F"/>
    <w:rsid w:val="00DC1AB4"/>
    <w:rsid w:val="00DC1D65"/>
    <w:rsid w:val="00DC2361"/>
    <w:rsid w:val="00DC23D5"/>
    <w:rsid w:val="00DC24E0"/>
    <w:rsid w:val="00DC2C15"/>
    <w:rsid w:val="00DC354C"/>
    <w:rsid w:val="00DC3939"/>
    <w:rsid w:val="00DC3C57"/>
    <w:rsid w:val="00DC4048"/>
    <w:rsid w:val="00DC4238"/>
    <w:rsid w:val="00DC456D"/>
    <w:rsid w:val="00DC45A4"/>
    <w:rsid w:val="00DC4612"/>
    <w:rsid w:val="00DC466E"/>
    <w:rsid w:val="00DC47CA"/>
    <w:rsid w:val="00DC49FD"/>
    <w:rsid w:val="00DC4E8B"/>
    <w:rsid w:val="00DC5501"/>
    <w:rsid w:val="00DC5783"/>
    <w:rsid w:val="00DC5853"/>
    <w:rsid w:val="00DC5905"/>
    <w:rsid w:val="00DC5DE4"/>
    <w:rsid w:val="00DC666B"/>
    <w:rsid w:val="00DC6AAF"/>
    <w:rsid w:val="00DC705F"/>
    <w:rsid w:val="00DC7154"/>
    <w:rsid w:val="00DC73A2"/>
    <w:rsid w:val="00DC7A34"/>
    <w:rsid w:val="00DC7E8A"/>
    <w:rsid w:val="00DD0400"/>
    <w:rsid w:val="00DD05FD"/>
    <w:rsid w:val="00DD0B6D"/>
    <w:rsid w:val="00DD0C08"/>
    <w:rsid w:val="00DD0E1E"/>
    <w:rsid w:val="00DD0F62"/>
    <w:rsid w:val="00DD0F78"/>
    <w:rsid w:val="00DD0F7C"/>
    <w:rsid w:val="00DD1001"/>
    <w:rsid w:val="00DD15D8"/>
    <w:rsid w:val="00DD1725"/>
    <w:rsid w:val="00DD17A2"/>
    <w:rsid w:val="00DD1CB5"/>
    <w:rsid w:val="00DD1E71"/>
    <w:rsid w:val="00DD1FA6"/>
    <w:rsid w:val="00DD25D9"/>
    <w:rsid w:val="00DD273C"/>
    <w:rsid w:val="00DD283D"/>
    <w:rsid w:val="00DD2B70"/>
    <w:rsid w:val="00DD321A"/>
    <w:rsid w:val="00DD3347"/>
    <w:rsid w:val="00DD360B"/>
    <w:rsid w:val="00DD36A6"/>
    <w:rsid w:val="00DD3708"/>
    <w:rsid w:val="00DD3D3A"/>
    <w:rsid w:val="00DD3DB7"/>
    <w:rsid w:val="00DD3DBB"/>
    <w:rsid w:val="00DD3E98"/>
    <w:rsid w:val="00DD3F28"/>
    <w:rsid w:val="00DD4432"/>
    <w:rsid w:val="00DD4446"/>
    <w:rsid w:val="00DD4537"/>
    <w:rsid w:val="00DD4D8A"/>
    <w:rsid w:val="00DD4E15"/>
    <w:rsid w:val="00DD50A8"/>
    <w:rsid w:val="00DD54D7"/>
    <w:rsid w:val="00DD5B70"/>
    <w:rsid w:val="00DD5E48"/>
    <w:rsid w:val="00DD602D"/>
    <w:rsid w:val="00DD60F4"/>
    <w:rsid w:val="00DD647D"/>
    <w:rsid w:val="00DD6892"/>
    <w:rsid w:val="00DD6B25"/>
    <w:rsid w:val="00DD6E54"/>
    <w:rsid w:val="00DD6EE7"/>
    <w:rsid w:val="00DD7CAE"/>
    <w:rsid w:val="00DE005A"/>
    <w:rsid w:val="00DE014C"/>
    <w:rsid w:val="00DE0A34"/>
    <w:rsid w:val="00DE0D92"/>
    <w:rsid w:val="00DE170C"/>
    <w:rsid w:val="00DE17DF"/>
    <w:rsid w:val="00DE1A15"/>
    <w:rsid w:val="00DE2053"/>
    <w:rsid w:val="00DE2304"/>
    <w:rsid w:val="00DE24D3"/>
    <w:rsid w:val="00DE3138"/>
    <w:rsid w:val="00DE37F8"/>
    <w:rsid w:val="00DE39B7"/>
    <w:rsid w:val="00DE3ACF"/>
    <w:rsid w:val="00DE4273"/>
    <w:rsid w:val="00DE474C"/>
    <w:rsid w:val="00DE48D5"/>
    <w:rsid w:val="00DE4AEA"/>
    <w:rsid w:val="00DE4B61"/>
    <w:rsid w:val="00DE4C79"/>
    <w:rsid w:val="00DE4FCB"/>
    <w:rsid w:val="00DE530C"/>
    <w:rsid w:val="00DE54C7"/>
    <w:rsid w:val="00DE55B5"/>
    <w:rsid w:val="00DE560B"/>
    <w:rsid w:val="00DE562F"/>
    <w:rsid w:val="00DE5718"/>
    <w:rsid w:val="00DE5D07"/>
    <w:rsid w:val="00DE5D31"/>
    <w:rsid w:val="00DE60C4"/>
    <w:rsid w:val="00DE6A7B"/>
    <w:rsid w:val="00DE7115"/>
    <w:rsid w:val="00DE72A7"/>
    <w:rsid w:val="00DE77CC"/>
    <w:rsid w:val="00DE7832"/>
    <w:rsid w:val="00DE7AA7"/>
    <w:rsid w:val="00DE7CA5"/>
    <w:rsid w:val="00DE7CA6"/>
    <w:rsid w:val="00DE7D5A"/>
    <w:rsid w:val="00DE7D8A"/>
    <w:rsid w:val="00DE7F3A"/>
    <w:rsid w:val="00DF060D"/>
    <w:rsid w:val="00DF06AA"/>
    <w:rsid w:val="00DF082C"/>
    <w:rsid w:val="00DF09A8"/>
    <w:rsid w:val="00DF0A6E"/>
    <w:rsid w:val="00DF0BFB"/>
    <w:rsid w:val="00DF1041"/>
    <w:rsid w:val="00DF139D"/>
    <w:rsid w:val="00DF1766"/>
    <w:rsid w:val="00DF18FC"/>
    <w:rsid w:val="00DF194F"/>
    <w:rsid w:val="00DF1A78"/>
    <w:rsid w:val="00DF1D5C"/>
    <w:rsid w:val="00DF224E"/>
    <w:rsid w:val="00DF224F"/>
    <w:rsid w:val="00DF2B25"/>
    <w:rsid w:val="00DF344B"/>
    <w:rsid w:val="00DF362B"/>
    <w:rsid w:val="00DF36A5"/>
    <w:rsid w:val="00DF374B"/>
    <w:rsid w:val="00DF3DCC"/>
    <w:rsid w:val="00DF419D"/>
    <w:rsid w:val="00DF45E9"/>
    <w:rsid w:val="00DF4E0E"/>
    <w:rsid w:val="00DF5157"/>
    <w:rsid w:val="00DF5619"/>
    <w:rsid w:val="00DF5925"/>
    <w:rsid w:val="00DF5B2C"/>
    <w:rsid w:val="00DF5D2B"/>
    <w:rsid w:val="00DF5D84"/>
    <w:rsid w:val="00DF5FE9"/>
    <w:rsid w:val="00DF626A"/>
    <w:rsid w:val="00DF6341"/>
    <w:rsid w:val="00DF635E"/>
    <w:rsid w:val="00DF6471"/>
    <w:rsid w:val="00DF6525"/>
    <w:rsid w:val="00DF68EB"/>
    <w:rsid w:val="00DF6948"/>
    <w:rsid w:val="00DF6C97"/>
    <w:rsid w:val="00DF6EE8"/>
    <w:rsid w:val="00DF78A9"/>
    <w:rsid w:val="00DF7F69"/>
    <w:rsid w:val="00E009F6"/>
    <w:rsid w:val="00E00E8E"/>
    <w:rsid w:val="00E01B49"/>
    <w:rsid w:val="00E01B5C"/>
    <w:rsid w:val="00E0209B"/>
    <w:rsid w:val="00E02C7A"/>
    <w:rsid w:val="00E033E3"/>
    <w:rsid w:val="00E0369C"/>
    <w:rsid w:val="00E0374E"/>
    <w:rsid w:val="00E03826"/>
    <w:rsid w:val="00E04208"/>
    <w:rsid w:val="00E04422"/>
    <w:rsid w:val="00E04D95"/>
    <w:rsid w:val="00E05630"/>
    <w:rsid w:val="00E0581C"/>
    <w:rsid w:val="00E06569"/>
    <w:rsid w:val="00E0666E"/>
    <w:rsid w:val="00E066F3"/>
    <w:rsid w:val="00E06DBB"/>
    <w:rsid w:val="00E070FA"/>
    <w:rsid w:val="00E0714F"/>
    <w:rsid w:val="00E073DF"/>
    <w:rsid w:val="00E0765D"/>
    <w:rsid w:val="00E07747"/>
    <w:rsid w:val="00E077D7"/>
    <w:rsid w:val="00E0792E"/>
    <w:rsid w:val="00E07A10"/>
    <w:rsid w:val="00E100F1"/>
    <w:rsid w:val="00E10149"/>
    <w:rsid w:val="00E107B9"/>
    <w:rsid w:val="00E10AFD"/>
    <w:rsid w:val="00E10E49"/>
    <w:rsid w:val="00E10FE0"/>
    <w:rsid w:val="00E11292"/>
    <w:rsid w:val="00E11340"/>
    <w:rsid w:val="00E11AFE"/>
    <w:rsid w:val="00E11B67"/>
    <w:rsid w:val="00E11CB6"/>
    <w:rsid w:val="00E11D8E"/>
    <w:rsid w:val="00E12147"/>
    <w:rsid w:val="00E122A1"/>
    <w:rsid w:val="00E127BF"/>
    <w:rsid w:val="00E129F5"/>
    <w:rsid w:val="00E13180"/>
    <w:rsid w:val="00E1325D"/>
    <w:rsid w:val="00E13474"/>
    <w:rsid w:val="00E134C4"/>
    <w:rsid w:val="00E1381F"/>
    <w:rsid w:val="00E138E9"/>
    <w:rsid w:val="00E14174"/>
    <w:rsid w:val="00E144C1"/>
    <w:rsid w:val="00E14D01"/>
    <w:rsid w:val="00E154B3"/>
    <w:rsid w:val="00E156EA"/>
    <w:rsid w:val="00E157FE"/>
    <w:rsid w:val="00E15955"/>
    <w:rsid w:val="00E15B5A"/>
    <w:rsid w:val="00E1607E"/>
    <w:rsid w:val="00E16119"/>
    <w:rsid w:val="00E16278"/>
    <w:rsid w:val="00E16372"/>
    <w:rsid w:val="00E16A53"/>
    <w:rsid w:val="00E16AD8"/>
    <w:rsid w:val="00E17058"/>
    <w:rsid w:val="00E1723C"/>
    <w:rsid w:val="00E172E7"/>
    <w:rsid w:val="00E17356"/>
    <w:rsid w:val="00E17FFA"/>
    <w:rsid w:val="00E2083A"/>
    <w:rsid w:val="00E20962"/>
    <w:rsid w:val="00E20E4D"/>
    <w:rsid w:val="00E20ED6"/>
    <w:rsid w:val="00E21214"/>
    <w:rsid w:val="00E21217"/>
    <w:rsid w:val="00E21334"/>
    <w:rsid w:val="00E21358"/>
    <w:rsid w:val="00E21601"/>
    <w:rsid w:val="00E21779"/>
    <w:rsid w:val="00E21D17"/>
    <w:rsid w:val="00E2249B"/>
    <w:rsid w:val="00E22974"/>
    <w:rsid w:val="00E22A0D"/>
    <w:rsid w:val="00E22DC2"/>
    <w:rsid w:val="00E22DF2"/>
    <w:rsid w:val="00E22F39"/>
    <w:rsid w:val="00E230B4"/>
    <w:rsid w:val="00E2323B"/>
    <w:rsid w:val="00E23285"/>
    <w:rsid w:val="00E23EB5"/>
    <w:rsid w:val="00E2406B"/>
    <w:rsid w:val="00E244F6"/>
    <w:rsid w:val="00E24D81"/>
    <w:rsid w:val="00E252CA"/>
    <w:rsid w:val="00E258DB"/>
    <w:rsid w:val="00E25DBE"/>
    <w:rsid w:val="00E26053"/>
    <w:rsid w:val="00E2622D"/>
    <w:rsid w:val="00E2771E"/>
    <w:rsid w:val="00E2786B"/>
    <w:rsid w:val="00E27CC6"/>
    <w:rsid w:val="00E27DAF"/>
    <w:rsid w:val="00E30CD9"/>
    <w:rsid w:val="00E30DE8"/>
    <w:rsid w:val="00E31198"/>
    <w:rsid w:val="00E311EF"/>
    <w:rsid w:val="00E314BF"/>
    <w:rsid w:val="00E31540"/>
    <w:rsid w:val="00E315B6"/>
    <w:rsid w:val="00E316FF"/>
    <w:rsid w:val="00E31751"/>
    <w:rsid w:val="00E31BB0"/>
    <w:rsid w:val="00E32049"/>
    <w:rsid w:val="00E32180"/>
    <w:rsid w:val="00E3253D"/>
    <w:rsid w:val="00E331E4"/>
    <w:rsid w:val="00E3370B"/>
    <w:rsid w:val="00E33715"/>
    <w:rsid w:val="00E33777"/>
    <w:rsid w:val="00E337F3"/>
    <w:rsid w:val="00E3386E"/>
    <w:rsid w:val="00E339DA"/>
    <w:rsid w:val="00E33A3B"/>
    <w:rsid w:val="00E33BEA"/>
    <w:rsid w:val="00E33E09"/>
    <w:rsid w:val="00E33F54"/>
    <w:rsid w:val="00E340F0"/>
    <w:rsid w:val="00E34736"/>
    <w:rsid w:val="00E34948"/>
    <w:rsid w:val="00E34D37"/>
    <w:rsid w:val="00E359EE"/>
    <w:rsid w:val="00E35A5E"/>
    <w:rsid w:val="00E35A8A"/>
    <w:rsid w:val="00E3632A"/>
    <w:rsid w:val="00E36378"/>
    <w:rsid w:val="00E36522"/>
    <w:rsid w:val="00E367F4"/>
    <w:rsid w:val="00E36893"/>
    <w:rsid w:val="00E36A46"/>
    <w:rsid w:val="00E36BA8"/>
    <w:rsid w:val="00E37569"/>
    <w:rsid w:val="00E376B9"/>
    <w:rsid w:val="00E376DF"/>
    <w:rsid w:val="00E37780"/>
    <w:rsid w:val="00E377B1"/>
    <w:rsid w:val="00E3798D"/>
    <w:rsid w:val="00E37F8F"/>
    <w:rsid w:val="00E400A0"/>
    <w:rsid w:val="00E40104"/>
    <w:rsid w:val="00E401B2"/>
    <w:rsid w:val="00E4064C"/>
    <w:rsid w:val="00E40797"/>
    <w:rsid w:val="00E41617"/>
    <w:rsid w:val="00E41A6C"/>
    <w:rsid w:val="00E41CDF"/>
    <w:rsid w:val="00E41E30"/>
    <w:rsid w:val="00E41ECB"/>
    <w:rsid w:val="00E41F8E"/>
    <w:rsid w:val="00E42601"/>
    <w:rsid w:val="00E429A7"/>
    <w:rsid w:val="00E42AF0"/>
    <w:rsid w:val="00E42D25"/>
    <w:rsid w:val="00E42F73"/>
    <w:rsid w:val="00E43142"/>
    <w:rsid w:val="00E43525"/>
    <w:rsid w:val="00E436B1"/>
    <w:rsid w:val="00E439E8"/>
    <w:rsid w:val="00E43A6D"/>
    <w:rsid w:val="00E43BA1"/>
    <w:rsid w:val="00E43D70"/>
    <w:rsid w:val="00E441C8"/>
    <w:rsid w:val="00E44E6B"/>
    <w:rsid w:val="00E4530D"/>
    <w:rsid w:val="00E45423"/>
    <w:rsid w:val="00E45489"/>
    <w:rsid w:val="00E455DA"/>
    <w:rsid w:val="00E4575A"/>
    <w:rsid w:val="00E45F09"/>
    <w:rsid w:val="00E45F3B"/>
    <w:rsid w:val="00E45FCA"/>
    <w:rsid w:val="00E46060"/>
    <w:rsid w:val="00E464F9"/>
    <w:rsid w:val="00E466F3"/>
    <w:rsid w:val="00E46C8F"/>
    <w:rsid w:val="00E4771B"/>
    <w:rsid w:val="00E47738"/>
    <w:rsid w:val="00E4791E"/>
    <w:rsid w:val="00E47B2C"/>
    <w:rsid w:val="00E47CE1"/>
    <w:rsid w:val="00E5029F"/>
    <w:rsid w:val="00E510C2"/>
    <w:rsid w:val="00E5125F"/>
    <w:rsid w:val="00E5134D"/>
    <w:rsid w:val="00E514D2"/>
    <w:rsid w:val="00E51560"/>
    <w:rsid w:val="00E51628"/>
    <w:rsid w:val="00E51821"/>
    <w:rsid w:val="00E51D3F"/>
    <w:rsid w:val="00E51F34"/>
    <w:rsid w:val="00E520C2"/>
    <w:rsid w:val="00E524DE"/>
    <w:rsid w:val="00E52513"/>
    <w:rsid w:val="00E526B0"/>
    <w:rsid w:val="00E52700"/>
    <w:rsid w:val="00E52D47"/>
    <w:rsid w:val="00E533AB"/>
    <w:rsid w:val="00E535FF"/>
    <w:rsid w:val="00E53895"/>
    <w:rsid w:val="00E53BBA"/>
    <w:rsid w:val="00E53C48"/>
    <w:rsid w:val="00E53E87"/>
    <w:rsid w:val="00E53FC8"/>
    <w:rsid w:val="00E53FCD"/>
    <w:rsid w:val="00E54347"/>
    <w:rsid w:val="00E54FCF"/>
    <w:rsid w:val="00E551E8"/>
    <w:rsid w:val="00E5534A"/>
    <w:rsid w:val="00E55424"/>
    <w:rsid w:val="00E55915"/>
    <w:rsid w:val="00E55BA1"/>
    <w:rsid w:val="00E55BB5"/>
    <w:rsid w:val="00E56073"/>
    <w:rsid w:val="00E56157"/>
    <w:rsid w:val="00E561A5"/>
    <w:rsid w:val="00E56935"/>
    <w:rsid w:val="00E56C44"/>
    <w:rsid w:val="00E602D9"/>
    <w:rsid w:val="00E6030F"/>
    <w:rsid w:val="00E60628"/>
    <w:rsid w:val="00E60803"/>
    <w:rsid w:val="00E60C2B"/>
    <w:rsid w:val="00E611DF"/>
    <w:rsid w:val="00E613AA"/>
    <w:rsid w:val="00E61B6C"/>
    <w:rsid w:val="00E625B0"/>
    <w:rsid w:val="00E62C32"/>
    <w:rsid w:val="00E6300F"/>
    <w:rsid w:val="00E6354B"/>
    <w:rsid w:val="00E6354F"/>
    <w:rsid w:val="00E639D9"/>
    <w:rsid w:val="00E63A2B"/>
    <w:rsid w:val="00E63AE9"/>
    <w:rsid w:val="00E63CCC"/>
    <w:rsid w:val="00E64067"/>
    <w:rsid w:val="00E64364"/>
    <w:rsid w:val="00E643AD"/>
    <w:rsid w:val="00E651D0"/>
    <w:rsid w:val="00E65A63"/>
    <w:rsid w:val="00E65E79"/>
    <w:rsid w:val="00E66116"/>
    <w:rsid w:val="00E664E5"/>
    <w:rsid w:val="00E66898"/>
    <w:rsid w:val="00E66BA2"/>
    <w:rsid w:val="00E67133"/>
    <w:rsid w:val="00E6713F"/>
    <w:rsid w:val="00E6725F"/>
    <w:rsid w:val="00E67416"/>
    <w:rsid w:val="00E6745C"/>
    <w:rsid w:val="00E67524"/>
    <w:rsid w:val="00E675A3"/>
    <w:rsid w:val="00E6789A"/>
    <w:rsid w:val="00E70663"/>
    <w:rsid w:val="00E7084B"/>
    <w:rsid w:val="00E70B0F"/>
    <w:rsid w:val="00E70BAF"/>
    <w:rsid w:val="00E71222"/>
    <w:rsid w:val="00E714FC"/>
    <w:rsid w:val="00E717A3"/>
    <w:rsid w:val="00E718B6"/>
    <w:rsid w:val="00E71911"/>
    <w:rsid w:val="00E71D53"/>
    <w:rsid w:val="00E71EC7"/>
    <w:rsid w:val="00E723BA"/>
    <w:rsid w:val="00E72A8C"/>
    <w:rsid w:val="00E72B82"/>
    <w:rsid w:val="00E72F26"/>
    <w:rsid w:val="00E73581"/>
    <w:rsid w:val="00E735BE"/>
    <w:rsid w:val="00E73817"/>
    <w:rsid w:val="00E7454D"/>
    <w:rsid w:val="00E74807"/>
    <w:rsid w:val="00E74E0C"/>
    <w:rsid w:val="00E75246"/>
    <w:rsid w:val="00E759CB"/>
    <w:rsid w:val="00E75C9B"/>
    <w:rsid w:val="00E76201"/>
    <w:rsid w:val="00E766B1"/>
    <w:rsid w:val="00E76A89"/>
    <w:rsid w:val="00E76AFA"/>
    <w:rsid w:val="00E76B0A"/>
    <w:rsid w:val="00E76F45"/>
    <w:rsid w:val="00E7710D"/>
    <w:rsid w:val="00E7721F"/>
    <w:rsid w:val="00E7723E"/>
    <w:rsid w:val="00E7727B"/>
    <w:rsid w:val="00E774D9"/>
    <w:rsid w:val="00E77768"/>
    <w:rsid w:val="00E779B0"/>
    <w:rsid w:val="00E77E39"/>
    <w:rsid w:val="00E77FAC"/>
    <w:rsid w:val="00E804BD"/>
    <w:rsid w:val="00E807B8"/>
    <w:rsid w:val="00E80812"/>
    <w:rsid w:val="00E80F8D"/>
    <w:rsid w:val="00E816A6"/>
    <w:rsid w:val="00E8217E"/>
    <w:rsid w:val="00E8221E"/>
    <w:rsid w:val="00E824D0"/>
    <w:rsid w:val="00E824F2"/>
    <w:rsid w:val="00E82533"/>
    <w:rsid w:val="00E82621"/>
    <w:rsid w:val="00E8266F"/>
    <w:rsid w:val="00E833B4"/>
    <w:rsid w:val="00E833F7"/>
    <w:rsid w:val="00E83A43"/>
    <w:rsid w:val="00E83BDF"/>
    <w:rsid w:val="00E83FD8"/>
    <w:rsid w:val="00E84698"/>
    <w:rsid w:val="00E84779"/>
    <w:rsid w:val="00E84873"/>
    <w:rsid w:val="00E84AB4"/>
    <w:rsid w:val="00E84E17"/>
    <w:rsid w:val="00E85D9D"/>
    <w:rsid w:val="00E8639F"/>
    <w:rsid w:val="00E86677"/>
    <w:rsid w:val="00E86835"/>
    <w:rsid w:val="00E86DED"/>
    <w:rsid w:val="00E86FCC"/>
    <w:rsid w:val="00E870AD"/>
    <w:rsid w:val="00E871F7"/>
    <w:rsid w:val="00E8721C"/>
    <w:rsid w:val="00E87273"/>
    <w:rsid w:val="00E87600"/>
    <w:rsid w:val="00E87A1D"/>
    <w:rsid w:val="00E87BA2"/>
    <w:rsid w:val="00E87DA2"/>
    <w:rsid w:val="00E90284"/>
    <w:rsid w:val="00E9094A"/>
    <w:rsid w:val="00E909F9"/>
    <w:rsid w:val="00E90E13"/>
    <w:rsid w:val="00E910F3"/>
    <w:rsid w:val="00E9122E"/>
    <w:rsid w:val="00E912C0"/>
    <w:rsid w:val="00E9156C"/>
    <w:rsid w:val="00E91604"/>
    <w:rsid w:val="00E9160B"/>
    <w:rsid w:val="00E91727"/>
    <w:rsid w:val="00E918F7"/>
    <w:rsid w:val="00E91A69"/>
    <w:rsid w:val="00E91AB2"/>
    <w:rsid w:val="00E91D35"/>
    <w:rsid w:val="00E91D52"/>
    <w:rsid w:val="00E91EBC"/>
    <w:rsid w:val="00E922EB"/>
    <w:rsid w:val="00E926A5"/>
    <w:rsid w:val="00E927B7"/>
    <w:rsid w:val="00E92807"/>
    <w:rsid w:val="00E93520"/>
    <w:rsid w:val="00E9389C"/>
    <w:rsid w:val="00E93E2C"/>
    <w:rsid w:val="00E93FF7"/>
    <w:rsid w:val="00E943C7"/>
    <w:rsid w:val="00E9450B"/>
    <w:rsid w:val="00E9451E"/>
    <w:rsid w:val="00E94AC1"/>
    <w:rsid w:val="00E94B66"/>
    <w:rsid w:val="00E94B98"/>
    <w:rsid w:val="00E94D41"/>
    <w:rsid w:val="00E958A5"/>
    <w:rsid w:val="00E958F9"/>
    <w:rsid w:val="00E95928"/>
    <w:rsid w:val="00E95E5D"/>
    <w:rsid w:val="00E962CC"/>
    <w:rsid w:val="00E9642A"/>
    <w:rsid w:val="00E96BB6"/>
    <w:rsid w:val="00E96C7C"/>
    <w:rsid w:val="00E96CB8"/>
    <w:rsid w:val="00E96FDD"/>
    <w:rsid w:val="00E97599"/>
    <w:rsid w:val="00E975BC"/>
    <w:rsid w:val="00E9772B"/>
    <w:rsid w:val="00E97867"/>
    <w:rsid w:val="00E9796D"/>
    <w:rsid w:val="00E97DE3"/>
    <w:rsid w:val="00E97F57"/>
    <w:rsid w:val="00EA01DF"/>
    <w:rsid w:val="00EA1307"/>
    <w:rsid w:val="00EA13C5"/>
    <w:rsid w:val="00EA17C3"/>
    <w:rsid w:val="00EA1A91"/>
    <w:rsid w:val="00EA1C69"/>
    <w:rsid w:val="00EA2013"/>
    <w:rsid w:val="00EA22B8"/>
    <w:rsid w:val="00EA23E8"/>
    <w:rsid w:val="00EA2CAA"/>
    <w:rsid w:val="00EA2E3F"/>
    <w:rsid w:val="00EA2EAB"/>
    <w:rsid w:val="00EA315E"/>
    <w:rsid w:val="00EA3864"/>
    <w:rsid w:val="00EA39A1"/>
    <w:rsid w:val="00EA3AAC"/>
    <w:rsid w:val="00EA3CBD"/>
    <w:rsid w:val="00EA3F73"/>
    <w:rsid w:val="00EA471F"/>
    <w:rsid w:val="00EA4A61"/>
    <w:rsid w:val="00EA4C07"/>
    <w:rsid w:val="00EA4F17"/>
    <w:rsid w:val="00EA5750"/>
    <w:rsid w:val="00EA57E6"/>
    <w:rsid w:val="00EA5A0D"/>
    <w:rsid w:val="00EA5B82"/>
    <w:rsid w:val="00EA5C8A"/>
    <w:rsid w:val="00EA6244"/>
    <w:rsid w:val="00EA633D"/>
    <w:rsid w:val="00EA645A"/>
    <w:rsid w:val="00EA654D"/>
    <w:rsid w:val="00EA65F7"/>
    <w:rsid w:val="00EA6A3F"/>
    <w:rsid w:val="00EA6C24"/>
    <w:rsid w:val="00EA6F55"/>
    <w:rsid w:val="00EA75B9"/>
    <w:rsid w:val="00EA7845"/>
    <w:rsid w:val="00EA79EE"/>
    <w:rsid w:val="00EA7B76"/>
    <w:rsid w:val="00EA7BA9"/>
    <w:rsid w:val="00EA7F1C"/>
    <w:rsid w:val="00EB02B3"/>
    <w:rsid w:val="00EB02D8"/>
    <w:rsid w:val="00EB073E"/>
    <w:rsid w:val="00EB0793"/>
    <w:rsid w:val="00EB0858"/>
    <w:rsid w:val="00EB0C83"/>
    <w:rsid w:val="00EB0D79"/>
    <w:rsid w:val="00EB0FFF"/>
    <w:rsid w:val="00EB10AD"/>
    <w:rsid w:val="00EB1207"/>
    <w:rsid w:val="00EB15B6"/>
    <w:rsid w:val="00EB1666"/>
    <w:rsid w:val="00EB179F"/>
    <w:rsid w:val="00EB19DE"/>
    <w:rsid w:val="00EB1A56"/>
    <w:rsid w:val="00EB1F6D"/>
    <w:rsid w:val="00EB23F6"/>
    <w:rsid w:val="00EB2847"/>
    <w:rsid w:val="00EB29A1"/>
    <w:rsid w:val="00EB2B10"/>
    <w:rsid w:val="00EB2C61"/>
    <w:rsid w:val="00EB31AA"/>
    <w:rsid w:val="00EB327C"/>
    <w:rsid w:val="00EB38F0"/>
    <w:rsid w:val="00EB3999"/>
    <w:rsid w:val="00EB3C57"/>
    <w:rsid w:val="00EB3D06"/>
    <w:rsid w:val="00EB3D3F"/>
    <w:rsid w:val="00EB3F46"/>
    <w:rsid w:val="00EB4916"/>
    <w:rsid w:val="00EB4BE4"/>
    <w:rsid w:val="00EB4D0F"/>
    <w:rsid w:val="00EB5691"/>
    <w:rsid w:val="00EB5B05"/>
    <w:rsid w:val="00EB6106"/>
    <w:rsid w:val="00EB6660"/>
    <w:rsid w:val="00EB69EE"/>
    <w:rsid w:val="00EB6B2F"/>
    <w:rsid w:val="00EB6C2B"/>
    <w:rsid w:val="00EB6D17"/>
    <w:rsid w:val="00EB7326"/>
    <w:rsid w:val="00EB7565"/>
    <w:rsid w:val="00EB7AC6"/>
    <w:rsid w:val="00EB7E0B"/>
    <w:rsid w:val="00EB7E14"/>
    <w:rsid w:val="00EB7EC8"/>
    <w:rsid w:val="00EC00C9"/>
    <w:rsid w:val="00EC0C12"/>
    <w:rsid w:val="00EC0D43"/>
    <w:rsid w:val="00EC0DA2"/>
    <w:rsid w:val="00EC0DD9"/>
    <w:rsid w:val="00EC0F66"/>
    <w:rsid w:val="00EC0FC5"/>
    <w:rsid w:val="00EC1471"/>
    <w:rsid w:val="00EC19D1"/>
    <w:rsid w:val="00EC1B8A"/>
    <w:rsid w:val="00EC1FC5"/>
    <w:rsid w:val="00EC2041"/>
    <w:rsid w:val="00EC23B0"/>
    <w:rsid w:val="00EC2649"/>
    <w:rsid w:val="00EC28C1"/>
    <w:rsid w:val="00EC31ED"/>
    <w:rsid w:val="00EC383B"/>
    <w:rsid w:val="00EC397E"/>
    <w:rsid w:val="00EC3CBA"/>
    <w:rsid w:val="00EC3D13"/>
    <w:rsid w:val="00EC3D8A"/>
    <w:rsid w:val="00EC3E4C"/>
    <w:rsid w:val="00EC4035"/>
    <w:rsid w:val="00EC43A1"/>
    <w:rsid w:val="00EC43EC"/>
    <w:rsid w:val="00EC4761"/>
    <w:rsid w:val="00EC4956"/>
    <w:rsid w:val="00EC5140"/>
    <w:rsid w:val="00EC552D"/>
    <w:rsid w:val="00EC569B"/>
    <w:rsid w:val="00EC5836"/>
    <w:rsid w:val="00EC589C"/>
    <w:rsid w:val="00EC58A8"/>
    <w:rsid w:val="00EC5C76"/>
    <w:rsid w:val="00EC5F35"/>
    <w:rsid w:val="00EC608F"/>
    <w:rsid w:val="00EC6214"/>
    <w:rsid w:val="00EC6524"/>
    <w:rsid w:val="00EC688C"/>
    <w:rsid w:val="00EC6DAA"/>
    <w:rsid w:val="00EC6EBC"/>
    <w:rsid w:val="00EC77AF"/>
    <w:rsid w:val="00EC77BF"/>
    <w:rsid w:val="00EC7830"/>
    <w:rsid w:val="00EC78FD"/>
    <w:rsid w:val="00ED0177"/>
    <w:rsid w:val="00ED02B5"/>
    <w:rsid w:val="00ED04BF"/>
    <w:rsid w:val="00ED072F"/>
    <w:rsid w:val="00ED0876"/>
    <w:rsid w:val="00ED0C12"/>
    <w:rsid w:val="00ED0C38"/>
    <w:rsid w:val="00ED10DA"/>
    <w:rsid w:val="00ED1171"/>
    <w:rsid w:val="00ED11DF"/>
    <w:rsid w:val="00ED12E3"/>
    <w:rsid w:val="00ED132C"/>
    <w:rsid w:val="00ED159F"/>
    <w:rsid w:val="00ED1671"/>
    <w:rsid w:val="00ED1B76"/>
    <w:rsid w:val="00ED220A"/>
    <w:rsid w:val="00ED220B"/>
    <w:rsid w:val="00ED2473"/>
    <w:rsid w:val="00ED3278"/>
    <w:rsid w:val="00ED379C"/>
    <w:rsid w:val="00ED38F8"/>
    <w:rsid w:val="00ED435C"/>
    <w:rsid w:val="00ED448A"/>
    <w:rsid w:val="00ED4835"/>
    <w:rsid w:val="00ED4AB5"/>
    <w:rsid w:val="00ED4B04"/>
    <w:rsid w:val="00ED4E0A"/>
    <w:rsid w:val="00ED4E5F"/>
    <w:rsid w:val="00ED4FC9"/>
    <w:rsid w:val="00ED565D"/>
    <w:rsid w:val="00ED57EA"/>
    <w:rsid w:val="00ED59D2"/>
    <w:rsid w:val="00ED5BD4"/>
    <w:rsid w:val="00ED61A9"/>
    <w:rsid w:val="00ED62DE"/>
    <w:rsid w:val="00ED6351"/>
    <w:rsid w:val="00ED6556"/>
    <w:rsid w:val="00ED6996"/>
    <w:rsid w:val="00ED6DE9"/>
    <w:rsid w:val="00ED7C63"/>
    <w:rsid w:val="00ED7DBF"/>
    <w:rsid w:val="00EE0086"/>
    <w:rsid w:val="00EE07D3"/>
    <w:rsid w:val="00EE1134"/>
    <w:rsid w:val="00EE1513"/>
    <w:rsid w:val="00EE15FF"/>
    <w:rsid w:val="00EE16A4"/>
    <w:rsid w:val="00EE1996"/>
    <w:rsid w:val="00EE1C01"/>
    <w:rsid w:val="00EE1E49"/>
    <w:rsid w:val="00EE22AF"/>
    <w:rsid w:val="00EE26DA"/>
    <w:rsid w:val="00EE272A"/>
    <w:rsid w:val="00EE2BC3"/>
    <w:rsid w:val="00EE3059"/>
    <w:rsid w:val="00EE3127"/>
    <w:rsid w:val="00EE4182"/>
    <w:rsid w:val="00EE450B"/>
    <w:rsid w:val="00EE45FC"/>
    <w:rsid w:val="00EE4683"/>
    <w:rsid w:val="00EE4695"/>
    <w:rsid w:val="00EE46A9"/>
    <w:rsid w:val="00EE4EA1"/>
    <w:rsid w:val="00EE52D3"/>
    <w:rsid w:val="00EE5469"/>
    <w:rsid w:val="00EE549F"/>
    <w:rsid w:val="00EE584E"/>
    <w:rsid w:val="00EE5E6D"/>
    <w:rsid w:val="00EE6F91"/>
    <w:rsid w:val="00EE71F2"/>
    <w:rsid w:val="00EE72F6"/>
    <w:rsid w:val="00EE79B3"/>
    <w:rsid w:val="00EE7D8D"/>
    <w:rsid w:val="00EF0171"/>
    <w:rsid w:val="00EF01AF"/>
    <w:rsid w:val="00EF0574"/>
    <w:rsid w:val="00EF0D5D"/>
    <w:rsid w:val="00EF0F03"/>
    <w:rsid w:val="00EF1221"/>
    <w:rsid w:val="00EF16A1"/>
    <w:rsid w:val="00EF17EB"/>
    <w:rsid w:val="00EF1B25"/>
    <w:rsid w:val="00EF1DA0"/>
    <w:rsid w:val="00EF2312"/>
    <w:rsid w:val="00EF2399"/>
    <w:rsid w:val="00EF239A"/>
    <w:rsid w:val="00EF254E"/>
    <w:rsid w:val="00EF2570"/>
    <w:rsid w:val="00EF293D"/>
    <w:rsid w:val="00EF2AC5"/>
    <w:rsid w:val="00EF2B38"/>
    <w:rsid w:val="00EF2C61"/>
    <w:rsid w:val="00EF2F29"/>
    <w:rsid w:val="00EF3023"/>
    <w:rsid w:val="00EF3344"/>
    <w:rsid w:val="00EF4747"/>
    <w:rsid w:val="00EF4BF8"/>
    <w:rsid w:val="00EF5872"/>
    <w:rsid w:val="00EF5AA4"/>
    <w:rsid w:val="00EF5F01"/>
    <w:rsid w:val="00EF6103"/>
    <w:rsid w:val="00EF633E"/>
    <w:rsid w:val="00EF6A62"/>
    <w:rsid w:val="00EF6CED"/>
    <w:rsid w:val="00EF739C"/>
    <w:rsid w:val="00EF73FC"/>
    <w:rsid w:val="00EF77C5"/>
    <w:rsid w:val="00EF7A2F"/>
    <w:rsid w:val="00EF7AC9"/>
    <w:rsid w:val="00F00424"/>
    <w:rsid w:val="00F0068D"/>
    <w:rsid w:val="00F00E31"/>
    <w:rsid w:val="00F018F3"/>
    <w:rsid w:val="00F01C06"/>
    <w:rsid w:val="00F0200F"/>
    <w:rsid w:val="00F02135"/>
    <w:rsid w:val="00F02156"/>
    <w:rsid w:val="00F02253"/>
    <w:rsid w:val="00F025FB"/>
    <w:rsid w:val="00F02A1A"/>
    <w:rsid w:val="00F02AE9"/>
    <w:rsid w:val="00F02CB4"/>
    <w:rsid w:val="00F02D32"/>
    <w:rsid w:val="00F03411"/>
    <w:rsid w:val="00F03B86"/>
    <w:rsid w:val="00F03C2E"/>
    <w:rsid w:val="00F042CD"/>
    <w:rsid w:val="00F0430B"/>
    <w:rsid w:val="00F045BE"/>
    <w:rsid w:val="00F04A66"/>
    <w:rsid w:val="00F04B4B"/>
    <w:rsid w:val="00F0516C"/>
    <w:rsid w:val="00F051A6"/>
    <w:rsid w:val="00F0544F"/>
    <w:rsid w:val="00F055D8"/>
    <w:rsid w:val="00F05BE9"/>
    <w:rsid w:val="00F05EA1"/>
    <w:rsid w:val="00F064F3"/>
    <w:rsid w:val="00F067A2"/>
    <w:rsid w:val="00F06D89"/>
    <w:rsid w:val="00F070F2"/>
    <w:rsid w:val="00F071A2"/>
    <w:rsid w:val="00F07759"/>
    <w:rsid w:val="00F07B9E"/>
    <w:rsid w:val="00F07EFA"/>
    <w:rsid w:val="00F07F71"/>
    <w:rsid w:val="00F108BB"/>
    <w:rsid w:val="00F10A56"/>
    <w:rsid w:val="00F10AD0"/>
    <w:rsid w:val="00F10B64"/>
    <w:rsid w:val="00F1110F"/>
    <w:rsid w:val="00F1116F"/>
    <w:rsid w:val="00F11328"/>
    <w:rsid w:val="00F116B9"/>
    <w:rsid w:val="00F11771"/>
    <w:rsid w:val="00F11920"/>
    <w:rsid w:val="00F11A08"/>
    <w:rsid w:val="00F11C3C"/>
    <w:rsid w:val="00F11D74"/>
    <w:rsid w:val="00F12271"/>
    <w:rsid w:val="00F1263A"/>
    <w:rsid w:val="00F128B4"/>
    <w:rsid w:val="00F12A79"/>
    <w:rsid w:val="00F1361D"/>
    <w:rsid w:val="00F139C5"/>
    <w:rsid w:val="00F13B31"/>
    <w:rsid w:val="00F13CA1"/>
    <w:rsid w:val="00F1408A"/>
    <w:rsid w:val="00F141A0"/>
    <w:rsid w:val="00F1438E"/>
    <w:rsid w:val="00F1444A"/>
    <w:rsid w:val="00F145F5"/>
    <w:rsid w:val="00F146AF"/>
    <w:rsid w:val="00F146C3"/>
    <w:rsid w:val="00F14825"/>
    <w:rsid w:val="00F14A16"/>
    <w:rsid w:val="00F14FFD"/>
    <w:rsid w:val="00F153EF"/>
    <w:rsid w:val="00F15726"/>
    <w:rsid w:val="00F1578D"/>
    <w:rsid w:val="00F15B77"/>
    <w:rsid w:val="00F15E45"/>
    <w:rsid w:val="00F1609E"/>
    <w:rsid w:val="00F1615E"/>
    <w:rsid w:val="00F1623D"/>
    <w:rsid w:val="00F1627D"/>
    <w:rsid w:val="00F1688E"/>
    <w:rsid w:val="00F16A37"/>
    <w:rsid w:val="00F16A3C"/>
    <w:rsid w:val="00F16B4A"/>
    <w:rsid w:val="00F16C1C"/>
    <w:rsid w:val="00F16CCB"/>
    <w:rsid w:val="00F16FC2"/>
    <w:rsid w:val="00F175C1"/>
    <w:rsid w:val="00F17857"/>
    <w:rsid w:val="00F20235"/>
    <w:rsid w:val="00F2023D"/>
    <w:rsid w:val="00F2031A"/>
    <w:rsid w:val="00F209D4"/>
    <w:rsid w:val="00F20B94"/>
    <w:rsid w:val="00F20E34"/>
    <w:rsid w:val="00F21093"/>
    <w:rsid w:val="00F2109C"/>
    <w:rsid w:val="00F21196"/>
    <w:rsid w:val="00F21236"/>
    <w:rsid w:val="00F21978"/>
    <w:rsid w:val="00F21AD2"/>
    <w:rsid w:val="00F21CA5"/>
    <w:rsid w:val="00F220E3"/>
    <w:rsid w:val="00F22328"/>
    <w:rsid w:val="00F2247C"/>
    <w:rsid w:val="00F22508"/>
    <w:rsid w:val="00F2264B"/>
    <w:rsid w:val="00F227BA"/>
    <w:rsid w:val="00F22981"/>
    <w:rsid w:val="00F22FFC"/>
    <w:rsid w:val="00F230BF"/>
    <w:rsid w:val="00F23239"/>
    <w:rsid w:val="00F2337A"/>
    <w:rsid w:val="00F2360A"/>
    <w:rsid w:val="00F239DF"/>
    <w:rsid w:val="00F23C5C"/>
    <w:rsid w:val="00F24288"/>
    <w:rsid w:val="00F24837"/>
    <w:rsid w:val="00F24DEC"/>
    <w:rsid w:val="00F251C0"/>
    <w:rsid w:val="00F2575F"/>
    <w:rsid w:val="00F258C8"/>
    <w:rsid w:val="00F25E63"/>
    <w:rsid w:val="00F25E96"/>
    <w:rsid w:val="00F26330"/>
    <w:rsid w:val="00F26490"/>
    <w:rsid w:val="00F2694F"/>
    <w:rsid w:val="00F26A4A"/>
    <w:rsid w:val="00F27223"/>
    <w:rsid w:val="00F27565"/>
    <w:rsid w:val="00F2768E"/>
    <w:rsid w:val="00F278CD"/>
    <w:rsid w:val="00F27D80"/>
    <w:rsid w:val="00F27DF6"/>
    <w:rsid w:val="00F303A3"/>
    <w:rsid w:val="00F3062F"/>
    <w:rsid w:val="00F306B0"/>
    <w:rsid w:val="00F30E02"/>
    <w:rsid w:val="00F30E0F"/>
    <w:rsid w:val="00F310D4"/>
    <w:rsid w:val="00F3119A"/>
    <w:rsid w:val="00F31253"/>
    <w:rsid w:val="00F316C9"/>
    <w:rsid w:val="00F31A74"/>
    <w:rsid w:val="00F31D39"/>
    <w:rsid w:val="00F31D5A"/>
    <w:rsid w:val="00F328B7"/>
    <w:rsid w:val="00F32D91"/>
    <w:rsid w:val="00F33975"/>
    <w:rsid w:val="00F33DE9"/>
    <w:rsid w:val="00F33FBB"/>
    <w:rsid w:val="00F34435"/>
    <w:rsid w:val="00F349BD"/>
    <w:rsid w:val="00F34D51"/>
    <w:rsid w:val="00F34E71"/>
    <w:rsid w:val="00F350AF"/>
    <w:rsid w:val="00F35310"/>
    <w:rsid w:val="00F3572F"/>
    <w:rsid w:val="00F35A46"/>
    <w:rsid w:val="00F35BED"/>
    <w:rsid w:val="00F35E6D"/>
    <w:rsid w:val="00F35E71"/>
    <w:rsid w:val="00F360E8"/>
    <w:rsid w:val="00F3619A"/>
    <w:rsid w:val="00F367D4"/>
    <w:rsid w:val="00F3694D"/>
    <w:rsid w:val="00F374F9"/>
    <w:rsid w:val="00F37D72"/>
    <w:rsid w:val="00F37E90"/>
    <w:rsid w:val="00F40347"/>
    <w:rsid w:val="00F4036A"/>
    <w:rsid w:val="00F403E5"/>
    <w:rsid w:val="00F4042B"/>
    <w:rsid w:val="00F408C6"/>
    <w:rsid w:val="00F40AAA"/>
    <w:rsid w:val="00F40B2C"/>
    <w:rsid w:val="00F40BA7"/>
    <w:rsid w:val="00F40F9D"/>
    <w:rsid w:val="00F4106E"/>
    <w:rsid w:val="00F41183"/>
    <w:rsid w:val="00F413A0"/>
    <w:rsid w:val="00F415BE"/>
    <w:rsid w:val="00F4180C"/>
    <w:rsid w:val="00F41A63"/>
    <w:rsid w:val="00F41AA7"/>
    <w:rsid w:val="00F41ACD"/>
    <w:rsid w:val="00F42573"/>
    <w:rsid w:val="00F425D2"/>
    <w:rsid w:val="00F42A50"/>
    <w:rsid w:val="00F42D2F"/>
    <w:rsid w:val="00F42DBF"/>
    <w:rsid w:val="00F42E98"/>
    <w:rsid w:val="00F43B48"/>
    <w:rsid w:val="00F4402C"/>
    <w:rsid w:val="00F4441A"/>
    <w:rsid w:val="00F44695"/>
    <w:rsid w:val="00F4519A"/>
    <w:rsid w:val="00F45577"/>
    <w:rsid w:val="00F455C8"/>
    <w:rsid w:val="00F4594A"/>
    <w:rsid w:val="00F46121"/>
    <w:rsid w:val="00F462B7"/>
    <w:rsid w:val="00F4638F"/>
    <w:rsid w:val="00F46638"/>
    <w:rsid w:val="00F46986"/>
    <w:rsid w:val="00F46CB6"/>
    <w:rsid w:val="00F47186"/>
    <w:rsid w:val="00F4756D"/>
    <w:rsid w:val="00F47A39"/>
    <w:rsid w:val="00F47BC1"/>
    <w:rsid w:val="00F47DE8"/>
    <w:rsid w:val="00F47F35"/>
    <w:rsid w:val="00F47FB4"/>
    <w:rsid w:val="00F47FC0"/>
    <w:rsid w:val="00F5021F"/>
    <w:rsid w:val="00F50777"/>
    <w:rsid w:val="00F50825"/>
    <w:rsid w:val="00F50CCA"/>
    <w:rsid w:val="00F50E74"/>
    <w:rsid w:val="00F50ED5"/>
    <w:rsid w:val="00F512AF"/>
    <w:rsid w:val="00F51A2D"/>
    <w:rsid w:val="00F51E5B"/>
    <w:rsid w:val="00F5298F"/>
    <w:rsid w:val="00F52B20"/>
    <w:rsid w:val="00F52C2B"/>
    <w:rsid w:val="00F52CD7"/>
    <w:rsid w:val="00F52E0C"/>
    <w:rsid w:val="00F52FC7"/>
    <w:rsid w:val="00F5361B"/>
    <w:rsid w:val="00F53888"/>
    <w:rsid w:val="00F53B7C"/>
    <w:rsid w:val="00F53F1B"/>
    <w:rsid w:val="00F53FAE"/>
    <w:rsid w:val="00F5413D"/>
    <w:rsid w:val="00F542C1"/>
    <w:rsid w:val="00F54921"/>
    <w:rsid w:val="00F55021"/>
    <w:rsid w:val="00F550E3"/>
    <w:rsid w:val="00F55158"/>
    <w:rsid w:val="00F55E73"/>
    <w:rsid w:val="00F55EDA"/>
    <w:rsid w:val="00F55F90"/>
    <w:rsid w:val="00F560DB"/>
    <w:rsid w:val="00F566C5"/>
    <w:rsid w:val="00F569A7"/>
    <w:rsid w:val="00F56B12"/>
    <w:rsid w:val="00F56C80"/>
    <w:rsid w:val="00F56D78"/>
    <w:rsid w:val="00F56E59"/>
    <w:rsid w:val="00F5718A"/>
    <w:rsid w:val="00F57C36"/>
    <w:rsid w:val="00F57D34"/>
    <w:rsid w:val="00F57DE5"/>
    <w:rsid w:val="00F60092"/>
    <w:rsid w:val="00F6018A"/>
    <w:rsid w:val="00F6043C"/>
    <w:rsid w:val="00F6048E"/>
    <w:rsid w:val="00F604F1"/>
    <w:rsid w:val="00F6054D"/>
    <w:rsid w:val="00F605A9"/>
    <w:rsid w:val="00F60937"/>
    <w:rsid w:val="00F60C2A"/>
    <w:rsid w:val="00F60F5E"/>
    <w:rsid w:val="00F61290"/>
    <w:rsid w:val="00F61C18"/>
    <w:rsid w:val="00F61D12"/>
    <w:rsid w:val="00F62032"/>
    <w:rsid w:val="00F623BB"/>
    <w:rsid w:val="00F62421"/>
    <w:rsid w:val="00F624A1"/>
    <w:rsid w:val="00F627C7"/>
    <w:rsid w:val="00F629C8"/>
    <w:rsid w:val="00F62F11"/>
    <w:rsid w:val="00F62F3B"/>
    <w:rsid w:val="00F632BE"/>
    <w:rsid w:val="00F63530"/>
    <w:rsid w:val="00F635BF"/>
    <w:rsid w:val="00F64352"/>
    <w:rsid w:val="00F643B8"/>
    <w:rsid w:val="00F64717"/>
    <w:rsid w:val="00F64EE9"/>
    <w:rsid w:val="00F64F66"/>
    <w:rsid w:val="00F6542B"/>
    <w:rsid w:val="00F65A60"/>
    <w:rsid w:val="00F65C24"/>
    <w:rsid w:val="00F65E89"/>
    <w:rsid w:val="00F65EA8"/>
    <w:rsid w:val="00F65F2B"/>
    <w:rsid w:val="00F65F4B"/>
    <w:rsid w:val="00F667DF"/>
    <w:rsid w:val="00F6696D"/>
    <w:rsid w:val="00F66B66"/>
    <w:rsid w:val="00F676F0"/>
    <w:rsid w:val="00F67971"/>
    <w:rsid w:val="00F679D2"/>
    <w:rsid w:val="00F67A69"/>
    <w:rsid w:val="00F67C8C"/>
    <w:rsid w:val="00F67F6A"/>
    <w:rsid w:val="00F703DA"/>
    <w:rsid w:val="00F7077F"/>
    <w:rsid w:val="00F70BFF"/>
    <w:rsid w:val="00F70C6F"/>
    <w:rsid w:val="00F70C9D"/>
    <w:rsid w:val="00F70DEF"/>
    <w:rsid w:val="00F7103F"/>
    <w:rsid w:val="00F71087"/>
    <w:rsid w:val="00F7162A"/>
    <w:rsid w:val="00F71930"/>
    <w:rsid w:val="00F71F64"/>
    <w:rsid w:val="00F72476"/>
    <w:rsid w:val="00F72CA5"/>
    <w:rsid w:val="00F736BE"/>
    <w:rsid w:val="00F73E08"/>
    <w:rsid w:val="00F741AA"/>
    <w:rsid w:val="00F747D1"/>
    <w:rsid w:val="00F74BC5"/>
    <w:rsid w:val="00F74CD9"/>
    <w:rsid w:val="00F75333"/>
    <w:rsid w:val="00F75457"/>
    <w:rsid w:val="00F7582D"/>
    <w:rsid w:val="00F7603C"/>
    <w:rsid w:val="00F76312"/>
    <w:rsid w:val="00F76AC8"/>
    <w:rsid w:val="00F76F07"/>
    <w:rsid w:val="00F7702C"/>
    <w:rsid w:val="00F77358"/>
    <w:rsid w:val="00F77543"/>
    <w:rsid w:val="00F7772B"/>
    <w:rsid w:val="00F77F09"/>
    <w:rsid w:val="00F8033C"/>
    <w:rsid w:val="00F8040D"/>
    <w:rsid w:val="00F8054F"/>
    <w:rsid w:val="00F8062E"/>
    <w:rsid w:val="00F80A7B"/>
    <w:rsid w:val="00F80E42"/>
    <w:rsid w:val="00F80E5D"/>
    <w:rsid w:val="00F80F7D"/>
    <w:rsid w:val="00F812F6"/>
    <w:rsid w:val="00F813E1"/>
    <w:rsid w:val="00F8185C"/>
    <w:rsid w:val="00F819D9"/>
    <w:rsid w:val="00F81A08"/>
    <w:rsid w:val="00F81E70"/>
    <w:rsid w:val="00F81E78"/>
    <w:rsid w:val="00F81ED3"/>
    <w:rsid w:val="00F82448"/>
    <w:rsid w:val="00F824C3"/>
    <w:rsid w:val="00F82899"/>
    <w:rsid w:val="00F8360E"/>
    <w:rsid w:val="00F83916"/>
    <w:rsid w:val="00F83E69"/>
    <w:rsid w:val="00F83FEF"/>
    <w:rsid w:val="00F84376"/>
    <w:rsid w:val="00F8461C"/>
    <w:rsid w:val="00F84757"/>
    <w:rsid w:val="00F850D2"/>
    <w:rsid w:val="00F85196"/>
    <w:rsid w:val="00F851CE"/>
    <w:rsid w:val="00F85803"/>
    <w:rsid w:val="00F858FC"/>
    <w:rsid w:val="00F85A42"/>
    <w:rsid w:val="00F85C88"/>
    <w:rsid w:val="00F85D23"/>
    <w:rsid w:val="00F85D90"/>
    <w:rsid w:val="00F86650"/>
    <w:rsid w:val="00F8668A"/>
    <w:rsid w:val="00F86830"/>
    <w:rsid w:val="00F86CDC"/>
    <w:rsid w:val="00F8703A"/>
    <w:rsid w:val="00F87185"/>
    <w:rsid w:val="00F872A6"/>
    <w:rsid w:val="00F873A9"/>
    <w:rsid w:val="00F87441"/>
    <w:rsid w:val="00F878DE"/>
    <w:rsid w:val="00F87F2D"/>
    <w:rsid w:val="00F87F35"/>
    <w:rsid w:val="00F90235"/>
    <w:rsid w:val="00F906F8"/>
    <w:rsid w:val="00F90DBC"/>
    <w:rsid w:val="00F91188"/>
    <w:rsid w:val="00F91219"/>
    <w:rsid w:val="00F9152C"/>
    <w:rsid w:val="00F91732"/>
    <w:rsid w:val="00F91844"/>
    <w:rsid w:val="00F9211C"/>
    <w:rsid w:val="00F92444"/>
    <w:rsid w:val="00F92CB7"/>
    <w:rsid w:val="00F93034"/>
    <w:rsid w:val="00F930C3"/>
    <w:rsid w:val="00F930F1"/>
    <w:rsid w:val="00F934AE"/>
    <w:rsid w:val="00F93763"/>
    <w:rsid w:val="00F9393E"/>
    <w:rsid w:val="00F94549"/>
    <w:rsid w:val="00F94568"/>
    <w:rsid w:val="00F947D8"/>
    <w:rsid w:val="00F9491D"/>
    <w:rsid w:val="00F949C7"/>
    <w:rsid w:val="00F94A67"/>
    <w:rsid w:val="00F94ACF"/>
    <w:rsid w:val="00F955AD"/>
    <w:rsid w:val="00F95B06"/>
    <w:rsid w:val="00F95E34"/>
    <w:rsid w:val="00F9676E"/>
    <w:rsid w:val="00F96801"/>
    <w:rsid w:val="00F96B16"/>
    <w:rsid w:val="00F96C0F"/>
    <w:rsid w:val="00F96FD0"/>
    <w:rsid w:val="00F97188"/>
    <w:rsid w:val="00F97488"/>
    <w:rsid w:val="00F97A78"/>
    <w:rsid w:val="00F97B3D"/>
    <w:rsid w:val="00FA078B"/>
    <w:rsid w:val="00FA0A11"/>
    <w:rsid w:val="00FA0A84"/>
    <w:rsid w:val="00FA0B20"/>
    <w:rsid w:val="00FA123E"/>
    <w:rsid w:val="00FA15DD"/>
    <w:rsid w:val="00FA1A46"/>
    <w:rsid w:val="00FA1CFC"/>
    <w:rsid w:val="00FA2114"/>
    <w:rsid w:val="00FA24E7"/>
    <w:rsid w:val="00FA26F2"/>
    <w:rsid w:val="00FA2C37"/>
    <w:rsid w:val="00FA32A8"/>
    <w:rsid w:val="00FA3909"/>
    <w:rsid w:val="00FA3B04"/>
    <w:rsid w:val="00FA3C92"/>
    <w:rsid w:val="00FA3D7F"/>
    <w:rsid w:val="00FA3F02"/>
    <w:rsid w:val="00FA40C1"/>
    <w:rsid w:val="00FA4E68"/>
    <w:rsid w:val="00FA5181"/>
    <w:rsid w:val="00FA51F0"/>
    <w:rsid w:val="00FA580F"/>
    <w:rsid w:val="00FA593C"/>
    <w:rsid w:val="00FA59E1"/>
    <w:rsid w:val="00FA5BCC"/>
    <w:rsid w:val="00FA5DE8"/>
    <w:rsid w:val="00FA5EE6"/>
    <w:rsid w:val="00FA609C"/>
    <w:rsid w:val="00FA61E4"/>
    <w:rsid w:val="00FA68B7"/>
    <w:rsid w:val="00FA6AD6"/>
    <w:rsid w:val="00FA6DA2"/>
    <w:rsid w:val="00FA7347"/>
    <w:rsid w:val="00FA75A1"/>
    <w:rsid w:val="00FA75C7"/>
    <w:rsid w:val="00FA7956"/>
    <w:rsid w:val="00FB0824"/>
    <w:rsid w:val="00FB09CF"/>
    <w:rsid w:val="00FB15E3"/>
    <w:rsid w:val="00FB16DB"/>
    <w:rsid w:val="00FB17B0"/>
    <w:rsid w:val="00FB1D23"/>
    <w:rsid w:val="00FB200B"/>
    <w:rsid w:val="00FB219F"/>
    <w:rsid w:val="00FB2CC8"/>
    <w:rsid w:val="00FB2D44"/>
    <w:rsid w:val="00FB2DC2"/>
    <w:rsid w:val="00FB2F41"/>
    <w:rsid w:val="00FB2FCB"/>
    <w:rsid w:val="00FB34DE"/>
    <w:rsid w:val="00FB3520"/>
    <w:rsid w:val="00FB3845"/>
    <w:rsid w:val="00FB430E"/>
    <w:rsid w:val="00FB4332"/>
    <w:rsid w:val="00FB44DF"/>
    <w:rsid w:val="00FB46E8"/>
    <w:rsid w:val="00FB4842"/>
    <w:rsid w:val="00FB4C2C"/>
    <w:rsid w:val="00FB4C9C"/>
    <w:rsid w:val="00FB51A4"/>
    <w:rsid w:val="00FB5F80"/>
    <w:rsid w:val="00FB6905"/>
    <w:rsid w:val="00FB6C48"/>
    <w:rsid w:val="00FB71A4"/>
    <w:rsid w:val="00FB721E"/>
    <w:rsid w:val="00FB7414"/>
    <w:rsid w:val="00FB743D"/>
    <w:rsid w:val="00FB7669"/>
    <w:rsid w:val="00FB7BC0"/>
    <w:rsid w:val="00FB7C55"/>
    <w:rsid w:val="00FB7F07"/>
    <w:rsid w:val="00FB7FBB"/>
    <w:rsid w:val="00FC0491"/>
    <w:rsid w:val="00FC1051"/>
    <w:rsid w:val="00FC1074"/>
    <w:rsid w:val="00FC1235"/>
    <w:rsid w:val="00FC1648"/>
    <w:rsid w:val="00FC1884"/>
    <w:rsid w:val="00FC1A95"/>
    <w:rsid w:val="00FC1BBA"/>
    <w:rsid w:val="00FC1C87"/>
    <w:rsid w:val="00FC1DD4"/>
    <w:rsid w:val="00FC1FAE"/>
    <w:rsid w:val="00FC209A"/>
    <w:rsid w:val="00FC265A"/>
    <w:rsid w:val="00FC2C23"/>
    <w:rsid w:val="00FC2F93"/>
    <w:rsid w:val="00FC3135"/>
    <w:rsid w:val="00FC31B6"/>
    <w:rsid w:val="00FC34F3"/>
    <w:rsid w:val="00FC3652"/>
    <w:rsid w:val="00FC371D"/>
    <w:rsid w:val="00FC3A85"/>
    <w:rsid w:val="00FC3BF3"/>
    <w:rsid w:val="00FC3EE6"/>
    <w:rsid w:val="00FC3EFA"/>
    <w:rsid w:val="00FC45E2"/>
    <w:rsid w:val="00FC4AC7"/>
    <w:rsid w:val="00FC4D6F"/>
    <w:rsid w:val="00FC4DCA"/>
    <w:rsid w:val="00FC4F6D"/>
    <w:rsid w:val="00FC5131"/>
    <w:rsid w:val="00FC51BC"/>
    <w:rsid w:val="00FC523A"/>
    <w:rsid w:val="00FC537E"/>
    <w:rsid w:val="00FC5403"/>
    <w:rsid w:val="00FC5CFB"/>
    <w:rsid w:val="00FC5F0B"/>
    <w:rsid w:val="00FC6143"/>
    <w:rsid w:val="00FC6320"/>
    <w:rsid w:val="00FC68D6"/>
    <w:rsid w:val="00FC7840"/>
    <w:rsid w:val="00FC7AC1"/>
    <w:rsid w:val="00FC7BB9"/>
    <w:rsid w:val="00FC7BF8"/>
    <w:rsid w:val="00FD0325"/>
    <w:rsid w:val="00FD0418"/>
    <w:rsid w:val="00FD0574"/>
    <w:rsid w:val="00FD09AE"/>
    <w:rsid w:val="00FD09AF"/>
    <w:rsid w:val="00FD109E"/>
    <w:rsid w:val="00FD1561"/>
    <w:rsid w:val="00FD1AC2"/>
    <w:rsid w:val="00FD1D38"/>
    <w:rsid w:val="00FD1D57"/>
    <w:rsid w:val="00FD1F27"/>
    <w:rsid w:val="00FD2100"/>
    <w:rsid w:val="00FD24D6"/>
    <w:rsid w:val="00FD256A"/>
    <w:rsid w:val="00FD267F"/>
    <w:rsid w:val="00FD275B"/>
    <w:rsid w:val="00FD2E1C"/>
    <w:rsid w:val="00FD2E3F"/>
    <w:rsid w:val="00FD309E"/>
    <w:rsid w:val="00FD36A5"/>
    <w:rsid w:val="00FD38CE"/>
    <w:rsid w:val="00FD38D8"/>
    <w:rsid w:val="00FD3BCD"/>
    <w:rsid w:val="00FD3C0C"/>
    <w:rsid w:val="00FD416B"/>
    <w:rsid w:val="00FD436C"/>
    <w:rsid w:val="00FD446D"/>
    <w:rsid w:val="00FD4569"/>
    <w:rsid w:val="00FD4F2C"/>
    <w:rsid w:val="00FD4FA2"/>
    <w:rsid w:val="00FD51D3"/>
    <w:rsid w:val="00FD5550"/>
    <w:rsid w:val="00FD567F"/>
    <w:rsid w:val="00FD5731"/>
    <w:rsid w:val="00FD6394"/>
    <w:rsid w:val="00FD65D8"/>
    <w:rsid w:val="00FD6917"/>
    <w:rsid w:val="00FD6B10"/>
    <w:rsid w:val="00FD6C9B"/>
    <w:rsid w:val="00FD7062"/>
    <w:rsid w:val="00FD7387"/>
    <w:rsid w:val="00FD738C"/>
    <w:rsid w:val="00FD7B5F"/>
    <w:rsid w:val="00FE008C"/>
    <w:rsid w:val="00FE04FC"/>
    <w:rsid w:val="00FE0654"/>
    <w:rsid w:val="00FE0779"/>
    <w:rsid w:val="00FE0789"/>
    <w:rsid w:val="00FE0DAE"/>
    <w:rsid w:val="00FE0E6C"/>
    <w:rsid w:val="00FE0F73"/>
    <w:rsid w:val="00FE0FD4"/>
    <w:rsid w:val="00FE13B7"/>
    <w:rsid w:val="00FE172B"/>
    <w:rsid w:val="00FE1CDC"/>
    <w:rsid w:val="00FE236B"/>
    <w:rsid w:val="00FE28CC"/>
    <w:rsid w:val="00FE302B"/>
    <w:rsid w:val="00FE30B5"/>
    <w:rsid w:val="00FE3245"/>
    <w:rsid w:val="00FE32C4"/>
    <w:rsid w:val="00FE35D1"/>
    <w:rsid w:val="00FE360B"/>
    <w:rsid w:val="00FE36E3"/>
    <w:rsid w:val="00FE3877"/>
    <w:rsid w:val="00FE392C"/>
    <w:rsid w:val="00FE3A20"/>
    <w:rsid w:val="00FE4634"/>
    <w:rsid w:val="00FE474F"/>
    <w:rsid w:val="00FE4A96"/>
    <w:rsid w:val="00FE4AC7"/>
    <w:rsid w:val="00FE4D57"/>
    <w:rsid w:val="00FE500D"/>
    <w:rsid w:val="00FE550D"/>
    <w:rsid w:val="00FE5911"/>
    <w:rsid w:val="00FE59DB"/>
    <w:rsid w:val="00FE5A8A"/>
    <w:rsid w:val="00FE6B43"/>
    <w:rsid w:val="00FE6E47"/>
    <w:rsid w:val="00FE7085"/>
    <w:rsid w:val="00FE70C3"/>
    <w:rsid w:val="00FE717C"/>
    <w:rsid w:val="00FE718A"/>
    <w:rsid w:val="00FE7447"/>
    <w:rsid w:val="00FE7485"/>
    <w:rsid w:val="00FE7644"/>
    <w:rsid w:val="00FE780E"/>
    <w:rsid w:val="00FE7C20"/>
    <w:rsid w:val="00FE7C3B"/>
    <w:rsid w:val="00FE7D5E"/>
    <w:rsid w:val="00FF006D"/>
    <w:rsid w:val="00FF02A5"/>
    <w:rsid w:val="00FF03F5"/>
    <w:rsid w:val="00FF0436"/>
    <w:rsid w:val="00FF059D"/>
    <w:rsid w:val="00FF09B4"/>
    <w:rsid w:val="00FF0B53"/>
    <w:rsid w:val="00FF0BE2"/>
    <w:rsid w:val="00FF1320"/>
    <w:rsid w:val="00FF1444"/>
    <w:rsid w:val="00FF16B1"/>
    <w:rsid w:val="00FF1845"/>
    <w:rsid w:val="00FF19EF"/>
    <w:rsid w:val="00FF1A8B"/>
    <w:rsid w:val="00FF22A4"/>
    <w:rsid w:val="00FF2453"/>
    <w:rsid w:val="00FF27C5"/>
    <w:rsid w:val="00FF2AD9"/>
    <w:rsid w:val="00FF31FE"/>
    <w:rsid w:val="00FF359F"/>
    <w:rsid w:val="00FF374E"/>
    <w:rsid w:val="00FF3751"/>
    <w:rsid w:val="00FF37CC"/>
    <w:rsid w:val="00FF3C7B"/>
    <w:rsid w:val="00FF3DCF"/>
    <w:rsid w:val="00FF492C"/>
    <w:rsid w:val="00FF4A21"/>
    <w:rsid w:val="00FF4B2C"/>
    <w:rsid w:val="00FF4F87"/>
    <w:rsid w:val="00FF51EB"/>
    <w:rsid w:val="00FF5235"/>
    <w:rsid w:val="00FF535B"/>
    <w:rsid w:val="00FF56E4"/>
    <w:rsid w:val="00FF5873"/>
    <w:rsid w:val="00FF5946"/>
    <w:rsid w:val="00FF5AA3"/>
    <w:rsid w:val="00FF5AD8"/>
    <w:rsid w:val="00FF5D22"/>
    <w:rsid w:val="00FF6098"/>
    <w:rsid w:val="00FF6114"/>
    <w:rsid w:val="00FF6116"/>
    <w:rsid w:val="00FF6415"/>
    <w:rsid w:val="00FF6483"/>
    <w:rsid w:val="00FF64E9"/>
    <w:rsid w:val="00FF664F"/>
    <w:rsid w:val="00FF743E"/>
    <w:rsid w:val="00FF7544"/>
    <w:rsid w:val="00FF78ED"/>
    <w:rsid w:val="2A87BE05"/>
    <w:rsid w:val="3D87428E"/>
    <w:rsid w:val="4D8A453D"/>
    <w:rsid w:val="76C96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8A4"/>
    <w:pPr>
      <w:jc w:val="both"/>
    </w:pPr>
    <w:rPr>
      <w:rFonts w:ascii="Calibri" w:hAnsi="Calibri" w:cs="Arial"/>
      <w:sz w:val="24"/>
      <w:szCs w:val="24"/>
    </w:rPr>
  </w:style>
  <w:style w:type="paragraph" w:styleId="Heading1">
    <w:name w:val="heading 1"/>
    <w:basedOn w:val="Normal"/>
    <w:next w:val="Normal"/>
    <w:uiPriority w:val="1"/>
    <w:rsid w:val="003B1570"/>
    <w:pPr>
      <w:pageBreakBefore/>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eader Table,NICE instructions,Source table_,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88759C"/>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720D59"/>
    <w:pPr>
      <w:numPr>
        <w:ilvl w:val="1"/>
        <w:numId w:val="1"/>
      </w:numPr>
    </w:pPr>
  </w:style>
  <w:style w:type="character" w:customStyle="1" w:styleId="3-BodyTextChar">
    <w:name w:val="3-Body Text Char"/>
    <w:basedOn w:val="ListParagraphChar"/>
    <w:link w:val="3-BodyText"/>
    <w:rsid w:val="00720D5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note">
    <w:name w:val="Table &amp; Figure Footnote"/>
    <w:basedOn w:val="BodyText"/>
    <w:next w:val="BodyText"/>
    <w:qFormat/>
    <w:rsid w:val="00F3119A"/>
    <w:pPr>
      <w:spacing w:before="20" w:after="20"/>
      <w:jc w:val="both"/>
    </w:pPr>
    <w:rPr>
      <w:rFonts w:ascii="Arial" w:hAnsi="Arial" w:cs="Times New Roman"/>
      <w:sz w:val="16"/>
      <w:lang w:eastAsia="en-US"/>
    </w:rPr>
  </w:style>
  <w:style w:type="character" w:customStyle="1" w:styleId="TableFigureFooterChar">
    <w:name w:val="Table/Figure Footer Char"/>
    <w:link w:val="TableFigureFooter"/>
    <w:locked/>
    <w:rsid w:val="00F53FAE"/>
    <w:rPr>
      <w:rFonts w:ascii="Arial Narrow" w:hAnsi="Arial Narrow" w:cs="Arial"/>
      <w:sz w:val="18"/>
      <w:szCs w:val="22"/>
    </w:rPr>
  </w:style>
  <w:style w:type="paragraph" w:customStyle="1" w:styleId="TableFigureFooter">
    <w:name w:val="Table/Figure Footer"/>
    <w:basedOn w:val="Normal"/>
    <w:link w:val="TableFigureFooterChar"/>
    <w:qFormat/>
    <w:rsid w:val="00F53FAE"/>
    <w:pPr>
      <w:snapToGrid w:val="0"/>
      <w:spacing w:after="120"/>
      <w:contextualSpacing/>
    </w:pPr>
    <w:rPr>
      <w:rFonts w:ascii="Arial Narrow" w:hAnsi="Arial Narrow"/>
      <w:sz w:val="18"/>
      <w:szCs w:val="22"/>
    </w:rPr>
  </w:style>
  <w:style w:type="paragraph" w:customStyle="1" w:styleId="Bullet11-1">
    <w:name w:val="Bullet 11-1"/>
    <w:qFormat/>
    <w:rsid w:val="00BC4572"/>
    <w:pPr>
      <w:numPr>
        <w:numId w:val="6"/>
      </w:numPr>
      <w:spacing w:after="120"/>
      <w:jc w:val="both"/>
    </w:pPr>
    <w:rPr>
      <w:sz w:val="22"/>
      <w:lang w:val="en-US" w:eastAsia="en-US"/>
    </w:rPr>
  </w:style>
  <w:style w:type="paragraph" w:customStyle="1" w:styleId="Bullet11-2">
    <w:name w:val="Bullet 11-2"/>
    <w:qFormat/>
    <w:rsid w:val="00BC4572"/>
    <w:pPr>
      <w:numPr>
        <w:numId w:val="7"/>
      </w:numPr>
      <w:spacing w:after="120"/>
      <w:jc w:val="both"/>
    </w:pPr>
    <w:rPr>
      <w:sz w:val="22"/>
      <w:lang w:val="en-US" w:eastAsia="en-US"/>
    </w:rPr>
  </w:style>
  <w:style w:type="table" w:customStyle="1" w:styleId="ASDTable1">
    <w:name w:val="ASD Table1"/>
    <w:basedOn w:val="TableNormal"/>
    <w:next w:val="TableGrid"/>
    <w:uiPriority w:val="59"/>
    <w:rsid w:val="001203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59"/>
    <w:rsid w:val="00586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EA1C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uiPriority w:val="59"/>
    <w:rsid w:val="00115B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59"/>
    <w:rsid w:val="009E35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D309E"/>
    <w:rPr>
      <w:sz w:val="20"/>
      <w:szCs w:val="20"/>
    </w:rPr>
  </w:style>
  <w:style w:type="character" w:customStyle="1" w:styleId="EndnoteTextChar">
    <w:name w:val="Endnote Text Char"/>
    <w:basedOn w:val="DefaultParagraphFont"/>
    <w:link w:val="EndnoteText"/>
    <w:semiHidden/>
    <w:rsid w:val="00FD309E"/>
    <w:rPr>
      <w:rFonts w:ascii="Calibri" w:hAnsi="Calibri" w:cs="Arial"/>
    </w:rPr>
  </w:style>
  <w:style w:type="character" w:styleId="EndnoteReference">
    <w:name w:val="endnote reference"/>
    <w:basedOn w:val="DefaultParagraphFont"/>
    <w:semiHidden/>
    <w:unhideWhenUsed/>
    <w:rsid w:val="00FD309E"/>
    <w:rPr>
      <w:vertAlign w:val="superscript"/>
    </w:rPr>
  </w:style>
  <w:style w:type="paragraph" w:styleId="FootnoteText">
    <w:name w:val="footnote text"/>
    <w:basedOn w:val="Normal"/>
    <w:link w:val="FootnoteTextChar"/>
    <w:semiHidden/>
    <w:unhideWhenUsed/>
    <w:rsid w:val="00FD309E"/>
    <w:rPr>
      <w:sz w:val="20"/>
      <w:szCs w:val="20"/>
    </w:rPr>
  </w:style>
  <w:style w:type="character" w:customStyle="1" w:styleId="FootnoteTextChar">
    <w:name w:val="Footnote Text Char"/>
    <w:basedOn w:val="DefaultParagraphFont"/>
    <w:link w:val="FootnoteText"/>
    <w:semiHidden/>
    <w:rsid w:val="00FD309E"/>
    <w:rPr>
      <w:rFonts w:ascii="Calibri" w:hAnsi="Calibri" w:cs="Arial"/>
    </w:rPr>
  </w:style>
  <w:style w:type="character" w:styleId="FootnoteReference">
    <w:name w:val="footnote reference"/>
    <w:basedOn w:val="DefaultParagraphFont"/>
    <w:semiHidden/>
    <w:unhideWhenUsed/>
    <w:rsid w:val="00FD309E"/>
    <w:rPr>
      <w:vertAlign w:val="superscript"/>
    </w:rPr>
  </w:style>
  <w:style w:type="table" w:customStyle="1" w:styleId="HTATableshaded">
    <w:name w:val="HTA Table shaded"/>
    <w:basedOn w:val="TableNormal"/>
    <w:rsid w:val="004B113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UnresolvedMention1">
    <w:name w:val="Unresolved Mention1"/>
    <w:basedOn w:val="DefaultParagraphFont"/>
    <w:uiPriority w:val="99"/>
    <w:semiHidden/>
    <w:unhideWhenUsed/>
    <w:rsid w:val="00F878DE"/>
    <w:rPr>
      <w:color w:val="605E5C"/>
      <w:shd w:val="clear" w:color="auto" w:fill="E1DFDD"/>
    </w:rPr>
  </w:style>
  <w:style w:type="paragraph" w:customStyle="1" w:styleId="TableText1">
    <w:name w:val="TableText"/>
    <w:basedOn w:val="Normal"/>
    <w:link w:val="TableTextChar1"/>
    <w:qFormat/>
    <w:rsid w:val="009356DC"/>
    <w:pPr>
      <w:keepNext/>
      <w:spacing w:before="40" w:after="40"/>
    </w:pPr>
    <w:rPr>
      <w:rFonts w:ascii="Arial" w:hAnsi="Arial" w:cs="Times New Roman"/>
      <w:sz w:val="18"/>
      <w:szCs w:val="20"/>
      <w:lang w:eastAsia="en-US"/>
    </w:rPr>
  </w:style>
  <w:style w:type="character" w:customStyle="1" w:styleId="TableTextChar1">
    <w:name w:val="TableText Char"/>
    <w:link w:val="TableText1"/>
    <w:rsid w:val="009356DC"/>
    <w:rPr>
      <w:rFonts w:ascii="Arial" w:hAnsi="Arial"/>
      <w:sz w:val="18"/>
      <w:lang w:eastAsia="en-US"/>
    </w:rPr>
  </w:style>
  <w:style w:type="numbering" w:customStyle="1" w:styleId="CurrentList1">
    <w:name w:val="Current List1"/>
    <w:uiPriority w:val="99"/>
    <w:rsid w:val="00A93EBE"/>
    <w:pPr>
      <w:numPr>
        <w:numId w:val="13"/>
      </w:numPr>
    </w:pPr>
  </w:style>
  <w:style w:type="numbering" w:customStyle="1" w:styleId="CurrentList2">
    <w:name w:val="Current List2"/>
    <w:uiPriority w:val="99"/>
    <w:rsid w:val="00A93EBE"/>
    <w:pPr>
      <w:numPr>
        <w:numId w:val="14"/>
      </w:numPr>
    </w:pPr>
  </w:style>
  <w:style w:type="character" w:styleId="PlaceholderText">
    <w:name w:val="Placeholder Text"/>
    <w:basedOn w:val="DefaultParagraphFont"/>
    <w:uiPriority w:val="99"/>
    <w:semiHidden/>
    <w:rsid w:val="00687A7C"/>
    <w:rPr>
      <w:color w:val="808080"/>
    </w:rPr>
  </w:style>
  <w:style w:type="paragraph" w:customStyle="1" w:styleId="Tabletitles">
    <w:name w:val="Table titles"/>
    <w:basedOn w:val="NoSpacing"/>
    <w:link w:val="TabletitlesChar"/>
    <w:qFormat/>
    <w:rsid w:val="00955BD6"/>
    <w:pPr>
      <w:widowControl/>
      <w:spacing w:after="60"/>
    </w:pPr>
    <w:rPr>
      <w:rFonts w:ascii="Arial Narrow" w:hAnsi="Arial Narrow" w:cs="Times New Roman"/>
      <w:b/>
      <w:snapToGrid/>
      <w:sz w:val="20"/>
      <w:szCs w:val="22"/>
      <w:lang w:eastAsia="en-AU"/>
    </w:rPr>
  </w:style>
  <w:style w:type="character" w:customStyle="1" w:styleId="TabletitlesChar">
    <w:name w:val="Table titles Char"/>
    <w:basedOn w:val="DefaultParagraphFont"/>
    <w:link w:val="Tabletitles"/>
    <w:rsid w:val="00955BD6"/>
    <w:rPr>
      <w:rFonts w:ascii="Arial Narrow" w:hAnsi="Arial Narrow"/>
      <w:b/>
      <w:szCs w:val="22"/>
    </w:rPr>
  </w:style>
  <w:style w:type="paragraph" w:customStyle="1" w:styleId="3-SubsectionHeading">
    <w:name w:val="3-Subsection Heading"/>
    <w:basedOn w:val="Heading2"/>
    <w:next w:val="Normal"/>
    <w:link w:val="3-SubsectionHeadingChar"/>
    <w:qFormat/>
    <w:rsid w:val="006154D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154DA"/>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53">
      <w:bodyDiv w:val="1"/>
      <w:marLeft w:val="0"/>
      <w:marRight w:val="0"/>
      <w:marTop w:val="0"/>
      <w:marBottom w:val="0"/>
      <w:divBdr>
        <w:top w:val="none" w:sz="0" w:space="0" w:color="auto"/>
        <w:left w:val="none" w:sz="0" w:space="0" w:color="auto"/>
        <w:bottom w:val="none" w:sz="0" w:space="0" w:color="auto"/>
        <w:right w:val="none" w:sz="0" w:space="0" w:color="auto"/>
      </w:divBdr>
    </w:div>
    <w:div w:id="24212735">
      <w:bodyDiv w:val="1"/>
      <w:marLeft w:val="0"/>
      <w:marRight w:val="0"/>
      <w:marTop w:val="0"/>
      <w:marBottom w:val="0"/>
      <w:divBdr>
        <w:top w:val="none" w:sz="0" w:space="0" w:color="auto"/>
        <w:left w:val="none" w:sz="0" w:space="0" w:color="auto"/>
        <w:bottom w:val="none" w:sz="0" w:space="0" w:color="auto"/>
        <w:right w:val="none" w:sz="0" w:space="0" w:color="auto"/>
      </w:divBdr>
    </w:div>
    <w:div w:id="5389561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672896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8349066">
      <w:bodyDiv w:val="1"/>
      <w:marLeft w:val="0"/>
      <w:marRight w:val="0"/>
      <w:marTop w:val="0"/>
      <w:marBottom w:val="0"/>
      <w:divBdr>
        <w:top w:val="none" w:sz="0" w:space="0" w:color="auto"/>
        <w:left w:val="none" w:sz="0" w:space="0" w:color="auto"/>
        <w:bottom w:val="none" w:sz="0" w:space="0" w:color="auto"/>
        <w:right w:val="none" w:sz="0" w:space="0" w:color="auto"/>
      </w:divBdr>
    </w:div>
    <w:div w:id="162597386">
      <w:bodyDiv w:val="1"/>
      <w:marLeft w:val="0"/>
      <w:marRight w:val="0"/>
      <w:marTop w:val="0"/>
      <w:marBottom w:val="0"/>
      <w:divBdr>
        <w:top w:val="none" w:sz="0" w:space="0" w:color="auto"/>
        <w:left w:val="none" w:sz="0" w:space="0" w:color="auto"/>
        <w:bottom w:val="none" w:sz="0" w:space="0" w:color="auto"/>
        <w:right w:val="none" w:sz="0" w:space="0" w:color="auto"/>
      </w:divBdr>
    </w:div>
    <w:div w:id="192576037">
      <w:bodyDiv w:val="1"/>
      <w:marLeft w:val="0"/>
      <w:marRight w:val="0"/>
      <w:marTop w:val="0"/>
      <w:marBottom w:val="0"/>
      <w:divBdr>
        <w:top w:val="none" w:sz="0" w:space="0" w:color="auto"/>
        <w:left w:val="none" w:sz="0" w:space="0" w:color="auto"/>
        <w:bottom w:val="none" w:sz="0" w:space="0" w:color="auto"/>
        <w:right w:val="none" w:sz="0" w:space="0" w:color="auto"/>
      </w:divBdr>
    </w:div>
    <w:div w:id="216011759">
      <w:bodyDiv w:val="1"/>
      <w:marLeft w:val="0"/>
      <w:marRight w:val="0"/>
      <w:marTop w:val="0"/>
      <w:marBottom w:val="0"/>
      <w:divBdr>
        <w:top w:val="none" w:sz="0" w:space="0" w:color="auto"/>
        <w:left w:val="none" w:sz="0" w:space="0" w:color="auto"/>
        <w:bottom w:val="none" w:sz="0" w:space="0" w:color="auto"/>
        <w:right w:val="none" w:sz="0" w:space="0" w:color="auto"/>
      </w:divBdr>
      <w:divsChild>
        <w:div w:id="485316774">
          <w:marLeft w:val="446"/>
          <w:marRight w:val="0"/>
          <w:marTop w:val="0"/>
          <w:marBottom w:val="0"/>
          <w:divBdr>
            <w:top w:val="none" w:sz="0" w:space="0" w:color="auto"/>
            <w:left w:val="none" w:sz="0" w:space="0" w:color="auto"/>
            <w:bottom w:val="none" w:sz="0" w:space="0" w:color="auto"/>
            <w:right w:val="none" w:sz="0" w:space="0" w:color="auto"/>
          </w:divBdr>
        </w:div>
      </w:divsChild>
    </w:div>
    <w:div w:id="24222340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1421307">
      <w:bodyDiv w:val="1"/>
      <w:marLeft w:val="0"/>
      <w:marRight w:val="0"/>
      <w:marTop w:val="0"/>
      <w:marBottom w:val="0"/>
      <w:divBdr>
        <w:top w:val="none" w:sz="0" w:space="0" w:color="auto"/>
        <w:left w:val="none" w:sz="0" w:space="0" w:color="auto"/>
        <w:bottom w:val="none" w:sz="0" w:space="0" w:color="auto"/>
        <w:right w:val="none" w:sz="0" w:space="0" w:color="auto"/>
      </w:divBdr>
    </w:div>
    <w:div w:id="423498539">
      <w:bodyDiv w:val="1"/>
      <w:marLeft w:val="0"/>
      <w:marRight w:val="0"/>
      <w:marTop w:val="0"/>
      <w:marBottom w:val="0"/>
      <w:divBdr>
        <w:top w:val="none" w:sz="0" w:space="0" w:color="auto"/>
        <w:left w:val="none" w:sz="0" w:space="0" w:color="auto"/>
        <w:bottom w:val="none" w:sz="0" w:space="0" w:color="auto"/>
        <w:right w:val="none" w:sz="0" w:space="0" w:color="auto"/>
      </w:divBdr>
    </w:div>
    <w:div w:id="424158328">
      <w:bodyDiv w:val="1"/>
      <w:marLeft w:val="0"/>
      <w:marRight w:val="0"/>
      <w:marTop w:val="0"/>
      <w:marBottom w:val="0"/>
      <w:divBdr>
        <w:top w:val="none" w:sz="0" w:space="0" w:color="auto"/>
        <w:left w:val="none" w:sz="0" w:space="0" w:color="auto"/>
        <w:bottom w:val="none" w:sz="0" w:space="0" w:color="auto"/>
        <w:right w:val="none" w:sz="0" w:space="0" w:color="auto"/>
      </w:divBdr>
    </w:div>
    <w:div w:id="430004449">
      <w:bodyDiv w:val="1"/>
      <w:marLeft w:val="0"/>
      <w:marRight w:val="0"/>
      <w:marTop w:val="0"/>
      <w:marBottom w:val="0"/>
      <w:divBdr>
        <w:top w:val="none" w:sz="0" w:space="0" w:color="auto"/>
        <w:left w:val="none" w:sz="0" w:space="0" w:color="auto"/>
        <w:bottom w:val="none" w:sz="0" w:space="0" w:color="auto"/>
        <w:right w:val="none" w:sz="0" w:space="0" w:color="auto"/>
      </w:divBdr>
    </w:div>
    <w:div w:id="479658579">
      <w:bodyDiv w:val="1"/>
      <w:marLeft w:val="0"/>
      <w:marRight w:val="0"/>
      <w:marTop w:val="0"/>
      <w:marBottom w:val="0"/>
      <w:divBdr>
        <w:top w:val="none" w:sz="0" w:space="0" w:color="auto"/>
        <w:left w:val="none" w:sz="0" w:space="0" w:color="auto"/>
        <w:bottom w:val="none" w:sz="0" w:space="0" w:color="auto"/>
        <w:right w:val="none" w:sz="0" w:space="0" w:color="auto"/>
      </w:divBdr>
    </w:div>
    <w:div w:id="496924099">
      <w:bodyDiv w:val="1"/>
      <w:marLeft w:val="0"/>
      <w:marRight w:val="0"/>
      <w:marTop w:val="0"/>
      <w:marBottom w:val="0"/>
      <w:divBdr>
        <w:top w:val="none" w:sz="0" w:space="0" w:color="auto"/>
        <w:left w:val="none" w:sz="0" w:space="0" w:color="auto"/>
        <w:bottom w:val="none" w:sz="0" w:space="0" w:color="auto"/>
        <w:right w:val="none" w:sz="0" w:space="0" w:color="auto"/>
      </w:divBdr>
    </w:div>
    <w:div w:id="502555471">
      <w:bodyDiv w:val="1"/>
      <w:marLeft w:val="0"/>
      <w:marRight w:val="0"/>
      <w:marTop w:val="0"/>
      <w:marBottom w:val="0"/>
      <w:divBdr>
        <w:top w:val="none" w:sz="0" w:space="0" w:color="auto"/>
        <w:left w:val="none" w:sz="0" w:space="0" w:color="auto"/>
        <w:bottom w:val="none" w:sz="0" w:space="0" w:color="auto"/>
        <w:right w:val="none" w:sz="0" w:space="0" w:color="auto"/>
      </w:divBdr>
    </w:div>
    <w:div w:id="502597678">
      <w:bodyDiv w:val="1"/>
      <w:marLeft w:val="0"/>
      <w:marRight w:val="0"/>
      <w:marTop w:val="0"/>
      <w:marBottom w:val="0"/>
      <w:divBdr>
        <w:top w:val="none" w:sz="0" w:space="0" w:color="auto"/>
        <w:left w:val="none" w:sz="0" w:space="0" w:color="auto"/>
        <w:bottom w:val="none" w:sz="0" w:space="0" w:color="auto"/>
        <w:right w:val="none" w:sz="0" w:space="0" w:color="auto"/>
      </w:divBdr>
    </w:div>
    <w:div w:id="511646926">
      <w:bodyDiv w:val="1"/>
      <w:marLeft w:val="0"/>
      <w:marRight w:val="0"/>
      <w:marTop w:val="0"/>
      <w:marBottom w:val="0"/>
      <w:divBdr>
        <w:top w:val="none" w:sz="0" w:space="0" w:color="auto"/>
        <w:left w:val="none" w:sz="0" w:space="0" w:color="auto"/>
        <w:bottom w:val="none" w:sz="0" w:space="0" w:color="auto"/>
        <w:right w:val="none" w:sz="0" w:space="0" w:color="auto"/>
      </w:divBdr>
    </w:div>
    <w:div w:id="566307557">
      <w:bodyDiv w:val="1"/>
      <w:marLeft w:val="0"/>
      <w:marRight w:val="0"/>
      <w:marTop w:val="0"/>
      <w:marBottom w:val="0"/>
      <w:divBdr>
        <w:top w:val="none" w:sz="0" w:space="0" w:color="auto"/>
        <w:left w:val="none" w:sz="0" w:space="0" w:color="auto"/>
        <w:bottom w:val="none" w:sz="0" w:space="0" w:color="auto"/>
        <w:right w:val="none" w:sz="0" w:space="0" w:color="auto"/>
      </w:divBdr>
    </w:div>
    <w:div w:id="592520684">
      <w:bodyDiv w:val="1"/>
      <w:marLeft w:val="0"/>
      <w:marRight w:val="0"/>
      <w:marTop w:val="0"/>
      <w:marBottom w:val="0"/>
      <w:divBdr>
        <w:top w:val="none" w:sz="0" w:space="0" w:color="auto"/>
        <w:left w:val="none" w:sz="0" w:space="0" w:color="auto"/>
        <w:bottom w:val="none" w:sz="0" w:space="0" w:color="auto"/>
        <w:right w:val="none" w:sz="0" w:space="0" w:color="auto"/>
      </w:divBdr>
    </w:div>
    <w:div w:id="631061157">
      <w:bodyDiv w:val="1"/>
      <w:marLeft w:val="0"/>
      <w:marRight w:val="0"/>
      <w:marTop w:val="0"/>
      <w:marBottom w:val="0"/>
      <w:divBdr>
        <w:top w:val="none" w:sz="0" w:space="0" w:color="auto"/>
        <w:left w:val="none" w:sz="0" w:space="0" w:color="auto"/>
        <w:bottom w:val="none" w:sz="0" w:space="0" w:color="auto"/>
        <w:right w:val="none" w:sz="0" w:space="0" w:color="auto"/>
      </w:divBdr>
    </w:div>
    <w:div w:id="633175431">
      <w:bodyDiv w:val="1"/>
      <w:marLeft w:val="0"/>
      <w:marRight w:val="0"/>
      <w:marTop w:val="0"/>
      <w:marBottom w:val="0"/>
      <w:divBdr>
        <w:top w:val="none" w:sz="0" w:space="0" w:color="auto"/>
        <w:left w:val="none" w:sz="0" w:space="0" w:color="auto"/>
        <w:bottom w:val="none" w:sz="0" w:space="0" w:color="auto"/>
        <w:right w:val="none" w:sz="0" w:space="0" w:color="auto"/>
      </w:divBdr>
    </w:div>
    <w:div w:id="678314764">
      <w:bodyDiv w:val="1"/>
      <w:marLeft w:val="0"/>
      <w:marRight w:val="0"/>
      <w:marTop w:val="0"/>
      <w:marBottom w:val="0"/>
      <w:divBdr>
        <w:top w:val="none" w:sz="0" w:space="0" w:color="auto"/>
        <w:left w:val="none" w:sz="0" w:space="0" w:color="auto"/>
        <w:bottom w:val="none" w:sz="0" w:space="0" w:color="auto"/>
        <w:right w:val="none" w:sz="0" w:space="0" w:color="auto"/>
      </w:divBdr>
    </w:div>
    <w:div w:id="683021418">
      <w:bodyDiv w:val="1"/>
      <w:marLeft w:val="0"/>
      <w:marRight w:val="0"/>
      <w:marTop w:val="0"/>
      <w:marBottom w:val="0"/>
      <w:divBdr>
        <w:top w:val="none" w:sz="0" w:space="0" w:color="auto"/>
        <w:left w:val="none" w:sz="0" w:space="0" w:color="auto"/>
        <w:bottom w:val="none" w:sz="0" w:space="0" w:color="auto"/>
        <w:right w:val="none" w:sz="0" w:space="0" w:color="auto"/>
      </w:divBdr>
    </w:div>
    <w:div w:id="737093668">
      <w:bodyDiv w:val="1"/>
      <w:marLeft w:val="0"/>
      <w:marRight w:val="0"/>
      <w:marTop w:val="0"/>
      <w:marBottom w:val="0"/>
      <w:divBdr>
        <w:top w:val="none" w:sz="0" w:space="0" w:color="auto"/>
        <w:left w:val="none" w:sz="0" w:space="0" w:color="auto"/>
        <w:bottom w:val="none" w:sz="0" w:space="0" w:color="auto"/>
        <w:right w:val="none" w:sz="0" w:space="0" w:color="auto"/>
      </w:divBdr>
    </w:div>
    <w:div w:id="8041565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5994834">
      <w:bodyDiv w:val="1"/>
      <w:marLeft w:val="0"/>
      <w:marRight w:val="0"/>
      <w:marTop w:val="0"/>
      <w:marBottom w:val="0"/>
      <w:divBdr>
        <w:top w:val="none" w:sz="0" w:space="0" w:color="auto"/>
        <w:left w:val="none" w:sz="0" w:space="0" w:color="auto"/>
        <w:bottom w:val="none" w:sz="0" w:space="0" w:color="auto"/>
        <w:right w:val="none" w:sz="0" w:space="0" w:color="auto"/>
      </w:divBdr>
    </w:div>
    <w:div w:id="945775511">
      <w:bodyDiv w:val="1"/>
      <w:marLeft w:val="0"/>
      <w:marRight w:val="0"/>
      <w:marTop w:val="0"/>
      <w:marBottom w:val="0"/>
      <w:divBdr>
        <w:top w:val="none" w:sz="0" w:space="0" w:color="auto"/>
        <w:left w:val="none" w:sz="0" w:space="0" w:color="auto"/>
        <w:bottom w:val="none" w:sz="0" w:space="0" w:color="auto"/>
        <w:right w:val="none" w:sz="0" w:space="0" w:color="auto"/>
      </w:divBdr>
      <w:divsChild>
        <w:div w:id="2055349014">
          <w:marLeft w:val="446"/>
          <w:marRight w:val="0"/>
          <w:marTop w:val="0"/>
          <w:marBottom w:val="0"/>
          <w:divBdr>
            <w:top w:val="none" w:sz="0" w:space="0" w:color="auto"/>
            <w:left w:val="none" w:sz="0" w:space="0" w:color="auto"/>
            <w:bottom w:val="none" w:sz="0" w:space="0" w:color="auto"/>
            <w:right w:val="none" w:sz="0" w:space="0" w:color="auto"/>
          </w:divBdr>
        </w:div>
        <w:div w:id="2070574355">
          <w:marLeft w:val="1166"/>
          <w:marRight w:val="0"/>
          <w:marTop w:val="0"/>
          <w:marBottom w:val="0"/>
          <w:divBdr>
            <w:top w:val="none" w:sz="0" w:space="0" w:color="auto"/>
            <w:left w:val="none" w:sz="0" w:space="0" w:color="auto"/>
            <w:bottom w:val="none" w:sz="0" w:space="0" w:color="auto"/>
            <w:right w:val="none" w:sz="0" w:space="0" w:color="auto"/>
          </w:divBdr>
        </w:div>
        <w:div w:id="1028994433">
          <w:marLeft w:val="1166"/>
          <w:marRight w:val="0"/>
          <w:marTop w:val="0"/>
          <w:marBottom w:val="0"/>
          <w:divBdr>
            <w:top w:val="none" w:sz="0" w:space="0" w:color="auto"/>
            <w:left w:val="none" w:sz="0" w:space="0" w:color="auto"/>
            <w:bottom w:val="none" w:sz="0" w:space="0" w:color="auto"/>
            <w:right w:val="none" w:sz="0" w:space="0" w:color="auto"/>
          </w:divBdr>
        </w:div>
      </w:divsChild>
    </w:div>
    <w:div w:id="974138944">
      <w:bodyDiv w:val="1"/>
      <w:marLeft w:val="0"/>
      <w:marRight w:val="0"/>
      <w:marTop w:val="0"/>
      <w:marBottom w:val="0"/>
      <w:divBdr>
        <w:top w:val="none" w:sz="0" w:space="0" w:color="auto"/>
        <w:left w:val="none" w:sz="0" w:space="0" w:color="auto"/>
        <w:bottom w:val="none" w:sz="0" w:space="0" w:color="auto"/>
        <w:right w:val="none" w:sz="0" w:space="0" w:color="auto"/>
      </w:divBdr>
    </w:div>
    <w:div w:id="1005018996">
      <w:bodyDiv w:val="1"/>
      <w:marLeft w:val="0"/>
      <w:marRight w:val="0"/>
      <w:marTop w:val="0"/>
      <w:marBottom w:val="0"/>
      <w:divBdr>
        <w:top w:val="none" w:sz="0" w:space="0" w:color="auto"/>
        <w:left w:val="none" w:sz="0" w:space="0" w:color="auto"/>
        <w:bottom w:val="none" w:sz="0" w:space="0" w:color="auto"/>
        <w:right w:val="none" w:sz="0" w:space="0" w:color="auto"/>
      </w:divBdr>
      <w:divsChild>
        <w:div w:id="197937792">
          <w:marLeft w:val="0"/>
          <w:marRight w:val="0"/>
          <w:marTop w:val="0"/>
          <w:marBottom w:val="0"/>
          <w:divBdr>
            <w:top w:val="none" w:sz="0" w:space="0" w:color="auto"/>
            <w:left w:val="none" w:sz="0" w:space="0" w:color="auto"/>
            <w:bottom w:val="none" w:sz="0" w:space="0" w:color="auto"/>
            <w:right w:val="none" w:sz="0" w:space="0" w:color="auto"/>
          </w:divBdr>
        </w:div>
        <w:div w:id="1470513217">
          <w:marLeft w:val="0"/>
          <w:marRight w:val="0"/>
          <w:marTop w:val="0"/>
          <w:marBottom w:val="0"/>
          <w:divBdr>
            <w:top w:val="none" w:sz="0" w:space="0" w:color="auto"/>
            <w:left w:val="none" w:sz="0" w:space="0" w:color="auto"/>
            <w:bottom w:val="none" w:sz="0" w:space="0" w:color="auto"/>
            <w:right w:val="none" w:sz="0" w:space="0" w:color="auto"/>
          </w:divBdr>
        </w:div>
      </w:divsChild>
    </w:div>
    <w:div w:id="1009525754">
      <w:bodyDiv w:val="1"/>
      <w:marLeft w:val="0"/>
      <w:marRight w:val="0"/>
      <w:marTop w:val="0"/>
      <w:marBottom w:val="0"/>
      <w:divBdr>
        <w:top w:val="none" w:sz="0" w:space="0" w:color="auto"/>
        <w:left w:val="none" w:sz="0" w:space="0" w:color="auto"/>
        <w:bottom w:val="none" w:sz="0" w:space="0" w:color="auto"/>
        <w:right w:val="none" w:sz="0" w:space="0" w:color="auto"/>
      </w:divBdr>
    </w:div>
    <w:div w:id="1041176219">
      <w:bodyDiv w:val="1"/>
      <w:marLeft w:val="0"/>
      <w:marRight w:val="0"/>
      <w:marTop w:val="0"/>
      <w:marBottom w:val="0"/>
      <w:divBdr>
        <w:top w:val="none" w:sz="0" w:space="0" w:color="auto"/>
        <w:left w:val="none" w:sz="0" w:space="0" w:color="auto"/>
        <w:bottom w:val="none" w:sz="0" w:space="0" w:color="auto"/>
        <w:right w:val="none" w:sz="0" w:space="0" w:color="auto"/>
      </w:divBdr>
    </w:div>
    <w:div w:id="1072047701">
      <w:bodyDiv w:val="1"/>
      <w:marLeft w:val="0"/>
      <w:marRight w:val="0"/>
      <w:marTop w:val="0"/>
      <w:marBottom w:val="0"/>
      <w:divBdr>
        <w:top w:val="none" w:sz="0" w:space="0" w:color="auto"/>
        <w:left w:val="none" w:sz="0" w:space="0" w:color="auto"/>
        <w:bottom w:val="none" w:sz="0" w:space="0" w:color="auto"/>
        <w:right w:val="none" w:sz="0" w:space="0" w:color="auto"/>
      </w:divBdr>
    </w:div>
    <w:div w:id="1089277901">
      <w:bodyDiv w:val="1"/>
      <w:marLeft w:val="0"/>
      <w:marRight w:val="0"/>
      <w:marTop w:val="0"/>
      <w:marBottom w:val="0"/>
      <w:divBdr>
        <w:top w:val="none" w:sz="0" w:space="0" w:color="auto"/>
        <w:left w:val="none" w:sz="0" w:space="0" w:color="auto"/>
        <w:bottom w:val="none" w:sz="0" w:space="0" w:color="auto"/>
        <w:right w:val="none" w:sz="0" w:space="0" w:color="auto"/>
      </w:divBdr>
    </w:div>
    <w:div w:id="114577690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9685296">
      <w:bodyDiv w:val="1"/>
      <w:marLeft w:val="0"/>
      <w:marRight w:val="0"/>
      <w:marTop w:val="0"/>
      <w:marBottom w:val="0"/>
      <w:divBdr>
        <w:top w:val="none" w:sz="0" w:space="0" w:color="auto"/>
        <w:left w:val="none" w:sz="0" w:space="0" w:color="auto"/>
        <w:bottom w:val="none" w:sz="0" w:space="0" w:color="auto"/>
        <w:right w:val="none" w:sz="0" w:space="0" w:color="auto"/>
      </w:divBdr>
    </w:div>
    <w:div w:id="1210339688">
      <w:bodyDiv w:val="1"/>
      <w:marLeft w:val="0"/>
      <w:marRight w:val="0"/>
      <w:marTop w:val="0"/>
      <w:marBottom w:val="0"/>
      <w:divBdr>
        <w:top w:val="none" w:sz="0" w:space="0" w:color="auto"/>
        <w:left w:val="none" w:sz="0" w:space="0" w:color="auto"/>
        <w:bottom w:val="none" w:sz="0" w:space="0" w:color="auto"/>
        <w:right w:val="none" w:sz="0" w:space="0" w:color="auto"/>
      </w:divBdr>
      <w:divsChild>
        <w:div w:id="458033131">
          <w:marLeft w:val="0"/>
          <w:marRight w:val="0"/>
          <w:marTop w:val="0"/>
          <w:marBottom w:val="0"/>
          <w:divBdr>
            <w:top w:val="none" w:sz="0" w:space="0" w:color="auto"/>
            <w:left w:val="none" w:sz="0" w:space="0" w:color="auto"/>
            <w:bottom w:val="none" w:sz="0" w:space="0" w:color="auto"/>
            <w:right w:val="none" w:sz="0" w:space="0" w:color="auto"/>
          </w:divBdr>
          <w:divsChild>
            <w:div w:id="1031684782">
              <w:marLeft w:val="0"/>
              <w:marRight w:val="0"/>
              <w:marTop w:val="0"/>
              <w:marBottom w:val="0"/>
              <w:divBdr>
                <w:top w:val="none" w:sz="0" w:space="0" w:color="auto"/>
                <w:left w:val="none" w:sz="0" w:space="0" w:color="auto"/>
                <w:bottom w:val="none" w:sz="0" w:space="0" w:color="auto"/>
                <w:right w:val="none" w:sz="0" w:space="0" w:color="auto"/>
              </w:divBdr>
              <w:divsChild>
                <w:div w:id="451897256">
                  <w:marLeft w:val="0"/>
                  <w:marRight w:val="0"/>
                  <w:marTop w:val="0"/>
                  <w:marBottom w:val="0"/>
                  <w:divBdr>
                    <w:top w:val="none" w:sz="0" w:space="0" w:color="auto"/>
                    <w:left w:val="none" w:sz="0" w:space="0" w:color="auto"/>
                    <w:bottom w:val="none" w:sz="0" w:space="0" w:color="auto"/>
                    <w:right w:val="none" w:sz="0" w:space="0" w:color="auto"/>
                  </w:divBdr>
                  <w:divsChild>
                    <w:div w:id="1438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26649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3875794">
      <w:bodyDiv w:val="1"/>
      <w:marLeft w:val="0"/>
      <w:marRight w:val="0"/>
      <w:marTop w:val="0"/>
      <w:marBottom w:val="0"/>
      <w:divBdr>
        <w:top w:val="none" w:sz="0" w:space="0" w:color="auto"/>
        <w:left w:val="none" w:sz="0" w:space="0" w:color="auto"/>
        <w:bottom w:val="none" w:sz="0" w:space="0" w:color="auto"/>
        <w:right w:val="none" w:sz="0" w:space="0" w:color="auto"/>
      </w:divBdr>
    </w:div>
    <w:div w:id="1359358254">
      <w:bodyDiv w:val="1"/>
      <w:marLeft w:val="0"/>
      <w:marRight w:val="0"/>
      <w:marTop w:val="0"/>
      <w:marBottom w:val="0"/>
      <w:divBdr>
        <w:top w:val="none" w:sz="0" w:space="0" w:color="auto"/>
        <w:left w:val="none" w:sz="0" w:space="0" w:color="auto"/>
        <w:bottom w:val="none" w:sz="0" w:space="0" w:color="auto"/>
        <w:right w:val="none" w:sz="0" w:space="0" w:color="auto"/>
      </w:divBdr>
    </w:div>
    <w:div w:id="1377582141">
      <w:bodyDiv w:val="1"/>
      <w:marLeft w:val="0"/>
      <w:marRight w:val="0"/>
      <w:marTop w:val="0"/>
      <w:marBottom w:val="0"/>
      <w:divBdr>
        <w:top w:val="none" w:sz="0" w:space="0" w:color="auto"/>
        <w:left w:val="none" w:sz="0" w:space="0" w:color="auto"/>
        <w:bottom w:val="none" w:sz="0" w:space="0" w:color="auto"/>
        <w:right w:val="none" w:sz="0" w:space="0" w:color="auto"/>
      </w:divBdr>
    </w:div>
    <w:div w:id="1409768692">
      <w:bodyDiv w:val="1"/>
      <w:marLeft w:val="0"/>
      <w:marRight w:val="0"/>
      <w:marTop w:val="0"/>
      <w:marBottom w:val="0"/>
      <w:divBdr>
        <w:top w:val="none" w:sz="0" w:space="0" w:color="auto"/>
        <w:left w:val="none" w:sz="0" w:space="0" w:color="auto"/>
        <w:bottom w:val="none" w:sz="0" w:space="0" w:color="auto"/>
        <w:right w:val="none" w:sz="0" w:space="0" w:color="auto"/>
      </w:divBdr>
    </w:div>
    <w:div w:id="1430350612">
      <w:bodyDiv w:val="1"/>
      <w:marLeft w:val="0"/>
      <w:marRight w:val="0"/>
      <w:marTop w:val="0"/>
      <w:marBottom w:val="0"/>
      <w:divBdr>
        <w:top w:val="none" w:sz="0" w:space="0" w:color="auto"/>
        <w:left w:val="none" w:sz="0" w:space="0" w:color="auto"/>
        <w:bottom w:val="none" w:sz="0" w:space="0" w:color="auto"/>
        <w:right w:val="none" w:sz="0" w:space="0" w:color="auto"/>
      </w:divBdr>
    </w:div>
    <w:div w:id="1472406683">
      <w:bodyDiv w:val="1"/>
      <w:marLeft w:val="0"/>
      <w:marRight w:val="0"/>
      <w:marTop w:val="0"/>
      <w:marBottom w:val="0"/>
      <w:divBdr>
        <w:top w:val="none" w:sz="0" w:space="0" w:color="auto"/>
        <w:left w:val="none" w:sz="0" w:space="0" w:color="auto"/>
        <w:bottom w:val="none" w:sz="0" w:space="0" w:color="auto"/>
        <w:right w:val="none" w:sz="0" w:space="0" w:color="auto"/>
      </w:divBdr>
    </w:div>
    <w:div w:id="1510872011">
      <w:bodyDiv w:val="1"/>
      <w:marLeft w:val="0"/>
      <w:marRight w:val="0"/>
      <w:marTop w:val="0"/>
      <w:marBottom w:val="0"/>
      <w:divBdr>
        <w:top w:val="none" w:sz="0" w:space="0" w:color="auto"/>
        <w:left w:val="none" w:sz="0" w:space="0" w:color="auto"/>
        <w:bottom w:val="none" w:sz="0" w:space="0" w:color="auto"/>
        <w:right w:val="none" w:sz="0" w:space="0" w:color="auto"/>
      </w:divBdr>
    </w:div>
    <w:div w:id="1539201350">
      <w:bodyDiv w:val="1"/>
      <w:marLeft w:val="0"/>
      <w:marRight w:val="0"/>
      <w:marTop w:val="0"/>
      <w:marBottom w:val="0"/>
      <w:divBdr>
        <w:top w:val="none" w:sz="0" w:space="0" w:color="auto"/>
        <w:left w:val="none" w:sz="0" w:space="0" w:color="auto"/>
        <w:bottom w:val="none" w:sz="0" w:space="0" w:color="auto"/>
        <w:right w:val="none" w:sz="0" w:space="0" w:color="auto"/>
      </w:divBdr>
    </w:div>
    <w:div w:id="1590890951">
      <w:bodyDiv w:val="1"/>
      <w:marLeft w:val="0"/>
      <w:marRight w:val="0"/>
      <w:marTop w:val="0"/>
      <w:marBottom w:val="0"/>
      <w:divBdr>
        <w:top w:val="none" w:sz="0" w:space="0" w:color="auto"/>
        <w:left w:val="none" w:sz="0" w:space="0" w:color="auto"/>
        <w:bottom w:val="none" w:sz="0" w:space="0" w:color="auto"/>
        <w:right w:val="none" w:sz="0" w:space="0" w:color="auto"/>
      </w:divBdr>
    </w:div>
    <w:div w:id="1656372475">
      <w:bodyDiv w:val="1"/>
      <w:marLeft w:val="0"/>
      <w:marRight w:val="0"/>
      <w:marTop w:val="0"/>
      <w:marBottom w:val="0"/>
      <w:divBdr>
        <w:top w:val="none" w:sz="0" w:space="0" w:color="auto"/>
        <w:left w:val="none" w:sz="0" w:space="0" w:color="auto"/>
        <w:bottom w:val="none" w:sz="0" w:space="0" w:color="auto"/>
        <w:right w:val="none" w:sz="0" w:space="0" w:color="auto"/>
      </w:divBdr>
    </w:div>
    <w:div w:id="1674722079">
      <w:bodyDiv w:val="1"/>
      <w:marLeft w:val="0"/>
      <w:marRight w:val="0"/>
      <w:marTop w:val="0"/>
      <w:marBottom w:val="0"/>
      <w:divBdr>
        <w:top w:val="none" w:sz="0" w:space="0" w:color="auto"/>
        <w:left w:val="none" w:sz="0" w:space="0" w:color="auto"/>
        <w:bottom w:val="none" w:sz="0" w:space="0" w:color="auto"/>
        <w:right w:val="none" w:sz="0" w:space="0" w:color="auto"/>
      </w:divBdr>
    </w:div>
    <w:div w:id="1866207507">
      <w:bodyDiv w:val="1"/>
      <w:marLeft w:val="0"/>
      <w:marRight w:val="0"/>
      <w:marTop w:val="0"/>
      <w:marBottom w:val="0"/>
      <w:divBdr>
        <w:top w:val="none" w:sz="0" w:space="0" w:color="auto"/>
        <w:left w:val="none" w:sz="0" w:space="0" w:color="auto"/>
        <w:bottom w:val="none" w:sz="0" w:space="0" w:color="auto"/>
        <w:right w:val="none" w:sz="0" w:space="0" w:color="auto"/>
      </w:divBdr>
    </w:div>
    <w:div w:id="1866212706">
      <w:bodyDiv w:val="1"/>
      <w:marLeft w:val="0"/>
      <w:marRight w:val="0"/>
      <w:marTop w:val="0"/>
      <w:marBottom w:val="0"/>
      <w:divBdr>
        <w:top w:val="none" w:sz="0" w:space="0" w:color="auto"/>
        <w:left w:val="none" w:sz="0" w:space="0" w:color="auto"/>
        <w:bottom w:val="none" w:sz="0" w:space="0" w:color="auto"/>
        <w:right w:val="none" w:sz="0" w:space="0" w:color="auto"/>
      </w:divBdr>
    </w:div>
    <w:div w:id="192217471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3153057">
      <w:bodyDiv w:val="1"/>
      <w:marLeft w:val="0"/>
      <w:marRight w:val="0"/>
      <w:marTop w:val="0"/>
      <w:marBottom w:val="0"/>
      <w:divBdr>
        <w:top w:val="none" w:sz="0" w:space="0" w:color="auto"/>
        <w:left w:val="none" w:sz="0" w:space="0" w:color="auto"/>
        <w:bottom w:val="none" w:sz="0" w:space="0" w:color="auto"/>
        <w:right w:val="none" w:sz="0" w:space="0" w:color="auto"/>
      </w:divBdr>
    </w:div>
    <w:div w:id="2038189972">
      <w:bodyDiv w:val="1"/>
      <w:marLeft w:val="0"/>
      <w:marRight w:val="0"/>
      <w:marTop w:val="0"/>
      <w:marBottom w:val="0"/>
      <w:divBdr>
        <w:top w:val="none" w:sz="0" w:space="0" w:color="auto"/>
        <w:left w:val="none" w:sz="0" w:space="0" w:color="auto"/>
        <w:bottom w:val="none" w:sz="0" w:space="0" w:color="auto"/>
        <w:right w:val="none" w:sz="0" w:space="0" w:color="auto"/>
      </w:divBdr>
    </w:div>
    <w:div w:id="2090424358">
      <w:bodyDiv w:val="1"/>
      <w:marLeft w:val="0"/>
      <w:marRight w:val="0"/>
      <w:marTop w:val="0"/>
      <w:marBottom w:val="0"/>
      <w:divBdr>
        <w:top w:val="none" w:sz="0" w:space="0" w:color="auto"/>
        <w:left w:val="none" w:sz="0" w:space="0" w:color="auto"/>
        <w:bottom w:val="none" w:sz="0" w:space="0" w:color="auto"/>
        <w:right w:val="none" w:sz="0" w:space="0" w:color="auto"/>
      </w:divBdr>
      <w:divsChild>
        <w:div w:id="1665010138">
          <w:marLeft w:val="0"/>
          <w:marRight w:val="0"/>
          <w:marTop w:val="0"/>
          <w:marBottom w:val="0"/>
          <w:divBdr>
            <w:top w:val="none" w:sz="0" w:space="0" w:color="auto"/>
            <w:left w:val="none" w:sz="0" w:space="0" w:color="auto"/>
            <w:bottom w:val="none" w:sz="0" w:space="0" w:color="auto"/>
            <w:right w:val="none" w:sz="0" w:space="0" w:color="auto"/>
          </w:divBdr>
          <w:divsChild>
            <w:div w:id="62146838">
              <w:marLeft w:val="0"/>
              <w:marRight w:val="0"/>
              <w:marTop w:val="0"/>
              <w:marBottom w:val="0"/>
              <w:divBdr>
                <w:top w:val="none" w:sz="0" w:space="0" w:color="auto"/>
                <w:left w:val="none" w:sz="0" w:space="0" w:color="auto"/>
                <w:bottom w:val="none" w:sz="0" w:space="0" w:color="auto"/>
                <w:right w:val="none" w:sz="0" w:space="0" w:color="auto"/>
              </w:divBdr>
              <w:divsChild>
                <w:div w:id="5965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56DF-37A1-451F-8BE0-CADB5AB59021}">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20966</Words>
  <Characters>112832</Characters>
  <Application>Microsoft Office Word</Application>
  <DocSecurity>0</DocSecurity>
  <Lines>940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133531</CharactersWithSpaces>
  <SharedDoc>false</SharedDoc>
  <HLinks>
    <vt:vector size="432" baseType="variant">
      <vt:variant>
        <vt:i4>2949175</vt:i4>
      </vt:variant>
      <vt:variant>
        <vt:i4>729</vt:i4>
      </vt:variant>
      <vt:variant>
        <vt:i4>0</vt:i4>
      </vt:variant>
      <vt:variant>
        <vt:i4>5</vt:i4>
      </vt:variant>
      <vt:variant>
        <vt:lpwstr>https://www.humanservices.gov.au/health-professionals/enablers/pricing-pharmaceutical-benefits-scheme-medicine</vt:lpwstr>
      </vt:variant>
      <vt:variant>
        <vt:lpwstr>fees</vt:lpwstr>
      </vt:variant>
      <vt:variant>
        <vt:i4>2949175</vt:i4>
      </vt:variant>
      <vt:variant>
        <vt:i4>726</vt:i4>
      </vt:variant>
      <vt:variant>
        <vt:i4>0</vt:i4>
      </vt:variant>
      <vt:variant>
        <vt:i4>5</vt:i4>
      </vt:variant>
      <vt:variant>
        <vt:lpwstr>https://www.humanservices.gov.au/health-professionals/enablers/pricing-pharmaceutical-benefits-scheme-medicine</vt:lpwstr>
      </vt:variant>
      <vt:variant>
        <vt:lpwstr>fees</vt:lpwstr>
      </vt:variant>
      <vt:variant>
        <vt:i4>2031678</vt:i4>
      </vt:variant>
      <vt:variant>
        <vt:i4>410</vt:i4>
      </vt:variant>
      <vt:variant>
        <vt:i4>0</vt:i4>
      </vt:variant>
      <vt:variant>
        <vt:i4>5</vt:i4>
      </vt:variant>
      <vt:variant>
        <vt:lpwstr/>
      </vt:variant>
      <vt:variant>
        <vt:lpwstr>_Toc121765885</vt:lpwstr>
      </vt:variant>
      <vt:variant>
        <vt:i4>2031678</vt:i4>
      </vt:variant>
      <vt:variant>
        <vt:i4>404</vt:i4>
      </vt:variant>
      <vt:variant>
        <vt:i4>0</vt:i4>
      </vt:variant>
      <vt:variant>
        <vt:i4>5</vt:i4>
      </vt:variant>
      <vt:variant>
        <vt:lpwstr/>
      </vt:variant>
      <vt:variant>
        <vt:lpwstr>_Toc121765884</vt:lpwstr>
      </vt:variant>
      <vt:variant>
        <vt:i4>2031678</vt:i4>
      </vt:variant>
      <vt:variant>
        <vt:i4>398</vt:i4>
      </vt:variant>
      <vt:variant>
        <vt:i4>0</vt:i4>
      </vt:variant>
      <vt:variant>
        <vt:i4>5</vt:i4>
      </vt:variant>
      <vt:variant>
        <vt:lpwstr/>
      </vt:variant>
      <vt:variant>
        <vt:lpwstr>_Toc121765883</vt:lpwstr>
      </vt:variant>
      <vt:variant>
        <vt:i4>2031678</vt:i4>
      </vt:variant>
      <vt:variant>
        <vt:i4>392</vt:i4>
      </vt:variant>
      <vt:variant>
        <vt:i4>0</vt:i4>
      </vt:variant>
      <vt:variant>
        <vt:i4>5</vt:i4>
      </vt:variant>
      <vt:variant>
        <vt:lpwstr/>
      </vt:variant>
      <vt:variant>
        <vt:lpwstr>_Toc121765882</vt:lpwstr>
      </vt:variant>
      <vt:variant>
        <vt:i4>2031678</vt:i4>
      </vt:variant>
      <vt:variant>
        <vt:i4>386</vt:i4>
      </vt:variant>
      <vt:variant>
        <vt:i4>0</vt:i4>
      </vt:variant>
      <vt:variant>
        <vt:i4>5</vt:i4>
      </vt:variant>
      <vt:variant>
        <vt:lpwstr/>
      </vt:variant>
      <vt:variant>
        <vt:lpwstr>_Toc121765881</vt:lpwstr>
      </vt:variant>
      <vt:variant>
        <vt:i4>2031678</vt:i4>
      </vt:variant>
      <vt:variant>
        <vt:i4>380</vt:i4>
      </vt:variant>
      <vt:variant>
        <vt:i4>0</vt:i4>
      </vt:variant>
      <vt:variant>
        <vt:i4>5</vt:i4>
      </vt:variant>
      <vt:variant>
        <vt:lpwstr/>
      </vt:variant>
      <vt:variant>
        <vt:lpwstr>_Toc121765880</vt:lpwstr>
      </vt:variant>
      <vt:variant>
        <vt:i4>1048638</vt:i4>
      </vt:variant>
      <vt:variant>
        <vt:i4>374</vt:i4>
      </vt:variant>
      <vt:variant>
        <vt:i4>0</vt:i4>
      </vt:variant>
      <vt:variant>
        <vt:i4>5</vt:i4>
      </vt:variant>
      <vt:variant>
        <vt:lpwstr/>
      </vt:variant>
      <vt:variant>
        <vt:lpwstr>_Toc121765879</vt:lpwstr>
      </vt:variant>
      <vt:variant>
        <vt:i4>1048638</vt:i4>
      </vt:variant>
      <vt:variant>
        <vt:i4>368</vt:i4>
      </vt:variant>
      <vt:variant>
        <vt:i4>0</vt:i4>
      </vt:variant>
      <vt:variant>
        <vt:i4>5</vt:i4>
      </vt:variant>
      <vt:variant>
        <vt:lpwstr/>
      </vt:variant>
      <vt:variant>
        <vt:lpwstr>_Toc121765878</vt:lpwstr>
      </vt:variant>
      <vt:variant>
        <vt:i4>1048638</vt:i4>
      </vt:variant>
      <vt:variant>
        <vt:i4>362</vt:i4>
      </vt:variant>
      <vt:variant>
        <vt:i4>0</vt:i4>
      </vt:variant>
      <vt:variant>
        <vt:i4>5</vt:i4>
      </vt:variant>
      <vt:variant>
        <vt:lpwstr/>
      </vt:variant>
      <vt:variant>
        <vt:lpwstr>_Toc121765877</vt:lpwstr>
      </vt:variant>
      <vt:variant>
        <vt:i4>1048638</vt:i4>
      </vt:variant>
      <vt:variant>
        <vt:i4>356</vt:i4>
      </vt:variant>
      <vt:variant>
        <vt:i4>0</vt:i4>
      </vt:variant>
      <vt:variant>
        <vt:i4>5</vt:i4>
      </vt:variant>
      <vt:variant>
        <vt:lpwstr/>
      </vt:variant>
      <vt:variant>
        <vt:lpwstr>_Toc121765876</vt:lpwstr>
      </vt:variant>
      <vt:variant>
        <vt:i4>1048638</vt:i4>
      </vt:variant>
      <vt:variant>
        <vt:i4>350</vt:i4>
      </vt:variant>
      <vt:variant>
        <vt:i4>0</vt:i4>
      </vt:variant>
      <vt:variant>
        <vt:i4>5</vt:i4>
      </vt:variant>
      <vt:variant>
        <vt:lpwstr/>
      </vt:variant>
      <vt:variant>
        <vt:lpwstr>_Toc121765875</vt:lpwstr>
      </vt:variant>
      <vt:variant>
        <vt:i4>1048638</vt:i4>
      </vt:variant>
      <vt:variant>
        <vt:i4>344</vt:i4>
      </vt:variant>
      <vt:variant>
        <vt:i4>0</vt:i4>
      </vt:variant>
      <vt:variant>
        <vt:i4>5</vt:i4>
      </vt:variant>
      <vt:variant>
        <vt:lpwstr/>
      </vt:variant>
      <vt:variant>
        <vt:lpwstr>_Toc121765874</vt:lpwstr>
      </vt:variant>
      <vt:variant>
        <vt:i4>1048638</vt:i4>
      </vt:variant>
      <vt:variant>
        <vt:i4>338</vt:i4>
      </vt:variant>
      <vt:variant>
        <vt:i4>0</vt:i4>
      </vt:variant>
      <vt:variant>
        <vt:i4>5</vt:i4>
      </vt:variant>
      <vt:variant>
        <vt:lpwstr/>
      </vt:variant>
      <vt:variant>
        <vt:lpwstr>_Toc121765873</vt:lpwstr>
      </vt:variant>
      <vt:variant>
        <vt:i4>1048638</vt:i4>
      </vt:variant>
      <vt:variant>
        <vt:i4>332</vt:i4>
      </vt:variant>
      <vt:variant>
        <vt:i4>0</vt:i4>
      </vt:variant>
      <vt:variant>
        <vt:i4>5</vt:i4>
      </vt:variant>
      <vt:variant>
        <vt:lpwstr/>
      </vt:variant>
      <vt:variant>
        <vt:lpwstr>_Toc121765872</vt:lpwstr>
      </vt:variant>
      <vt:variant>
        <vt:i4>1048638</vt:i4>
      </vt:variant>
      <vt:variant>
        <vt:i4>326</vt:i4>
      </vt:variant>
      <vt:variant>
        <vt:i4>0</vt:i4>
      </vt:variant>
      <vt:variant>
        <vt:i4>5</vt:i4>
      </vt:variant>
      <vt:variant>
        <vt:lpwstr/>
      </vt:variant>
      <vt:variant>
        <vt:lpwstr>_Toc121765871</vt:lpwstr>
      </vt:variant>
      <vt:variant>
        <vt:i4>1048638</vt:i4>
      </vt:variant>
      <vt:variant>
        <vt:i4>320</vt:i4>
      </vt:variant>
      <vt:variant>
        <vt:i4>0</vt:i4>
      </vt:variant>
      <vt:variant>
        <vt:i4>5</vt:i4>
      </vt:variant>
      <vt:variant>
        <vt:lpwstr/>
      </vt:variant>
      <vt:variant>
        <vt:lpwstr>_Toc121765870</vt:lpwstr>
      </vt:variant>
      <vt:variant>
        <vt:i4>1114174</vt:i4>
      </vt:variant>
      <vt:variant>
        <vt:i4>314</vt:i4>
      </vt:variant>
      <vt:variant>
        <vt:i4>0</vt:i4>
      </vt:variant>
      <vt:variant>
        <vt:i4>5</vt:i4>
      </vt:variant>
      <vt:variant>
        <vt:lpwstr/>
      </vt:variant>
      <vt:variant>
        <vt:lpwstr>_Toc121765869</vt:lpwstr>
      </vt:variant>
      <vt:variant>
        <vt:i4>1114174</vt:i4>
      </vt:variant>
      <vt:variant>
        <vt:i4>308</vt:i4>
      </vt:variant>
      <vt:variant>
        <vt:i4>0</vt:i4>
      </vt:variant>
      <vt:variant>
        <vt:i4>5</vt:i4>
      </vt:variant>
      <vt:variant>
        <vt:lpwstr/>
      </vt:variant>
      <vt:variant>
        <vt:lpwstr>_Toc121765868</vt:lpwstr>
      </vt:variant>
      <vt:variant>
        <vt:i4>1114174</vt:i4>
      </vt:variant>
      <vt:variant>
        <vt:i4>302</vt:i4>
      </vt:variant>
      <vt:variant>
        <vt:i4>0</vt:i4>
      </vt:variant>
      <vt:variant>
        <vt:i4>5</vt:i4>
      </vt:variant>
      <vt:variant>
        <vt:lpwstr/>
      </vt:variant>
      <vt:variant>
        <vt:lpwstr>_Toc121765867</vt:lpwstr>
      </vt:variant>
      <vt:variant>
        <vt:i4>1114174</vt:i4>
      </vt:variant>
      <vt:variant>
        <vt:i4>296</vt:i4>
      </vt:variant>
      <vt:variant>
        <vt:i4>0</vt:i4>
      </vt:variant>
      <vt:variant>
        <vt:i4>5</vt:i4>
      </vt:variant>
      <vt:variant>
        <vt:lpwstr/>
      </vt:variant>
      <vt:variant>
        <vt:lpwstr>_Toc121765866</vt:lpwstr>
      </vt:variant>
      <vt:variant>
        <vt:i4>1114174</vt:i4>
      </vt:variant>
      <vt:variant>
        <vt:i4>290</vt:i4>
      </vt:variant>
      <vt:variant>
        <vt:i4>0</vt:i4>
      </vt:variant>
      <vt:variant>
        <vt:i4>5</vt:i4>
      </vt:variant>
      <vt:variant>
        <vt:lpwstr/>
      </vt:variant>
      <vt:variant>
        <vt:lpwstr>_Toc121765865</vt:lpwstr>
      </vt:variant>
      <vt:variant>
        <vt:i4>1114174</vt:i4>
      </vt:variant>
      <vt:variant>
        <vt:i4>284</vt:i4>
      </vt:variant>
      <vt:variant>
        <vt:i4>0</vt:i4>
      </vt:variant>
      <vt:variant>
        <vt:i4>5</vt:i4>
      </vt:variant>
      <vt:variant>
        <vt:lpwstr/>
      </vt:variant>
      <vt:variant>
        <vt:lpwstr>_Toc121765864</vt:lpwstr>
      </vt:variant>
      <vt:variant>
        <vt:i4>1114174</vt:i4>
      </vt:variant>
      <vt:variant>
        <vt:i4>278</vt:i4>
      </vt:variant>
      <vt:variant>
        <vt:i4>0</vt:i4>
      </vt:variant>
      <vt:variant>
        <vt:i4>5</vt:i4>
      </vt:variant>
      <vt:variant>
        <vt:lpwstr/>
      </vt:variant>
      <vt:variant>
        <vt:lpwstr>_Toc121765863</vt:lpwstr>
      </vt:variant>
      <vt:variant>
        <vt:i4>1114174</vt:i4>
      </vt:variant>
      <vt:variant>
        <vt:i4>272</vt:i4>
      </vt:variant>
      <vt:variant>
        <vt:i4>0</vt:i4>
      </vt:variant>
      <vt:variant>
        <vt:i4>5</vt:i4>
      </vt:variant>
      <vt:variant>
        <vt:lpwstr/>
      </vt:variant>
      <vt:variant>
        <vt:lpwstr>_Toc121765862</vt:lpwstr>
      </vt:variant>
      <vt:variant>
        <vt:i4>1114174</vt:i4>
      </vt:variant>
      <vt:variant>
        <vt:i4>266</vt:i4>
      </vt:variant>
      <vt:variant>
        <vt:i4>0</vt:i4>
      </vt:variant>
      <vt:variant>
        <vt:i4>5</vt:i4>
      </vt:variant>
      <vt:variant>
        <vt:lpwstr/>
      </vt:variant>
      <vt:variant>
        <vt:lpwstr>_Toc121765861</vt:lpwstr>
      </vt:variant>
      <vt:variant>
        <vt:i4>1114174</vt:i4>
      </vt:variant>
      <vt:variant>
        <vt:i4>260</vt:i4>
      </vt:variant>
      <vt:variant>
        <vt:i4>0</vt:i4>
      </vt:variant>
      <vt:variant>
        <vt:i4>5</vt:i4>
      </vt:variant>
      <vt:variant>
        <vt:lpwstr/>
      </vt:variant>
      <vt:variant>
        <vt:lpwstr>_Toc121765860</vt:lpwstr>
      </vt:variant>
      <vt:variant>
        <vt:i4>1179710</vt:i4>
      </vt:variant>
      <vt:variant>
        <vt:i4>254</vt:i4>
      </vt:variant>
      <vt:variant>
        <vt:i4>0</vt:i4>
      </vt:variant>
      <vt:variant>
        <vt:i4>5</vt:i4>
      </vt:variant>
      <vt:variant>
        <vt:lpwstr/>
      </vt:variant>
      <vt:variant>
        <vt:lpwstr>_Toc121765859</vt:lpwstr>
      </vt:variant>
      <vt:variant>
        <vt:i4>1179710</vt:i4>
      </vt:variant>
      <vt:variant>
        <vt:i4>248</vt:i4>
      </vt:variant>
      <vt:variant>
        <vt:i4>0</vt:i4>
      </vt:variant>
      <vt:variant>
        <vt:i4>5</vt:i4>
      </vt:variant>
      <vt:variant>
        <vt:lpwstr/>
      </vt:variant>
      <vt:variant>
        <vt:lpwstr>_Toc121765858</vt:lpwstr>
      </vt:variant>
      <vt:variant>
        <vt:i4>1179710</vt:i4>
      </vt:variant>
      <vt:variant>
        <vt:i4>242</vt:i4>
      </vt:variant>
      <vt:variant>
        <vt:i4>0</vt:i4>
      </vt:variant>
      <vt:variant>
        <vt:i4>5</vt:i4>
      </vt:variant>
      <vt:variant>
        <vt:lpwstr/>
      </vt:variant>
      <vt:variant>
        <vt:lpwstr>_Toc121765857</vt:lpwstr>
      </vt:variant>
      <vt:variant>
        <vt:i4>1179710</vt:i4>
      </vt:variant>
      <vt:variant>
        <vt:i4>236</vt:i4>
      </vt:variant>
      <vt:variant>
        <vt:i4>0</vt:i4>
      </vt:variant>
      <vt:variant>
        <vt:i4>5</vt:i4>
      </vt:variant>
      <vt:variant>
        <vt:lpwstr/>
      </vt:variant>
      <vt:variant>
        <vt:lpwstr>_Toc121765856</vt:lpwstr>
      </vt:variant>
      <vt:variant>
        <vt:i4>1179710</vt:i4>
      </vt:variant>
      <vt:variant>
        <vt:i4>230</vt:i4>
      </vt:variant>
      <vt:variant>
        <vt:i4>0</vt:i4>
      </vt:variant>
      <vt:variant>
        <vt:i4>5</vt:i4>
      </vt:variant>
      <vt:variant>
        <vt:lpwstr/>
      </vt:variant>
      <vt:variant>
        <vt:lpwstr>_Toc121765855</vt:lpwstr>
      </vt:variant>
      <vt:variant>
        <vt:i4>1179710</vt:i4>
      </vt:variant>
      <vt:variant>
        <vt:i4>224</vt:i4>
      </vt:variant>
      <vt:variant>
        <vt:i4>0</vt:i4>
      </vt:variant>
      <vt:variant>
        <vt:i4>5</vt:i4>
      </vt:variant>
      <vt:variant>
        <vt:lpwstr/>
      </vt:variant>
      <vt:variant>
        <vt:lpwstr>_Toc121765854</vt:lpwstr>
      </vt:variant>
      <vt:variant>
        <vt:i4>1179710</vt:i4>
      </vt:variant>
      <vt:variant>
        <vt:i4>218</vt:i4>
      </vt:variant>
      <vt:variant>
        <vt:i4>0</vt:i4>
      </vt:variant>
      <vt:variant>
        <vt:i4>5</vt:i4>
      </vt:variant>
      <vt:variant>
        <vt:lpwstr/>
      </vt:variant>
      <vt:variant>
        <vt:lpwstr>_Toc121765853</vt:lpwstr>
      </vt:variant>
      <vt:variant>
        <vt:i4>1179710</vt:i4>
      </vt:variant>
      <vt:variant>
        <vt:i4>212</vt:i4>
      </vt:variant>
      <vt:variant>
        <vt:i4>0</vt:i4>
      </vt:variant>
      <vt:variant>
        <vt:i4>5</vt:i4>
      </vt:variant>
      <vt:variant>
        <vt:lpwstr/>
      </vt:variant>
      <vt:variant>
        <vt:lpwstr>_Toc121765852</vt:lpwstr>
      </vt:variant>
      <vt:variant>
        <vt:i4>1179710</vt:i4>
      </vt:variant>
      <vt:variant>
        <vt:i4>206</vt:i4>
      </vt:variant>
      <vt:variant>
        <vt:i4>0</vt:i4>
      </vt:variant>
      <vt:variant>
        <vt:i4>5</vt:i4>
      </vt:variant>
      <vt:variant>
        <vt:lpwstr/>
      </vt:variant>
      <vt:variant>
        <vt:lpwstr>_Toc121765851</vt:lpwstr>
      </vt:variant>
      <vt:variant>
        <vt:i4>1179710</vt:i4>
      </vt:variant>
      <vt:variant>
        <vt:i4>200</vt:i4>
      </vt:variant>
      <vt:variant>
        <vt:i4>0</vt:i4>
      </vt:variant>
      <vt:variant>
        <vt:i4>5</vt:i4>
      </vt:variant>
      <vt:variant>
        <vt:lpwstr/>
      </vt:variant>
      <vt:variant>
        <vt:lpwstr>_Toc121765850</vt:lpwstr>
      </vt:variant>
      <vt:variant>
        <vt:i4>1245246</vt:i4>
      </vt:variant>
      <vt:variant>
        <vt:i4>194</vt:i4>
      </vt:variant>
      <vt:variant>
        <vt:i4>0</vt:i4>
      </vt:variant>
      <vt:variant>
        <vt:i4>5</vt:i4>
      </vt:variant>
      <vt:variant>
        <vt:lpwstr/>
      </vt:variant>
      <vt:variant>
        <vt:lpwstr>_Toc121765849</vt:lpwstr>
      </vt:variant>
      <vt:variant>
        <vt:i4>1245246</vt:i4>
      </vt:variant>
      <vt:variant>
        <vt:i4>188</vt:i4>
      </vt:variant>
      <vt:variant>
        <vt:i4>0</vt:i4>
      </vt:variant>
      <vt:variant>
        <vt:i4>5</vt:i4>
      </vt:variant>
      <vt:variant>
        <vt:lpwstr/>
      </vt:variant>
      <vt:variant>
        <vt:lpwstr>_Toc121765848</vt:lpwstr>
      </vt:variant>
      <vt:variant>
        <vt:i4>1245246</vt:i4>
      </vt:variant>
      <vt:variant>
        <vt:i4>182</vt:i4>
      </vt:variant>
      <vt:variant>
        <vt:i4>0</vt:i4>
      </vt:variant>
      <vt:variant>
        <vt:i4>5</vt:i4>
      </vt:variant>
      <vt:variant>
        <vt:lpwstr/>
      </vt:variant>
      <vt:variant>
        <vt:lpwstr>_Toc121765847</vt:lpwstr>
      </vt:variant>
      <vt:variant>
        <vt:i4>1245246</vt:i4>
      </vt:variant>
      <vt:variant>
        <vt:i4>176</vt:i4>
      </vt:variant>
      <vt:variant>
        <vt:i4>0</vt:i4>
      </vt:variant>
      <vt:variant>
        <vt:i4>5</vt:i4>
      </vt:variant>
      <vt:variant>
        <vt:lpwstr/>
      </vt:variant>
      <vt:variant>
        <vt:lpwstr>_Toc121765846</vt:lpwstr>
      </vt:variant>
      <vt:variant>
        <vt:i4>1245246</vt:i4>
      </vt:variant>
      <vt:variant>
        <vt:i4>170</vt:i4>
      </vt:variant>
      <vt:variant>
        <vt:i4>0</vt:i4>
      </vt:variant>
      <vt:variant>
        <vt:i4>5</vt:i4>
      </vt:variant>
      <vt:variant>
        <vt:lpwstr/>
      </vt:variant>
      <vt:variant>
        <vt:lpwstr>_Toc121765845</vt:lpwstr>
      </vt:variant>
      <vt:variant>
        <vt:i4>1245246</vt:i4>
      </vt:variant>
      <vt:variant>
        <vt:i4>164</vt:i4>
      </vt:variant>
      <vt:variant>
        <vt:i4>0</vt:i4>
      </vt:variant>
      <vt:variant>
        <vt:i4>5</vt:i4>
      </vt:variant>
      <vt:variant>
        <vt:lpwstr/>
      </vt:variant>
      <vt:variant>
        <vt:lpwstr>_Toc121765844</vt:lpwstr>
      </vt:variant>
      <vt:variant>
        <vt:i4>1245246</vt:i4>
      </vt:variant>
      <vt:variant>
        <vt:i4>158</vt:i4>
      </vt:variant>
      <vt:variant>
        <vt:i4>0</vt:i4>
      </vt:variant>
      <vt:variant>
        <vt:i4>5</vt:i4>
      </vt:variant>
      <vt:variant>
        <vt:lpwstr/>
      </vt:variant>
      <vt:variant>
        <vt:lpwstr>_Toc121765843</vt:lpwstr>
      </vt:variant>
      <vt:variant>
        <vt:i4>1245246</vt:i4>
      </vt:variant>
      <vt:variant>
        <vt:i4>152</vt:i4>
      </vt:variant>
      <vt:variant>
        <vt:i4>0</vt:i4>
      </vt:variant>
      <vt:variant>
        <vt:i4>5</vt:i4>
      </vt:variant>
      <vt:variant>
        <vt:lpwstr/>
      </vt:variant>
      <vt:variant>
        <vt:lpwstr>_Toc121765842</vt:lpwstr>
      </vt:variant>
      <vt:variant>
        <vt:i4>1245246</vt:i4>
      </vt:variant>
      <vt:variant>
        <vt:i4>146</vt:i4>
      </vt:variant>
      <vt:variant>
        <vt:i4>0</vt:i4>
      </vt:variant>
      <vt:variant>
        <vt:i4>5</vt:i4>
      </vt:variant>
      <vt:variant>
        <vt:lpwstr/>
      </vt:variant>
      <vt:variant>
        <vt:lpwstr>_Toc121765841</vt:lpwstr>
      </vt:variant>
      <vt:variant>
        <vt:i4>1245246</vt:i4>
      </vt:variant>
      <vt:variant>
        <vt:i4>140</vt:i4>
      </vt:variant>
      <vt:variant>
        <vt:i4>0</vt:i4>
      </vt:variant>
      <vt:variant>
        <vt:i4>5</vt:i4>
      </vt:variant>
      <vt:variant>
        <vt:lpwstr/>
      </vt:variant>
      <vt:variant>
        <vt:lpwstr>_Toc121765840</vt:lpwstr>
      </vt:variant>
      <vt:variant>
        <vt:i4>1310782</vt:i4>
      </vt:variant>
      <vt:variant>
        <vt:i4>134</vt:i4>
      </vt:variant>
      <vt:variant>
        <vt:i4>0</vt:i4>
      </vt:variant>
      <vt:variant>
        <vt:i4>5</vt:i4>
      </vt:variant>
      <vt:variant>
        <vt:lpwstr/>
      </vt:variant>
      <vt:variant>
        <vt:lpwstr>_Toc121765839</vt:lpwstr>
      </vt:variant>
      <vt:variant>
        <vt:i4>1310782</vt:i4>
      </vt:variant>
      <vt:variant>
        <vt:i4>128</vt:i4>
      </vt:variant>
      <vt:variant>
        <vt:i4>0</vt:i4>
      </vt:variant>
      <vt:variant>
        <vt:i4>5</vt:i4>
      </vt:variant>
      <vt:variant>
        <vt:lpwstr/>
      </vt:variant>
      <vt:variant>
        <vt:lpwstr>_Toc121765838</vt:lpwstr>
      </vt:variant>
      <vt:variant>
        <vt:i4>1310782</vt:i4>
      </vt:variant>
      <vt:variant>
        <vt:i4>122</vt:i4>
      </vt:variant>
      <vt:variant>
        <vt:i4>0</vt:i4>
      </vt:variant>
      <vt:variant>
        <vt:i4>5</vt:i4>
      </vt:variant>
      <vt:variant>
        <vt:lpwstr/>
      </vt:variant>
      <vt:variant>
        <vt:lpwstr>_Toc121765837</vt:lpwstr>
      </vt:variant>
      <vt:variant>
        <vt:i4>1310782</vt:i4>
      </vt:variant>
      <vt:variant>
        <vt:i4>116</vt:i4>
      </vt:variant>
      <vt:variant>
        <vt:i4>0</vt:i4>
      </vt:variant>
      <vt:variant>
        <vt:i4>5</vt:i4>
      </vt:variant>
      <vt:variant>
        <vt:lpwstr/>
      </vt:variant>
      <vt:variant>
        <vt:lpwstr>_Toc121765836</vt:lpwstr>
      </vt:variant>
      <vt:variant>
        <vt:i4>1310782</vt:i4>
      </vt:variant>
      <vt:variant>
        <vt:i4>110</vt:i4>
      </vt:variant>
      <vt:variant>
        <vt:i4>0</vt:i4>
      </vt:variant>
      <vt:variant>
        <vt:i4>5</vt:i4>
      </vt:variant>
      <vt:variant>
        <vt:lpwstr/>
      </vt:variant>
      <vt:variant>
        <vt:lpwstr>_Toc121765835</vt:lpwstr>
      </vt:variant>
      <vt:variant>
        <vt:i4>1310782</vt:i4>
      </vt:variant>
      <vt:variant>
        <vt:i4>104</vt:i4>
      </vt:variant>
      <vt:variant>
        <vt:i4>0</vt:i4>
      </vt:variant>
      <vt:variant>
        <vt:i4>5</vt:i4>
      </vt:variant>
      <vt:variant>
        <vt:lpwstr/>
      </vt:variant>
      <vt:variant>
        <vt:lpwstr>_Toc121765834</vt:lpwstr>
      </vt:variant>
      <vt:variant>
        <vt:i4>1310782</vt:i4>
      </vt:variant>
      <vt:variant>
        <vt:i4>98</vt:i4>
      </vt:variant>
      <vt:variant>
        <vt:i4>0</vt:i4>
      </vt:variant>
      <vt:variant>
        <vt:i4>5</vt:i4>
      </vt:variant>
      <vt:variant>
        <vt:lpwstr/>
      </vt:variant>
      <vt:variant>
        <vt:lpwstr>_Toc121765833</vt:lpwstr>
      </vt:variant>
      <vt:variant>
        <vt:i4>1310782</vt:i4>
      </vt:variant>
      <vt:variant>
        <vt:i4>92</vt:i4>
      </vt:variant>
      <vt:variant>
        <vt:i4>0</vt:i4>
      </vt:variant>
      <vt:variant>
        <vt:i4>5</vt:i4>
      </vt:variant>
      <vt:variant>
        <vt:lpwstr/>
      </vt:variant>
      <vt:variant>
        <vt:lpwstr>_Toc121765832</vt:lpwstr>
      </vt:variant>
      <vt:variant>
        <vt:i4>1310782</vt:i4>
      </vt:variant>
      <vt:variant>
        <vt:i4>86</vt:i4>
      </vt:variant>
      <vt:variant>
        <vt:i4>0</vt:i4>
      </vt:variant>
      <vt:variant>
        <vt:i4>5</vt:i4>
      </vt:variant>
      <vt:variant>
        <vt:lpwstr/>
      </vt:variant>
      <vt:variant>
        <vt:lpwstr>_Toc121765831</vt:lpwstr>
      </vt:variant>
      <vt:variant>
        <vt:i4>1310782</vt:i4>
      </vt:variant>
      <vt:variant>
        <vt:i4>80</vt:i4>
      </vt:variant>
      <vt:variant>
        <vt:i4>0</vt:i4>
      </vt:variant>
      <vt:variant>
        <vt:i4>5</vt:i4>
      </vt:variant>
      <vt:variant>
        <vt:lpwstr/>
      </vt:variant>
      <vt:variant>
        <vt:lpwstr>_Toc121765830</vt:lpwstr>
      </vt:variant>
      <vt:variant>
        <vt:i4>1376318</vt:i4>
      </vt:variant>
      <vt:variant>
        <vt:i4>74</vt:i4>
      </vt:variant>
      <vt:variant>
        <vt:i4>0</vt:i4>
      </vt:variant>
      <vt:variant>
        <vt:i4>5</vt:i4>
      </vt:variant>
      <vt:variant>
        <vt:lpwstr/>
      </vt:variant>
      <vt:variant>
        <vt:lpwstr>_Toc121765829</vt:lpwstr>
      </vt:variant>
      <vt:variant>
        <vt:i4>1376318</vt:i4>
      </vt:variant>
      <vt:variant>
        <vt:i4>68</vt:i4>
      </vt:variant>
      <vt:variant>
        <vt:i4>0</vt:i4>
      </vt:variant>
      <vt:variant>
        <vt:i4>5</vt:i4>
      </vt:variant>
      <vt:variant>
        <vt:lpwstr/>
      </vt:variant>
      <vt:variant>
        <vt:lpwstr>_Toc121765828</vt:lpwstr>
      </vt:variant>
      <vt:variant>
        <vt:i4>1376318</vt:i4>
      </vt:variant>
      <vt:variant>
        <vt:i4>62</vt:i4>
      </vt:variant>
      <vt:variant>
        <vt:i4>0</vt:i4>
      </vt:variant>
      <vt:variant>
        <vt:i4>5</vt:i4>
      </vt:variant>
      <vt:variant>
        <vt:lpwstr/>
      </vt:variant>
      <vt:variant>
        <vt:lpwstr>_Toc121765827</vt:lpwstr>
      </vt:variant>
      <vt:variant>
        <vt:i4>1376318</vt:i4>
      </vt:variant>
      <vt:variant>
        <vt:i4>56</vt:i4>
      </vt:variant>
      <vt:variant>
        <vt:i4>0</vt:i4>
      </vt:variant>
      <vt:variant>
        <vt:i4>5</vt:i4>
      </vt:variant>
      <vt:variant>
        <vt:lpwstr/>
      </vt:variant>
      <vt:variant>
        <vt:lpwstr>_Toc121765826</vt:lpwstr>
      </vt:variant>
      <vt:variant>
        <vt:i4>1376318</vt:i4>
      </vt:variant>
      <vt:variant>
        <vt:i4>50</vt:i4>
      </vt:variant>
      <vt:variant>
        <vt:i4>0</vt:i4>
      </vt:variant>
      <vt:variant>
        <vt:i4>5</vt:i4>
      </vt:variant>
      <vt:variant>
        <vt:lpwstr/>
      </vt:variant>
      <vt:variant>
        <vt:lpwstr>_Toc121765825</vt:lpwstr>
      </vt:variant>
      <vt:variant>
        <vt:i4>1376318</vt:i4>
      </vt:variant>
      <vt:variant>
        <vt:i4>44</vt:i4>
      </vt:variant>
      <vt:variant>
        <vt:i4>0</vt:i4>
      </vt:variant>
      <vt:variant>
        <vt:i4>5</vt:i4>
      </vt:variant>
      <vt:variant>
        <vt:lpwstr/>
      </vt:variant>
      <vt:variant>
        <vt:lpwstr>_Toc121765824</vt:lpwstr>
      </vt:variant>
      <vt:variant>
        <vt:i4>1376318</vt:i4>
      </vt:variant>
      <vt:variant>
        <vt:i4>38</vt:i4>
      </vt:variant>
      <vt:variant>
        <vt:i4>0</vt:i4>
      </vt:variant>
      <vt:variant>
        <vt:i4>5</vt:i4>
      </vt:variant>
      <vt:variant>
        <vt:lpwstr/>
      </vt:variant>
      <vt:variant>
        <vt:lpwstr>_Toc121765823</vt:lpwstr>
      </vt:variant>
      <vt:variant>
        <vt:i4>1376318</vt:i4>
      </vt:variant>
      <vt:variant>
        <vt:i4>32</vt:i4>
      </vt:variant>
      <vt:variant>
        <vt:i4>0</vt:i4>
      </vt:variant>
      <vt:variant>
        <vt:i4>5</vt:i4>
      </vt:variant>
      <vt:variant>
        <vt:lpwstr/>
      </vt:variant>
      <vt:variant>
        <vt:lpwstr>_Toc121765822</vt:lpwstr>
      </vt:variant>
      <vt:variant>
        <vt:i4>1376318</vt:i4>
      </vt:variant>
      <vt:variant>
        <vt:i4>26</vt:i4>
      </vt:variant>
      <vt:variant>
        <vt:i4>0</vt:i4>
      </vt:variant>
      <vt:variant>
        <vt:i4>5</vt:i4>
      </vt:variant>
      <vt:variant>
        <vt:lpwstr/>
      </vt:variant>
      <vt:variant>
        <vt:lpwstr>_Toc121765821</vt:lpwstr>
      </vt:variant>
      <vt:variant>
        <vt:i4>1376318</vt:i4>
      </vt:variant>
      <vt:variant>
        <vt:i4>20</vt:i4>
      </vt:variant>
      <vt:variant>
        <vt:i4>0</vt:i4>
      </vt:variant>
      <vt:variant>
        <vt:i4>5</vt:i4>
      </vt:variant>
      <vt:variant>
        <vt:lpwstr/>
      </vt:variant>
      <vt:variant>
        <vt:lpwstr>_Toc121765820</vt:lpwstr>
      </vt:variant>
      <vt:variant>
        <vt:i4>1441854</vt:i4>
      </vt:variant>
      <vt:variant>
        <vt:i4>14</vt:i4>
      </vt:variant>
      <vt:variant>
        <vt:i4>0</vt:i4>
      </vt:variant>
      <vt:variant>
        <vt:i4>5</vt:i4>
      </vt:variant>
      <vt:variant>
        <vt:lpwstr/>
      </vt:variant>
      <vt:variant>
        <vt:lpwstr>_Toc121765819</vt:lpwstr>
      </vt:variant>
      <vt:variant>
        <vt:i4>1441854</vt:i4>
      </vt:variant>
      <vt:variant>
        <vt:i4>8</vt:i4>
      </vt:variant>
      <vt:variant>
        <vt:i4>0</vt:i4>
      </vt:variant>
      <vt:variant>
        <vt:i4>5</vt:i4>
      </vt:variant>
      <vt:variant>
        <vt:lpwstr/>
      </vt:variant>
      <vt:variant>
        <vt:lpwstr>_Toc121765818</vt:lpwstr>
      </vt:variant>
      <vt:variant>
        <vt:i4>1441854</vt:i4>
      </vt:variant>
      <vt:variant>
        <vt:i4>2</vt:i4>
      </vt:variant>
      <vt:variant>
        <vt:i4>0</vt:i4>
      </vt:variant>
      <vt:variant>
        <vt:i4>5</vt:i4>
      </vt:variant>
      <vt:variant>
        <vt:lpwstr/>
      </vt:variant>
      <vt:variant>
        <vt:lpwstr>_Toc121765817</vt:lpwstr>
      </vt:variant>
      <vt:variant>
        <vt:i4>6291504</vt:i4>
      </vt:variant>
      <vt:variant>
        <vt:i4>3</vt:i4>
      </vt:variant>
      <vt:variant>
        <vt:i4>0</vt:i4>
      </vt:variant>
      <vt:variant>
        <vt:i4>5</vt:i4>
      </vt:variant>
      <vt:variant>
        <vt:lpwstr>https://www.uptodate.com/contents/multiple-myeloma-initial-treatment/print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2023-07-05T00:09:00Z</dcterms:created>
  <dcterms:modified xsi:type="dcterms:W3CDTF">2023-07-05T00:15:00Z</dcterms:modified>
</cp:coreProperties>
</file>