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81AC" w14:textId="64C90B30" w:rsidR="00C04CF0" w:rsidRDefault="00C04CF0" w:rsidP="00096F43">
      <w:pPr>
        <w:autoSpaceDE w:val="0"/>
        <w:autoSpaceDN w:val="0"/>
        <w:adjustRightInd w:val="0"/>
        <w:rPr>
          <w:rFonts w:cs="Calibri"/>
          <w:i/>
          <w:iCs/>
        </w:rPr>
      </w:pPr>
      <w:r w:rsidRPr="005437E5">
        <w:rPr>
          <w:i/>
          <w:iCs/>
          <w:color w:val="FF0000"/>
        </w:rPr>
        <w:t xml:space="preserve">An addendum has been included at the end of the </w:t>
      </w:r>
      <w:r w:rsidR="004C3E58">
        <w:rPr>
          <w:i/>
          <w:iCs/>
          <w:color w:val="FF0000"/>
        </w:rPr>
        <w:t>Public Summary Document (PSD)</w:t>
      </w:r>
      <w:r>
        <w:rPr>
          <w:i/>
          <w:iCs/>
          <w:color w:val="FF0000"/>
        </w:rPr>
        <w:t>.</w:t>
      </w:r>
    </w:p>
    <w:p w14:paraId="3F1014FA" w14:textId="77777777" w:rsidR="00C04CF0" w:rsidRPr="00732716" w:rsidRDefault="00C04CF0" w:rsidP="00732716">
      <w:pPr>
        <w:autoSpaceDE w:val="0"/>
        <w:autoSpaceDN w:val="0"/>
        <w:adjustRightInd w:val="0"/>
        <w:rPr>
          <w:rFonts w:cs="Calibri"/>
          <w:i/>
          <w:iCs/>
        </w:rPr>
      </w:pPr>
    </w:p>
    <w:p w14:paraId="181DB627" w14:textId="2786B856" w:rsidR="00872E8F" w:rsidRPr="00325AC7" w:rsidRDefault="00310827" w:rsidP="007A5C88">
      <w:pPr>
        <w:pStyle w:val="1MainTitle"/>
        <w:jc w:val="left"/>
      </w:pPr>
      <w:r w:rsidRPr="00325AC7">
        <w:t>5.1</w:t>
      </w:r>
      <w:r w:rsidR="009E33F1" w:rsidRPr="00325AC7">
        <w:t>6</w:t>
      </w:r>
      <w:r w:rsidR="00872E8F" w:rsidRPr="00325AC7">
        <w:tab/>
      </w:r>
      <w:r w:rsidR="0028171A" w:rsidRPr="00325AC7">
        <w:t>CARMEL</w:t>
      </w:r>
      <w:r w:rsidR="00315592" w:rsidRPr="00325AC7">
        <w:t>L</w:t>
      </w:r>
      <w:r w:rsidR="0028171A" w:rsidRPr="00325AC7">
        <w:t>OSE WITH GLYCER</w:t>
      </w:r>
      <w:r w:rsidR="00EA2B70" w:rsidRPr="00325AC7">
        <w:t>OL</w:t>
      </w:r>
      <w:r w:rsidR="0028171A" w:rsidRPr="00325AC7">
        <w:t xml:space="preserve"> AND HYALURON</w:t>
      </w:r>
      <w:r w:rsidR="002E30DC" w:rsidRPr="00325AC7">
        <w:t>IC ACID</w:t>
      </w:r>
      <w:r w:rsidRPr="00325AC7">
        <w:t>,</w:t>
      </w:r>
      <w:r w:rsidR="70971A32" w:rsidRPr="00325AC7">
        <w:t xml:space="preserve"> </w:t>
      </w:r>
      <w:r w:rsidR="00872E8F" w:rsidRPr="00325AC7">
        <w:br/>
      </w:r>
      <w:r w:rsidRPr="00325AC7">
        <w:t xml:space="preserve">Eye drops </w:t>
      </w:r>
      <w:r w:rsidR="002E30DC" w:rsidRPr="00325AC7">
        <w:t>containing carmellos</w:t>
      </w:r>
      <w:r w:rsidR="00F05101" w:rsidRPr="00325AC7">
        <w:t>e</w:t>
      </w:r>
      <w:r w:rsidR="002E30DC" w:rsidRPr="00325AC7">
        <w:t xml:space="preserve"> sodium 5 mg per mL</w:t>
      </w:r>
      <w:r w:rsidR="00F05101" w:rsidRPr="00325AC7">
        <w:t xml:space="preserve"> with </w:t>
      </w:r>
      <w:r w:rsidR="002E30DC" w:rsidRPr="00325AC7">
        <w:t>glycerol 9 mg per mL</w:t>
      </w:r>
      <w:r w:rsidR="00F05101" w:rsidRPr="00325AC7">
        <w:t xml:space="preserve"> </w:t>
      </w:r>
      <w:r w:rsidR="002E30DC" w:rsidRPr="00325AC7">
        <w:t xml:space="preserve">and sodium hyaluronate </w:t>
      </w:r>
      <w:r w:rsidR="00315592" w:rsidRPr="00325AC7">
        <w:rPr>
          <w:color w:val="000000" w:themeColor="dark1"/>
        </w:rPr>
        <w:t>1</w:t>
      </w:r>
      <w:r w:rsidR="000D6AD2">
        <w:rPr>
          <w:color w:val="000000" w:themeColor="dark1"/>
        </w:rPr>
        <w:t> </w:t>
      </w:r>
      <w:r w:rsidR="00315592" w:rsidRPr="00325AC7">
        <w:rPr>
          <w:color w:val="000000" w:themeColor="dark1"/>
        </w:rPr>
        <w:t>mg per mL, 10 mL,</w:t>
      </w:r>
      <w:r w:rsidR="00872E8F" w:rsidRPr="00325AC7">
        <w:br/>
      </w:r>
      <w:r w:rsidR="00315592" w:rsidRPr="00325AC7">
        <w:t>Optive Fusion</w:t>
      </w:r>
      <w:r w:rsidR="70971A32" w:rsidRPr="00325AC7">
        <w:t>®,</w:t>
      </w:r>
      <w:r w:rsidR="00872E8F" w:rsidRPr="00325AC7">
        <w:br/>
      </w:r>
      <w:r w:rsidR="00315592" w:rsidRPr="00325AC7">
        <w:t>Allergan Australia</w:t>
      </w:r>
      <w:r w:rsidR="00CE3C92" w:rsidRPr="00325AC7">
        <w:t xml:space="preserve"> Pty Ltd</w:t>
      </w:r>
    </w:p>
    <w:p w14:paraId="5F4D54C1" w14:textId="21F6C3D1" w:rsidR="00E11F44" w:rsidRPr="00325AC7" w:rsidRDefault="007E490F" w:rsidP="002939F8">
      <w:pPr>
        <w:pStyle w:val="2-SectionHeading"/>
        <w:rPr>
          <w:rFonts w:cstheme="minorHAnsi"/>
          <w:color w:val="FF0000"/>
        </w:rPr>
      </w:pPr>
      <w:r w:rsidRPr="00325AC7">
        <w:t xml:space="preserve">Purpose of </w:t>
      </w:r>
      <w:r w:rsidR="00FA0B04" w:rsidRPr="00325AC7">
        <w:t>Submission</w:t>
      </w:r>
    </w:p>
    <w:p w14:paraId="64360103" w14:textId="343E41F9" w:rsidR="00626714" w:rsidRPr="00325AC7" w:rsidRDefault="006C6C10" w:rsidP="002939F8">
      <w:pPr>
        <w:pStyle w:val="3-BodyText"/>
      </w:pPr>
      <w:bookmarkStart w:id="0" w:name="_Hlk102590113"/>
      <w:r w:rsidRPr="00325AC7">
        <w:rPr>
          <w:szCs w:val="24"/>
        </w:rPr>
        <w:t xml:space="preserve">The </w:t>
      </w:r>
      <w:r w:rsidR="00791F5B" w:rsidRPr="00325AC7">
        <w:rPr>
          <w:szCs w:val="24"/>
        </w:rPr>
        <w:t xml:space="preserve">Category </w:t>
      </w:r>
      <w:r w:rsidR="00315592" w:rsidRPr="00325AC7">
        <w:rPr>
          <w:szCs w:val="24"/>
        </w:rPr>
        <w:t>3</w:t>
      </w:r>
      <w:r w:rsidR="00C96EC0" w:rsidRPr="00325AC7">
        <w:rPr>
          <w:szCs w:val="24"/>
        </w:rPr>
        <w:t xml:space="preserve"> </w:t>
      </w:r>
      <w:r w:rsidRPr="00325AC7">
        <w:rPr>
          <w:szCs w:val="24"/>
        </w:rPr>
        <w:t xml:space="preserve">submission </w:t>
      </w:r>
      <w:r w:rsidR="0023466E" w:rsidRPr="00325AC7">
        <w:rPr>
          <w:szCs w:val="24"/>
        </w:rPr>
        <w:t>sought</w:t>
      </w:r>
      <w:r w:rsidRPr="00325AC7">
        <w:rPr>
          <w:szCs w:val="24"/>
        </w:rPr>
        <w:t xml:space="preserve"> to</w:t>
      </w:r>
      <w:r w:rsidR="007E490F" w:rsidRPr="00325AC7">
        <w:rPr>
          <w:szCs w:val="24"/>
        </w:rPr>
        <w:t xml:space="preserve"> </w:t>
      </w:r>
      <w:r w:rsidR="00E11F44" w:rsidRPr="00325AC7">
        <w:t xml:space="preserve">list </w:t>
      </w:r>
      <w:bookmarkStart w:id="1" w:name="_Hlk106707363"/>
      <w:r w:rsidR="00EA2B70" w:rsidRPr="00325AC7">
        <w:t>carmellose sodium 0.5% + glycerol 0.9% + hyaluronate sodium 0.1%</w:t>
      </w:r>
      <w:r w:rsidR="00680850" w:rsidRPr="00325AC7">
        <w:t xml:space="preserve"> (herein referred to as CGH</w:t>
      </w:r>
      <w:r w:rsidR="002D3691" w:rsidRPr="00325AC7">
        <w:t>)</w:t>
      </w:r>
      <w:r w:rsidR="00134BB0" w:rsidRPr="00325AC7">
        <w:t xml:space="preserve"> </w:t>
      </w:r>
      <w:r w:rsidR="004C2567" w:rsidRPr="00325AC7">
        <w:t>multidose preservative</w:t>
      </w:r>
      <w:r w:rsidR="007D7C7E">
        <w:noBreakHyphen/>
      </w:r>
      <w:r w:rsidR="000272B8" w:rsidRPr="00325AC7">
        <w:t>containing</w:t>
      </w:r>
      <w:r w:rsidR="004C2567" w:rsidRPr="00325AC7">
        <w:t xml:space="preserve"> (</w:t>
      </w:r>
      <w:r w:rsidR="000272B8" w:rsidRPr="00325AC7">
        <w:t>PC</w:t>
      </w:r>
      <w:r w:rsidR="004C2567" w:rsidRPr="00325AC7">
        <w:t xml:space="preserve">) </w:t>
      </w:r>
      <w:r w:rsidR="00134BB0" w:rsidRPr="00325AC7">
        <w:t>eye drops</w:t>
      </w:r>
      <w:r w:rsidR="00E11F44" w:rsidRPr="00325AC7">
        <w:t xml:space="preserve"> </w:t>
      </w:r>
      <w:bookmarkEnd w:id="1"/>
      <w:r w:rsidR="00E11F44" w:rsidRPr="00325AC7">
        <w:t>(</w:t>
      </w:r>
      <w:r w:rsidR="00315592" w:rsidRPr="00325AC7">
        <w:t>Optive Fusion</w:t>
      </w:r>
      <w:r w:rsidR="00E11F44" w:rsidRPr="00325AC7">
        <w:t xml:space="preserve">®) </w:t>
      </w:r>
      <w:bookmarkEnd w:id="0"/>
      <w:r w:rsidR="00315592" w:rsidRPr="00325AC7">
        <w:t>as a General Schedule Restricted Benefit listing for the treatment of severe dry eye syndrome.</w:t>
      </w:r>
    </w:p>
    <w:p w14:paraId="3D1D4320" w14:textId="725B521D" w:rsidR="007E490F" w:rsidRPr="00325AC7" w:rsidRDefault="007E490F" w:rsidP="001F2311">
      <w:pPr>
        <w:pStyle w:val="2-SectionHeading"/>
        <w:numPr>
          <w:ilvl w:val="0"/>
          <w:numId w:val="2"/>
        </w:numPr>
      </w:pPr>
      <w:r w:rsidRPr="00325AC7">
        <w:t>Background</w:t>
      </w:r>
    </w:p>
    <w:p w14:paraId="027509DA" w14:textId="64F94EE8" w:rsidR="00D30930" w:rsidRPr="00325AC7" w:rsidRDefault="00D30930" w:rsidP="0089390B">
      <w:pPr>
        <w:pStyle w:val="3-BodyText"/>
        <w:rPr>
          <w:color w:val="000000" w:themeColor="text1"/>
        </w:rPr>
      </w:pPr>
      <w:r w:rsidRPr="00325AC7">
        <w:rPr>
          <w:color w:val="000000" w:themeColor="text1"/>
        </w:rPr>
        <w:t xml:space="preserve">CGH is a 10 mL multidose combination of </w:t>
      </w:r>
      <w:r w:rsidRPr="00325AC7">
        <w:rPr>
          <w:rFonts w:cstheme="minorHAnsi"/>
        </w:rPr>
        <w:t>carmellose sodium 0.5%, glycerol 0.9% and hyaluronate sodium 0.1% used for the treatment of</w:t>
      </w:r>
      <w:r w:rsidRPr="00325AC7">
        <w:t xml:space="preserve"> severe dry eye syndrome.</w:t>
      </w:r>
      <w:r w:rsidR="00445DA7" w:rsidRPr="00325AC7">
        <w:t xml:space="preserve"> </w:t>
      </w:r>
      <w:r w:rsidR="007D7C7E" w:rsidRPr="00325AC7">
        <w:t>The</w:t>
      </w:r>
      <w:r w:rsidR="007D7C7E">
        <w:t> </w:t>
      </w:r>
      <w:r w:rsidR="00445DA7" w:rsidRPr="00325AC7">
        <w:t>recommended dosage of CGH is 1-2 drops into the affected eye(s) as required.</w:t>
      </w:r>
    </w:p>
    <w:p w14:paraId="33C2C319" w14:textId="66DF215F" w:rsidR="007E490F" w:rsidRPr="00325AC7" w:rsidRDefault="007E490F" w:rsidP="007E490F">
      <w:pPr>
        <w:pStyle w:val="4-SubsectionHeading"/>
      </w:pPr>
      <w:r w:rsidRPr="00325AC7">
        <w:t>Registration status</w:t>
      </w:r>
    </w:p>
    <w:p w14:paraId="773783E8" w14:textId="403EAABF" w:rsidR="007E490F" w:rsidRPr="00325AC7" w:rsidRDefault="00356C65" w:rsidP="000272B8">
      <w:pPr>
        <w:pStyle w:val="3-BodyText"/>
      </w:pPr>
      <w:r w:rsidRPr="00325AC7">
        <w:t>CGH</w:t>
      </w:r>
      <w:r w:rsidR="00B36D71" w:rsidRPr="00325AC7">
        <w:t xml:space="preserve"> </w:t>
      </w:r>
      <w:r w:rsidR="007E490F" w:rsidRPr="00325AC7">
        <w:t>was</w:t>
      </w:r>
      <w:r w:rsidR="00C42D6D" w:rsidRPr="00325AC7">
        <w:t xml:space="preserve"> TGA</w:t>
      </w:r>
      <w:r w:rsidR="007E490F" w:rsidRPr="00325AC7">
        <w:t xml:space="preserve"> registered on </w:t>
      </w:r>
      <w:r w:rsidR="00B06143" w:rsidRPr="00325AC7">
        <w:t>13 March 2019</w:t>
      </w:r>
      <w:r w:rsidR="00B36D71" w:rsidRPr="00325AC7">
        <w:t xml:space="preserve"> as a Class II</w:t>
      </w:r>
      <w:r w:rsidR="00B06143" w:rsidRPr="00325AC7">
        <w:t>I</w:t>
      </w:r>
      <w:r w:rsidR="00B36D71" w:rsidRPr="00325AC7">
        <w:t xml:space="preserve"> medical device.</w:t>
      </w:r>
    </w:p>
    <w:p w14:paraId="0094486E" w14:textId="3F29311C" w:rsidR="007E490F" w:rsidRPr="00325AC7" w:rsidRDefault="007E490F" w:rsidP="007E490F">
      <w:pPr>
        <w:pStyle w:val="4-SubsectionHeading"/>
      </w:pPr>
      <w:r w:rsidRPr="00325AC7">
        <w:t>Previous PBAC consideration</w:t>
      </w:r>
    </w:p>
    <w:p w14:paraId="71A81CFA" w14:textId="2206A8E4" w:rsidR="00902044" w:rsidRDefault="00356C65" w:rsidP="00356C65">
      <w:pPr>
        <w:pStyle w:val="3-BodyText"/>
      </w:pPr>
      <w:r w:rsidRPr="00325AC7">
        <w:t xml:space="preserve">CGH has not been considered by the PBAC previously as a combination product, however, the active components have been listed separately on the PBS as </w:t>
      </w:r>
      <w:r w:rsidR="007D7C7E" w:rsidRPr="00325AC7">
        <w:t>carmellose</w:t>
      </w:r>
      <w:r w:rsidR="007D7C7E">
        <w:t> </w:t>
      </w:r>
      <w:r w:rsidRPr="00325AC7">
        <w:t xml:space="preserve">sodium 0.5% with glycerin 0.9% (Optive®), and hyaluronate sodium </w:t>
      </w:r>
      <w:r w:rsidR="00427167" w:rsidRPr="00325AC7">
        <w:t xml:space="preserve">(HS) </w:t>
      </w:r>
      <w:r w:rsidR="00975C14" w:rsidRPr="00325AC7">
        <w:t>0.1%</w:t>
      </w:r>
      <w:r w:rsidR="00427167" w:rsidRPr="00325AC7">
        <w:t xml:space="preserve"> </w:t>
      </w:r>
      <w:r w:rsidRPr="00325AC7">
        <w:t xml:space="preserve">(Hylo-Fresh®). The only other PBS listed form of hyaluronate sodium is </w:t>
      </w:r>
      <w:r w:rsidR="00427167" w:rsidRPr="00325AC7">
        <w:t>HS</w:t>
      </w:r>
      <w:r w:rsidRPr="00325AC7">
        <w:t xml:space="preserve"> </w:t>
      </w:r>
      <w:r w:rsidR="00975C14" w:rsidRPr="00325AC7">
        <w:t>0.2%</w:t>
      </w:r>
      <w:r w:rsidRPr="00325AC7">
        <w:t xml:space="preserve"> (Hylo-Forte®).</w:t>
      </w:r>
    </w:p>
    <w:p w14:paraId="7855468E" w14:textId="77777777" w:rsidR="00902044" w:rsidRDefault="00902044">
      <w:pPr>
        <w:jc w:val="left"/>
        <w:rPr>
          <w:rFonts w:asciiTheme="minorHAnsi" w:eastAsiaTheme="minorHAnsi" w:hAnsiTheme="minorHAnsi" w:cstheme="minorBidi"/>
          <w:szCs w:val="22"/>
        </w:rPr>
      </w:pPr>
      <w:r>
        <w:br w:type="page"/>
      </w:r>
    </w:p>
    <w:p w14:paraId="1B8790B6" w14:textId="2A4DE334" w:rsidR="00964A9F" w:rsidRPr="00325AC7" w:rsidRDefault="00964A9F" w:rsidP="00964A9F">
      <w:pPr>
        <w:pStyle w:val="2-SectionHeading"/>
      </w:pPr>
      <w:r w:rsidRPr="00325AC7">
        <w:lastRenderedPageBreak/>
        <w:t>Requested listing</w:t>
      </w:r>
    </w:p>
    <w:p w14:paraId="4299D1F7" w14:textId="0912082D" w:rsidR="00964A9F" w:rsidRPr="00325AC7" w:rsidRDefault="00964A9F" w:rsidP="000A165A">
      <w:pPr>
        <w:pStyle w:val="3-BodyText"/>
      </w:pPr>
      <w:r w:rsidRPr="00325AC7">
        <w:t>The submission requested the following new listing</w:t>
      </w:r>
      <w:r w:rsidR="009644A3" w:rsidRPr="00325AC7">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964A9F" w:rsidRPr="00325AC7" w14:paraId="1FA30110" w14:textId="77777777" w:rsidTr="00CF7528">
        <w:trPr>
          <w:cantSplit/>
          <w:trHeight w:val="471"/>
        </w:trPr>
        <w:tc>
          <w:tcPr>
            <w:tcW w:w="3964" w:type="dxa"/>
          </w:tcPr>
          <w:p w14:paraId="2218BC2F" w14:textId="77777777" w:rsidR="00964A9F" w:rsidRPr="00325AC7" w:rsidRDefault="00964A9F" w:rsidP="00CF7528">
            <w:pPr>
              <w:keepNext/>
              <w:ind w:left="-108"/>
              <w:rPr>
                <w:rFonts w:ascii="Arial Narrow" w:hAnsi="Arial Narrow" w:cs="Arial"/>
                <w:b/>
                <w:bCs/>
                <w:sz w:val="20"/>
                <w:szCs w:val="20"/>
              </w:rPr>
            </w:pPr>
            <w:r w:rsidRPr="00325AC7">
              <w:rPr>
                <w:rFonts w:ascii="Arial Narrow" w:hAnsi="Arial Narrow" w:cs="Arial"/>
                <w:b/>
                <w:bCs/>
                <w:sz w:val="20"/>
                <w:szCs w:val="20"/>
              </w:rPr>
              <w:t>MEDICINAL PRODUCT</w:t>
            </w:r>
          </w:p>
          <w:p w14:paraId="29F82D8B" w14:textId="77777777" w:rsidR="00964A9F" w:rsidRPr="00325AC7" w:rsidRDefault="00964A9F" w:rsidP="00CF7528">
            <w:pPr>
              <w:keepNext/>
              <w:ind w:left="-108"/>
              <w:rPr>
                <w:rFonts w:ascii="Arial Narrow" w:hAnsi="Arial Narrow" w:cs="Arial"/>
                <w:b/>
                <w:sz w:val="20"/>
                <w:szCs w:val="20"/>
              </w:rPr>
            </w:pPr>
            <w:r w:rsidRPr="00325AC7">
              <w:rPr>
                <w:rFonts w:ascii="Arial Narrow" w:hAnsi="Arial Narrow" w:cs="Arial"/>
                <w:b/>
                <w:bCs/>
                <w:sz w:val="20"/>
                <w:szCs w:val="20"/>
              </w:rPr>
              <w:t xml:space="preserve"> Medicinal Product Pack</w:t>
            </w:r>
          </w:p>
        </w:tc>
        <w:tc>
          <w:tcPr>
            <w:tcW w:w="993" w:type="dxa"/>
          </w:tcPr>
          <w:p w14:paraId="30F7F880" w14:textId="77777777" w:rsidR="00964A9F" w:rsidRPr="00325AC7" w:rsidRDefault="00964A9F" w:rsidP="00CF7528">
            <w:pPr>
              <w:keepNext/>
              <w:ind w:left="-108"/>
              <w:jc w:val="center"/>
              <w:rPr>
                <w:rFonts w:ascii="Arial Narrow" w:hAnsi="Arial Narrow" w:cs="Arial"/>
                <w:b/>
                <w:sz w:val="20"/>
                <w:szCs w:val="20"/>
              </w:rPr>
            </w:pPr>
            <w:r w:rsidRPr="00325AC7">
              <w:rPr>
                <w:rFonts w:ascii="Arial Narrow" w:hAnsi="Arial Narrow" w:cs="Arial"/>
                <w:b/>
                <w:sz w:val="20"/>
                <w:szCs w:val="20"/>
              </w:rPr>
              <w:t>PBS item code</w:t>
            </w:r>
          </w:p>
        </w:tc>
        <w:tc>
          <w:tcPr>
            <w:tcW w:w="850" w:type="dxa"/>
          </w:tcPr>
          <w:p w14:paraId="34051986" w14:textId="77777777" w:rsidR="00964A9F" w:rsidRPr="00325AC7" w:rsidRDefault="00964A9F" w:rsidP="00CF7528">
            <w:pPr>
              <w:keepNext/>
              <w:ind w:left="-108"/>
              <w:jc w:val="center"/>
              <w:rPr>
                <w:rFonts w:ascii="Arial Narrow" w:hAnsi="Arial Narrow" w:cs="Arial"/>
                <w:b/>
                <w:sz w:val="20"/>
                <w:szCs w:val="20"/>
              </w:rPr>
            </w:pPr>
            <w:r w:rsidRPr="00325AC7">
              <w:rPr>
                <w:rFonts w:ascii="Arial Narrow" w:hAnsi="Arial Narrow" w:cs="Arial"/>
                <w:b/>
                <w:sz w:val="20"/>
                <w:szCs w:val="20"/>
              </w:rPr>
              <w:t>Max. qty packs</w:t>
            </w:r>
          </w:p>
        </w:tc>
        <w:tc>
          <w:tcPr>
            <w:tcW w:w="851" w:type="dxa"/>
          </w:tcPr>
          <w:p w14:paraId="42B0E70C" w14:textId="77777777" w:rsidR="00964A9F" w:rsidRPr="00325AC7" w:rsidRDefault="00964A9F" w:rsidP="00CF7528">
            <w:pPr>
              <w:keepNext/>
              <w:ind w:left="-108"/>
              <w:jc w:val="center"/>
              <w:rPr>
                <w:rFonts w:ascii="Arial Narrow" w:hAnsi="Arial Narrow" w:cs="Arial"/>
                <w:b/>
                <w:sz w:val="20"/>
                <w:szCs w:val="20"/>
              </w:rPr>
            </w:pPr>
            <w:r w:rsidRPr="00325AC7">
              <w:rPr>
                <w:rFonts w:ascii="Arial Narrow" w:hAnsi="Arial Narrow" w:cs="Arial"/>
                <w:b/>
                <w:sz w:val="20"/>
                <w:szCs w:val="20"/>
              </w:rPr>
              <w:t>Max. qty units</w:t>
            </w:r>
          </w:p>
        </w:tc>
        <w:tc>
          <w:tcPr>
            <w:tcW w:w="708" w:type="dxa"/>
          </w:tcPr>
          <w:p w14:paraId="179C8823" w14:textId="77777777" w:rsidR="00964A9F" w:rsidRPr="00325AC7" w:rsidRDefault="00964A9F" w:rsidP="00CF7528">
            <w:pPr>
              <w:keepNext/>
              <w:ind w:left="-108"/>
              <w:jc w:val="center"/>
              <w:rPr>
                <w:rFonts w:ascii="Arial Narrow" w:hAnsi="Arial Narrow" w:cs="Arial"/>
                <w:b/>
                <w:sz w:val="20"/>
                <w:szCs w:val="20"/>
              </w:rPr>
            </w:pPr>
            <w:r w:rsidRPr="00325AC7">
              <w:rPr>
                <w:rFonts w:ascii="Arial Narrow" w:hAnsi="Arial Narrow" w:cs="Arial"/>
                <w:b/>
                <w:sz w:val="20"/>
                <w:szCs w:val="20"/>
              </w:rPr>
              <w:t>№.of</w:t>
            </w:r>
          </w:p>
          <w:p w14:paraId="6B1F52D8" w14:textId="77777777" w:rsidR="00964A9F" w:rsidRPr="00325AC7" w:rsidRDefault="00964A9F" w:rsidP="00CF7528">
            <w:pPr>
              <w:keepNext/>
              <w:ind w:left="-108"/>
              <w:jc w:val="center"/>
              <w:rPr>
                <w:rFonts w:ascii="Arial Narrow" w:hAnsi="Arial Narrow" w:cs="Arial"/>
                <w:b/>
                <w:sz w:val="20"/>
                <w:szCs w:val="20"/>
              </w:rPr>
            </w:pPr>
            <w:r w:rsidRPr="00325AC7">
              <w:rPr>
                <w:rFonts w:ascii="Arial Narrow" w:hAnsi="Arial Narrow" w:cs="Arial"/>
                <w:b/>
                <w:sz w:val="20"/>
                <w:szCs w:val="20"/>
              </w:rPr>
              <w:t>Rpts</w:t>
            </w:r>
          </w:p>
        </w:tc>
        <w:tc>
          <w:tcPr>
            <w:tcW w:w="1559" w:type="dxa"/>
          </w:tcPr>
          <w:p w14:paraId="2BBA2826" w14:textId="77777777" w:rsidR="00964A9F" w:rsidRPr="008F5B0E" w:rsidRDefault="00964A9F" w:rsidP="00CF7528">
            <w:pPr>
              <w:keepNext/>
              <w:rPr>
                <w:rFonts w:ascii="Arial Narrow" w:hAnsi="Arial Narrow" w:cs="Arial"/>
                <w:b/>
                <w:sz w:val="20"/>
                <w:szCs w:val="20"/>
              </w:rPr>
            </w:pPr>
            <w:r w:rsidRPr="00325AC7">
              <w:rPr>
                <w:rFonts w:ascii="Arial Narrow" w:hAnsi="Arial Narrow" w:cs="Arial"/>
                <w:b/>
                <w:sz w:val="20"/>
                <w:szCs w:val="20"/>
              </w:rPr>
              <w:t>Available brands</w:t>
            </w:r>
          </w:p>
        </w:tc>
      </w:tr>
      <w:tr w:rsidR="00964A9F" w:rsidRPr="00325AC7" w14:paraId="4B61C983" w14:textId="77777777" w:rsidTr="00D650BE">
        <w:trPr>
          <w:cantSplit/>
          <w:trHeight w:val="761"/>
        </w:trPr>
        <w:tc>
          <w:tcPr>
            <w:tcW w:w="3964" w:type="dxa"/>
            <w:vAlign w:val="center"/>
          </w:tcPr>
          <w:p w14:paraId="7036571B" w14:textId="563AD646" w:rsidR="00EA2B70" w:rsidRPr="00325AC7" w:rsidRDefault="00EA2B70" w:rsidP="00D650BE">
            <w:pPr>
              <w:keepNext/>
              <w:ind w:left="-108"/>
              <w:jc w:val="left"/>
              <w:rPr>
                <w:rFonts w:ascii="Arial Narrow" w:hAnsi="Arial Narrow" w:cs="Arial"/>
                <w:sz w:val="20"/>
                <w:szCs w:val="20"/>
              </w:rPr>
            </w:pPr>
            <w:r w:rsidRPr="00325AC7">
              <w:rPr>
                <w:rFonts w:ascii="Arial Narrow" w:hAnsi="Arial Narrow" w:cs="Arial"/>
                <w:sz w:val="20"/>
                <w:szCs w:val="20"/>
              </w:rPr>
              <w:t xml:space="preserve">CARMELLOSE SODIUM </w:t>
            </w:r>
            <w:r w:rsidR="00633DFC" w:rsidRPr="00325AC7">
              <w:rPr>
                <w:rFonts w:ascii="Arial Narrow" w:hAnsi="Arial Narrow" w:cs="Arial"/>
                <w:sz w:val="20"/>
                <w:szCs w:val="20"/>
              </w:rPr>
              <w:t>+</w:t>
            </w:r>
            <w:r w:rsidRPr="00325AC7">
              <w:rPr>
                <w:rFonts w:ascii="Arial Narrow" w:hAnsi="Arial Narrow" w:cs="Arial"/>
                <w:sz w:val="20"/>
                <w:szCs w:val="20"/>
              </w:rPr>
              <w:t xml:space="preserve"> GLYCEROL </w:t>
            </w:r>
            <w:r w:rsidR="00633DFC" w:rsidRPr="00325AC7">
              <w:rPr>
                <w:rFonts w:ascii="Arial Narrow" w:hAnsi="Arial Narrow" w:cs="Arial"/>
                <w:sz w:val="20"/>
                <w:szCs w:val="20"/>
              </w:rPr>
              <w:t>+</w:t>
            </w:r>
            <w:r w:rsidRPr="00325AC7">
              <w:rPr>
                <w:rFonts w:ascii="Arial Narrow" w:hAnsi="Arial Narrow" w:cs="Arial"/>
                <w:sz w:val="20"/>
                <w:szCs w:val="20"/>
              </w:rPr>
              <w:t xml:space="preserve"> HYALURONATE SODIUM</w:t>
            </w:r>
          </w:p>
          <w:p w14:paraId="16C6D38A" w14:textId="33930B1F" w:rsidR="00964A9F" w:rsidRPr="00325AC7" w:rsidRDefault="00633DFC" w:rsidP="00D650BE">
            <w:pPr>
              <w:keepNext/>
              <w:ind w:left="-108"/>
              <w:jc w:val="left"/>
              <w:rPr>
                <w:rFonts w:ascii="Arial Narrow" w:hAnsi="Arial Narrow" w:cs="Arial"/>
                <w:sz w:val="20"/>
                <w:szCs w:val="20"/>
              </w:rPr>
            </w:pPr>
            <w:r w:rsidRPr="00325AC7">
              <w:rPr>
                <w:rFonts w:ascii="Arial Narrow" w:hAnsi="Arial Narrow" w:cs="Arial"/>
                <w:sz w:val="20"/>
                <w:szCs w:val="20"/>
              </w:rPr>
              <w:t>carmellose sodium 0.5% + glycerol 0.9% + hyaluronate sodium 0.1% eye drops, 10 mL</w:t>
            </w:r>
          </w:p>
        </w:tc>
        <w:tc>
          <w:tcPr>
            <w:tcW w:w="993" w:type="dxa"/>
            <w:vAlign w:val="center"/>
          </w:tcPr>
          <w:p w14:paraId="4DB13003" w14:textId="5E309C84" w:rsidR="00964A9F" w:rsidRPr="00325AC7" w:rsidRDefault="00B06143" w:rsidP="00D650BE">
            <w:pPr>
              <w:keepNext/>
              <w:ind w:left="-108"/>
              <w:jc w:val="center"/>
              <w:rPr>
                <w:rFonts w:ascii="Arial Narrow" w:hAnsi="Arial Narrow" w:cs="Arial"/>
                <w:sz w:val="20"/>
                <w:szCs w:val="20"/>
              </w:rPr>
            </w:pPr>
            <w:r w:rsidRPr="00325AC7">
              <w:rPr>
                <w:rFonts w:ascii="Arial Narrow" w:hAnsi="Arial Narrow" w:cs="Arial"/>
                <w:sz w:val="20"/>
                <w:szCs w:val="20"/>
              </w:rPr>
              <w:t>New</w:t>
            </w:r>
          </w:p>
        </w:tc>
        <w:tc>
          <w:tcPr>
            <w:tcW w:w="850" w:type="dxa"/>
            <w:vAlign w:val="center"/>
          </w:tcPr>
          <w:p w14:paraId="6B5CD283" w14:textId="77777777" w:rsidR="00964A9F" w:rsidRPr="00325AC7" w:rsidRDefault="00964A9F" w:rsidP="00D650BE">
            <w:pPr>
              <w:keepNext/>
              <w:jc w:val="center"/>
              <w:rPr>
                <w:rFonts w:ascii="Arial Narrow" w:hAnsi="Arial Narrow" w:cs="Arial"/>
                <w:sz w:val="20"/>
                <w:szCs w:val="20"/>
              </w:rPr>
            </w:pPr>
            <w:r w:rsidRPr="00325AC7">
              <w:rPr>
                <w:rFonts w:ascii="Arial Narrow" w:hAnsi="Arial Narrow" w:cs="Arial"/>
                <w:sz w:val="20"/>
                <w:szCs w:val="20"/>
              </w:rPr>
              <w:t>1</w:t>
            </w:r>
          </w:p>
        </w:tc>
        <w:tc>
          <w:tcPr>
            <w:tcW w:w="851" w:type="dxa"/>
            <w:vAlign w:val="center"/>
          </w:tcPr>
          <w:p w14:paraId="2A0A1C83" w14:textId="5C7FC69C" w:rsidR="00964A9F" w:rsidRPr="00325AC7" w:rsidRDefault="009644A3" w:rsidP="00D650BE">
            <w:pPr>
              <w:keepNext/>
              <w:ind w:left="-108"/>
              <w:jc w:val="center"/>
              <w:rPr>
                <w:rFonts w:ascii="Arial Narrow" w:hAnsi="Arial Narrow" w:cs="Arial"/>
                <w:sz w:val="20"/>
                <w:szCs w:val="20"/>
              </w:rPr>
            </w:pPr>
            <w:r w:rsidRPr="00325AC7">
              <w:rPr>
                <w:rFonts w:ascii="Arial Narrow" w:hAnsi="Arial Narrow" w:cs="Arial"/>
                <w:sz w:val="20"/>
                <w:szCs w:val="20"/>
              </w:rPr>
              <w:t>1</w:t>
            </w:r>
          </w:p>
        </w:tc>
        <w:tc>
          <w:tcPr>
            <w:tcW w:w="708" w:type="dxa"/>
            <w:vAlign w:val="center"/>
          </w:tcPr>
          <w:p w14:paraId="1BFAF7FA" w14:textId="521B4C84" w:rsidR="00964A9F" w:rsidRPr="00325AC7" w:rsidRDefault="00964A9F" w:rsidP="00D650BE">
            <w:pPr>
              <w:keepNext/>
              <w:ind w:left="-108"/>
              <w:jc w:val="center"/>
              <w:rPr>
                <w:rFonts w:ascii="Arial Narrow" w:hAnsi="Arial Narrow" w:cs="Arial"/>
                <w:sz w:val="20"/>
                <w:szCs w:val="20"/>
              </w:rPr>
            </w:pPr>
            <w:r w:rsidRPr="00325AC7">
              <w:rPr>
                <w:rFonts w:ascii="Arial Narrow" w:hAnsi="Arial Narrow" w:cs="Arial"/>
                <w:sz w:val="20"/>
                <w:szCs w:val="20"/>
              </w:rPr>
              <w:t>5</w:t>
            </w:r>
          </w:p>
        </w:tc>
        <w:tc>
          <w:tcPr>
            <w:tcW w:w="1559" w:type="dxa"/>
            <w:vAlign w:val="center"/>
          </w:tcPr>
          <w:p w14:paraId="5E179FFE" w14:textId="0EAB063F" w:rsidR="00964A9F" w:rsidRPr="00325AC7" w:rsidRDefault="00B06143" w:rsidP="00D650BE">
            <w:pPr>
              <w:keepNext/>
              <w:jc w:val="center"/>
              <w:rPr>
                <w:rFonts w:ascii="Arial Narrow" w:hAnsi="Arial Narrow" w:cs="Arial"/>
                <w:sz w:val="20"/>
                <w:szCs w:val="20"/>
                <w:vertAlign w:val="superscript"/>
              </w:rPr>
            </w:pPr>
            <w:r w:rsidRPr="00325AC7">
              <w:rPr>
                <w:rFonts w:ascii="Arial Narrow" w:hAnsi="Arial Narrow" w:cs="Arial"/>
                <w:sz w:val="20"/>
                <w:szCs w:val="20"/>
              </w:rPr>
              <w:t>Optive Fusion</w:t>
            </w:r>
          </w:p>
        </w:tc>
      </w:tr>
    </w:tbl>
    <w:p w14:paraId="73018341" w14:textId="1C4C5877" w:rsidR="00172259" w:rsidRPr="00325AC7" w:rsidRDefault="00172259" w:rsidP="008F5B0E">
      <w:pPr>
        <w:pStyle w:val="3-BodyText"/>
        <w:spacing w:before="120"/>
      </w:pPr>
      <w:r w:rsidRPr="00325AC7">
        <w:t>Restriction Summary / Treatment of Concept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902044" w:rsidRPr="00325AC7" w14:paraId="4A21F364" w14:textId="77777777" w:rsidTr="00732716">
        <w:tc>
          <w:tcPr>
            <w:tcW w:w="5000" w:type="pct"/>
            <w:tcBorders>
              <w:top w:val="single" w:sz="4" w:space="0" w:color="auto"/>
              <w:left w:val="single" w:sz="4" w:space="0" w:color="auto"/>
              <w:bottom w:val="single" w:sz="4" w:space="0" w:color="auto"/>
              <w:right w:val="single" w:sz="4" w:space="0" w:color="auto"/>
            </w:tcBorders>
          </w:tcPr>
          <w:p w14:paraId="760DEE27" w14:textId="13D0685D" w:rsidR="00902044" w:rsidRPr="00DC634B" w:rsidRDefault="00902044" w:rsidP="00B16485">
            <w:pPr>
              <w:rPr>
                <w:rFonts w:ascii="Arial Narrow" w:hAnsi="Arial Narrow" w:cs="Arial"/>
                <w:sz w:val="20"/>
                <w:szCs w:val="20"/>
              </w:rPr>
            </w:pPr>
            <w:r w:rsidRPr="00DC634B">
              <w:rPr>
                <w:rFonts w:ascii="Arial Narrow" w:hAnsi="Arial Narrow" w:cs="Arial"/>
                <w:b/>
                <w:sz w:val="20"/>
                <w:szCs w:val="20"/>
              </w:rPr>
              <w:t>Category / Program:</w:t>
            </w:r>
          </w:p>
          <w:p w14:paraId="0F765830" w14:textId="77777777" w:rsidR="00902044" w:rsidRPr="00DC634B" w:rsidRDefault="00902044" w:rsidP="00B16485">
            <w:pPr>
              <w:rPr>
                <w:rFonts w:ascii="Arial Narrow" w:hAnsi="Arial Narrow" w:cs="Arial"/>
                <w:sz w:val="20"/>
                <w:szCs w:val="20"/>
              </w:rPr>
            </w:pPr>
            <w:r w:rsidRPr="00DC634B">
              <w:rPr>
                <w:rFonts w:ascii="Arial Narrow" w:hAnsi="Arial Narrow" w:cs="Arial"/>
                <w:sz w:val="20"/>
                <w:szCs w:val="20"/>
              </w:rPr>
              <w:t xml:space="preserve">GENERAL – General Schedule (Code GE) </w:t>
            </w:r>
          </w:p>
        </w:tc>
      </w:tr>
      <w:tr w:rsidR="00902044" w:rsidRPr="00325AC7" w14:paraId="27B95901" w14:textId="77777777" w:rsidTr="00732716">
        <w:trPr>
          <w:trHeight w:val="240"/>
        </w:trPr>
        <w:tc>
          <w:tcPr>
            <w:tcW w:w="5000" w:type="pct"/>
            <w:tcBorders>
              <w:top w:val="single" w:sz="4" w:space="0" w:color="auto"/>
              <w:left w:val="single" w:sz="4" w:space="0" w:color="auto"/>
              <w:bottom w:val="single" w:sz="4" w:space="0" w:color="auto"/>
              <w:right w:val="single" w:sz="4" w:space="0" w:color="auto"/>
            </w:tcBorders>
          </w:tcPr>
          <w:p w14:paraId="299DD9CD" w14:textId="276F85FA" w:rsidR="00902044" w:rsidRPr="00DC634B" w:rsidRDefault="00902044" w:rsidP="00B16485">
            <w:pPr>
              <w:rPr>
                <w:rFonts w:ascii="Arial Narrow" w:hAnsi="Arial Narrow" w:cs="Arial"/>
                <w:b/>
                <w:sz w:val="20"/>
                <w:szCs w:val="20"/>
              </w:rPr>
            </w:pPr>
            <w:r w:rsidRPr="00DC634B">
              <w:rPr>
                <w:rFonts w:ascii="Arial Narrow" w:hAnsi="Arial Narrow" w:cs="Arial"/>
                <w:b/>
                <w:sz w:val="20"/>
                <w:szCs w:val="20"/>
              </w:rPr>
              <w:t xml:space="preserve">Prescriber type: </w:t>
            </w:r>
            <w:r w:rsidRPr="00DC634B">
              <w:rPr>
                <w:rFonts w:ascii="Arial Narrow" w:hAnsi="Arial Narrow" w:cs="Arial"/>
                <w:sz w:val="20"/>
                <w:szCs w:val="20"/>
              </w:rPr>
              <w:fldChar w:fldCharType="begin" w:fldLock="1">
                <w:ffData>
                  <w:name w:val="Check1"/>
                  <w:enabled/>
                  <w:calcOnExit w:val="0"/>
                  <w:checkBox>
                    <w:sizeAuto/>
                    <w:default w:val="0"/>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 xml:space="preserve">Dental  </w:t>
            </w:r>
            <w:r w:rsidRPr="00DC634B">
              <w:rPr>
                <w:rFonts w:ascii="Arial Narrow" w:hAnsi="Arial Narrow" w:cs="Arial"/>
                <w:sz w:val="20"/>
                <w:szCs w:val="20"/>
              </w:rPr>
              <w:fldChar w:fldCharType="begin" w:fldLock="1">
                <w:ffData>
                  <w:name w:val=""/>
                  <w:enabled/>
                  <w:calcOnExit w:val="0"/>
                  <w:checkBox>
                    <w:sizeAuto/>
                    <w:default w:val="1"/>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 xml:space="preserve">Medical Practitioners  </w:t>
            </w:r>
            <w:r w:rsidRPr="00DC634B">
              <w:rPr>
                <w:rFonts w:ascii="Arial Narrow" w:hAnsi="Arial Narrow" w:cs="Arial"/>
                <w:sz w:val="20"/>
                <w:szCs w:val="20"/>
              </w:rPr>
              <w:fldChar w:fldCharType="begin" w:fldLock="1">
                <w:ffData>
                  <w:name w:val="Check3"/>
                  <w:enabled/>
                  <w:calcOnExit w:val="0"/>
                  <w:checkBox>
                    <w:sizeAuto/>
                    <w:default w:val="1"/>
                  </w:checkBox>
                </w:ffData>
              </w:fldChar>
            </w:r>
            <w:bookmarkStart w:id="2" w:name="Check3"/>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bookmarkEnd w:id="2"/>
            <w:r w:rsidRPr="00DC634B">
              <w:rPr>
                <w:rFonts w:ascii="Arial Narrow" w:hAnsi="Arial Narrow" w:cs="Arial"/>
                <w:sz w:val="20"/>
                <w:szCs w:val="20"/>
              </w:rPr>
              <w:t xml:space="preserve">Nurse practitioners  </w:t>
            </w:r>
            <w:r w:rsidRPr="00DC634B">
              <w:rPr>
                <w:rFonts w:ascii="Arial Narrow" w:hAnsi="Arial Narrow" w:cs="Arial"/>
                <w:sz w:val="20"/>
                <w:szCs w:val="20"/>
              </w:rPr>
              <w:fldChar w:fldCharType="begin" w:fldLock="1">
                <w:ffData>
                  <w:name w:val=""/>
                  <w:enabled/>
                  <w:calcOnExit w:val="0"/>
                  <w:checkBox>
                    <w:sizeAuto/>
                    <w:default w:val="1"/>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 xml:space="preserve">Optometrists  </w:t>
            </w:r>
            <w:r w:rsidRPr="00DC634B">
              <w:rPr>
                <w:rFonts w:ascii="Arial Narrow" w:hAnsi="Arial Narrow" w:cs="Arial"/>
                <w:sz w:val="20"/>
                <w:szCs w:val="20"/>
              </w:rPr>
              <w:fldChar w:fldCharType="begin" w:fldLock="1">
                <w:ffData>
                  <w:name w:val="Check5"/>
                  <w:enabled/>
                  <w:calcOnExit w:val="0"/>
                  <w:checkBox>
                    <w:sizeAuto/>
                    <w:default w:val="0"/>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Midwives</w:t>
            </w:r>
          </w:p>
        </w:tc>
      </w:tr>
      <w:tr w:rsidR="00902044" w:rsidRPr="00325AC7" w14:paraId="6CF03279" w14:textId="77777777" w:rsidTr="00732716">
        <w:tc>
          <w:tcPr>
            <w:tcW w:w="5000" w:type="pct"/>
            <w:tcBorders>
              <w:top w:val="single" w:sz="4" w:space="0" w:color="auto"/>
              <w:left w:val="single" w:sz="4" w:space="0" w:color="auto"/>
              <w:bottom w:val="single" w:sz="4" w:space="0" w:color="auto"/>
              <w:right w:val="single" w:sz="4" w:space="0" w:color="auto"/>
            </w:tcBorders>
          </w:tcPr>
          <w:p w14:paraId="47422788" w14:textId="77777777" w:rsidR="00902044" w:rsidRPr="00DC634B" w:rsidRDefault="00902044" w:rsidP="00B16485">
            <w:pPr>
              <w:rPr>
                <w:rFonts w:ascii="Arial Narrow" w:hAnsi="Arial Narrow" w:cs="Arial"/>
                <w:b/>
                <w:sz w:val="20"/>
                <w:szCs w:val="20"/>
              </w:rPr>
            </w:pPr>
            <w:r w:rsidRPr="00DC634B">
              <w:rPr>
                <w:rFonts w:ascii="Arial Narrow" w:hAnsi="Arial Narrow" w:cs="Arial"/>
                <w:b/>
                <w:sz w:val="20"/>
                <w:szCs w:val="20"/>
              </w:rPr>
              <w:t>Restriction Level / Method:</w:t>
            </w:r>
          </w:p>
          <w:p w14:paraId="4FF36EF0" w14:textId="77777777" w:rsidR="00902044" w:rsidRPr="00DC634B" w:rsidRDefault="00902044" w:rsidP="00B16485">
            <w:pPr>
              <w:rPr>
                <w:rFonts w:ascii="Arial Narrow" w:hAnsi="Arial Narrow" w:cs="Arial"/>
                <w:sz w:val="20"/>
                <w:szCs w:val="20"/>
              </w:rPr>
            </w:pPr>
            <w:r w:rsidRPr="00DC634B">
              <w:rPr>
                <w:rFonts w:ascii="Arial Narrow" w:hAnsi="Arial Narrow" w:cs="Arial"/>
                <w:sz w:val="20"/>
                <w:szCs w:val="20"/>
              </w:rPr>
              <w:fldChar w:fldCharType="begin" w:fldLock="1">
                <w:ffData>
                  <w:name w:val="Check1"/>
                  <w:enabled/>
                  <w:calcOnExit w:val="0"/>
                  <w:checkBox>
                    <w:sizeAuto/>
                    <w:default w:val="0"/>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Unrestricted benefit</w:t>
            </w:r>
          </w:p>
          <w:p w14:paraId="48F3C18E" w14:textId="77777777" w:rsidR="00902044" w:rsidRPr="00DC634B" w:rsidRDefault="00902044" w:rsidP="00B16485">
            <w:pPr>
              <w:rPr>
                <w:rFonts w:ascii="Arial Narrow" w:hAnsi="Arial Narrow" w:cs="Arial"/>
                <w:sz w:val="20"/>
                <w:szCs w:val="20"/>
              </w:rPr>
            </w:pPr>
            <w:r w:rsidRPr="00DC634B">
              <w:rPr>
                <w:rFonts w:ascii="Arial Narrow" w:hAnsi="Arial Narrow" w:cs="Arial"/>
                <w:sz w:val="20"/>
                <w:szCs w:val="20"/>
              </w:rPr>
              <w:fldChar w:fldCharType="begin" w:fldLock="1">
                <w:ffData>
                  <w:name w:val=""/>
                  <w:enabled/>
                  <w:calcOnExit w:val="0"/>
                  <w:checkBox>
                    <w:sizeAuto/>
                    <w:default w:val="1"/>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Restricted benefit</w:t>
            </w:r>
          </w:p>
          <w:p w14:paraId="4A5552A8" w14:textId="77777777" w:rsidR="00902044" w:rsidRPr="00DC634B" w:rsidRDefault="00902044" w:rsidP="00B16485">
            <w:pPr>
              <w:rPr>
                <w:rFonts w:ascii="Arial Narrow" w:hAnsi="Arial Narrow" w:cs="Arial"/>
                <w:sz w:val="20"/>
                <w:szCs w:val="20"/>
              </w:rPr>
            </w:pPr>
            <w:r w:rsidRPr="00DC634B">
              <w:rPr>
                <w:rFonts w:ascii="Arial Narrow" w:hAnsi="Arial Narrow" w:cs="Arial"/>
                <w:sz w:val="20"/>
                <w:szCs w:val="20"/>
              </w:rPr>
              <w:fldChar w:fldCharType="begin" w:fldLock="1">
                <w:ffData>
                  <w:name w:val=""/>
                  <w:enabled/>
                  <w:calcOnExit w:val="0"/>
                  <w:checkBox>
                    <w:sizeAuto/>
                    <w:default w:val="0"/>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Authority Required – In Writing</w:t>
            </w:r>
          </w:p>
          <w:p w14:paraId="4650CA5A" w14:textId="77777777" w:rsidR="00902044" w:rsidRPr="00DC634B" w:rsidRDefault="00902044" w:rsidP="00B16485">
            <w:pPr>
              <w:rPr>
                <w:rFonts w:ascii="Arial Narrow" w:hAnsi="Arial Narrow" w:cs="Arial"/>
                <w:sz w:val="20"/>
                <w:szCs w:val="20"/>
              </w:rPr>
            </w:pPr>
            <w:r w:rsidRPr="00DC634B">
              <w:rPr>
                <w:rFonts w:ascii="Arial Narrow" w:hAnsi="Arial Narrow" w:cs="Arial"/>
                <w:sz w:val="20"/>
                <w:szCs w:val="20"/>
              </w:rPr>
              <w:fldChar w:fldCharType="begin" w:fldLock="1">
                <w:ffData>
                  <w:name w:val="Check3"/>
                  <w:enabled/>
                  <w:calcOnExit w:val="0"/>
                  <w:checkBox>
                    <w:sizeAuto/>
                    <w:default w:val="0"/>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Authority Required – Telephone/Electronic/Emergency</w:t>
            </w:r>
          </w:p>
          <w:p w14:paraId="246FB7F0" w14:textId="77777777" w:rsidR="00902044" w:rsidRPr="00DC634B" w:rsidRDefault="00902044" w:rsidP="00B16485">
            <w:pPr>
              <w:rPr>
                <w:rFonts w:ascii="Arial Narrow" w:hAnsi="Arial Narrow" w:cs="Arial"/>
                <w:sz w:val="20"/>
                <w:szCs w:val="20"/>
              </w:rPr>
            </w:pPr>
            <w:r w:rsidRPr="00DC634B">
              <w:rPr>
                <w:rFonts w:ascii="Arial Narrow" w:hAnsi="Arial Narrow" w:cs="Arial"/>
                <w:sz w:val="20"/>
                <w:szCs w:val="20"/>
              </w:rPr>
              <w:fldChar w:fldCharType="begin" w:fldLock="1">
                <w:ffData>
                  <w:name w:val=""/>
                  <w:enabled/>
                  <w:calcOnExit w:val="0"/>
                  <w:checkBox>
                    <w:sizeAuto/>
                    <w:default w:val="0"/>
                  </w:checkBox>
                </w:ffData>
              </w:fldChar>
            </w:r>
            <w:r w:rsidRPr="00DC634B">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DC634B">
              <w:rPr>
                <w:rFonts w:ascii="Arial Narrow" w:hAnsi="Arial Narrow" w:cs="Arial"/>
                <w:sz w:val="20"/>
                <w:szCs w:val="20"/>
              </w:rPr>
              <w:fldChar w:fldCharType="end"/>
            </w:r>
            <w:r w:rsidRPr="00DC634B">
              <w:rPr>
                <w:rFonts w:ascii="Arial Narrow" w:hAnsi="Arial Narrow" w:cs="Arial"/>
                <w:sz w:val="20"/>
                <w:szCs w:val="20"/>
              </w:rPr>
              <w:t>Authority Required – Streamlined</w:t>
            </w:r>
          </w:p>
        </w:tc>
      </w:tr>
      <w:tr w:rsidR="00902044" w:rsidRPr="00325AC7" w14:paraId="4B653A77" w14:textId="77777777" w:rsidTr="00732716">
        <w:tc>
          <w:tcPr>
            <w:tcW w:w="5000" w:type="pct"/>
            <w:vAlign w:val="center"/>
          </w:tcPr>
          <w:p w14:paraId="3F0F5CBB" w14:textId="2DD1526F" w:rsidR="00902044" w:rsidRPr="00DC634B" w:rsidRDefault="00902044" w:rsidP="00B16485">
            <w:pPr>
              <w:rPr>
                <w:rFonts w:ascii="Arial Narrow" w:hAnsi="Arial Narrow"/>
                <w:b/>
                <w:bCs/>
                <w:sz w:val="20"/>
                <w:szCs w:val="20"/>
              </w:rPr>
            </w:pPr>
            <w:r w:rsidRPr="00DC634B">
              <w:rPr>
                <w:rFonts w:ascii="Arial Narrow" w:hAnsi="Arial Narrow"/>
                <w:b/>
                <w:bCs/>
                <w:sz w:val="20"/>
                <w:szCs w:val="20"/>
              </w:rPr>
              <w:t xml:space="preserve">Condition: </w:t>
            </w:r>
            <w:r w:rsidRPr="00DC634B">
              <w:rPr>
                <w:rFonts w:ascii="Arial Narrow" w:hAnsi="Arial Narrow"/>
                <w:bCs/>
                <w:sz w:val="20"/>
                <w:szCs w:val="20"/>
              </w:rPr>
              <w:t>Severe dry eye syndrome</w:t>
            </w:r>
          </w:p>
        </w:tc>
      </w:tr>
      <w:tr w:rsidR="00902044" w:rsidRPr="00325AC7" w14:paraId="34B007A1" w14:textId="77777777" w:rsidTr="00732716">
        <w:tc>
          <w:tcPr>
            <w:tcW w:w="5000" w:type="pct"/>
            <w:vAlign w:val="center"/>
            <w:hideMark/>
          </w:tcPr>
          <w:p w14:paraId="367EAC98" w14:textId="17D589A3" w:rsidR="00902044" w:rsidRPr="00DC634B" w:rsidRDefault="00902044" w:rsidP="00B16485">
            <w:pPr>
              <w:rPr>
                <w:rFonts w:ascii="Arial Narrow" w:hAnsi="Arial Narrow"/>
                <w:sz w:val="20"/>
                <w:szCs w:val="20"/>
              </w:rPr>
            </w:pPr>
            <w:r w:rsidRPr="00DC634B">
              <w:rPr>
                <w:rFonts w:ascii="Arial Narrow" w:hAnsi="Arial Narrow"/>
                <w:b/>
                <w:bCs/>
                <w:sz w:val="20"/>
                <w:szCs w:val="20"/>
              </w:rPr>
              <w:t>Indication:</w:t>
            </w:r>
            <w:r w:rsidRPr="00DC634B">
              <w:rPr>
                <w:rFonts w:ascii="Arial Narrow" w:hAnsi="Arial Narrow"/>
                <w:sz w:val="20"/>
                <w:szCs w:val="20"/>
              </w:rPr>
              <w:t xml:space="preserve"> </w:t>
            </w:r>
            <w:r w:rsidRPr="00DC634B">
              <w:rPr>
                <w:rFonts w:ascii="Arial Narrow" w:hAnsi="Arial Narrow"/>
                <w:bCs/>
                <w:sz w:val="20"/>
                <w:szCs w:val="20"/>
              </w:rPr>
              <w:t>Severe dry eye syndrome</w:t>
            </w:r>
          </w:p>
        </w:tc>
      </w:tr>
    </w:tbl>
    <w:p w14:paraId="11B1172D" w14:textId="50AE43AD" w:rsidR="00FC3639" w:rsidRPr="00325AC7" w:rsidRDefault="00D37E6F" w:rsidP="008F5B0E">
      <w:pPr>
        <w:pStyle w:val="3-BodyText"/>
        <w:spacing w:before="120"/>
        <w:rPr>
          <w:color w:val="000000" w:themeColor="text1"/>
        </w:rPr>
      </w:pPr>
      <w:r w:rsidRPr="00325AC7">
        <w:t xml:space="preserve">The submission requested </w:t>
      </w:r>
      <w:r w:rsidR="00765502" w:rsidRPr="00325AC7">
        <w:t xml:space="preserve">a </w:t>
      </w:r>
      <w:r w:rsidR="008C22AB" w:rsidRPr="00325AC7">
        <w:t>restricted benefit listing</w:t>
      </w:r>
      <w:r w:rsidR="00EA2B70" w:rsidRPr="00325AC7">
        <w:t xml:space="preserve"> </w:t>
      </w:r>
      <w:r w:rsidRPr="00325AC7">
        <w:t xml:space="preserve">for the </w:t>
      </w:r>
      <w:r w:rsidR="00EA2B70" w:rsidRPr="00325AC7">
        <w:t>treatment of severe dry eye syndrome</w:t>
      </w:r>
      <w:r w:rsidR="008C22AB" w:rsidRPr="00325AC7">
        <w:t xml:space="preserve">, </w:t>
      </w:r>
      <w:r w:rsidR="0054515B" w:rsidRPr="00325AC7">
        <w:t xml:space="preserve">consistent with </w:t>
      </w:r>
      <w:r w:rsidR="00895E0D" w:rsidRPr="00325AC7">
        <w:t>the authority level</w:t>
      </w:r>
      <w:r w:rsidR="0054515B" w:rsidRPr="00325AC7">
        <w:t xml:space="preserve"> of other PC </w:t>
      </w:r>
      <w:r w:rsidR="003957B2">
        <w:t>ocular lubricants</w:t>
      </w:r>
      <w:r w:rsidR="0054515B" w:rsidRPr="00325AC7">
        <w:t xml:space="preserve"> listed on the PBS</w:t>
      </w:r>
      <w:r w:rsidR="0028253E" w:rsidRPr="00325AC7">
        <w:t xml:space="preserve"> and the PBS listed indication for HS</w:t>
      </w:r>
      <w:r w:rsidR="0054515B" w:rsidRPr="00325AC7">
        <w:t xml:space="preserve">. </w:t>
      </w:r>
      <w:r w:rsidR="00895E0D" w:rsidRPr="00325AC7">
        <w:rPr>
          <w:iCs/>
        </w:rPr>
        <w:t>However, t</w:t>
      </w:r>
      <w:r w:rsidR="00895E0D" w:rsidRPr="008F5B0E">
        <w:rPr>
          <w:rFonts w:cs="Arial"/>
          <w:iCs/>
          <w:snapToGrid w:val="0"/>
        </w:rPr>
        <w:t xml:space="preserve">he </w:t>
      </w:r>
      <w:r w:rsidR="009403E6">
        <w:rPr>
          <w:rFonts w:cs="Arial"/>
          <w:iCs/>
          <w:snapToGrid w:val="0"/>
        </w:rPr>
        <w:t>PBAC</w:t>
      </w:r>
      <w:r w:rsidR="009403E6" w:rsidRPr="008F5B0E">
        <w:rPr>
          <w:rFonts w:cs="Arial"/>
          <w:iCs/>
          <w:snapToGrid w:val="0"/>
        </w:rPr>
        <w:t xml:space="preserve"> </w:t>
      </w:r>
      <w:r w:rsidR="00895E0D" w:rsidRPr="008F5B0E">
        <w:rPr>
          <w:rFonts w:cs="Arial"/>
          <w:iCs/>
          <w:snapToGrid w:val="0"/>
        </w:rPr>
        <w:t>note</w:t>
      </w:r>
      <w:r w:rsidR="004A2116" w:rsidRPr="008F5B0E">
        <w:rPr>
          <w:rFonts w:cs="Arial"/>
          <w:iCs/>
          <w:snapToGrid w:val="0"/>
        </w:rPr>
        <w:t>d</w:t>
      </w:r>
      <w:r w:rsidR="00895E0D" w:rsidRPr="008F5B0E">
        <w:rPr>
          <w:rFonts w:cs="Arial"/>
          <w:iCs/>
          <w:snapToGrid w:val="0"/>
        </w:rPr>
        <w:t xml:space="preserve"> that other PC </w:t>
      </w:r>
      <w:r w:rsidR="009403E6">
        <w:rPr>
          <w:rFonts w:cs="Arial"/>
          <w:iCs/>
          <w:snapToGrid w:val="0"/>
        </w:rPr>
        <w:t>ocular lubricants</w:t>
      </w:r>
      <w:r w:rsidR="00895E0D" w:rsidRPr="008F5B0E">
        <w:rPr>
          <w:rFonts w:cs="Arial"/>
          <w:iCs/>
          <w:snapToGrid w:val="0"/>
        </w:rPr>
        <w:t xml:space="preserve"> with restricted benefit listings have the indication ‘Severe dry eye syndrome, including Sjogren’s syndrome’</w:t>
      </w:r>
      <w:r w:rsidR="009403E6">
        <w:rPr>
          <w:rFonts w:cs="Arial"/>
          <w:iCs/>
          <w:snapToGrid w:val="0"/>
        </w:rPr>
        <w:t>, and</w:t>
      </w:r>
      <w:r w:rsidR="00895E0D" w:rsidRPr="008F5B0E">
        <w:rPr>
          <w:rFonts w:cs="Arial"/>
          <w:iCs/>
          <w:snapToGrid w:val="0"/>
        </w:rPr>
        <w:t xml:space="preserve"> </w:t>
      </w:r>
      <w:r w:rsidR="009403E6">
        <w:rPr>
          <w:rFonts w:cs="Arial"/>
          <w:iCs/>
          <w:snapToGrid w:val="0"/>
        </w:rPr>
        <w:t>t</w:t>
      </w:r>
      <w:r w:rsidR="009403E6" w:rsidRPr="008F5B0E">
        <w:rPr>
          <w:rFonts w:cs="Arial"/>
          <w:iCs/>
          <w:snapToGrid w:val="0"/>
        </w:rPr>
        <w:t>here appear</w:t>
      </w:r>
      <w:r w:rsidR="009403E6">
        <w:rPr>
          <w:rFonts w:cs="Arial"/>
          <w:iCs/>
          <w:snapToGrid w:val="0"/>
        </w:rPr>
        <w:t>ed</w:t>
      </w:r>
      <w:r w:rsidR="009403E6" w:rsidRPr="008F5B0E">
        <w:rPr>
          <w:rFonts w:cs="Arial"/>
          <w:iCs/>
          <w:snapToGrid w:val="0"/>
        </w:rPr>
        <w:t xml:space="preserve"> </w:t>
      </w:r>
      <w:r w:rsidR="00675BE4" w:rsidRPr="008F5B0E">
        <w:rPr>
          <w:rFonts w:cs="Arial"/>
          <w:iCs/>
          <w:snapToGrid w:val="0"/>
        </w:rPr>
        <w:t>to be an inconsistency with the application of this indication across the different PBS listings of ocular lubricants.</w:t>
      </w:r>
      <w:r w:rsidR="004A2116" w:rsidRPr="008F5B0E">
        <w:rPr>
          <w:rFonts w:cs="Arial"/>
          <w:iCs/>
          <w:snapToGrid w:val="0"/>
        </w:rPr>
        <w:t xml:space="preserve"> </w:t>
      </w:r>
    </w:p>
    <w:p w14:paraId="60C17411" w14:textId="5AF6E3B7" w:rsidR="000272B8" w:rsidRPr="008F5B0E" w:rsidRDefault="008C22AB" w:rsidP="00445DA7">
      <w:pPr>
        <w:pStyle w:val="3-BodyText"/>
        <w:rPr>
          <w:color w:val="000000" w:themeColor="text1"/>
        </w:rPr>
      </w:pPr>
      <w:r w:rsidRPr="008F5B0E">
        <w:rPr>
          <w:rFonts w:cs="Arial"/>
          <w:snapToGrid w:val="0"/>
        </w:rPr>
        <w:t>Unlike the listing of HS</w:t>
      </w:r>
      <w:r w:rsidR="00427167" w:rsidRPr="008F5B0E">
        <w:rPr>
          <w:rFonts w:cs="Arial"/>
          <w:snapToGrid w:val="0"/>
        </w:rPr>
        <w:t xml:space="preserve"> 0.1% and 0.2%</w:t>
      </w:r>
      <w:r w:rsidRPr="008F5B0E">
        <w:rPr>
          <w:rFonts w:cs="Arial"/>
          <w:snapToGrid w:val="0"/>
        </w:rPr>
        <w:t>,</w:t>
      </w:r>
      <w:r w:rsidR="00EA2B70" w:rsidRPr="008F5B0E">
        <w:rPr>
          <w:rFonts w:cs="Arial"/>
          <w:snapToGrid w:val="0"/>
        </w:rPr>
        <w:t xml:space="preserve"> the clinical criterion ‘Patient must be sensitive to preservatives in multi-dose eye drops’</w:t>
      </w:r>
      <w:r w:rsidRPr="008F5B0E">
        <w:rPr>
          <w:rFonts w:cs="Arial"/>
          <w:snapToGrid w:val="0"/>
        </w:rPr>
        <w:t xml:space="preserve"> was not included as </w:t>
      </w:r>
      <w:r w:rsidR="00037954" w:rsidRPr="008F5B0E">
        <w:rPr>
          <w:rFonts w:cs="Arial"/>
          <w:snapToGrid w:val="0"/>
        </w:rPr>
        <w:t>t</w:t>
      </w:r>
      <w:r w:rsidR="00EA2B70" w:rsidRPr="008F5B0E">
        <w:rPr>
          <w:rFonts w:cs="Arial"/>
          <w:snapToGrid w:val="0"/>
        </w:rPr>
        <w:t xml:space="preserve">he formulation of </w:t>
      </w:r>
      <w:r w:rsidRPr="008F5B0E">
        <w:rPr>
          <w:rFonts w:cs="Arial"/>
          <w:snapToGrid w:val="0"/>
        </w:rPr>
        <w:t>CGH</w:t>
      </w:r>
      <w:r w:rsidR="00EA2B70" w:rsidRPr="008F5B0E">
        <w:rPr>
          <w:rFonts w:cs="Arial"/>
          <w:snapToGrid w:val="0"/>
        </w:rPr>
        <w:t xml:space="preserve"> includes a preservative, purite 0.01% (Clinical Evaluation Report within the main body of submission).</w:t>
      </w:r>
      <w:r w:rsidR="00CD28A2" w:rsidRPr="008F5B0E">
        <w:rPr>
          <w:rFonts w:cs="Arial"/>
          <w:snapToGrid w:val="0"/>
        </w:rPr>
        <w:t xml:space="preserve"> </w:t>
      </w:r>
      <w:r w:rsidR="00CD28A2" w:rsidRPr="008F5B0E">
        <w:rPr>
          <w:rFonts w:cs="Arial"/>
          <w:iCs/>
          <w:snapToGrid w:val="0"/>
        </w:rPr>
        <w:t xml:space="preserve">The </w:t>
      </w:r>
      <w:r w:rsidR="009403E6">
        <w:rPr>
          <w:rFonts w:cs="Arial"/>
          <w:iCs/>
          <w:snapToGrid w:val="0"/>
        </w:rPr>
        <w:t>PBAC</w:t>
      </w:r>
      <w:r w:rsidR="009403E6" w:rsidRPr="008F5B0E">
        <w:rPr>
          <w:rFonts w:cs="Arial"/>
          <w:iCs/>
          <w:snapToGrid w:val="0"/>
        </w:rPr>
        <w:t xml:space="preserve"> </w:t>
      </w:r>
      <w:r w:rsidR="00CD28A2" w:rsidRPr="008F5B0E">
        <w:rPr>
          <w:rFonts w:cs="Arial"/>
          <w:iCs/>
          <w:snapToGrid w:val="0"/>
        </w:rPr>
        <w:t>note</w:t>
      </w:r>
      <w:r w:rsidR="003572EE">
        <w:rPr>
          <w:rFonts w:cs="Arial"/>
          <w:iCs/>
          <w:snapToGrid w:val="0"/>
        </w:rPr>
        <w:t>d</w:t>
      </w:r>
      <w:r w:rsidR="00CD28A2" w:rsidRPr="008F5B0E">
        <w:rPr>
          <w:rFonts w:cs="Arial"/>
          <w:iCs/>
          <w:snapToGrid w:val="0"/>
        </w:rPr>
        <w:t xml:space="preserve"> that PF </w:t>
      </w:r>
      <w:r w:rsidR="009403E6">
        <w:rPr>
          <w:rFonts w:cs="Arial"/>
          <w:iCs/>
          <w:snapToGrid w:val="0"/>
        </w:rPr>
        <w:t>ocular lubricants</w:t>
      </w:r>
      <w:r w:rsidR="00CD28A2" w:rsidRPr="008F5B0E">
        <w:rPr>
          <w:rFonts w:cs="Arial"/>
          <w:iCs/>
          <w:snapToGrid w:val="0"/>
        </w:rPr>
        <w:t xml:space="preserve"> are Authority Required (STREAMLINED).</w:t>
      </w:r>
    </w:p>
    <w:p w14:paraId="29A96004" w14:textId="36B4207F" w:rsidR="00C27C1C" w:rsidRPr="00325AC7" w:rsidRDefault="00C27C1C" w:rsidP="001F2311">
      <w:pPr>
        <w:pStyle w:val="2-SectionHeading"/>
        <w:numPr>
          <w:ilvl w:val="0"/>
          <w:numId w:val="2"/>
        </w:numPr>
        <w:rPr>
          <w:color w:val="FF0000"/>
        </w:rPr>
      </w:pPr>
      <w:r w:rsidRPr="00325AC7">
        <w:t>Comparator</w:t>
      </w:r>
    </w:p>
    <w:p w14:paraId="784E74F0" w14:textId="2629F88F" w:rsidR="00374EB9" w:rsidRDefault="00C27C1C" w:rsidP="00754800">
      <w:pPr>
        <w:pStyle w:val="3-BodyText"/>
        <w:rPr>
          <w:iCs/>
        </w:rPr>
      </w:pPr>
      <w:r w:rsidRPr="00325AC7">
        <w:t xml:space="preserve">The submission nominated </w:t>
      </w:r>
      <w:r w:rsidR="00445DA7" w:rsidRPr="00325AC7">
        <w:t>HS 0.1%</w:t>
      </w:r>
      <w:r w:rsidR="00172259" w:rsidRPr="00325AC7">
        <w:t xml:space="preserve"> </w:t>
      </w:r>
      <w:r w:rsidRPr="00325AC7">
        <w:t>as the main comparator</w:t>
      </w:r>
      <w:r w:rsidR="009403E6">
        <w:t>,</w:t>
      </w:r>
      <w:r w:rsidR="00445DA7" w:rsidRPr="00325AC7">
        <w:t xml:space="preserve"> stating that </w:t>
      </w:r>
      <w:r w:rsidR="00427167" w:rsidRPr="00325AC7">
        <w:t>HS</w:t>
      </w:r>
      <w:r w:rsidR="00172259" w:rsidRPr="00325AC7">
        <w:t xml:space="preserve"> is </w:t>
      </w:r>
      <w:r w:rsidR="00445DA7" w:rsidRPr="00325AC7">
        <w:t>the</w:t>
      </w:r>
      <w:r w:rsidR="00172259" w:rsidRPr="00325AC7">
        <w:t xml:space="preserve"> </w:t>
      </w:r>
      <w:r w:rsidR="00754800" w:rsidRPr="00325AC7">
        <w:t xml:space="preserve">key </w:t>
      </w:r>
      <w:r w:rsidR="00172259" w:rsidRPr="00325AC7">
        <w:t xml:space="preserve">component </w:t>
      </w:r>
      <w:r w:rsidR="00754800" w:rsidRPr="00325AC7">
        <w:t xml:space="preserve">of CGH and therefore </w:t>
      </w:r>
      <w:r w:rsidR="0055007B" w:rsidRPr="00325AC7">
        <w:t xml:space="preserve">CGH is </w:t>
      </w:r>
      <w:r w:rsidR="00172259" w:rsidRPr="00325AC7">
        <w:t>most likely to substitute</w:t>
      </w:r>
      <w:r w:rsidR="00754800" w:rsidRPr="00325AC7">
        <w:t xml:space="preserve"> for other HS containing products</w:t>
      </w:r>
      <w:r w:rsidR="00172259" w:rsidRPr="00325AC7">
        <w:t>.</w:t>
      </w:r>
      <w:r w:rsidR="00427167" w:rsidRPr="00325AC7">
        <w:t xml:space="preserve"> </w:t>
      </w:r>
      <w:r w:rsidR="00427167" w:rsidRPr="00325AC7">
        <w:rPr>
          <w:iCs/>
        </w:rPr>
        <w:t>This was appropriate</w:t>
      </w:r>
      <w:r w:rsidR="00283E5A" w:rsidRPr="00325AC7">
        <w:rPr>
          <w:iCs/>
        </w:rPr>
        <w:t xml:space="preserve">, however all PBS-listed ocular lubricants </w:t>
      </w:r>
      <w:r w:rsidR="00433E7C" w:rsidRPr="00325AC7">
        <w:rPr>
          <w:iCs/>
        </w:rPr>
        <w:t xml:space="preserve">may </w:t>
      </w:r>
      <w:r w:rsidR="00283E5A" w:rsidRPr="00325AC7">
        <w:rPr>
          <w:iCs/>
        </w:rPr>
        <w:t xml:space="preserve">also </w:t>
      </w:r>
      <w:r w:rsidR="003572EE">
        <w:rPr>
          <w:iCs/>
        </w:rPr>
        <w:t xml:space="preserve">be </w:t>
      </w:r>
      <w:r w:rsidR="00283E5A" w:rsidRPr="00325AC7">
        <w:rPr>
          <w:iCs/>
        </w:rPr>
        <w:t>relevant comparators</w:t>
      </w:r>
      <w:r w:rsidR="00EF3ED7" w:rsidRPr="00325AC7">
        <w:rPr>
          <w:iCs/>
        </w:rPr>
        <w:t xml:space="preserve"> (see para</w:t>
      </w:r>
      <w:r w:rsidR="00DF4246">
        <w:rPr>
          <w:iCs/>
        </w:rPr>
        <w:t>graph</w:t>
      </w:r>
      <w:r w:rsidR="00EF3ED7" w:rsidRPr="00325AC7">
        <w:rPr>
          <w:iCs/>
        </w:rPr>
        <w:t xml:space="preserve"> 5.</w:t>
      </w:r>
      <w:r w:rsidR="00433E7C" w:rsidRPr="00325AC7">
        <w:rPr>
          <w:iCs/>
        </w:rPr>
        <w:t>16</w:t>
      </w:r>
      <w:r w:rsidR="00EF3ED7" w:rsidRPr="00325AC7">
        <w:rPr>
          <w:iCs/>
        </w:rPr>
        <w:t>)</w:t>
      </w:r>
      <w:r w:rsidR="00283E5A" w:rsidRPr="00325AC7">
        <w:rPr>
          <w:iCs/>
        </w:rPr>
        <w:t>.</w:t>
      </w:r>
    </w:p>
    <w:p w14:paraId="33313EF9" w14:textId="77777777" w:rsidR="00374EB9" w:rsidRDefault="00374EB9">
      <w:pPr>
        <w:jc w:val="left"/>
        <w:rPr>
          <w:rFonts w:asciiTheme="minorHAnsi" w:eastAsiaTheme="minorHAnsi" w:hAnsiTheme="minorHAnsi" w:cstheme="minorBidi"/>
          <w:iCs/>
          <w:szCs w:val="22"/>
        </w:rPr>
      </w:pPr>
      <w:r>
        <w:rPr>
          <w:iCs/>
        </w:rPr>
        <w:br w:type="page"/>
      </w:r>
    </w:p>
    <w:p w14:paraId="313E55A0" w14:textId="4F9FD63B" w:rsidR="00C27C1C" w:rsidRPr="00325AC7" w:rsidRDefault="00C27C1C" w:rsidP="00C27C1C">
      <w:pPr>
        <w:pStyle w:val="Heading1"/>
        <w:keepLines/>
        <w:numPr>
          <w:ilvl w:val="0"/>
          <w:numId w:val="2"/>
        </w:numPr>
        <w:spacing w:before="240"/>
        <w:ind w:left="709" w:hanging="709"/>
        <w:rPr>
          <w:sz w:val="32"/>
          <w:szCs w:val="32"/>
        </w:rPr>
      </w:pPr>
      <w:r w:rsidRPr="00325AC7">
        <w:rPr>
          <w:sz w:val="32"/>
          <w:szCs w:val="32"/>
        </w:rPr>
        <w:t>Consideration of the evidence</w:t>
      </w:r>
    </w:p>
    <w:p w14:paraId="48A124EC" w14:textId="75EA43D2" w:rsidR="004B6F52" w:rsidRPr="00325AC7" w:rsidRDefault="004B6F52" w:rsidP="004B6F52">
      <w:pPr>
        <w:pStyle w:val="4-SubsectionHeading"/>
        <w:keepNext w:val="0"/>
        <w:rPr>
          <w:lang w:eastAsia="en-US"/>
        </w:rPr>
      </w:pPr>
      <w:r w:rsidRPr="00325AC7">
        <w:rPr>
          <w:lang w:eastAsia="en-US"/>
        </w:rPr>
        <w:t>Sponsor hearing</w:t>
      </w:r>
    </w:p>
    <w:p w14:paraId="3738BDE2" w14:textId="71C48873" w:rsidR="004B6F52" w:rsidRPr="00325AC7" w:rsidRDefault="004B6F52" w:rsidP="004B6F52">
      <w:pPr>
        <w:pStyle w:val="3-BodyText"/>
        <w:rPr>
          <w:lang w:eastAsia="en-US"/>
        </w:rPr>
      </w:pPr>
      <w:r w:rsidRPr="00325AC7">
        <w:rPr>
          <w:lang w:eastAsia="en-US"/>
        </w:rPr>
        <w:t>There was no hearing for this item.</w:t>
      </w:r>
    </w:p>
    <w:p w14:paraId="1BB38B8E" w14:textId="19188054" w:rsidR="004B6F52" w:rsidRPr="00325AC7" w:rsidRDefault="004B6F52" w:rsidP="004B6F52">
      <w:pPr>
        <w:pStyle w:val="4-SubsectionHeading"/>
        <w:rPr>
          <w:lang w:eastAsia="en-US"/>
        </w:rPr>
      </w:pPr>
      <w:r w:rsidRPr="00325AC7">
        <w:rPr>
          <w:lang w:eastAsia="en-US"/>
        </w:rPr>
        <w:t>Consumer comments</w:t>
      </w:r>
    </w:p>
    <w:p w14:paraId="5BFFCF76" w14:textId="5C196C3B" w:rsidR="004B6F52" w:rsidRPr="00325AC7" w:rsidRDefault="00846063" w:rsidP="004B6F52">
      <w:pPr>
        <w:pStyle w:val="3-BodyText"/>
        <w:rPr>
          <w:lang w:eastAsia="en-US"/>
        </w:rPr>
      </w:pPr>
      <w:r w:rsidRPr="00325AC7">
        <w:rPr>
          <w:lang w:eastAsia="en-US"/>
        </w:rPr>
        <w:t>The PBAC noted that no consumer comments were received for this item.</w:t>
      </w:r>
    </w:p>
    <w:p w14:paraId="23190825" w14:textId="53076711" w:rsidR="00EB5103" w:rsidRPr="00325AC7" w:rsidRDefault="00EB5103" w:rsidP="00EB5103">
      <w:pPr>
        <w:pStyle w:val="4-SubsectionHeading"/>
        <w:keepNext w:val="0"/>
        <w:rPr>
          <w:lang w:eastAsia="en-US"/>
        </w:rPr>
      </w:pPr>
      <w:r w:rsidRPr="00325AC7">
        <w:rPr>
          <w:lang w:eastAsia="en-US"/>
        </w:rPr>
        <w:t>Clinical trials</w:t>
      </w:r>
    </w:p>
    <w:p w14:paraId="65566CD8" w14:textId="2E5069D7" w:rsidR="00A0308F" w:rsidRPr="00325AC7" w:rsidRDefault="00EB5103" w:rsidP="008F5B0E">
      <w:pPr>
        <w:pStyle w:val="3-BodyText"/>
      </w:pPr>
      <w:r w:rsidRPr="00325AC7">
        <w:t xml:space="preserve">The submission </w:t>
      </w:r>
      <w:r w:rsidR="00586425" w:rsidRPr="00325AC7">
        <w:t>presented on</w:t>
      </w:r>
      <w:r w:rsidR="001240A7" w:rsidRPr="00325AC7">
        <w:t>e</w:t>
      </w:r>
      <w:r w:rsidR="00586425" w:rsidRPr="00325AC7">
        <w:t xml:space="preserve"> phase IV randomised clinical trial </w:t>
      </w:r>
      <w:r w:rsidRPr="00325AC7">
        <w:t>to demonstrate the comparative efficacy and safety of CGH (outlined in Table 1).</w:t>
      </w:r>
      <w:r w:rsidR="006303FB" w:rsidRPr="00325AC7">
        <w:t xml:space="preserve"> </w:t>
      </w:r>
      <w:r w:rsidR="006303FB" w:rsidRPr="00325AC7">
        <w:rPr>
          <w:iCs/>
        </w:rPr>
        <w:t>This trial was sponsored by Allergan p</w:t>
      </w:r>
      <w:r w:rsidR="008C3854">
        <w:rPr>
          <w:iCs/>
        </w:rPr>
        <w:t>l</w:t>
      </w:r>
      <w:r w:rsidR="006303FB" w:rsidRPr="00325AC7">
        <w:rPr>
          <w:iCs/>
        </w:rPr>
        <w:t>c.</w:t>
      </w:r>
    </w:p>
    <w:p w14:paraId="7294E93D" w14:textId="4820567E" w:rsidR="00507811" w:rsidRPr="008F5B0E" w:rsidRDefault="00507811" w:rsidP="008F5B0E">
      <w:pPr>
        <w:pStyle w:val="TableFigureHeading"/>
      </w:pPr>
      <w:r w:rsidRPr="00F22026">
        <w:t xml:space="preserve">Table </w:t>
      </w:r>
      <w:r w:rsidR="002013AB">
        <w:fldChar w:fldCharType="begin" w:fldLock="1"/>
      </w:r>
      <w:r w:rsidR="002013AB">
        <w:instrText xml:space="preserve"> SEQ Table \* ARABIC </w:instrText>
      </w:r>
      <w:r w:rsidR="002013AB">
        <w:fldChar w:fldCharType="separate"/>
      </w:r>
      <w:r w:rsidR="000A071E">
        <w:rPr>
          <w:noProof/>
        </w:rPr>
        <w:t>1</w:t>
      </w:r>
      <w:r w:rsidR="002013AB">
        <w:rPr>
          <w:noProof/>
        </w:rPr>
        <w:fldChar w:fldCharType="end"/>
      </w:r>
      <w:r w:rsidRPr="008F5B0E">
        <w:t>: Trial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 presented in the submission"/>
        <w:tblDescription w:val="Table 1: Trial presented in the submission"/>
      </w:tblPr>
      <w:tblGrid>
        <w:gridCol w:w="2122"/>
        <w:gridCol w:w="4371"/>
        <w:gridCol w:w="2523"/>
      </w:tblGrid>
      <w:tr w:rsidR="00586425" w:rsidRPr="00325AC7" w14:paraId="4FB57C39" w14:textId="77777777" w:rsidTr="00B40B87">
        <w:trPr>
          <w:cantSplit/>
          <w:tblHeader/>
        </w:trPr>
        <w:tc>
          <w:tcPr>
            <w:tcW w:w="1177" w:type="pct"/>
            <w:vAlign w:val="center"/>
          </w:tcPr>
          <w:p w14:paraId="6632D59A" w14:textId="77777777" w:rsidR="00586425" w:rsidRPr="008F5B0E" w:rsidRDefault="00586425" w:rsidP="00B40B87">
            <w:pPr>
              <w:pStyle w:val="In-tableHeading"/>
              <w:jc w:val="center"/>
              <w:rPr>
                <w:lang w:val="en-AU"/>
              </w:rPr>
            </w:pPr>
            <w:r w:rsidRPr="008F5B0E">
              <w:rPr>
                <w:lang w:val="en-AU"/>
              </w:rPr>
              <w:t>Trial ID</w:t>
            </w:r>
          </w:p>
        </w:tc>
        <w:tc>
          <w:tcPr>
            <w:tcW w:w="2424" w:type="pct"/>
            <w:vAlign w:val="center"/>
          </w:tcPr>
          <w:p w14:paraId="47395288" w14:textId="77777777" w:rsidR="00586425" w:rsidRPr="008F5B0E" w:rsidRDefault="00586425" w:rsidP="00B40B87">
            <w:pPr>
              <w:pStyle w:val="In-tableHeading"/>
              <w:rPr>
                <w:lang w:val="en-AU"/>
              </w:rPr>
            </w:pPr>
            <w:r w:rsidRPr="008F5B0E">
              <w:rPr>
                <w:lang w:val="en-AU"/>
              </w:rPr>
              <w:t>Protocol title/ Publication title</w:t>
            </w:r>
          </w:p>
        </w:tc>
        <w:tc>
          <w:tcPr>
            <w:tcW w:w="1399" w:type="pct"/>
            <w:vAlign w:val="center"/>
          </w:tcPr>
          <w:p w14:paraId="7D200039" w14:textId="77777777" w:rsidR="00586425" w:rsidRPr="008F5B0E" w:rsidRDefault="00586425" w:rsidP="00B40B87">
            <w:pPr>
              <w:pStyle w:val="In-tableHeading"/>
              <w:rPr>
                <w:lang w:val="en-AU"/>
              </w:rPr>
            </w:pPr>
            <w:r w:rsidRPr="008F5B0E">
              <w:rPr>
                <w:lang w:val="en-AU"/>
              </w:rPr>
              <w:t>Publication citation</w:t>
            </w:r>
          </w:p>
        </w:tc>
      </w:tr>
      <w:tr w:rsidR="00586425" w:rsidRPr="00325AC7" w14:paraId="411056E7" w14:textId="77777777" w:rsidTr="00B40B87">
        <w:trPr>
          <w:cantSplit/>
        </w:trPr>
        <w:tc>
          <w:tcPr>
            <w:tcW w:w="1177" w:type="pct"/>
            <w:tcBorders>
              <w:top w:val="single" w:sz="4" w:space="0" w:color="auto"/>
              <w:bottom w:val="single" w:sz="4" w:space="0" w:color="auto"/>
            </w:tcBorders>
            <w:vAlign w:val="center"/>
          </w:tcPr>
          <w:p w14:paraId="006B77BE" w14:textId="3B24C59B" w:rsidR="00586425" w:rsidRPr="00325AC7" w:rsidRDefault="00586425" w:rsidP="00B40B87">
            <w:pPr>
              <w:pStyle w:val="TableText0"/>
              <w:jc w:val="center"/>
              <w:rPr>
                <w:b/>
                <w:bCs w:val="0"/>
              </w:rPr>
            </w:pPr>
            <w:r w:rsidRPr="00325AC7">
              <w:rPr>
                <w:b/>
                <w:bCs w:val="0"/>
              </w:rPr>
              <w:t>NCT02</w:t>
            </w:r>
            <w:r w:rsidR="0020668A" w:rsidRPr="00325AC7">
              <w:rPr>
                <w:b/>
                <w:bCs w:val="0"/>
              </w:rPr>
              <w:t>117687</w:t>
            </w:r>
            <w:r w:rsidRPr="00325AC7">
              <w:rPr>
                <w:b/>
                <w:bCs w:val="0"/>
              </w:rPr>
              <w:t>/Labetoulle (201</w:t>
            </w:r>
            <w:r w:rsidR="0020668A" w:rsidRPr="00325AC7">
              <w:rPr>
                <w:b/>
                <w:bCs w:val="0"/>
              </w:rPr>
              <w:t>7</w:t>
            </w:r>
            <w:r w:rsidRPr="00325AC7">
              <w:rPr>
                <w:b/>
                <w:bCs w:val="0"/>
              </w:rPr>
              <w:t xml:space="preserve">) </w:t>
            </w:r>
          </w:p>
        </w:tc>
        <w:tc>
          <w:tcPr>
            <w:tcW w:w="2424" w:type="pct"/>
            <w:tcBorders>
              <w:top w:val="single" w:sz="4" w:space="0" w:color="auto"/>
              <w:bottom w:val="single" w:sz="4" w:space="0" w:color="auto"/>
            </w:tcBorders>
            <w:vAlign w:val="center"/>
          </w:tcPr>
          <w:p w14:paraId="35DD701E" w14:textId="7D4C6BB6" w:rsidR="00586425" w:rsidRPr="00325AC7" w:rsidRDefault="0020668A" w:rsidP="00B40B87">
            <w:pPr>
              <w:pStyle w:val="TableText0"/>
            </w:pPr>
            <w:r w:rsidRPr="00325AC7">
              <w:rPr>
                <w:szCs w:val="20"/>
              </w:rPr>
              <w:t>Labetoulle, M, Chiambaretta, F, Shirlaw, A, Leaback, R, Baudouin, C</w:t>
            </w:r>
            <w:r w:rsidR="001240A7" w:rsidRPr="00325AC7">
              <w:rPr>
                <w:szCs w:val="20"/>
              </w:rPr>
              <w:t>.</w:t>
            </w:r>
            <w:r w:rsidRPr="00325AC7">
              <w:rPr>
                <w:szCs w:val="20"/>
              </w:rPr>
              <w:t xml:space="preserve"> Osmoprotectants, carboxymethylcellulose and hyaluronic acid multi-ingredient eye drop: a randomised controlled trial in moderate to severe dry eye</w:t>
            </w:r>
            <w:r w:rsidR="001240A7" w:rsidRPr="00325AC7">
              <w:rPr>
                <w:szCs w:val="20"/>
              </w:rPr>
              <w:t>.</w:t>
            </w:r>
          </w:p>
        </w:tc>
        <w:tc>
          <w:tcPr>
            <w:tcW w:w="1399" w:type="pct"/>
            <w:tcBorders>
              <w:top w:val="single" w:sz="4" w:space="0" w:color="auto"/>
              <w:bottom w:val="single" w:sz="4" w:space="0" w:color="auto"/>
            </w:tcBorders>
            <w:vAlign w:val="center"/>
          </w:tcPr>
          <w:p w14:paraId="27DC14A2" w14:textId="3EE76B8B" w:rsidR="00586425" w:rsidRPr="00325AC7" w:rsidRDefault="0020668A" w:rsidP="00B40B87">
            <w:pPr>
              <w:pStyle w:val="TableText0"/>
            </w:pPr>
            <w:r w:rsidRPr="00325AC7">
              <w:rPr>
                <w:i/>
                <w:iCs/>
                <w:szCs w:val="20"/>
              </w:rPr>
              <w:t>Official Journal of the Royal College of Ophthalmologists</w:t>
            </w:r>
            <w:r w:rsidRPr="00325AC7">
              <w:rPr>
                <w:szCs w:val="20"/>
              </w:rPr>
              <w:t xml:space="preserve"> 2017</w:t>
            </w:r>
            <w:r w:rsidR="00AA4D4F" w:rsidRPr="00325AC7">
              <w:t xml:space="preserve"> 31(10):1409-1416E</w:t>
            </w:r>
          </w:p>
        </w:tc>
      </w:tr>
    </w:tbl>
    <w:p w14:paraId="0EF6983B" w14:textId="0B36130C" w:rsidR="00863074" w:rsidRPr="00325AC7" w:rsidRDefault="00863074" w:rsidP="00863074">
      <w:pPr>
        <w:pStyle w:val="TableFigureFooter"/>
      </w:pPr>
      <w:r w:rsidRPr="00325AC7">
        <w:t>Source: Table 2-4 of the submission</w:t>
      </w:r>
    </w:p>
    <w:p w14:paraId="0631AC35" w14:textId="5EFCE9CC" w:rsidR="00A0308F" w:rsidRPr="00325AC7" w:rsidRDefault="001240A7" w:rsidP="008F5B0E">
      <w:pPr>
        <w:pStyle w:val="3-BodyText"/>
      </w:pPr>
      <w:r w:rsidRPr="00325AC7">
        <w:t>The Labetoulle 2017 study</w:t>
      </w:r>
      <w:r w:rsidR="00EB5103" w:rsidRPr="00325AC7">
        <w:t xml:space="preserve"> compared </w:t>
      </w:r>
      <w:r w:rsidR="0018367D" w:rsidRPr="00325AC7">
        <w:t xml:space="preserve">CGH with </w:t>
      </w:r>
      <w:r w:rsidR="001B77BE" w:rsidRPr="00325AC7">
        <w:t>HS 0.18%</w:t>
      </w:r>
      <w:r w:rsidR="0018367D" w:rsidRPr="00325AC7">
        <w:t xml:space="preserve"> (Vismed</w:t>
      </w:r>
      <w:r w:rsidR="001B77BE" w:rsidRPr="00325AC7">
        <w:t>®</w:t>
      </w:r>
      <w:r w:rsidR="0018367D" w:rsidRPr="00325AC7">
        <w:t xml:space="preserve"> Multi)</w:t>
      </w:r>
      <w:r w:rsidR="001B77BE" w:rsidRPr="00325AC7">
        <w:t xml:space="preserve"> </w:t>
      </w:r>
      <w:r w:rsidR="00806CB5" w:rsidRPr="00325AC7">
        <w:t xml:space="preserve">to demonstrate the comparative efficacy. </w:t>
      </w:r>
      <w:r w:rsidR="00097AAF" w:rsidRPr="00325AC7">
        <w:t xml:space="preserve">Patients were instructed to </w:t>
      </w:r>
      <w:r w:rsidR="00224D71" w:rsidRPr="00325AC7">
        <w:t>instil</w:t>
      </w:r>
      <w:r w:rsidR="00097AAF" w:rsidRPr="00325AC7">
        <w:t xml:space="preserve"> 1-2 drops into each eye, 2-6 times a day for 3 months. </w:t>
      </w:r>
      <w:r w:rsidR="00806CB5" w:rsidRPr="00325AC7">
        <w:t>The primary outcome was change</w:t>
      </w:r>
      <w:r w:rsidR="0057433E" w:rsidRPr="00325AC7">
        <w:t xml:space="preserve"> in</w:t>
      </w:r>
      <w:r w:rsidR="00806CB5" w:rsidRPr="00325AC7">
        <w:t xml:space="preserve"> </w:t>
      </w:r>
      <w:r w:rsidR="0057433E" w:rsidRPr="00325AC7">
        <w:t xml:space="preserve">Global Ocular Staining Score (GOSS) </w:t>
      </w:r>
      <w:r w:rsidR="00806CB5" w:rsidRPr="00325AC7">
        <w:t xml:space="preserve">from baseline in the study eye at day 35, with </w:t>
      </w:r>
      <w:r w:rsidR="00BC5460" w:rsidRPr="00325AC7">
        <w:t xml:space="preserve">the </w:t>
      </w:r>
      <w:r w:rsidR="00806CB5" w:rsidRPr="00325AC7">
        <w:t>secondary outcome being change from baseline after 3 months.</w:t>
      </w:r>
    </w:p>
    <w:p w14:paraId="28574E40" w14:textId="77777777" w:rsidR="00EB5103" w:rsidRPr="00325AC7" w:rsidRDefault="00EB5103" w:rsidP="008F5B0E">
      <w:pPr>
        <w:pStyle w:val="3-BodyText"/>
      </w:pPr>
      <w:r w:rsidRPr="00325AC7">
        <w:t>The proposed PBS population is patients with severe dry eye syndrome. As the PBS criteria does not specify clinical criteria for the severity of ‘severe’ dry eye, patients in the trials were required to have symptoms of moderate to severe dry eye syndrome.</w:t>
      </w:r>
    </w:p>
    <w:p w14:paraId="4C049444" w14:textId="230DB791" w:rsidR="00EB5103" w:rsidRPr="00325AC7" w:rsidRDefault="00EB5103" w:rsidP="00863074">
      <w:pPr>
        <w:pStyle w:val="3-BodyText"/>
        <w:rPr>
          <w:color w:val="FF0000"/>
        </w:rPr>
      </w:pPr>
      <w:r w:rsidRPr="00325AC7">
        <w:t xml:space="preserve">The Labetoulle study used </w:t>
      </w:r>
      <w:r w:rsidR="00863074" w:rsidRPr="00325AC7">
        <w:t>HS 0.18%</w:t>
      </w:r>
      <w:r w:rsidRPr="00325AC7">
        <w:t xml:space="preserve"> as a proxy for the efficacy of the PBS listed formulations </w:t>
      </w:r>
      <w:r w:rsidR="00253C45" w:rsidRPr="00325AC7">
        <w:t>of HS</w:t>
      </w:r>
      <w:r w:rsidRPr="00325AC7">
        <w:t xml:space="preserve">. While </w:t>
      </w:r>
      <w:r w:rsidR="00253C45" w:rsidRPr="00325AC7">
        <w:t>HS</w:t>
      </w:r>
      <w:r w:rsidRPr="00325AC7">
        <w:t xml:space="preserve"> 0.1</w:t>
      </w:r>
      <w:r w:rsidR="00253C45" w:rsidRPr="00325AC7">
        <w:t>8</w:t>
      </w:r>
      <w:r w:rsidRPr="00325AC7">
        <w:t xml:space="preserve">% is not PBS listed, the PBAC </w:t>
      </w:r>
      <w:r w:rsidR="00C04CF0">
        <w:t>noted it had</w:t>
      </w:r>
      <w:r w:rsidR="00C04CF0" w:rsidRPr="00325AC7">
        <w:t xml:space="preserve"> </w:t>
      </w:r>
      <w:r w:rsidRPr="00325AC7">
        <w:t xml:space="preserve">previously accepted the approach of using non-PBS listed </w:t>
      </w:r>
      <w:r w:rsidR="00C04CF0">
        <w:t>ocular lubricants</w:t>
      </w:r>
      <w:r w:rsidRPr="00325AC7">
        <w:t xml:space="preserve"> as a proxy for PBS-listed </w:t>
      </w:r>
      <w:r w:rsidR="00C04CF0">
        <w:t>ocular lubricants</w:t>
      </w:r>
      <w:r w:rsidRPr="00325AC7">
        <w:t xml:space="preserve"> (</w:t>
      </w:r>
      <w:r w:rsidRPr="00325AC7">
        <w:rPr>
          <w:rFonts w:cstheme="minorHAnsi"/>
          <w:iCs/>
          <w:snapToGrid w:val="0"/>
          <w:lang w:eastAsia="en-US"/>
        </w:rPr>
        <w:t>paragraph 5.6, Cationorm PSD, July 2020 PBAC Meeting)</w:t>
      </w:r>
      <w:r w:rsidRPr="00325AC7">
        <w:t>.</w:t>
      </w:r>
    </w:p>
    <w:p w14:paraId="66B8DD60" w14:textId="77777777" w:rsidR="00EB5103" w:rsidRPr="00325AC7" w:rsidRDefault="00EB5103" w:rsidP="008F5B0E">
      <w:pPr>
        <w:pStyle w:val="3-BodyText"/>
      </w:pPr>
      <w:r w:rsidRPr="00325AC7">
        <w:rPr>
          <w:lang w:eastAsia="en-US"/>
        </w:rPr>
        <w:t>As a Category 3 submission, no evaluation of the clinical evidence was undertaken</w:t>
      </w:r>
      <w:r w:rsidRPr="00325AC7">
        <w:t>.</w:t>
      </w:r>
    </w:p>
    <w:p w14:paraId="5D11A28F" w14:textId="77777777" w:rsidR="00EB5103" w:rsidRPr="00325AC7" w:rsidRDefault="00EB5103" w:rsidP="00EB5103">
      <w:pPr>
        <w:pStyle w:val="4-SubsectionHeading"/>
        <w:rPr>
          <w:lang w:eastAsia="en-US"/>
        </w:rPr>
      </w:pPr>
      <w:r w:rsidRPr="00325AC7">
        <w:rPr>
          <w:lang w:eastAsia="en-US"/>
        </w:rPr>
        <w:t>Comparative effectiveness</w:t>
      </w:r>
    </w:p>
    <w:p w14:paraId="5CE1ADE5" w14:textId="71333F5F" w:rsidR="006C6650" w:rsidRPr="00325AC7" w:rsidRDefault="00AF022D" w:rsidP="008F5B0E">
      <w:pPr>
        <w:pStyle w:val="3-BodyText"/>
      </w:pPr>
      <w:r w:rsidRPr="00325AC7">
        <w:t>Non inferiority of CGH compared with HS 0.18% was tested in the per-protocol (PP) population (i.e., all randomised patients who received ≥ 1 dose of study treatment, had ≥1 follow-up visit, and no major protocol violations) as well as in the intent to treat (ITT) population. A two-sided 95% confidence interval (CI) of the treatment difference at day 35 was determined, based on a two-way analysis of covariance (ANCOVA) model with change from baseline as main effect, and site and baseline GOSS as covariates. If the upper limit was less than or equal to the prespecified</w:t>
      </w:r>
      <w:r w:rsidRPr="00374EB9">
        <w:t xml:space="preserve"> </w:t>
      </w:r>
      <w:r w:rsidRPr="00325AC7">
        <w:t>two</w:t>
      </w:r>
      <w:r w:rsidR="007D7C7E">
        <w:noBreakHyphen/>
      </w:r>
      <w:r w:rsidR="007D7C7E" w:rsidRPr="00325AC7">
        <w:t>grade</w:t>
      </w:r>
      <w:r w:rsidR="007D7C7E">
        <w:t xml:space="preserve"> </w:t>
      </w:r>
      <w:r w:rsidRPr="00325AC7">
        <w:t xml:space="preserve">margin, </w:t>
      </w:r>
      <w:r w:rsidR="00636691" w:rsidRPr="00325AC7">
        <w:t>CGH</w:t>
      </w:r>
      <w:r w:rsidRPr="00325AC7">
        <w:t xml:space="preserve"> was considered non-inferior to H</w:t>
      </w:r>
      <w:r w:rsidR="00636691" w:rsidRPr="00325AC7">
        <w:t>S</w:t>
      </w:r>
      <w:r w:rsidRPr="00325AC7">
        <w:t xml:space="preserve"> 0.18%</w:t>
      </w:r>
      <w:r w:rsidR="006C6650" w:rsidRPr="00325AC7">
        <w:t>.</w:t>
      </w:r>
      <w:r w:rsidR="00AD2D35" w:rsidRPr="00325AC7">
        <w:t xml:space="preserve"> The results of the study are presented in Table 2.</w:t>
      </w:r>
    </w:p>
    <w:p w14:paraId="5FCAA227" w14:textId="5B02E4DD" w:rsidR="00507811" w:rsidRPr="008F5B0E" w:rsidRDefault="00507811" w:rsidP="008F5B0E">
      <w:pPr>
        <w:pStyle w:val="TableFigureHeading"/>
      </w:pPr>
      <w:r w:rsidRPr="008F5B0E">
        <w:t xml:space="preserve">Table </w:t>
      </w:r>
      <w:r w:rsidR="002013AB">
        <w:fldChar w:fldCharType="begin" w:fldLock="1"/>
      </w:r>
      <w:r w:rsidR="002013AB">
        <w:instrText xml:space="preserve"> SEQ Table \* ARABIC </w:instrText>
      </w:r>
      <w:r w:rsidR="002013AB">
        <w:fldChar w:fldCharType="separate"/>
      </w:r>
      <w:r w:rsidR="000A071E">
        <w:rPr>
          <w:noProof/>
        </w:rPr>
        <w:t>2</w:t>
      </w:r>
      <w:r w:rsidR="002013AB">
        <w:rPr>
          <w:noProof/>
        </w:rPr>
        <w:fldChar w:fldCharType="end"/>
      </w:r>
      <w:r w:rsidRPr="008F5B0E">
        <w:t>: Change in GOSS from baseline in the study eye</w:t>
      </w:r>
    </w:p>
    <w:tbl>
      <w:tblPr>
        <w:tblStyle w:val="TableGrid"/>
        <w:tblW w:w="0" w:type="auto"/>
        <w:tblLook w:val="04A0" w:firstRow="1" w:lastRow="0" w:firstColumn="1" w:lastColumn="0" w:noHBand="0" w:noVBand="1"/>
        <w:tblCaption w:val="Table 2: Change in GOSS from baseline in the study eye"/>
        <w:tblDescription w:val="Table 2: Change in GOSS from baseline in the study eye"/>
      </w:tblPr>
      <w:tblGrid>
        <w:gridCol w:w="1528"/>
        <w:gridCol w:w="1510"/>
        <w:gridCol w:w="1491"/>
        <w:gridCol w:w="1483"/>
        <w:gridCol w:w="1531"/>
        <w:gridCol w:w="1473"/>
      </w:tblGrid>
      <w:tr w:rsidR="00636691" w:rsidRPr="00325AC7" w14:paraId="7D912A6D" w14:textId="77777777" w:rsidTr="008F5B0E">
        <w:tc>
          <w:tcPr>
            <w:tcW w:w="9016" w:type="dxa"/>
            <w:gridSpan w:val="6"/>
            <w:shd w:val="clear" w:color="auto" w:fill="auto"/>
            <w:vAlign w:val="center"/>
          </w:tcPr>
          <w:p w14:paraId="040CE3F0"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PP population</w:t>
            </w:r>
          </w:p>
        </w:tc>
      </w:tr>
      <w:tr w:rsidR="00636691" w:rsidRPr="00325AC7" w14:paraId="15CBB143" w14:textId="77777777" w:rsidTr="008F5B0E">
        <w:tc>
          <w:tcPr>
            <w:tcW w:w="1528" w:type="dxa"/>
            <w:shd w:val="clear" w:color="auto" w:fill="auto"/>
            <w:vAlign w:val="center"/>
          </w:tcPr>
          <w:p w14:paraId="4515994C"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Timepoint</w:t>
            </w:r>
          </w:p>
        </w:tc>
        <w:tc>
          <w:tcPr>
            <w:tcW w:w="1510" w:type="dxa"/>
            <w:shd w:val="clear" w:color="auto" w:fill="auto"/>
            <w:vAlign w:val="center"/>
          </w:tcPr>
          <w:p w14:paraId="68A6E2A1"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Measure</w:t>
            </w:r>
          </w:p>
        </w:tc>
        <w:tc>
          <w:tcPr>
            <w:tcW w:w="1491" w:type="dxa"/>
            <w:shd w:val="clear" w:color="auto" w:fill="auto"/>
            <w:vAlign w:val="center"/>
          </w:tcPr>
          <w:p w14:paraId="65513B83" w14:textId="091D828A" w:rsidR="00636691" w:rsidRPr="008F5B0E" w:rsidRDefault="00AD2D35" w:rsidP="00AD2D35">
            <w:pPr>
              <w:pStyle w:val="In-tableHeading"/>
              <w:rPr>
                <w:rFonts w:eastAsiaTheme="minorHAnsi"/>
                <w:lang w:val="en-AU" w:eastAsia="en-US"/>
              </w:rPr>
            </w:pPr>
            <w:r w:rsidRPr="008F5B0E">
              <w:rPr>
                <w:rFonts w:eastAsiaTheme="minorHAnsi"/>
                <w:lang w:val="en-AU" w:eastAsia="en-US"/>
              </w:rPr>
              <w:t>CGH</w:t>
            </w:r>
            <w:r w:rsidR="00636691" w:rsidRPr="008F5B0E">
              <w:rPr>
                <w:rFonts w:eastAsiaTheme="minorHAnsi"/>
                <w:lang w:val="en-AU" w:eastAsia="en-US"/>
              </w:rPr>
              <w:t xml:space="preserve"> (n=35)</w:t>
            </w:r>
          </w:p>
        </w:tc>
        <w:tc>
          <w:tcPr>
            <w:tcW w:w="1483" w:type="dxa"/>
            <w:shd w:val="clear" w:color="auto" w:fill="auto"/>
            <w:vAlign w:val="center"/>
          </w:tcPr>
          <w:p w14:paraId="7865088C" w14:textId="11681552" w:rsidR="00636691" w:rsidRPr="008F5B0E" w:rsidRDefault="00636691" w:rsidP="00AD2D35">
            <w:pPr>
              <w:pStyle w:val="In-tableHeading"/>
              <w:rPr>
                <w:rFonts w:eastAsiaTheme="minorHAnsi"/>
                <w:lang w:val="en-AU" w:eastAsia="en-US"/>
              </w:rPr>
            </w:pPr>
            <w:r w:rsidRPr="008F5B0E">
              <w:rPr>
                <w:rFonts w:eastAsiaTheme="minorHAnsi"/>
                <w:lang w:val="en-AU" w:eastAsia="en-US"/>
              </w:rPr>
              <w:t>H</w:t>
            </w:r>
            <w:r w:rsidR="00AD2D35" w:rsidRPr="008F5B0E">
              <w:rPr>
                <w:rFonts w:eastAsiaTheme="minorHAnsi"/>
                <w:lang w:val="en-AU" w:eastAsia="en-US"/>
              </w:rPr>
              <w:t>S</w:t>
            </w:r>
            <w:r w:rsidRPr="008F5B0E">
              <w:rPr>
                <w:rFonts w:eastAsiaTheme="minorHAnsi"/>
                <w:lang w:val="en-AU" w:eastAsia="en-US"/>
              </w:rPr>
              <w:t xml:space="preserve"> 0.18% (n=31)</w:t>
            </w:r>
          </w:p>
        </w:tc>
        <w:tc>
          <w:tcPr>
            <w:tcW w:w="1531" w:type="dxa"/>
            <w:shd w:val="clear" w:color="auto" w:fill="auto"/>
            <w:vAlign w:val="center"/>
          </w:tcPr>
          <w:p w14:paraId="5705DBA5"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Between-treatment Difference</w:t>
            </w:r>
          </w:p>
        </w:tc>
        <w:tc>
          <w:tcPr>
            <w:tcW w:w="1473" w:type="dxa"/>
            <w:shd w:val="clear" w:color="auto" w:fill="auto"/>
            <w:vAlign w:val="center"/>
          </w:tcPr>
          <w:p w14:paraId="16C81B4A"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P value</w:t>
            </w:r>
          </w:p>
        </w:tc>
      </w:tr>
      <w:tr w:rsidR="00636691" w:rsidRPr="00325AC7" w14:paraId="6A7FA06C" w14:textId="77777777" w:rsidTr="008F5B0E">
        <w:tc>
          <w:tcPr>
            <w:tcW w:w="1528" w:type="dxa"/>
            <w:vMerge w:val="restart"/>
            <w:shd w:val="clear" w:color="auto" w:fill="auto"/>
            <w:vAlign w:val="center"/>
          </w:tcPr>
          <w:p w14:paraId="425C26D7" w14:textId="77777777" w:rsidR="00636691" w:rsidRPr="00325AC7" w:rsidRDefault="00636691" w:rsidP="00636691">
            <w:pPr>
              <w:pStyle w:val="TableText0"/>
              <w:rPr>
                <w:rFonts w:eastAsiaTheme="minorHAnsi"/>
                <w:lang w:eastAsia="en-US"/>
              </w:rPr>
            </w:pPr>
            <w:r w:rsidRPr="00325AC7">
              <w:rPr>
                <w:rFonts w:eastAsiaTheme="minorHAnsi"/>
                <w:lang w:eastAsia="en-US"/>
              </w:rPr>
              <w:t>Day 35</w:t>
            </w:r>
          </w:p>
        </w:tc>
        <w:tc>
          <w:tcPr>
            <w:tcW w:w="1510" w:type="dxa"/>
            <w:shd w:val="clear" w:color="auto" w:fill="auto"/>
            <w:vAlign w:val="center"/>
          </w:tcPr>
          <w:p w14:paraId="644AD53A" w14:textId="77777777" w:rsidR="00636691" w:rsidRPr="00325AC7" w:rsidRDefault="00636691" w:rsidP="00636691">
            <w:pPr>
              <w:pStyle w:val="TableText0"/>
              <w:rPr>
                <w:rFonts w:eastAsiaTheme="minorHAnsi"/>
                <w:lang w:eastAsia="en-US"/>
              </w:rPr>
            </w:pPr>
            <w:r w:rsidRPr="00325AC7">
              <w:rPr>
                <w:rFonts w:eastAsiaTheme="minorHAnsi"/>
                <w:lang w:eastAsia="en-US"/>
              </w:rPr>
              <w:t>Mean (SD)</w:t>
            </w:r>
          </w:p>
        </w:tc>
        <w:tc>
          <w:tcPr>
            <w:tcW w:w="1491" w:type="dxa"/>
            <w:shd w:val="clear" w:color="auto" w:fill="auto"/>
          </w:tcPr>
          <w:p w14:paraId="25E30B15" w14:textId="77777777" w:rsidR="00636691" w:rsidRPr="00325AC7" w:rsidRDefault="00636691" w:rsidP="00636691">
            <w:pPr>
              <w:pStyle w:val="TableText0"/>
              <w:rPr>
                <w:rFonts w:eastAsiaTheme="minorHAnsi"/>
                <w:lang w:eastAsia="en-US"/>
              </w:rPr>
            </w:pPr>
            <w:r w:rsidRPr="00325AC7">
              <w:rPr>
                <w:rFonts w:eastAsiaTheme="minorHAnsi"/>
                <w:lang w:eastAsia="en-US"/>
              </w:rPr>
              <w:t>-1.5 (1.5)</w:t>
            </w:r>
          </w:p>
        </w:tc>
        <w:tc>
          <w:tcPr>
            <w:tcW w:w="1483" w:type="dxa"/>
            <w:shd w:val="clear" w:color="auto" w:fill="auto"/>
          </w:tcPr>
          <w:p w14:paraId="122CE585" w14:textId="77777777" w:rsidR="00636691" w:rsidRPr="00325AC7" w:rsidRDefault="00636691" w:rsidP="00636691">
            <w:pPr>
              <w:pStyle w:val="TableText0"/>
              <w:rPr>
                <w:rFonts w:eastAsiaTheme="minorHAnsi"/>
                <w:lang w:eastAsia="en-US"/>
              </w:rPr>
            </w:pPr>
            <w:r w:rsidRPr="00325AC7">
              <w:rPr>
                <w:rFonts w:eastAsiaTheme="minorHAnsi"/>
                <w:lang w:eastAsia="en-US"/>
              </w:rPr>
              <w:t>-1.6 (1.5)</w:t>
            </w:r>
          </w:p>
        </w:tc>
        <w:tc>
          <w:tcPr>
            <w:tcW w:w="1531" w:type="dxa"/>
            <w:shd w:val="clear" w:color="auto" w:fill="auto"/>
          </w:tcPr>
          <w:p w14:paraId="5F6DDE54" w14:textId="77777777" w:rsidR="00636691" w:rsidRPr="00325AC7" w:rsidRDefault="00636691" w:rsidP="00636691">
            <w:pPr>
              <w:pStyle w:val="TableText0"/>
              <w:rPr>
                <w:rFonts w:eastAsiaTheme="minorHAnsi"/>
                <w:lang w:eastAsia="en-US"/>
              </w:rPr>
            </w:pPr>
            <w:r w:rsidRPr="00325AC7">
              <w:rPr>
                <w:rFonts w:eastAsiaTheme="minorHAnsi"/>
                <w:lang w:eastAsia="en-US"/>
              </w:rPr>
              <w:t>0.1</w:t>
            </w:r>
          </w:p>
        </w:tc>
        <w:tc>
          <w:tcPr>
            <w:tcW w:w="1473" w:type="dxa"/>
            <w:shd w:val="clear" w:color="auto" w:fill="auto"/>
          </w:tcPr>
          <w:p w14:paraId="14F73381" w14:textId="77777777" w:rsidR="00636691" w:rsidRPr="00325AC7" w:rsidRDefault="00636691" w:rsidP="00636691">
            <w:pPr>
              <w:pStyle w:val="TableText0"/>
              <w:rPr>
                <w:rFonts w:eastAsiaTheme="minorHAnsi"/>
                <w:lang w:eastAsia="en-US"/>
              </w:rPr>
            </w:pPr>
            <w:r w:rsidRPr="00325AC7">
              <w:rPr>
                <w:rFonts w:eastAsiaTheme="minorHAnsi"/>
                <w:lang w:eastAsia="en-US"/>
              </w:rPr>
              <w:t>0.778</w:t>
            </w:r>
          </w:p>
        </w:tc>
      </w:tr>
      <w:tr w:rsidR="00636691" w:rsidRPr="00325AC7" w14:paraId="6818CB02" w14:textId="77777777" w:rsidTr="008F5B0E">
        <w:tc>
          <w:tcPr>
            <w:tcW w:w="1528" w:type="dxa"/>
            <w:vMerge/>
            <w:shd w:val="clear" w:color="auto" w:fill="auto"/>
            <w:vAlign w:val="center"/>
          </w:tcPr>
          <w:p w14:paraId="3D3A30CB" w14:textId="77777777" w:rsidR="00636691" w:rsidRPr="00325AC7" w:rsidRDefault="00636691" w:rsidP="00636691">
            <w:pPr>
              <w:pStyle w:val="TableText0"/>
              <w:rPr>
                <w:rFonts w:eastAsiaTheme="minorHAnsi"/>
                <w:lang w:eastAsia="en-US"/>
              </w:rPr>
            </w:pPr>
          </w:p>
        </w:tc>
        <w:tc>
          <w:tcPr>
            <w:tcW w:w="1510" w:type="dxa"/>
            <w:shd w:val="clear" w:color="auto" w:fill="auto"/>
            <w:vAlign w:val="center"/>
          </w:tcPr>
          <w:p w14:paraId="7C6EA240" w14:textId="77777777" w:rsidR="00636691" w:rsidRPr="00325AC7" w:rsidRDefault="00636691" w:rsidP="00636691">
            <w:pPr>
              <w:pStyle w:val="TableText0"/>
              <w:rPr>
                <w:rFonts w:eastAsiaTheme="minorHAnsi"/>
                <w:lang w:eastAsia="en-US"/>
              </w:rPr>
            </w:pPr>
            <w:r w:rsidRPr="00325AC7">
              <w:rPr>
                <w:rFonts w:eastAsiaTheme="minorHAnsi"/>
                <w:lang w:eastAsia="en-US"/>
              </w:rPr>
              <w:t>95% CI</w:t>
            </w:r>
          </w:p>
        </w:tc>
        <w:tc>
          <w:tcPr>
            <w:tcW w:w="1491" w:type="dxa"/>
            <w:shd w:val="clear" w:color="auto" w:fill="auto"/>
          </w:tcPr>
          <w:p w14:paraId="3B536E88" w14:textId="77777777" w:rsidR="00636691" w:rsidRPr="00325AC7" w:rsidRDefault="00636691" w:rsidP="00636691">
            <w:pPr>
              <w:pStyle w:val="TableText0"/>
              <w:rPr>
                <w:rFonts w:eastAsiaTheme="minorHAnsi"/>
                <w:lang w:eastAsia="en-US"/>
              </w:rPr>
            </w:pPr>
            <w:r w:rsidRPr="00325AC7">
              <w:rPr>
                <w:rFonts w:eastAsiaTheme="minorHAnsi"/>
                <w:lang w:eastAsia="en-US"/>
              </w:rPr>
              <w:t>-4.6 to 1.5</w:t>
            </w:r>
          </w:p>
        </w:tc>
        <w:tc>
          <w:tcPr>
            <w:tcW w:w="1483" w:type="dxa"/>
            <w:shd w:val="clear" w:color="auto" w:fill="auto"/>
          </w:tcPr>
          <w:p w14:paraId="0AC425DC" w14:textId="77777777" w:rsidR="00636691" w:rsidRPr="00325AC7" w:rsidRDefault="00636691" w:rsidP="00636691">
            <w:pPr>
              <w:pStyle w:val="TableText0"/>
              <w:rPr>
                <w:rFonts w:eastAsiaTheme="minorHAnsi"/>
                <w:lang w:eastAsia="en-US"/>
              </w:rPr>
            </w:pPr>
            <w:r w:rsidRPr="00325AC7">
              <w:rPr>
                <w:rFonts w:eastAsiaTheme="minorHAnsi"/>
                <w:lang w:eastAsia="en-US"/>
              </w:rPr>
              <w:t>-4.7 to 1.4</w:t>
            </w:r>
          </w:p>
        </w:tc>
        <w:tc>
          <w:tcPr>
            <w:tcW w:w="1531" w:type="dxa"/>
            <w:shd w:val="clear" w:color="auto" w:fill="auto"/>
          </w:tcPr>
          <w:p w14:paraId="21ED2338" w14:textId="77777777" w:rsidR="00636691" w:rsidRPr="00325AC7" w:rsidRDefault="00636691" w:rsidP="00636691">
            <w:pPr>
              <w:pStyle w:val="TableText0"/>
              <w:rPr>
                <w:rFonts w:eastAsiaTheme="minorHAnsi"/>
                <w:lang w:eastAsia="en-US"/>
              </w:rPr>
            </w:pPr>
            <w:r w:rsidRPr="00325AC7">
              <w:rPr>
                <w:rFonts w:eastAsiaTheme="minorHAnsi"/>
                <w:lang w:eastAsia="en-US"/>
              </w:rPr>
              <w:t>-0.5 to 0.7</w:t>
            </w:r>
          </w:p>
        </w:tc>
        <w:tc>
          <w:tcPr>
            <w:tcW w:w="1473" w:type="dxa"/>
            <w:shd w:val="clear" w:color="auto" w:fill="auto"/>
          </w:tcPr>
          <w:p w14:paraId="216CDAF6" w14:textId="77777777" w:rsidR="00636691" w:rsidRPr="00325AC7" w:rsidRDefault="00636691" w:rsidP="00636691">
            <w:pPr>
              <w:pStyle w:val="TableText0"/>
              <w:rPr>
                <w:rFonts w:eastAsiaTheme="minorHAnsi"/>
                <w:lang w:eastAsia="en-US"/>
              </w:rPr>
            </w:pPr>
          </w:p>
        </w:tc>
      </w:tr>
      <w:tr w:rsidR="00636691" w:rsidRPr="00325AC7" w14:paraId="01C8519E" w14:textId="77777777" w:rsidTr="008F5B0E">
        <w:tc>
          <w:tcPr>
            <w:tcW w:w="1528" w:type="dxa"/>
            <w:vMerge w:val="restart"/>
            <w:shd w:val="clear" w:color="auto" w:fill="auto"/>
            <w:vAlign w:val="center"/>
          </w:tcPr>
          <w:p w14:paraId="1A30FC0C" w14:textId="77777777" w:rsidR="00636691" w:rsidRPr="00325AC7" w:rsidRDefault="00636691" w:rsidP="00636691">
            <w:pPr>
              <w:pStyle w:val="TableText0"/>
              <w:rPr>
                <w:rFonts w:eastAsiaTheme="minorHAnsi"/>
                <w:lang w:eastAsia="en-US"/>
              </w:rPr>
            </w:pPr>
            <w:r w:rsidRPr="00325AC7">
              <w:rPr>
                <w:rFonts w:eastAsiaTheme="minorHAnsi"/>
                <w:lang w:eastAsia="en-US"/>
              </w:rPr>
              <w:t>Month 3</w:t>
            </w:r>
          </w:p>
        </w:tc>
        <w:tc>
          <w:tcPr>
            <w:tcW w:w="1510" w:type="dxa"/>
            <w:shd w:val="clear" w:color="auto" w:fill="auto"/>
            <w:vAlign w:val="center"/>
          </w:tcPr>
          <w:p w14:paraId="6442168C" w14:textId="77777777" w:rsidR="00636691" w:rsidRPr="00325AC7" w:rsidRDefault="00636691" w:rsidP="00636691">
            <w:pPr>
              <w:pStyle w:val="TableText0"/>
              <w:rPr>
                <w:rFonts w:eastAsiaTheme="minorHAnsi"/>
                <w:lang w:eastAsia="en-US"/>
              </w:rPr>
            </w:pPr>
            <w:r w:rsidRPr="00325AC7">
              <w:rPr>
                <w:rFonts w:eastAsiaTheme="minorHAnsi"/>
                <w:lang w:eastAsia="en-US"/>
              </w:rPr>
              <w:t>Mean (SD)</w:t>
            </w:r>
          </w:p>
        </w:tc>
        <w:tc>
          <w:tcPr>
            <w:tcW w:w="1491" w:type="dxa"/>
            <w:shd w:val="clear" w:color="auto" w:fill="auto"/>
          </w:tcPr>
          <w:p w14:paraId="5667EFEB" w14:textId="77777777" w:rsidR="00636691" w:rsidRPr="00325AC7" w:rsidRDefault="00636691" w:rsidP="00636691">
            <w:pPr>
              <w:pStyle w:val="TableText0"/>
              <w:rPr>
                <w:rFonts w:eastAsiaTheme="minorHAnsi"/>
                <w:lang w:eastAsia="en-US"/>
              </w:rPr>
            </w:pPr>
            <w:r w:rsidRPr="00325AC7">
              <w:rPr>
                <w:rFonts w:eastAsiaTheme="minorHAnsi"/>
                <w:lang w:eastAsia="en-US"/>
              </w:rPr>
              <w:t>-2.5 (2.2)</w:t>
            </w:r>
          </w:p>
        </w:tc>
        <w:tc>
          <w:tcPr>
            <w:tcW w:w="1483" w:type="dxa"/>
            <w:shd w:val="clear" w:color="auto" w:fill="auto"/>
          </w:tcPr>
          <w:p w14:paraId="6C6BFC42" w14:textId="77777777" w:rsidR="00636691" w:rsidRPr="00325AC7" w:rsidRDefault="00636691" w:rsidP="00636691">
            <w:pPr>
              <w:pStyle w:val="TableText0"/>
              <w:rPr>
                <w:rFonts w:eastAsiaTheme="minorHAnsi"/>
                <w:lang w:eastAsia="en-US"/>
              </w:rPr>
            </w:pPr>
            <w:r w:rsidRPr="00325AC7">
              <w:rPr>
                <w:rFonts w:eastAsiaTheme="minorHAnsi"/>
                <w:lang w:eastAsia="en-US"/>
              </w:rPr>
              <w:t>-2.4 (2.2)</w:t>
            </w:r>
          </w:p>
        </w:tc>
        <w:tc>
          <w:tcPr>
            <w:tcW w:w="1531" w:type="dxa"/>
            <w:shd w:val="clear" w:color="auto" w:fill="auto"/>
          </w:tcPr>
          <w:p w14:paraId="05B973C8" w14:textId="77777777" w:rsidR="00636691" w:rsidRPr="00325AC7" w:rsidRDefault="00636691" w:rsidP="00636691">
            <w:pPr>
              <w:pStyle w:val="TableText0"/>
              <w:rPr>
                <w:rFonts w:eastAsiaTheme="minorHAnsi"/>
                <w:lang w:eastAsia="en-US"/>
              </w:rPr>
            </w:pPr>
            <w:r w:rsidRPr="00325AC7">
              <w:rPr>
                <w:rFonts w:eastAsiaTheme="minorHAnsi"/>
                <w:lang w:eastAsia="en-US"/>
              </w:rPr>
              <w:t>-0.3</w:t>
            </w:r>
          </w:p>
        </w:tc>
        <w:tc>
          <w:tcPr>
            <w:tcW w:w="1473" w:type="dxa"/>
            <w:shd w:val="clear" w:color="auto" w:fill="auto"/>
          </w:tcPr>
          <w:p w14:paraId="369B6040" w14:textId="77777777" w:rsidR="00636691" w:rsidRPr="00325AC7" w:rsidRDefault="00636691" w:rsidP="00636691">
            <w:pPr>
              <w:pStyle w:val="TableText0"/>
              <w:rPr>
                <w:rFonts w:eastAsiaTheme="minorHAnsi"/>
                <w:lang w:eastAsia="en-US"/>
              </w:rPr>
            </w:pPr>
            <w:r w:rsidRPr="00325AC7">
              <w:rPr>
                <w:rFonts w:eastAsiaTheme="minorHAnsi"/>
                <w:lang w:eastAsia="en-US"/>
              </w:rPr>
              <w:t>0.480</w:t>
            </w:r>
          </w:p>
        </w:tc>
      </w:tr>
      <w:tr w:rsidR="00636691" w:rsidRPr="00325AC7" w14:paraId="11D5C568" w14:textId="77777777" w:rsidTr="008F5B0E">
        <w:tc>
          <w:tcPr>
            <w:tcW w:w="1528" w:type="dxa"/>
            <w:vMerge/>
            <w:shd w:val="clear" w:color="auto" w:fill="auto"/>
            <w:vAlign w:val="center"/>
          </w:tcPr>
          <w:p w14:paraId="7CEFD01E" w14:textId="77777777" w:rsidR="00636691" w:rsidRPr="00325AC7" w:rsidRDefault="00636691" w:rsidP="00636691">
            <w:pPr>
              <w:pStyle w:val="TableText0"/>
              <w:rPr>
                <w:rFonts w:eastAsiaTheme="minorHAnsi"/>
                <w:lang w:eastAsia="en-US"/>
              </w:rPr>
            </w:pPr>
          </w:p>
        </w:tc>
        <w:tc>
          <w:tcPr>
            <w:tcW w:w="1510" w:type="dxa"/>
            <w:shd w:val="clear" w:color="auto" w:fill="auto"/>
            <w:vAlign w:val="center"/>
          </w:tcPr>
          <w:p w14:paraId="1710182C" w14:textId="77777777" w:rsidR="00636691" w:rsidRPr="00325AC7" w:rsidRDefault="00636691" w:rsidP="00636691">
            <w:pPr>
              <w:pStyle w:val="TableText0"/>
              <w:rPr>
                <w:rFonts w:eastAsiaTheme="minorHAnsi"/>
                <w:lang w:eastAsia="en-US"/>
              </w:rPr>
            </w:pPr>
            <w:r w:rsidRPr="00325AC7">
              <w:rPr>
                <w:rFonts w:eastAsiaTheme="minorHAnsi"/>
                <w:lang w:eastAsia="en-US"/>
              </w:rPr>
              <w:t>95% CI</w:t>
            </w:r>
          </w:p>
        </w:tc>
        <w:tc>
          <w:tcPr>
            <w:tcW w:w="1491" w:type="dxa"/>
            <w:shd w:val="clear" w:color="auto" w:fill="auto"/>
          </w:tcPr>
          <w:p w14:paraId="5F7C118C" w14:textId="77777777" w:rsidR="00636691" w:rsidRPr="00325AC7" w:rsidRDefault="00636691" w:rsidP="00636691">
            <w:pPr>
              <w:pStyle w:val="TableText0"/>
              <w:rPr>
                <w:rFonts w:eastAsiaTheme="minorHAnsi"/>
                <w:lang w:eastAsia="en-US"/>
              </w:rPr>
            </w:pPr>
            <w:r w:rsidRPr="00325AC7">
              <w:rPr>
                <w:rFonts w:eastAsiaTheme="minorHAnsi"/>
                <w:lang w:eastAsia="en-US"/>
              </w:rPr>
              <w:t>-6.9 to 1.8</w:t>
            </w:r>
          </w:p>
        </w:tc>
        <w:tc>
          <w:tcPr>
            <w:tcW w:w="1483" w:type="dxa"/>
            <w:shd w:val="clear" w:color="auto" w:fill="auto"/>
          </w:tcPr>
          <w:p w14:paraId="35B9FF3A" w14:textId="77777777" w:rsidR="00636691" w:rsidRPr="00325AC7" w:rsidRDefault="00636691" w:rsidP="00636691">
            <w:pPr>
              <w:pStyle w:val="TableText0"/>
              <w:rPr>
                <w:rFonts w:eastAsiaTheme="minorHAnsi"/>
                <w:lang w:eastAsia="en-US"/>
              </w:rPr>
            </w:pPr>
            <w:r w:rsidRPr="00325AC7">
              <w:rPr>
                <w:rFonts w:eastAsiaTheme="minorHAnsi"/>
                <w:lang w:eastAsia="en-US"/>
              </w:rPr>
              <w:t>-6.8 (2.0)</w:t>
            </w:r>
          </w:p>
        </w:tc>
        <w:tc>
          <w:tcPr>
            <w:tcW w:w="1531" w:type="dxa"/>
            <w:shd w:val="clear" w:color="auto" w:fill="auto"/>
          </w:tcPr>
          <w:p w14:paraId="3B8125F8" w14:textId="77777777" w:rsidR="00636691" w:rsidRPr="00325AC7" w:rsidRDefault="00636691" w:rsidP="00636691">
            <w:pPr>
              <w:pStyle w:val="TableText0"/>
              <w:rPr>
                <w:rFonts w:eastAsiaTheme="minorHAnsi"/>
                <w:lang w:eastAsia="en-US"/>
              </w:rPr>
            </w:pPr>
            <w:r w:rsidRPr="00325AC7">
              <w:rPr>
                <w:rFonts w:eastAsiaTheme="minorHAnsi"/>
                <w:lang w:eastAsia="en-US"/>
              </w:rPr>
              <w:t>-1.1 to 0.5</w:t>
            </w:r>
          </w:p>
        </w:tc>
        <w:tc>
          <w:tcPr>
            <w:tcW w:w="1473" w:type="dxa"/>
            <w:shd w:val="clear" w:color="auto" w:fill="auto"/>
          </w:tcPr>
          <w:p w14:paraId="649A6306" w14:textId="77777777" w:rsidR="00636691" w:rsidRPr="00325AC7" w:rsidRDefault="00636691" w:rsidP="00636691">
            <w:pPr>
              <w:pStyle w:val="TableText0"/>
              <w:rPr>
                <w:rFonts w:eastAsiaTheme="minorHAnsi"/>
                <w:lang w:eastAsia="en-US"/>
              </w:rPr>
            </w:pPr>
          </w:p>
        </w:tc>
      </w:tr>
      <w:tr w:rsidR="00636691" w:rsidRPr="00325AC7" w14:paraId="794A5BCE" w14:textId="77777777" w:rsidTr="008F5B0E">
        <w:tc>
          <w:tcPr>
            <w:tcW w:w="9016" w:type="dxa"/>
            <w:gridSpan w:val="6"/>
            <w:shd w:val="clear" w:color="auto" w:fill="auto"/>
            <w:vAlign w:val="center"/>
          </w:tcPr>
          <w:p w14:paraId="5102F3A8"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ITT population</w:t>
            </w:r>
          </w:p>
        </w:tc>
      </w:tr>
      <w:tr w:rsidR="00636691" w:rsidRPr="00325AC7" w14:paraId="1FC37068" w14:textId="77777777" w:rsidTr="008F5B0E">
        <w:tc>
          <w:tcPr>
            <w:tcW w:w="1528" w:type="dxa"/>
            <w:shd w:val="clear" w:color="auto" w:fill="auto"/>
            <w:vAlign w:val="center"/>
          </w:tcPr>
          <w:p w14:paraId="34B0DDA1"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Timepoint</w:t>
            </w:r>
          </w:p>
        </w:tc>
        <w:tc>
          <w:tcPr>
            <w:tcW w:w="1510" w:type="dxa"/>
            <w:shd w:val="clear" w:color="auto" w:fill="auto"/>
            <w:vAlign w:val="center"/>
          </w:tcPr>
          <w:p w14:paraId="003343A2"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Measure</w:t>
            </w:r>
          </w:p>
        </w:tc>
        <w:tc>
          <w:tcPr>
            <w:tcW w:w="1491" w:type="dxa"/>
            <w:shd w:val="clear" w:color="auto" w:fill="auto"/>
            <w:vAlign w:val="center"/>
          </w:tcPr>
          <w:p w14:paraId="49B63EAB"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Optive Fusion (n=40)</w:t>
            </w:r>
          </w:p>
        </w:tc>
        <w:tc>
          <w:tcPr>
            <w:tcW w:w="1483" w:type="dxa"/>
            <w:shd w:val="clear" w:color="auto" w:fill="auto"/>
            <w:vAlign w:val="center"/>
          </w:tcPr>
          <w:p w14:paraId="6F8F1563"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HA 0.18% (n=39)</w:t>
            </w:r>
          </w:p>
        </w:tc>
        <w:tc>
          <w:tcPr>
            <w:tcW w:w="1531" w:type="dxa"/>
            <w:shd w:val="clear" w:color="auto" w:fill="auto"/>
            <w:vAlign w:val="center"/>
          </w:tcPr>
          <w:p w14:paraId="5F347B70"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Between-treatment Difference</w:t>
            </w:r>
          </w:p>
        </w:tc>
        <w:tc>
          <w:tcPr>
            <w:tcW w:w="1473" w:type="dxa"/>
            <w:shd w:val="clear" w:color="auto" w:fill="auto"/>
            <w:vAlign w:val="center"/>
          </w:tcPr>
          <w:p w14:paraId="7B7056EB" w14:textId="77777777" w:rsidR="00636691" w:rsidRPr="008F5B0E" w:rsidRDefault="00636691" w:rsidP="00AD2D35">
            <w:pPr>
              <w:pStyle w:val="In-tableHeading"/>
              <w:rPr>
                <w:rFonts w:eastAsiaTheme="minorHAnsi"/>
                <w:lang w:val="en-AU" w:eastAsia="en-US"/>
              </w:rPr>
            </w:pPr>
            <w:r w:rsidRPr="008F5B0E">
              <w:rPr>
                <w:rFonts w:eastAsiaTheme="minorHAnsi"/>
                <w:lang w:val="en-AU" w:eastAsia="en-US"/>
              </w:rPr>
              <w:t>P value</w:t>
            </w:r>
          </w:p>
        </w:tc>
      </w:tr>
      <w:tr w:rsidR="00636691" w:rsidRPr="00325AC7" w14:paraId="4743CE2C" w14:textId="77777777" w:rsidTr="008F5B0E">
        <w:tc>
          <w:tcPr>
            <w:tcW w:w="1528" w:type="dxa"/>
            <w:vMerge w:val="restart"/>
            <w:shd w:val="clear" w:color="auto" w:fill="auto"/>
            <w:vAlign w:val="center"/>
          </w:tcPr>
          <w:p w14:paraId="27BC0326" w14:textId="77777777" w:rsidR="00636691" w:rsidRPr="00325AC7" w:rsidRDefault="00636691" w:rsidP="00636691">
            <w:pPr>
              <w:pStyle w:val="TableText0"/>
              <w:rPr>
                <w:rFonts w:eastAsiaTheme="minorHAnsi"/>
                <w:lang w:eastAsia="en-US"/>
              </w:rPr>
            </w:pPr>
            <w:r w:rsidRPr="00325AC7">
              <w:rPr>
                <w:rFonts w:eastAsiaTheme="minorHAnsi"/>
                <w:lang w:eastAsia="en-US"/>
              </w:rPr>
              <w:t>Day 35</w:t>
            </w:r>
          </w:p>
        </w:tc>
        <w:tc>
          <w:tcPr>
            <w:tcW w:w="1510" w:type="dxa"/>
            <w:shd w:val="clear" w:color="auto" w:fill="auto"/>
            <w:vAlign w:val="center"/>
          </w:tcPr>
          <w:p w14:paraId="72D19993" w14:textId="77777777" w:rsidR="00636691" w:rsidRPr="00325AC7" w:rsidRDefault="00636691" w:rsidP="00636691">
            <w:pPr>
              <w:pStyle w:val="TableText0"/>
              <w:rPr>
                <w:rFonts w:eastAsiaTheme="minorHAnsi"/>
                <w:lang w:eastAsia="en-US"/>
              </w:rPr>
            </w:pPr>
            <w:r w:rsidRPr="00325AC7">
              <w:rPr>
                <w:rFonts w:eastAsiaTheme="minorHAnsi"/>
                <w:lang w:eastAsia="en-US"/>
              </w:rPr>
              <w:t>Mean (SD)</w:t>
            </w:r>
          </w:p>
        </w:tc>
        <w:tc>
          <w:tcPr>
            <w:tcW w:w="1491" w:type="dxa"/>
            <w:shd w:val="clear" w:color="auto" w:fill="auto"/>
          </w:tcPr>
          <w:p w14:paraId="6DFD9542" w14:textId="77777777" w:rsidR="00636691" w:rsidRPr="00325AC7" w:rsidRDefault="00636691" w:rsidP="00636691">
            <w:pPr>
              <w:pStyle w:val="TableText0"/>
              <w:rPr>
                <w:rFonts w:eastAsiaTheme="minorHAnsi"/>
                <w:lang w:eastAsia="en-US"/>
              </w:rPr>
            </w:pPr>
            <w:r w:rsidRPr="00325AC7">
              <w:rPr>
                <w:rFonts w:eastAsiaTheme="minorHAnsi"/>
                <w:lang w:eastAsia="en-US"/>
              </w:rPr>
              <w:t>-1.3 (1.7)</w:t>
            </w:r>
          </w:p>
        </w:tc>
        <w:tc>
          <w:tcPr>
            <w:tcW w:w="1483" w:type="dxa"/>
            <w:shd w:val="clear" w:color="auto" w:fill="auto"/>
          </w:tcPr>
          <w:p w14:paraId="345404BB" w14:textId="77777777" w:rsidR="00636691" w:rsidRPr="00325AC7" w:rsidRDefault="00636691" w:rsidP="00636691">
            <w:pPr>
              <w:pStyle w:val="TableText0"/>
              <w:rPr>
                <w:rFonts w:eastAsiaTheme="minorHAnsi"/>
                <w:lang w:eastAsia="en-US"/>
              </w:rPr>
            </w:pPr>
            <w:r w:rsidRPr="00325AC7">
              <w:rPr>
                <w:rFonts w:eastAsiaTheme="minorHAnsi"/>
                <w:lang w:eastAsia="en-US"/>
              </w:rPr>
              <w:t>-1.6 (1.7)</w:t>
            </w:r>
          </w:p>
        </w:tc>
        <w:tc>
          <w:tcPr>
            <w:tcW w:w="1531" w:type="dxa"/>
            <w:shd w:val="clear" w:color="auto" w:fill="auto"/>
          </w:tcPr>
          <w:p w14:paraId="1646483D" w14:textId="77777777" w:rsidR="00636691" w:rsidRPr="00325AC7" w:rsidRDefault="00636691" w:rsidP="00636691">
            <w:pPr>
              <w:pStyle w:val="TableText0"/>
              <w:rPr>
                <w:rFonts w:eastAsiaTheme="minorHAnsi"/>
                <w:lang w:eastAsia="en-US"/>
              </w:rPr>
            </w:pPr>
            <w:r w:rsidRPr="00325AC7">
              <w:rPr>
                <w:rFonts w:eastAsiaTheme="minorHAnsi"/>
                <w:lang w:eastAsia="en-US"/>
              </w:rPr>
              <w:t>0.3</w:t>
            </w:r>
          </w:p>
        </w:tc>
        <w:tc>
          <w:tcPr>
            <w:tcW w:w="1473" w:type="dxa"/>
            <w:shd w:val="clear" w:color="auto" w:fill="auto"/>
          </w:tcPr>
          <w:p w14:paraId="214DF885" w14:textId="77777777" w:rsidR="00636691" w:rsidRPr="00325AC7" w:rsidRDefault="00636691" w:rsidP="00636691">
            <w:pPr>
              <w:pStyle w:val="TableText0"/>
              <w:rPr>
                <w:rFonts w:eastAsiaTheme="minorHAnsi"/>
                <w:lang w:eastAsia="en-US"/>
              </w:rPr>
            </w:pPr>
            <w:r w:rsidRPr="00325AC7">
              <w:rPr>
                <w:rFonts w:eastAsiaTheme="minorHAnsi"/>
                <w:lang w:eastAsia="en-US"/>
              </w:rPr>
              <w:t>0.300</w:t>
            </w:r>
          </w:p>
        </w:tc>
      </w:tr>
      <w:tr w:rsidR="00636691" w:rsidRPr="00325AC7" w14:paraId="41FBCB24" w14:textId="77777777" w:rsidTr="008F5B0E">
        <w:tc>
          <w:tcPr>
            <w:tcW w:w="1528" w:type="dxa"/>
            <w:vMerge/>
            <w:shd w:val="clear" w:color="auto" w:fill="auto"/>
            <w:vAlign w:val="center"/>
          </w:tcPr>
          <w:p w14:paraId="0F494F3F" w14:textId="77777777" w:rsidR="00636691" w:rsidRPr="00325AC7" w:rsidRDefault="00636691" w:rsidP="00636691">
            <w:pPr>
              <w:pStyle w:val="TableText0"/>
              <w:rPr>
                <w:rFonts w:eastAsiaTheme="minorHAnsi"/>
                <w:lang w:eastAsia="en-US"/>
              </w:rPr>
            </w:pPr>
          </w:p>
        </w:tc>
        <w:tc>
          <w:tcPr>
            <w:tcW w:w="1510" w:type="dxa"/>
            <w:shd w:val="clear" w:color="auto" w:fill="auto"/>
            <w:vAlign w:val="center"/>
          </w:tcPr>
          <w:p w14:paraId="0A71CE86" w14:textId="77777777" w:rsidR="00636691" w:rsidRPr="00325AC7" w:rsidRDefault="00636691" w:rsidP="00636691">
            <w:pPr>
              <w:pStyle w:val="TableText0"/>
              <w:rPr>
                <w:rFonts w:eastAsiaTheme="minorHAnsi"/>
                <w:lang w:eastAsia="en-US"/>
              </w:rPr>
            </w:pPr>
            <w:r w:rsidRPr="00325AC7">
              <w:rPr>
                <w:rFonts w:eastAsiaTheme="minorHAnsi"/>
                <w:lang w:eastAsia="en-US"/>
              </w:rPr>
              <w:t>95% CI</w:t>
            </w:r>
          </w:p>
        </w:tc>
        <w:tc>
          <w:tcPr>
            <w:tcW w:w="1491" w:type="dxa"/>
            <w:shd w:val="clear" w:color="auto" w:fill="auto"/>
          </w:tcPr>
          <w:p w14:paraId="4B0CABB8" w14:textId="77777777" w:rsidR="00636691" w:rsidRPr="00325AC7" w:rsidRDefault="00636691" w:rsidP="00636691">
            <w:pPr>
              <w:pStyle w:val="TableText0"/>
              <w:rPr>
                <w:rFonts w:eastAsiaTheme="minorHAnsi"/>
                <w:lang w:eastAsia="en-US"/>
              </w:rPr>
            </w:pPr>
            <w:r w:rsidRPr="00325AC7">
              <w:rPr>
                <w:rFonts w:eastAsiaTheme="minorHAnsi"/>
                <w:lang w:eastAsia="en-US"/>
              </w:rPr>
              <w:t>-4.7 to 2.1</w:t>
            </w:r>
          </w:p>
        </w:tc>
        <w:tc>
          <w:tcPr>
            <w:tcW w:w="1483" w:type="dxa"/>
            <w:shd w:val="clear" w:color="auto" w:fill="auto"/>
          </w:tcPr>
          <w:p w14:paraId="40247ECC" w14:textId="77777777" w:rsidR="00636691" w:rsidRPr="00325AC7" w:rsidRDefault="00636691" w:rsidP="00636691">
            <w:pPr>
              <w:pStyle w:val="TableText0"/>
              <w:rPr>
                <w:rFonts w:eastAsiaTheme="minorHAnsi"/>
                <w:lang w:eastAsia="en-US"/>
              </w:rPr>
            </w:pPr>
            <w:r w:rsidRPr="00325AC7">
              <w:rPr>
                <w:rFonts w:eastAsiaTheme="minorHAnsi"/>
                <w:lang w:eastAsia="en-US"/>
              </w:rPr>
              <w:t>-4.8 to 1.7</w:t>
            </w:r>
          </w:p>
        </w:tc>
        <w:tc>
          <w:tcPr>
            <w:tcW w:w="1531" w:type="dxa"/>
            <w:shd w:val="clear" w:color="auto" w:fill="auto"/>
          </w:tcPr>
          <w:p w14:paraId="5321207D" w14:textId="77777777" w:rsidR="00636691" w:rsidRPr="00325AC7" w:rsidRDefault="00636691" w:rsidP="00636691">
            <w:pPr>
              <w:pStyle w:val="TableText0"/>
              <w:rPr>
                <w:rFonts w:eastAsiaTheme="minorHAnsi"/>
                <w:lang w:eastAsia="en-US"/>
              </w:rPr>
            </w:pPr>
            <w:r w:rsidRPr="00325AC7">
              <w:rPr>
                <w:rFonts w:eastAsiaTheme="minorHAnsi"/>
                <w:lang w:eastAsia="en-US"/>
              </w:rPr>
              <w:t>-0.3 to 0.8</w:t>
            </w:r>
          </w:p>
        </w:tc>
        <w:tc>
          <w:tcPr>
            <w:tcW w:w="1473" w:type="dxa"/>
            <w:shd w:val="clear" w:color="auto" w:fill="auto"/>
          </w:tcPr>
          <w:p w14:paraId="38E84715" w14:textId="77777777" w:rsidR="00636691" w:rsidRPr="00325AC7" w:rsidRDefault="00636691" w:rsidP="00636691">
            <w:pPr>
              <w:pStyle w:val="TableText0"/>
              <w:rPr>
                <w:rFonts w:eastAsiaTheme="minorHAnsi"/>
                <w:lang w:eastAsia="en-US"/>
              </w:rPr>
            </w:pPr>
          </w:p>
        </w:tc>
      </w:tr>
      <w:tr w:rsidR="00636691" w:rsidRPr="00325AC7" w14:paraId="786E6813" w14:textId="77777777" w:rsidTr="008F5B0E">
        <w:tc>
          <w:tcPr>
            <w:tcW w:w="1528" w:type="dxa"/>
            <w:vMerge w:val="restart"/>
            <w:shd w:val="clear" w:color="auto" w:fill="auto"/>
            <w:vAlign w:val="center"/>
          </w:tcPr>
          <w:p w14:paraId="73AD0E19" w14:textId="77777777" w:rsidR="00636691" w:rsidRPr="00325AC7" w:rsidRDefault="00636691" w:rsidP="00636691">
            <w:pPr>
              <w:pStyle w:val="TableText0"/>
              <w:rPr>
                <w:rFonts w:eastAsiaTheme="minorHAnsi"/>
                <w:lang w:eastAsia="en-US"/>
              </w:rPr>
            </w:pPr>
            <w:r w:rsidRPr="00325AC7">
              <w:rPr>
                <w:rFonts w:eastAsiaTheme="minorHAnsi"/>
                <w:lang w:eastAsia="en-US"/>
              </w:rPr>
              <w:t>Month 3</w:t>
            </w:r>
          </w:p>
        </w:tc>
        <w:tc>
          <w:tcPr>
            <w:tcW w:w="1510" w:type="dxa"/>
            <w:shd w:val="clear" w:color="auto" w:fill="auto"/>
            <w:vAlign w:val="center"/>
          </w:tcPr>
          <w:p w14:paraId="5102D61C" w14:textId="77777777" w:rsidR="00636691" w:rsidRPr="00325AC7" w:rsidRDefault="00636691" w:rsidP="00636691">
            <w:pPr>
              <w:pStyle w:val="TableText0"/>
              <w:rPr>
                <w:rFonts w:eastAsiaTheme="minorHAnsi"/>
                <w:lang w:eastAsia="en-US"/>
              </w:rPr>
            </w:pPr>
            <w:r w:rsidRPr="00325AC7">
              <w:rPr>
                <w:rFonts w:eastAsiaTheme="minorHAnsi"/>
                <w:lang w:eastAsia="en-US"/>
              </w:rPr>
              <w:t>Mean (SD)</w:t>
            </w:r>
          </w:p>
        </w:tc>
        <w:tc>
          <w:tcPr>
            <w:tcW w:w="1491" w:type="dxa"/>
            <w:shd w:val="clear" w:color="auto" w:fill="auto"/>
          </w:tcPr>
          <w:p w14:paraId="74DCC1EA" w14:textId="77777777" w:rsidR="00636691" w:rsidRPr="00325AC7" w:rsidRDefault="00636691" w:rsidP="00636691">
            <w:pPr>
              <w:pStyle w:val="TableText0"/>
              <w:rPr>
                <w:rFonts w:eastAsiaTheme="minorHAnsi"/>
                <w:lang w:eastAsia="en-US"/>
              </w:rPr>
            </w:pPr>
            <w:r w:rsidRPr="00325AC7">
              <w:rPr>
                <w:rFonts w:eastAsiaTheme="minorHAnsi"/>
                <w:lang w:eastAsia="en-US"/>
              </w:rPr>
              <w:t>-2.3 (2.4)</w:t>
            </w:r>
          </w:p>
        </w:tc>
        <w:tc>
          <w:tcPr>
            <w:tcW w:w="1483" w:type="dxa"/>
            <w:shd w:val="clear" w:color="auto" w:fill="auto"/>
          </w:tcPr>
          <w:p w14:paraId="540834BA" w14:textId="77777777" w:rsidR="00636691" w:rsidRPr="00325AC7" w:rsidRDefault="00636691" w:rsidP="00636691">
            <w:pPr>
              <w:pStyle w:val="TableText0"/>
              <w:rPr>
                <w:rFonts w:eastAsiaTheme="minorHAnsi"/>
                <w:lang w:eastAsia="en-US"/>
              </w:rPr>
            </w:pPr>
            <w:r w:rsidRPr="00325AC7">
              <w:rPr>
                <w:rFonts w:eastAsiaTheme="minorHAnsi"/>
                <w:lang w:eastAsia="en-US"/>
              </w:rPr>
              <w:t>-2.3 (2.2)</w:t>
            </w:r>
          </w:p>
        </w:tc>
        <w:tc>
          <w:tcPr>
            <w:tcW w:w="1531" w:type="dxa"/>
            <w:shd w:val="clear" w:color="auto" w:fill="auto"/>
          </w:tcPr>
          <w:p w14:paraId="59DBB430" w14:textId="77777777" w:rsidR="00636691" w:rsidRPr="00325AC7" w:rsidRDefault="00636691" w:rsidP="00636691">
            <w:pPr>
              <w:pStyle w:val="TableText0"/>
              <w:rPr>
                <w:rFonts w:eastAsiaTheme="minorHAnsi"/>
                <w:lang w:eastAsia="en-US"/>
              </w:rPr>
            </w:pPr>
            <w:r w:rsidRPr="00325AC7">
              <w:rPr>
                <w:rFonts w:eastAsiaTheme="minorHAnsi"/>
                <w:lang w:eastAsia="en-US"/>
              </w:rPr>
              <w:t>0.1</w:t>
            </w:r>
          </w:p>
        </w:tc>
        <w:tc>
          <w:tcPr>
            <w:tcW w:w="1473" w:type="dxa"/>
            <w:shd w:val="clear" w:color="auto" w:fill="auto"/>
          </w:tcPr>
          <w:p w14:paraId="5C9C6F80" w14:textId="77777777" w:rsidR="00636691" w:rsidRPr="00325AC7" w:rsidRDefault="00636691" w:rsidP="00636691">
            <w:pPr>
              <w:pStyle w:val="TableText0"/>
              <w:rPr>
                <w:rFonts w:eastAsiaTheme="minorHAnsi"/>
                <w:lang w:eastAsia="en-US"/>
              </w:rPr>
            </w:pPr>
            <w:r w:rsidRPr="00325AC7">
              <w:rPr>
                <w:rFonts w:eastAsiaTheme="minorHAnsi"/>
                <w:lang w:eastAsia="en-US"/>
              </w:rPr>
              <w:t>0.780</w:t>
            </w:r>
          </w:p>
        </w:tc>
      </w:tr>
      <w:tr w:rsidR="00636691" w:rsidRPr="00325AC7" w14:paraId="30F843A3" w14:textId="77777777" w:rsidTr="008F5B0E">
        <w:tc>
          <w:tcPr>
            <w:tcW w:w="1528" w:type="dxa"/>
            <w:vMerge/>
            <w:shd w:val="clear" w:color="auto" w:fill="auto"/>
            <w:vAlign w:val="center"/>
          </w:tcPr>
          <w:p w14:paraId="3E9B944B" w14:textId="77777777" w:rsidR="00636691" w:rsidRPr="00325AC7" w:rsidRDefault="00636691" w:rsidP="00636691">
            <w:pPr>
              <w:pStyle w:val="TableText0"/>
              <w:rPr>
                <w:rFonts w:eastAsiaTheme="minorHAnsi"/>
                <w:lang w:eastAsia="en-US"/>
              </w:rPr>
            </w:pPr>
          </w:p>
        </w:tc>
        <w:tc>
          <w:tcPr>
            <w:tcW w:w="1510" w:type="dxa"/>
            <w:shd w:val="clear" w:color="auto" w:fill="auto"/>
            <w:vAlign w:val="center"/>
          </w:tcPr>
          <w:p w14:paraId="7194D098" w14:textId="77777777" w:rsidR="00636691" w:rsidRPr="00325AC7" w:rsidRDefault="00636691" w:rsidP="00636691">
            <w:pPr>
              <w:pStyle w:val="TableText0"/>
              <w:rPr>
                <w:rFonts w:eastAsiaTheme="minorHAnsi"/>
                <w:lang w:eastAsia="en-US"/>
              </w:rPr>
            </w:pPr>
            <w:r w:rsidRPr="00325AC7">
              <w:rPr>
                <w:rFonts w:eastAsiaTheme="minorHAnsi"/>
                <w:lang w:eastAsia="en-US"/>
              </w:rPr>
              <w:t>95% CI</w:t>
            </w:r>
          </w:p>
        </w:tc>
        <w:tc>
          <w:tcPr>
            <w:tcW w:w="1491" w:type="dxa"/>
            <w:shd w:val="clear" w:color="auto" w:fill="auto"/>
          </w:tcPr>
          <w:p w14:paraId="75133EC4" w14:textId="77777777" w:rsidR="00636691" w:rsidRPr="00325AC7" w:rsidRDefault="00636691" w:rsidP="00636691">
            <w:pPr>
              <w:pStyle w:val="TableText0"/>
              <w:rPr>
                <w:rFonts w:eastAsiaTheme="minorHAnsi"/>
                <w:lang w:eastAsia="en-US"/>
              </w:rPr>
            </w:pPr>
            <w:r w:rsidRPr="00325AC7">
              <w:rPr>
                <w:rFonts w:eastAsiaTheme="minorHAnsi"/>
                <w:lang w:eastAsia="en-US"/>
              </w:rPr>
              <w:t>-7.0 to 2.5</w:t>
            </w:r>
          </w:p>
        </w:tc>
        <w:tc>
          <w:tcPr>
            <w:tcW w:w="1483" w:type="dxa"/>
            <w:shd w:val="clear" w:color="auto" w:fill="auto"/>
          </w:tcPr>
          <w:p w14:paraId="7E5BE69A" w14:textId="77777777" w:rsidR="00636691" w:rsidRPr="00325AC7" w:rsidRDefault="00636691" w:rsidP="00636691">
            <w:pPr>
              <w:pStyle w:val="TableText0"/>
              <w:rPr>
                <w:rFonts w:eastAsiaTheme="minorHAnsi"/>
                <w:lang w:eastAsia="en-US"/>
              </w:rPr>
            </w:pPr>
            <w:r w:rsidRPr="00325AC7">
              <w:rPr>
                <w:rFonts w:eastAsiaTheme="minorHAnsi"/>
                <w:lang w:eastAsia="en-US"/>
              </w:rPr>
              <w:t>-6.7 to 2.0</w:t>
            </w:r>
          </w:p>
        </w:tc>
        <w:tc>
          <w:tcPr>
            <w:tcW w:w="1531" w:type="dxa"/>
            <w:shd w:val="clear" w:color="auto" w:fill="auto"/>
          </w:tcPr>
          <w:p w14:paraId="26AA9676" w14:textId="77777777" w:rsidR="00636691" w:rsidRPr="00325AC7" w:rsidRDefault="00636691" w:rsidP="00636691">
            <w:pPr>
              <w:pStyle w:val="TableText0"/>
              <w:rPr>
                <w:rFonts w:eastAsiaTheme="minorHAnsi"/>
                <w:lang w:eastAsia="en-US"/>
              </w:rPr>
            </w:pPr>
            <w:r w:rsidRPr="00325AC7">
              <w:rPr>
                <w:rFonts w:eastAsiaTheme="minorHAnsi"/>
                <w:lang w:eastAsia="en-US"/>
              </w:rPr>
              <w:t>-0.7 to 0.9</w:t>
            </w:r>
          </w:p>
        </w:tc>
        <w:tc>
          <w:tcPr>
            <w:tcW w:w="1473" w:type="dxa"/>
            <w:shd w:val="clear" w:color="auto" w:fill="auto"/>
          </w:tcPr>
          <w:p w14:paraId="795AF1B9" w14:textId="77777777" w:rsidR="00636691" w:rsidRPr="00325AC7" w:rsidRDefault="00636691" w:rsidP="00636691">
            <w:pPr>
              <w:pStyle w:val="TableText0"/>
              <w:rPr>
                <w:rFonts w:eastAsiaTheme="minorHAnsi"/>
                <w:lang w:eastAsia="en-US"/>
              </w:rPr>
            </w:pPr>
          </w:p>
        </w:tc>
      </w:tr>
    </w:tbl>
    <w:p w14:paraId="406C6032" w14:textId="10EFD823" w:rsidR="00AD2D35" w:rsidRPr="00325AC7" w:rsidRDefault="00AD2D35" w:rsidP="00AD2D35">
      <w:pPr>
        <w:pStyle w:val="TableFigureFooter"/>
        <w:rPr>
          <w:lang w:eastAsia="en-US"/>
        </w:rPr>
      </w:pPr>
      <w:r w:rsidRPr="00325AC7">
        <w:rPr>
          <w:lang w:eastAsia="en-US"/>
        </w:rPr>
        <w:t>Source: Table 2-5 of the submission</w:t>
      </w:r>
    </w:p>
    <w:p w14:paraId="6575C295" w14:textId="6106A588" w:rsidR="00EB5103" w:rsidRPr="00325AC7" w:rsidRDefault="00EB5103" w:rsidP="008F5B0E">
      <w:pPr>
        <w:pStyle w:val="3-BodyText"/>
        <w:rPr>
          <w:lang w:eastAsia="en-US"/>
        </w:rPr>
      </w:pPr>
      <w:r w:rsidRPr="00325AC7">
        <w:rPr>
          <w:lang w:eastAsia="en-US"/>
        </w:rPr>
        <w:t xml:space="preserve">The submission noted that there was no statistically significant difference between </w:t>
      </w:r>
      <w:r w:rsidR="00E81021" w:rsidRPr="00325AC7">
        <w:rPr>
          <w:lang w:eastAsia="en-US"/>
        </w:rPr>
        <w:t>CGH</w:t>
      </w:r>
      <w:r w:rsidRPr="00325AC7">
        <w:rPr>
          <w:lang w:eastAsia="en-US"/>
        </w:rPr>
        <w:t xml:space="preserve"> and </w:t>
      </w:r>
      <w:r w:rsidR="00E81021" w:rsidRPr="00325AC7">
        <w:rPr>
          <w:lang w:eastAsia="en-US"/>
        </w:rPr>
        <w:t>HS 0.18%</w:t>
      </w:r>
      <w:r w:rsidRPr="00325AC7">
        <w:rPr>
          <w:lang w:eastAsia="en-US"/>
        </w:rPr>
        <w:t xml:space="preserve"> for the mean change in </w:t>
      </w:r>
      <w:r w:rsidR="00E81021" w:rsidRPr="00325AC7">
        <w:rPr>
          <w:lang w:eastAsia="en-US"/>
        </w:rPr>
        <w:t>G</w:t>
      </w:r>
      <w:r w:rsidRPr="00325AC7">
        <w:rPr>
          <w:lang w:eastAsia="en-US"/>
        </w:rPr>
        <w:t>OSS scores</w:t>
      </w:r>
      <w:r w:rsidR="00E81021" w:rsidRPr="00325AC7">
        <w:rPr>
          <w:lang w:eastAsia="en-US"/>
        </w:rPr>
        <w:t xml:space="preserve"> in both the PP and ITT populations</w:t>
      </w:r>
      <w:r w:rsidRPr="00325AC7">
        <w:rPr>
          <w:lang w:eastAsia="en-US"/>
        </w:rPr>
        <w:t>, which supported a non-inferiority claim for efficacy.</w:t>
      </w:r>
    </w:p>
    <w:p w14:paraId="3476F3B9" w14:textId="697DAD3C" w:rsidR="00001FE3" w:rsidRPr="00325AC7" w:rsidRDefault="00001FE3" w:rsidP="008F5B0E">
      <w:pPr>
        <w:pStyle w:val="3-BodyText"/>
        <w:rPr>
          <w:lang w:eastAsia="en-US"/>
        </w:rPr>
      </w:pPr>
      <w:r w:rsidRPr="00325AC7">
        <w:rPr>
          <w:lang w:eastAsia="en-US"/>
        </w:rPr>
        <w:t xml:space="preserve">The submission also presented results from a five-point Likert Scale, bilateral assessment of the dry eye symptoms, </w:t>
      </w:r>
      <w:r w:rsidRPr="00325AC7">
        <w:t>ranging from 0 (no discomfort) to 4 (</w:t>
      </w:r>
      <w:r w:rsidR="007D7C7E" w:rsidRPr="00325AC7">
        <w:t>very</w:t>
      </w:r>
      <w:r w:rsidR="007D7C7E">
        <w:t> </w:t>
      </w:r>
      <w:r w:rsidRPr="00325AC7">
        <w:t>severe)</w:t>
      </w:r>
      <w:r w:rsidR="004E3B1E" w:rsidRPr="00325AC7">
        <w:t>. The results showed that patients using CGH after 3 months experienced less severe symptoms that patients using HS 0.18%. The results are shown in figure 1.</w:t>
      </w:r>
    </w:p>
    <w:p w14:paraId="26A5BAB4" w14:textId="755DCAE6" w:rsidR="00126B09" w:rsidRPr="008F5B0E" w:rsidRDefault="00126B09" w:rsidP="008F5B0E">
      <w:pPr>
        <w:pStyle w:val="TableFigureHeading"/>
      </w:pPr>
      <w:r w:rsidRPr="00F22026">
        <w:t xml:space="preserve">Figure </w:t>
      </w:r>
      <w:r w:rsidR="002013AB">
        <w:fldChar w:fldCharType="begin" w:fldLock="1"/>
      </w:r>
      <w:r w:rsidR="002013AB">
        <w:instrText xml:space="preserve"> SEQ Figure \* ARABIC </w:instrText>
      </w:r>
      <w:r w:rsidR="002013AB">
        <w:fldChar w:fldCharType="separate"/>
      </w:r>
      <w:r w:rsidR="000A071E">
        <w:rPr>
          <w:noProof/>
        </w:rPr>
        <w:t>1</w:t>
      </w:r>
      <w:r w:rsidR="002013AB">
        <w:rPr>
          <w:noProof/>
        </w:rPr>
        <w:fldChar w:fldCharType="end"/>
      </w:r>
      <w:r w:rsidRPr="008F5B0E">
        <w:t>: Patient assessment of dry eye symptoms at 3 months</w:t>
      </w:r>
    </w:p>
    <w:p w14:paraId="7FC7A8C2" w14:textId="77777777" w:rsidR="00126B09" w:rsidRPr="00325AC7" w:rsidRDefault="004E3B1E" w:rsidP="008F5B0E">
      <w:pPr>
        <w:pStyle w:val="3-BodyText"/>
        <w:keepNext/>
        <w:numPr>
          <w:ilvl w:val="0"/>
          <w:numId w:val="0"/>
        </w:numPr>
        <w:spacing w:after="0"/>
        <w:ind w:left="720" w:hanging="720"/>
      </w:pPr>
      <w:r w:rsidRPr="00F22026">
        <w:rPr>
          <w:noProof/>
        </w:rPr>
        <w:drawing>
          <wp:inline distT="0" distB="0" distL="0" distR="0" wp14:anchorId="744EEEB7" wp14:editId="5E078544">
            <wp:extent cx="5372100" cy="2514600"/>
            <wp:effectExtent l="0" t="0" r="0" b="0"/>
            <wp:docPr id="5" name="Picture 5" descr="Figure 1: Patient assessment of dry eye symptoms at 3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Patient assessment of dry eye symptoms at 3 months"/>
                    <pic:cNvPicPr/>
                  </pic:nvPicPr>
                  <pic:blipFill>
                    <a:blip r:embed="rId8"/>
                    <a:stretch>
                      <a:fillRect/>
                    </a:stretch>
                  </pic:blipFill>
                  <pic:spPr>
                    <a:xfrm>
                      <a:off x="0" y="0"/>
                      <a:ext cx="5372100" cy="2514600"/>
                    </a:xfrm>
                    <a:prstGeom prst="rect">
                      <a:avLst/>
                    </a:prstGeom>
                  </pic:spPr>
                </pic:pic>
              </a:graphicData>
            </a:graphic>
          </wp:inline>
        </w:drawing>
      </w:r>
    </w:p>
    <w:p w14:paraId="69B0FE0C" w14:textId="78C2885C" w:rsidR="004E3B1E" w:rsidRPr="00325AC7" w:rsidRDefault="00391D1E">
      <w:pPr>
        <w:pStyle w:val="TableFigureFooter"/>
        <w:rPr>
          <w:lang w:eastAsia="en-US"/>
        </w:rPr>
      </w:pPr>
      <w:r w:rsidRPr="00325AC7">
        <w:rPr>
          <w:lang w:eastAsia="en-US"/>
        </w:rPr>
        <w:t xml:space="preserve">Source: Figure 2-2 of the </w:t>
      </w:r>
      <w:r w:rsidRPr="008F5B0E">
        <w:t>submission</w:t>
      </w:r>
    </w:p>
    <w:p w14:paraId="71B6ADCF" w14:textId="77777777" w:rsidR="00EB5103" w:rsidRPr="00325AC7" w:rsidRDefault="00EB5103" w:rsidP="00EB5103">
      <w:pPr>
        <w:pStyle w:val="4-SubsectionHeading"/>
        <w:rPr>
          <w:lang w:eastAsia="en-US"/>
        </w:rPr>
      </w:pPr>
      <w:r w:rsidRPr="00325AC7">
        <w:rPr>
          <w:lang w:eastAsia="en-US"/>
        </w:rPr>
        <w:t>Comparative safety</w:t>
      </w:r>
    </w:p>
    <w:p w14:paraId="54A0B342" w14:textId="35BCC847" w:rsidR="00EB5103" w:rsidRPr="00325AC7" w:rsidRDefault="00EB5103" w:rsidP="008F5B0E">
      <w:pPr>
        <w:pStyle w:val="3-BodyText"/>
        <w:rPr>
          <w:szCs w:val="24"/>
          <w:lang w:eastAsia="en-US"/>
        </w:rPr>
      </w:pPr>
      <w:r w:rsidRPr="00325AC7">
        <w:t xml:space="preserve">The clinical claim for safety was measured by the proportion of patients who </w:t>
      </w:r>
      <w:r w:rsidR="00D62CE0" w:rsidRPr="00325AC7">
        <w:t>experienced treatment</w:t>
      </w:r>
      <w:r w:rsidR="00665ACA" w:rsidRPr="00325AC7">
        <w:t xml:space="preserve">-related </w:t>
      </w:r>
      <w:r w:rsidR="00D62CE0" w:rsidRPr="00325AC7">
        <w:t>adverse events (</w:t>
      </w:r>
      <w:r w:rsidR="00665ACA" w:rsidRPr="00325AC7">
        <w:t>TR</w:t>
      </w:r>
      <w:r w:rsidR="00D62CE0" w:rsidRPr="00325AC7">
        <w:t xml:space="preserve">AEs). A total of 16 </w:t>
      </w:r>
      <w:r w:rsidR="00665ACA" w:rsidRPr="00325AC7">
        <w:t>TRAEs were reported by 9 patients</w:t>
      </w:r>
      <w:r w:rsidR="005F1F3C" w:rsidRPr="00325AC7">
        <w:t xml:space="preserve"> (5/40 taking CGH, and 4/40 taking HS 0.18%). The submission claimed that all were mild or moderate in severity and the results suggest that CGH has a similar safety profile to HS 0.18%.</w:t>
      </w:r>
      <w:r w:rsidR="008A4144" w:rsidRPr="00325AC7">
        <w:t xml:space="preserve"> </w:t>
      </w:r>
      <w:r w:rsidR="008A4144" w:rsidRPr="00325AC7">
        <w:rPr>
          <w:iCs/>
        </w:rPr>
        <w:t>The claim of non-inferiority is uncertain given the small sample size.</w:t>
      </w:r>
    </w:p>
    <w:p w14:paraId="3409D6F3" w14:textId="77777777" w:rsidR="00EB5103" w:rsidRPr="00325AC7" w:rsidRDefault="00EB5103" w:rsidP="00EB5103">
      <w:pPr>
        <w:pStyle w:val="4-SubsectionHeading"/>
        <w:rPr>
          <w:lang w:eastAsia="en-US"/>
        </w:rPr>
      </w:pPr>
      <w:r w:rsidRPr="00325AC7">
        <w:rPr>
          <w:lang w:eastAsia="en-US"/>
        </w:rPr>
        <w:t>Clinical claim</w:t>
      </w:r>
    </w:p>
    <w:p w14:paraId="55D83F84" w14:textId="77777777" w:rsidR="00433E7C" w:rsidRPr="00325AC7" w:rsidRDefault="00EB5103" w:rsidP="008F5B0E">
      <w:pPr>
        <w:pStyle w:val="3-BodyText"/>
      </w:pPr>
      <w:r w:rsidRPr="00325AC7">
        <w:t xml:space="preserve">The submission claimed the non-inferior comparative effectiveness and non-inferior comparative safety of </w:t>
      </w:r>
      <w:r w:rsidR="008A4144" w:rsidRPr="00325AC7">
        <w:t>CGH</w:t>
      </w:r>
      <w:r w:rsidRPr="00325AC7">
        <w:t xml:space="preserve"> compared with </w:t>
      </w:r>
      <w:r w:rsidR="008A4144" w:rsidRPr="00325AC7">
        <w:t>HS 0.1%</w:t>
      </w:r>
      <w:r w:rsidRPr="00325AC7">
        <w:t>.</w:t>
      </w:r>
    </w:p>
    <w:p w14:paraId="067F8B23" w14:textId="0D38C488" w:rsidR="00A212F9" w:rsidRPr="00325AC7" w:rsidRDefault="00223281" w:rsidP="008F5B0E">
      <w:pPr>
        <w:pStyle w:val="3-BodyText"/>
      </w:pPr>
      <w:r w:rsidRPr="00325AC7">
        <w:rPr>
          <w:szCs w:val="20"/>
          <w:lang w:eastAsia="en-US"/>
        </w:rPr>
        <w:t>The PBAC considered that the claim of non-inferior comparative effectiveness and non-inferior comparative safety was reasonably supported by the data.</w:t>
      </w:r>
    </w:p>
    <w:p w14:paraId="50D4A332" w14:textId="01E93221" w:rsidR="00977B62" w:rsidRPr="00325AC7" w:rsidRDefault="00977B62" w:rsidP="00D70349">
      <w:pPr>
        <w:pStyle w:val="4-SubsectionHeading"/>
        <w:rPr>
          <w:lang w:eastAsia="en-US"/>
        </w:rPr>
      </w:pPr>
      <w:r w:rsidRPr="00325AC7">
        <w:rPr>
          <w:lang w:eastAsia="en-US"/>
        </w:rPr>
        <w:t>Economic analysis</w:t>
      </w:r>
    </w:p>
    <w:p w14:paraId="3EC3E9CB" w14:textId="6D4CDBFC" w:rsidR="00977B62" w:rsidRPr="00325AC7" w:rsidRDefault="00977B62" w:rsidP="00977B62">
      <w:pPr>
        <w:pStyle w:val="3-BodyText"/>
      </w:pPr>
      <w:r w:rsidRPr="00325AC7">
        <w:t xml:space="preserve">The submission did not </w:t>
      </w:r>
      <w:r w:rsidR="006F1035" w:rsidRPr="00325AC7">
        <w:t xml:space="preserve">provide </w:t>
      </w:r>
      <w:r w:rsidRPr="00325AC7">
        <w:t xml:space="preserve">a cost-minimisation </w:t>
      </w:r>
      <w:r w:rsidR="006F1035" w:rsidRPr="00325AC7">
        <w:t xml:space="preserve">approach </w:t>
      </w:r>
      <w:r w:rsidRPr="00325AC7">
        <w:t>or an equi-effective dose. If the PBAC accepts non-inferiority based on the results of the Labetoulle study then it is reasonable to conclude that one drop of CGH is equivalent to one drop of HS 0.18%, and therefore by extension, one drop of HS 0.1%.</w:t>
      </w:r>
    </w:p>
    <w:p w14:paraId="62BC9FA5" w14:textId="1084F2CC" w:rsidR="005A0B2A" w:rsidRPr="00325AC7" w:rsidRDefault="005A0B2A" w:rsidP="005A0B2A">
      <w:pPr>
        <w:pStyle w:val="3-BodyText"/>
        <w:numPr>
          <w:ilvl w:val="1"/>
          <w:numId w:val="2"/>
        </w:numPr>
      </w:pPr>
      <w:r w:rsidRPr="00325AC7">
        <w:t xml:space="preserve">The submission proposed an AEMP of $16.46 for CGH and a DPMQ of $29.84. </w:t>
      </w:r>
      <w:r w:rsidR="008C3854" w:rsidRPr="00325AC7">
        <w:t>The</w:t>
      </w:r>
      <w:r w:rsidR="008C3854">
        <w:t> </w:t>
      </w:r>
      <w:r w:rsidRPr="00325AC7">
        <w:t>AEMP of HS 0.1% was $20.90 with a DPMQ of $34.61 as at February 2023.</w:t>
      </w:r>
    </w:p>
    <w:p w14:paraId="79455714" w14:textId="3BB84195" w:rsidR="005A0B2A" w:rsidRPr="00325AC7" w:rsidRDefault="00FE4347" w:rsidP="005A0B2A">
      <w:pPr>
        <w:pStyle w:val="3-BodyText"/>
        <w:rPr>
          <w:iCs/>
        </w:rPr>
      </w:pPr>
      <w:r>
        <w:rPr>
          <w:iCs/>
        </w:rPr>
        <w:t>The PBAC first recommended the listing of hyaluronate based ocular lubricants on the PBS</w:t>
      </w:r>
      <w:r w:rsidR="00EC4FC0">
        <w:rPr>
          <w:iCs/>
        </w:rPr>
        <w:t xml:space="preserve"> at its July 2012 meeting</w:t>
      </w:r>
      <w:r>
        <w:rPr>
          <w:iCs/>
        </w:rPr>
        <w:t xml:space="preserve">, and these listed </w:t>
      </w:r>
      <w:r w:rsidR="00EC4FC0">
        <w:rPr>
          <w:iCs/>
        </w:rPr>
        <w:t xml:space="preserve">on the PBS </w:t>
      </w:r>
      <w:r>
        <w:rPr>
          <w:iCs/>
        </w:rPr>
        <w:t xml:space="preserve">in December 2012. </w:t>
      </w:r>
      <w:r w:rsidR="005A0B2A" w:rsidRPr="00325AC7">
        <w:rPr>
          <w:iCs/>
        </w:rPr>
        <w:t xml:space="preserve">The PBAC </w:t>
      </w:r>
      <w:r>
        <w:rPr>
          <w:iCs/>
        </w:rPr>
        <w:t>subsequently</w:t>
      </w:r>
      <w:r w:rsidR="005A0B2A" w:rsidRPr="00325AC7">
        <w:rPr>
          <w:iCs/>
        </w:rPr>
        <w:t xml:space="preserve"> advised that all ocular lubricants should be considered equivalent for pricing purposes, including those that contain a preservative, those that are preservative-free, multi-dose products and single dose unit products (paragraph 3.1, ocular lubricants PSD, November 2014 PBAC meeting).</w:t>
      </w:r>
    </w:p>
    <w:p w14:paraId="05178B74" w14:textId="146EEA12" w:rsidR="005A0B2A" w:rsidRPr="00325AC7" w:rsidRDefault="005A0B2A" w:rsidP="005A0B2A">
      <w:pPr>
        <w:pStyle w:val="3-BodyText"/>
        <w:rPr>
          <w:iCs/>
        </w:rPr>
      </w:pPr>
      <w:r w:rsidRPr="00325AC7">
        <w:rPr>
          <w:iCs/>
        </w:rPr>
        <w:t xml:space="preserve">The Secretariat has presented a cost-minimisation analysis </w:t>
      </w:r>
      <w:r w:rsidR="00302F7F" w:rsidRPr="00325AC7">
        <w:rPr>
          <w:iCs/>
        </w:rPr>
        <w:t xml:space="preserve">in </w:t>
      </w:r>
      <w:r w:rsidR="006F1035" w:rsidRPr="00325AC7">
        <w:rPr>
          <w:iCs/>
        </w:rPr>
        <w:t>T</w:t>
      </w:r>
      <w:r w:rsidR="00302F7F" w:rsidRPr="00325AC7">
        <w:rPr>
          <w:iCs/>
        </w:rPr>
        <w:t xml:space="preserve">able 3 </w:t>
      </w:r>
      <w:r w:rsidR="008A11B7" w:rsidRPr="00325AC7">
        <w:rPr>
          <w:iCs/>
        </w:rPr>
        <w:t>using CGH</w:t>
      </w:r>
      <w:r w:rsidR="00D7659A" w:rsidRPr="00325AC7">
        <w:rPr>
          <w:iCs/>
        </w:rPr>
        <w:t xml:space="preserve"> as the intervention</w:t>
      </w:r>
      <w:r w:rsidR="008A11B7" w:rsidRPr="00325AC7">
        <w:rPr>
          <w:iCs/>
        </w:rPr>
        <w:t>, HS 0.1%/0.2%</w:t>
      </w:r>
      <w:r w:rsidR="00D7659A" w:rsidRPr="00325AC7">
        <w:rPr>
          <w:iCs/>
        </w:rPr>
        <w:t xml:space="preserve"> as the main comparators</w:t>
      </w:r>
      <w:r w:rsidR="008A11B7" w:rsidRPr="00325AC7">
        <w:rPr>
          <w:iCs/>
        </w:rPr>
        <w:t>, and polyethylene glycol 400 4</w:t>
      </w:r>
      <w:r w:rsidR="004B4FDB" w:rsidRPr="00325AC7">
        <w:rPr>
          <w:iCs/>
        </w:rPr>
        <w:t> </w:t>
      </w:r>
      <w:r w:rsidR="008A11B7" w:rsidRPr="00325AC7">
        <w:rPr>
          <w:iCs/>
        </w:rPr>
        <w:t xml:space="preserve">mg with propylene glycol 3 mg </w:t>
      </w:r>
      <w:r w:rsidR="0097174A" w:rsidRPr="00325AC7">
        <w:rPr>
          <w:iCs/>
        </w:rPr>
        <w:t>(</w:t>
      </w:r>
      <w:r w:rsidR="008A11B7" w:rsidRPr="00325AC7">
        <w:rPr>
          <w:iCs/>
        </w:rPr>
        <w:t>Systane® Original</w:t>
      </w:r>
      <w:r w:rsidR="0097174A" w:rsidRPr="00325AC7">
        <w:rPr>
          <w:iCs/>
        </w:rPr>
        <w:t>) as a proxy for the lowest cost ocular lubric</w:t>
      </w:r>
      <w:r w:rsidR="00302F7F" w:rsidRPr="00325AC7">
        <w:rPr>
          <w:iCs/>
        </w:rPr>
        <w:t>ant.</w:t>
      </w:r>
    </w:p>
    <w:p w14:paraId="6D61B38E" w14:textId="6BBBE605" w:rsidR="00126B09" w:rsidRPr="008F5B0E" w:rsidRDefault="00126B09" w:rsidP="008F5B0E">
      <w:pPr>
        <w:pStyle w:val="TableFigureHeading"/>
      </w:pPr>
      <w:r w:rsidRPr="00F22026">
        <w:t xml:space="preserve">Table </w:t>
      </w:r>
      <w:r w:rsidR="002013AB">
        <w:fldChar w:fldCharType="begin" w:fldLock="1"/>
      </w:r>
      <w:r w:rsidR="002013AB">
        <w:instrText xml:space="preserve"> SEQ Table \* ARABIC </w:instrText>
      </w:r>
      <w:r w:rsidR="002013AB">
        <w:fldChar w:fldCharType="separate"/>
      </w:r>
      <w:r w:rsidR="000A071E">
        <w:rPr>
          <w:noProof/>
        </w:rPr>
        <w:t>3</w:t>
      </w:r>
      <w:r w:rsidR="002013AB">
        <w:rPr>
          <w:noProof/>
        </w:rPr>
        <w:fldChar w:fldCharType="end"/>
      </w:r>
      <w:r w:rsidRPr="008F5B0E">
        <w:t>: Cost minimisation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3: Cost minimisation analysis"/>
        <w:tblDescription w:val="Table 3: Cost minimisation analysis"/>
      </w:tblPr>
      <w:tblGrid>
        <w:gridCol w:w="2257"/>
        <w:gridCol w:w="2251"/>
        <w:gridCol w:w="32"/>
        <w:gridCol w:w="2117"/>
        <w:gridCol w:w="2148"/>
      </w:tblGrid>
      <w:tr w:rsidR="005A0B2A" w:rsidRPr="00325AC7" w14:paraId="58463829" w14:textId="48021903" w:rsidTr="005A0B2A">
        <w:trPr>
          <w:trHeight w:val="262"/>
        </w:trPr>
        <w:tc>
          <w:tcPr>
            <w:tcW w:w="1282" w:type="pct"/>
          </w:tcPr>
          <w:p w14:paraId="221B77D7" w14:textId="77777777" w:rsidR="005A0B2A" w:rsidRPr="00325AC7" w:rsidRDefault="005A0B2A" w:rsidP="00602A48">
            <w:pPr>
              <w:pStyle w:val="TableText0"/>
            </w:pPr>
          </w:p>
        </w:tc>
        <w:tc>
          <w:tcPr>
            <w:tcW w:w="1278" w:type="pct"/>
          </w:tcPr>
          <w:p w14:paraId="12D14AB3" w14:textId="77777777" w:rsidR="005A0B2A" w:rsidRPr="008F5B0E" w:rsidRDefault="005A0B2A" w:rsidP="00602A48">
            <w:pPr>
              <w:pStyle w:val="In-tableHeading"/>
              <w:rPr>
                <w:lang w:val="en-AU"/>
              </w:rPr>
            </w:pPr>
            <w:r w:rsidRPr="008F5B0E">
              <w:rPr>
                <w:lang w:val="en-AU"/>
              </w:rPr>
              <w:t>CGH</w:t>
            </w:r>
          </w:p>
        </w:tc>
        <w:tc>
          <w:tcPr>
            <w:tcW w:w="1220" w:type="pct"/>
            <w:gridSpan w:val="2"/>
          </w:tcPr>
          <w:p w14:paraId="022B7578" w14:textId="77777777" w:rsidR="005A0B2A" w:rsidRPr="008F5B0E" w:rsidRDefault="005A0B2A" w:rsidP="00602A48">
            <w:pPr>
              <w:pStyle w:val="In-tableHeading"/>
              <w:rPr>
                <w:lang w:val="en-AU"/>
              </w:rPr>
            </w:pPr>
            <w:r w:rsidRPr="008F5B0E">
              <w:rPr>
                <w:lang w:val="en-AU"/>
              </w:rPr>
              <w:t>HS 0.1%/0.2%</w:t>
            </w:r>
          </w:p>
        </w:tc>
        <w:tc>
          <w:tcPr>
            <w:tcW w:w="1220" w:type="pct"/>
          </w:tcPr>
          <w:p w14:paraId="13865BA3" w14:textId="18A0B407" w:rsidR="005A0B2A" w:rsidRPr="008F5B0E" w:rsidRDefault="005A0B2A" w:rsidP="00602A48">
            <w:pPr>
              <w:pStyle w:val="In-tableHeading"/>
              <w:rPr>
                <w:lang w:val="en-AU"/>
              </w:rPr>
            </w:pPr>
            <w:r w:rsidRPr="008F5B0E">
              <w:rPr>
                <w:lang w:val="en-AU"/>
              </w:rPr>
              <w:t>Systane Original</w:t>
            </w:r>
          </w:p>
        </w:tc>
      </w:tr>
      <w:tr w:rsidR="005A0B2A" w:rsidRPr="00325AC7" w14:paraId="33905834" w14:textId="24764400" w:rsidTr="000D6AD2">
        <w:trPr>
          <w:trHeight w:val="128"/>
        </w:trPr>
        <w:tc>
          <w:tcPr>
            <w:tcW w:w="3780" w:type="pct"/>
            <w:gridSpan w:val="4"/>
            <w:shd w:val="clear" w:color="auto" w:fill="BFBFBF" w:themeFill="background1" w:themeFillShade="BF"/>
            <w:vAlign w:val="center"/>
          </w:tcPr>
          <w:p w14:paraId="18E56640" w14:textId="77777777" w:rsidR="005A0B2A" w:rsidRPr="008F5B0E" w:rsidRDefault="005A0B2A" w:rsidP="00602A48">
            <w:pPr>
              <w:pStyle w:val="In-tableHeading"/>
              <w:rPr>
                <w:lang w:val="en-AU"/>
              </w:rPr>
            </w:pPr>
            <w:r w:rsidRPr="008F5B0E">
              <w:rPr>
                <w:lang w:val="en-AU"/>
              </w:rPr>
              <w:t>Quantity per prescription</w:t>
            </w:r>
          </w:p>
        </w:tc>
        <w:tc>
          <w:tcPr>
            <w:tcW w:w="1220" w:type="pct"/>
            <w:shd w:val="clear" w:color="auto" w:fill="BFBFBF" w:themeFill="background1" w:themeFillShade="BF"/>
          </w:tcPr>
          <w:p w14:paraId="681B67EC" w14:textId="77777777" w:rsidR="005A0B2A" w:rsidRPr="008F5B0E" w:rsidRDefault="005A0B2A" w:rsidP="00602A48">
            <w:pPr>
              <w:pStyle w:val="In-tableHeading"/>
              <w:rPr>
                <w:lang w:val="en-AU"/>
              </w:rPr>
            </w:pPr>
          </w:p>
        </w:tc>
      </w:tr>
      <w:tr w:rsidR="00A53535" w:rsidRPr="00325AC7" w14:paraId="3EB5B60F" w14:textId="77777777" w:rsidTr="005A0B2A">
        <w:trPr>
          <w:trHeight w:val="128"/>
        </w:trPr>
        <w:tc>
          <w:tcPr>
            <w:tcW w:w="1282" w:type="pct"/>
          </w:tcPr>
          <w:p w14:paraId="79046D40" w14:textId="10B35ADB" w:rsidR="00A53535" w:rsidRPr="00325AC7" w:rsidRDefault="00A53535" w:rsidP="00602A48">
            <w:pPr>
              <w:pStyle w:val="TableText0"/>
            </w:pPr>
            <w:r w:rsidRPr="00325AC7">
              <w:t>Volume per pack (mL)</w:t>
            </w:r>
          </w:p>
        </w:tc>
        <w:tc>
          <w:tcPr>
            <w:tcW w:w="1296" w:type="pct"/>
            <w:gridSpan w:val="2"/>
          </w:tcPr>
          <w:p w14:paraId="39E0182D" w14:textId="7652052E" w:rsidR="00A53535" w:rsidRPr="00325AC7" w:rsidDel="002D0CCC" w:rsidRDefault="00A53535" w:rsidP="00602A48">
            <w:pPr>
              <w:pStyle w:val="TableText0"/>
            </w:pPr>
            <w:r w:rsidRPr="00325AC7">
              <w:t>10</w:t>
            </w:r>
          </w:p>
        </w:tc>
        <w:tc>
          <w:tcPr>
            <w:tcW w:w="1202" w:type="pct"/>
          </w:tcPr>
          <w:p w14:paraId="650C4DC9" w14:textId="716582D3" w:rsidR="00A53535" w:rsidRPr="00325AC7" w:rsidRDefault="00A53535" w:rsidP="00602A48">
            <w:pPr>
              <w:pStyle w:val="TableText0"/>
            </w:pPr>
            <w:r w:rsidRPr="00325AC7">
              <w:t>10</w:t>
            </w:r>
          </w:p>
        </w:tc>
        <w:tc>
          <w:tcPr>
            <w:tcW w:w="1220" w:type="pct"/>
          </w:tcPr>
          <w:p w14:paraId="24111740" w14:textId="23E1E9C4" w:rsidR="00A53535" w:rsidRPr="00325AC7" w:rsidRDefault="00A53535" w:rsidP="00602A48">
            <w:pPr>
              <w:pStyle w:val="TableText0"/>
            </w:pPr>
            <w:r w:rsidRPr="00325AC7">
              <w:t>15</w:t>
            </w:r>
          </w:p>
        </w:tc>
      </w:tr>
      <w:tr w:rsidR="005A0B2A" w:rsidRPr="00325AC7" w14:paraId="02B9B0F8" w14:textId="7E6EC436" w:rsidTr="005A0B2A">
        <w:trPr>
          <w:trHeight w:val="128"/>
        </w:trPr>
        <w:tc>
          <w:tcPr>
            <w:tcW w:w="1282" w:type="pct"/>
          </w:tcPr>
          <w:p w14:paraId="43948A26" w14:textId="77777777" w:rsidR="005A0B2A" w:rsidRPr="00325AC7" w:rsidRDefault="005A0B2A" w:rsidP="00602A48">
            <w:pPr>
              <w:pStyle w:val="TableText0"/>
            </w:pPr>
            <w:r w:rsidRPr="00325AC7">
              <w:t xml:space="preserve">Drops per pack </w:t>
            </w:r>
          </w:p>
        </w:tc>
        <w:tc>
          <w:tcPr>
            <w:tcW w:w="1296" w:type="pct"/>
            <w:gridSpan w:val="2"/>
          </w:tcPr>
          <w:p w14:paraId="3484A3AE" w14:textId="318A9A99" w:rsidR="005A0B2A" w:rsidRPr="00325AC7" w:rsidRDefault="002D0CCC" w:rsidP="00602A48">
            <w:pPr>
              <w:pStyle w:val="TableText0"/>
            </w:pPr>
            <w:r w:rsidRPr="00325AC7">
              <w:t>300</w:t>
            </w:r>
            <w:r w:rsidRPr="008F5B0E">
              <w:rPr>
                <w:vertAlign w:val="superscript"/>
              </w:rPr>
              <w:t>a</w:t>
            </w:r>
          </w:p>
        </w:tc>
        <w:tc>
          <w:tcPr>
            <w:tcW w:w="1202" w:type="pct"/>
          </w:tcPr>
          <w:p w14:paraId="5F8815D0" w14:textId="77777777" w:rsidR="005A0B2A" w:rsidRPr="00325AC7" w:rsidRDefault="005A0B2A" w:rsidP="00602A48">
            <w:pPr>
              <w:pStyle w:val="TableText0"/>
            </w:pPr>
            <w:r w:rsidRPr="00325AC7">
              <w:t>300</w:t>
            </w:r>
            <w:r w:rsidRPr="00325AC7">
              <w:rPr>
                <w:vertAlign w:val="superscript"/>
              </w:rPr>
              <w:t>b</w:t>
            </w:r>
          </w:p>
        </w:tc>
        <w:tc>
          <w:tcPr>
            <w:tcW w:w="1220" w:type="pct"/>
          </w:tcPr>
          <w:p w14:paraId="7A6A5901" w14:textId="01F7B32B" w:rsidR="005A0B2A" w:rsidRPr="00325AC7" w:rsidRDefault="005A0B2A" w:rsidP="00602A48">
            <w:pPr>
              <w:pStyle w:val="TableText0"/>
            </w:pPr>
            <w:r w:rsidRPr="00325AC7">
              <w:t>300</w:t>
            </w:r>
            <w:r w:rsidRPr="00325AC7">
              <w:rPr>
                <w:vertAlign w:val="superscript"/>
              </w:rPr>
              <w:t>c</w:t>
            </w:r>
          </w:p>
        </w:tc>
      </w:tr>
      <w:tr w:rsidR="005A0B2A" w:rsidRPr="00325AC7" w14:paraId="5E41B11D" w14:textId="5CE57246" w:rsidTr="005A0B2A">
        <w:trPr>
          <w:trHeight w:val="128"/>
        </w:trPr>
        <w:tc>
          <w:tcPr>
            <w:tcW w:w="1282" w:type="pct"/>
          </w:tcPr>
          <w:p w14:paraId="28C6DCDB" w14:textId="77777777" w:rsidR="005A0B2A" w:rsidRPr="00325AC7" w:rsidRDefault="005A0B2A" w:rsidP="00602A48">
            <w:pPr>
              <w:pStyle w:val="TableText0"/>
            </w:pPr>
            <w:r w:rsidRPr="00325AC7">
              <w:t xml:space="preserve">Treatments per pack </w:t>
            </w:r>
          </w:p>
        </w:tc>
        <w:tc>
          <w:tcPr>
            <w:tcW w:w="1296" w:type="pct"/>
            <w:gridSpan w:val="2"/>
          </w:tcPr>
          <w:p w14:paraId="70139154" w14:textId="672B0A65" w:rsidR="005A0B2A" w:rsidRPr="00325AC7" w:rsidRDefault="005A0B2A" w:rsidP="00602A48">
            <w:pPr>
              <w:pStyle w:val="TableText0"/>
            </w:pPr>
            <w:r w:rsidRPr="00325AC7">
              <w:t>1</w:t>
            </w:r>
            <w:r w:rsidR="002D0CCC" w:rsidRPr="00325AC7">
              <w:t>50</w:t>
            </w:r>
            <w:r w:rsidRPr="00325AC7">
              <w:t xml:space="preserve"> [</w:t>
            </w:r>
            <w:r w:rsidR="002D0CCC" w:rsidRPr="00325AC7">
              <w:t xml:space="preserve">300 </w:t>
            </w:r>
            <w:r w:rsidRPr="00325AC7">
              <w:t xml:space="preserve">/ 2 drops] </w:t>
            </w:r>
          </w:p>
        </w:tc>
        <w:tc>
          <w:tcPr>
            <w:tcW w:w="1202" w:type="pct"/>
          </w:tcPr>
          <w:p w14:paraId="39BB3735" w14:textId="77777777" w:rsidR="005A0B2A" w:rsidRPr="00325AC7" w:rsidRDefault="005A0B2A" w:rsidP="00602A48">
            <w:pPr>
              <w:pStyle w:val="TableText0"/>
            </w:pPr>
            <w:r w:rsidRPr="00325AC7">
              <w:t xml:space="preserve">150 [300 / 2 drops] </w:t>
            </w:r>
          </w:p>
        </w:tc>
        <w:tc>
          <w:tcPr>
            <w:tcW w:w="1220" w:type="pct"/>
          </w:tcPr>
          <w:p w14:paraId="695DCB75" w14:textId="13FD195D" w:rsidR="005A0B2A" w:rsidRPr="00325AC7" w:rsidRDefault="004B1151" w:rsidP="00602A48">
            <w:pPr>
              <w:pStyle w:val="TableText0"/>
            </w:pPr>
            <w:r w:rsidRPr="00325AC7">
              <w:t>150 [300 / 2 drops]</w:t>
            </w:r>
          </w:p>
        </w:tc>
      </w:tr>
      <w:tr w:rsidR="005A0B2A" w:rsidRPr="00325AC7" w14:paraId="0D9CFC56" w14:textId="4E533426" w:rsidTr="000D6AD2">
        <w:trPr>
          <w:trHeight w:val="128"/>
        </w:trPr>
        <w:tc>
          <w:tcPr>
            <w:tcW w:w="3780" w:type="pct"/>
            <w:gridSpan w:val="4"/>
            <w:shd w:val="clear" w:color="auto" w:fill="BFBFBF" w:themeFill="background1" w:themeFillShade="BF"/>
            <w:vAlign w:val="center"/>
          </w:tcPr>
          <w:p w14:paraId="19347C9B" w14:textId="77777777" w:rsidR="005A0B2A" w:rsidRPr="008F5B0E" w:rsidRDefault="005A0B2A" w:rsidP="00602A48">
            <w:pPr>
              <w:pStyle w:val="In-tableHeading"/>
              <w:rPr>
                <w:lang w:val="en-AU"/>
              </w:rPr>
            </w:pPr>
            <w:r w:rsidRPr="008F5B0E">
              <w:rPr>
                <w:lang w:val="en-AU"/>
              </w:rPr>
              <w:t>Cost per treatment</w:t>
            </w:r>
          </w:p>
        </w:tc>
        <w:tc>
          <w:tcPr>
            <w:tcW w:w="1220" w:type="pct"/>
            <w:shd w:val="clear" w:color="auto" w:fill="BFBFBF" w:themeFill="background1" w:themeFillShade="BF"/>
          </w:tcPr>
          <w:p w14:paraId="69047E2D" w14:textId="77777777" w:rsidR="005A0B2A" w:rsidRPr="008F5B0E" w:rsidRDefault="005A0B2A" w:rsidP="00602A48">
            <w:pPr>
              <w:pStyle w:val="In-tableHeading"/>
              <w:rPr>
                <w:lang w:val="en-AU"/>
              </w:rPr>
            </w:pPr>
          </w:p>
        </w:tc>
      </w:tr>
      <w:tr w:rsidR="005A0B2A" w:rsidRPr="00325AC7" w14:paraId="3CF8B558" w14:textId="6C698586" w:rsidTr="005A0B2A">
        <w:trPr>
          <w:trHeight w:val="128"/>
        </w:trPr>
        <w:tc>
          <w:tcPr>
            <w:tcW w:w="1282" w:type="pct"/>
          </w:tcPr>
          <w:p w14:paraId="5A89214B" w14:textId="77777777" w:rsidR="005A0B2A" w:rsidRPr="00325AC7" w:rsidRDefault="005A0B2A" w:rsidP="00602A48">
            <w:pPr>
              <w:pStyle w:val="TableText0"/>
            </w:pPr>
            <w:r w:rsidRPr="00325AC7">
              <w:t xml:space="preserve">AEMP per pack </w:t>
            </w:r>
          </w:p>
        </w:tc>
        <w:tc>
          <w:tcPr>
            <w:tcW w:w="1296" w:type="pct"/>
            <w:gridSpan w:val="2"/>
          </w:tcPr>
          <w:p w14:paraId="59CF20F9" w14:textId="77777777" w:rsidR="005A0B2A" w:rsidRPr="00325AC7" w:rsidRDefault="005A0B2A" w:rsidP="00602A48">
            <w:pPr>
              <w:pStyle w:val="TableText0"/>
            </w:pPr>
            <w:r w:rsidRPr="00325AC7">
              <w:t>$16.46</w:t>
            </w:r>
          </w:p>
        </w:tc>
        <w:tc>
          <w:tcPr>
            <w:tcW w:w="1202" w:type="pct"/>
          </w:tcPr>
          <w:p w14:paraId="7A30CB6B" w14:textId="77777777" w:rsidR="005A0B2A" w:rsidRPr="00325AC7" w:rsidRDefault="005A0B2A" w:rsidP="00602A48">
            <w:pPr>
              <w:pStyle w:val="TableText0"/>
            </w:pPr>
            <w:r w:rsidRPr="00325AC7">
              <w:t xml:space="preserve">$20.90 </w:t>
            </w:r>
          </w:p>
        </w:tc>
        <w:tc>
          <w:tcPr>
            <w:tcW w:w="1220" w:type="pct"/>
          </w:tcPr>
          <w:p w14:paraId="27344537" w14:textId="310A6867" w:rsidR="005A0B2A" w:rsidRPr="00325AC7" w:rsidRDefault="008A11B7" w:rsidP="00602A48">
            <w:pPr>
              <w:pStyle w:val="TableText0"/>
            </w:pPr>
            <w:r w:rsidRPr="00325AC7">
              <w:t>$2.31</w:t>
            </w:r>
          </w:p>
        </w:tc>
      </w:tr>
      <w:tr w:rsidR="005A0B2A" w:rsidRPr="00325AC7" w14:paraId="5E094929" w14:textId="1B50193D" w:rsidTr="005A0B2A">
        <w:trPr>
          <w:trHeight w:val="128"/>
        </w:trPr>
        <w:tc>
          <w:tcPr>
            <w:tcW w:w="1282" w:type="pct"/>
          </w:tcPr>
          <w:p w14:paraId="2C51B2FB" w14:textId="77777777" w:rsidR="005A0B2A" w:rsidRPr="00325AC7" w:rsidRDefault="005A0B2A" w:rsidP="00602A48">
            <w:pPr>
              <w:pStyle w:val="TableText0"/>
            </w:pPr>
            <w:r w:rsidRPr="00325AC7">
              <w:t xml:space="preserve">AEMP per treatment </w:t>
            </w:r>
          </w:p>
        </w:tc>
        <w:tc>
          <w:tcPr>
            <w:tcW w:w="1296" w:type="pct"/>
            <w:gridSpan w:val="2"/>
          </w:tcPr>
          <w:p w14:paraId="554C21FF" w14:textId="1DD71B6F" w:rsidR="005A0B2A" w:rsidRPr="00325AC7" w:rsidRDefault="005A0B2A" w:rsidP="00602A48">
            <w:pPr>
              <w:pStyle w:val="TableText0"/>
            </w:pPr>
            <w:r w:rsidRPr="00325AC7">
              <w:t>$0.</w:t>
            </w:r>
            <w:r w:rsidR="002D0CCC" w:rsidRPr="00325AC7">
              <w:t xml:space="preserve">110 </w:t>
            </w:r>
            <w:r w:rsidRPr="00325AC7">
              <w:t xml:space="preserve">[$16.46 / </w:t>
            </w:r>
            <w:r w:rsidR="002D0CCC" w:rsidRPr="00325AC7">
              <w:t>150</w:t>
            </w:r>
            <w:r w:rsidRPr="00325AC7">
              <w:t xml:space="preserve">] </w:t>
            </w:r>
          </w:p>
        </w:tc>
        <w:tc>
          <w:tcPr>
            <w:tcW w:w="1202" w:type="pct"/>
          </w:tcPr>
          <w:p w14:paraId="64C1132B" w14:textId="77777777" w:rsidR="005A0B2A" w:rsidRPr="00325AC7" w:rsidRDefault="005A0B2A" w:rsidP="00602A48">
            <w:pPr>
              <w:pStyle w:val="TableText0"/>
            </w:pPr>
            <w:r w:rsidRPr="00325AC7">
              <w:t xml:space="preserve">$0.139 [$20.90 / 150] </w:t>
            </w:r>
          </w:p>
        </w:tc>
        <w:tc>
          <w:tcPr>
            <w:tcW w:w="1220" w:type="pct"/>
          </w:tcPr>
          <w:p w14:paraId="6AE4ECDC" w14:textId="1471A29F" w:rsidR="005A0B2A" w:rsidRPr="00325AC7" w:rsidRDefault="008876E0" w:rsidP="00602A48">
            <w:pPr>
              <w:pStyle w:val="TableText0"/>
            </w:pPr>
            <w:r w:rsidRPr="00325AC7">
              <w:t>$0.0154 [$2.31 / 150]</w:t>
            </w:r>
          </w:p>
        </w:tc>
      </w:tr>
    </w:tbl>
    <w:p w14:paraId="2548A35B" w14:textId="28D6987F" w:rsidR="005A0B2A" w:rsidRPr="00325AC7" w:rsidRDefault="005A0B2A" w:rsidP="005A0B2A">
      <w:pPr>
        <w:pStyle w:val="TableFigureFooter"/>
        <w:rPr>
          <w:iCs/>
        </w:rPr>
      </w:pPr>
      <w:r w:rsidRPr="00325AC7">
        <w:rPr>
          <w:vertAlign w:val="superscript"/>
        </w:rPr>
        <w:t>a</w:t>
      </w:r>
      <w:r w:rsidRPr="00325AC7">
        <w:t xml:space="preserve"> </w:t>
      </w:r>
      <w:r w:rsidRPr="00325AC7">
        <w:rPr>
          <w:iCs/>
        </w:rPr>
        <w:t xml:space="preserve">The </w:t>
      </w:r>
      <w:r w:rsidR="002D0CCC" w:rsidRPr="00325AC7">
        <w:rPr>
          <w:iCs/>
        </w:rPr>
        <w:t>pre-PBAC response clarified that one pack of CGH supplies 300 drops.</w:t>
      </w:r>
    </w:p>
    <w:p w14:paraId="6EAF9E64" w14:textId="0D88F269" w:rsidR="005A0B2A" w:rsidRPr="00325AC7" w:rsidRDefault="005A0B2A" w:rsidP="005A0B2A">
      <w:pPr>
        <w:pStyle w:val="TableFigureFooter"/>
      </w:pPr>
      <w:r w:rsidRPr="00325AC7">
        <w:rPr>
          <w:iCs/>
          <w:vertAlign w:val="superscript"/>
        </w:rPr>
        <w:t>b</w:t>
      </w:r>
      <w:r w:rsidRPr="00325AC7">
        <w:rPr>
          <w:iCs/>
        </w:rPr>
        <w:t xml:space="preserve"> </w:t>
      </w:r>
      <w:r w:rsidRPr="00325AC7">
        <w:t xml:space="preserve">Source: </w:t>
      </w:r>
      <w:hyperlink r:id="rId9" w:history="1">
        <w:r w:rsidRPr="00325AC7">
          <w:rPr>
            <w:rStyle w:val="Hyperlink"/>
          </w:rPr>
          <w:t>https://www.aftpharm.com/product/hylo-fresh-au/</w:t>
        </w:r>
      </w:hyperlink>
    </w:p>
    <w:p w14:paraId="124DD1B1" w14:textId="792C0831" w:rsidR="005A0B2A" w:rsidRPr="00325AC7" w:rsidRDefault="001921F8" w:rsidP="005A0B2A">
      <w:pPr>
        <w:pStyle w:val="TableFigureFooter"/>
        <w:rPr>
          <w:iCs/>
          <w:vertAlign w:val="superscript"/>
        </w:rPr>
      </w:pPr>
      <w:r w:rsidRPr="00325AC7">
        <w:rPr>
          <w:vertAlign w:val="superscript"/>
        </w:rPr>
        <w:t>c</w:t>
      </w:r>
      <w:r w:rsidRPr="00325AC7">
        <w:t xml:space="preserve"> </w:t>
      </w:r>
      <w:r w:rsidR="004B1151" w:rsidRPr="00325AC7">
        <w:rPr>
          <w:iCs/>
        </w:rPr>
        <w:t>As the number of drops in Systane original is not publicly available, a standard assumption of 20 drops per 1 mL was applied</w:t>
      </w:r>
      <w:r w:rsidR="005A0B2A" w:rsidRPr="00325AC7">
        <w:rPr>
          <w:iCs/>
        </w:rPr>
        <w:t>.</w:t>
      </w:r>
    </w:p>
    <w:p w14:paraId="5EB16602" w14:textId="381D2301" w:rsidR="00D70349" w:rsidRPr="00325AC7" w:rsidRDefault="00130412" w:rsidP="00D70349">
      <w:pPr>
        <w:pStyle w:val="4-SubsectionHeading"/>
        <w:rPr>
          <w:lang w:eastAsia="en-US"/>
        </w:rPr>
      </w:pPr>
      <w:r w:rsidRPr="00325AC7">
        <w:rPr>
          <w:lang w:eastAsia="en-US"/>
        </w:rPr>
        <w:t>Estimated PBS utilisation and f</w:t>
      </w:r>
      <w:r w:rsidR="002D6222" w:rsidRPr="00325AC7">
        <w:rPr>
          <w:lang w:eastAsia="en-US"/>
        </w:rPr>
        <w:t xml:space="preserve">inancial </w:t>
      </w:r>
      <w:r w:rsidR="00D70349" w:rsidRPr="00325AC7">
        <w:rPr>
          <w:lang w:eastAsia="en-US"/>
        </w:rPr>
        <w:t>implications</w:t>
      </w:r>
    </w:p>
    <w:p w14:paraId="6F4FA2D2" w14:textId="480D1ED7" w:rsidR="006A2A80" w:rsidRPr="00325AC7" w:rsidRDefault="00670B1A" w:rsidP="008F5B0E">
      <w:pPr>
        <w:pStyle w:val="3-BodyText"/>
        <w:rPr>
          <w:rFonts w:cstheme="minorHAnsi"/>
        </w:rPr>
      </w:pPr>
      <w:r w:rsidRPr="00325AC7">
        <w:t xml:space="preserve">The submission adopted a market share approach, claiming that the addition of CGH to the PBS is unlikely to increase the use of HS formulations on the PBS but rather will substitute their use. This claim was based on </w:t>
      </w:r>
      <w:r w:rsidR="009F09D1" w:rsidRPr="00325AC7">
        <w:t xml:space="preserve">a DUSC utilisation review of ocular lubricants in February 2021 that found that </w:t>
      </w:r>
      <w:r w:rsidR="006A2A80" w:rsidRPr="00325AC7">
        <w:t xml:space="preserve">there was a significant increase in multidose PF ocular lubricant prescriptions </w:t>
      </w:r>
      <w:r w:rsidR="00316948" w:rsidRPr="00325AC7">
        <w:t xml:space="preserve">which </w:t>
      </w:r>
      <w:r w:rsidR="006A2A80" w:rsidRPr="00325AC7">
        <w:t xml:space="preserve">was almost entirely attributable to </w:t>
      </w:r>
      <w:r w:rsidR="00316948" w:rsidRPr="00325AC7">
        <w:t xml:space="preserve">an </w:t>
      </w:r>
      <w:r w:rsidR="006A2A80" w:rsidRPr="00325AC7">
        <w:t xml:space="preserve">increasing use of multidose PF </w:t>
      </w:r>
      <w:r w:rsidR="00316948" w:rsidRPr="00325AC7">
        <w:t>HS</w:t>
      </w:r>
      <w:r w:rsidR="006A2A80" w:rsidRPr="00325AC7">
        <w:t xml:space="preserve"> (H</w:t>
      </w:r>
      <w:r w:rsidR="00316948" w:rsidRPr="00325AC7">
        <w:t>S</w:t>
      </w:r>
      <w:r w:rsidR="006A2A80" w:rsidRPr="00325AC7">
        <w:t xml:space="preserve"> 0.1% or H</w:t>
      </w:r>
      <w:r w:rsidR="00316948" w:rsidRPr="00325AC7">
        <w:t>S</w:t>
      </w:r>
      <w:r w:rsidR="006A2A80" w:rsidRPr="00325AC7">
        <w:t xml:space="preserve"> 0.2%</w:t>
      </w:r>
      <w:r w:rsidR="00316948" w:rsidRPr="00325AC7">
        <w:t>).</w:t>
      </w:r>
      <w:r w:rsidR="00EB281B" w:rsidRPr="00325AC7">
        <w:t xml:space="preserve"> </w:t>
      </w:r>
      <w:r w:rsidR="006A6AAC" w:rsidRPr="00325AC7">
        <w:rPr>
          <w:iCs/>
        </w:rPr>
        <w:t xml:space="preserve">Even if the substitution is within the existing market, as the ocular </w:t>
      </w:r>
      <w:r w:rsidR="00A47CCD" w:rsidRPr="00325AC7">
        <w:rPr>
          <w:iCs/>
        </w:rPr>
        <w:t>lubricants</w:t>
      </w:r>
      <w:r w:rsidR="006A6AAC" w:rsidRPr="00325AC7">
        <w:rPr>
          <w:iCs/>
        </w:rPr>
        <w:t xml:space="preserve"> do not have the same price, substitution patterns will determine whether there is a cost to the PBS.</w:t>
      </w:r>
    </w:p>
    <w:p w14:paraId="34C49871" w14:textId="78D035F6" w:rsidR="00CC4B91" w:rsidRPr="00325AC7" w:rsidRDefault="00CC4B91" w:rsidP="008F5B0E">
      <w:pPr>
        <w:pStyle w:val="3-BodyText"/>
        <w:rPr>
          <w:rFonts w:cstheme="minorHAnsi"/>
        </w:rPr>
      </w:pPr>
      <w:r w:rsidRPr="00325AC7">
        <w:t xml:space="preserve">The base case of the financial model assumes that CGH will substitute HS 0.1% on a </w:t>
      </w:r>
      <w:r w:rsidR="00224D71" w:rsidRPr="00325AC7">
        <w:t>one-to-one</w:t>
      </w:r>
      <w:r w:rsidRPr="00325AC7">
        <w:t xml:space="preserve"> basis with a peak market share of 30%</w:t>
      </w:r>
      <w:r w:rsidR="00160B4A" w:rsidRPr="00325AC7">
        <w:t xml:space="preserve"> (10% in year 1, 20% in year 2, 30% in years 3-6)</w:t>
      </w:r>
      <w:r w:rsidRPr="00325AC7">
        <w:t>.</w:t>
      </w:r>
      <w:r w:rsidR="00A445C6" w:rsidRPr="00325AC7">
        <w:t xml:space="preserve"> The pre-PBAC response justifies this assumption using the February 2021 DUSC Analysis which show</w:t>
      </w:r>
      <w:r w:rsidR="00A7730A" w:rsidRPr="00325AC7">
        <w:t>s</w:t>
      </w:r>
      <w:r w:rsidR="00A445C6" w:rsidRPr="00325AC7">
        <w:t xml:space="preserve"> that the increase in the use of PF ocular lubricants over PC ocular lubricants correlated with the introduction of products containing HS. </w:t>
      </w:r>
      <w:r w:rsidR="008C3854" w:rsidRPr="00325AC7">
        <w:t>The</w:t>
      </w:r>
      <w:r w:rsidR="008C3854">
        <w:t> </w:t>
      </w:r>
      <w:r w:rsidR="00A445C6" w:rsidRPr="00325AC7">
        <w:t>response therefore suggested that the introduction of an alternative multi-dose HS containing product</w:t>
      </w:r>
      <w:r w:rsidR="00A7730A" w:rsidRPr="00325AC7">
        <w:t xml:space="preserve"> will </w:t>
      </w:r>
      <w:r w:rsidR="000A4FBD" w:rsidRPr="00325AC7">
        <w:t>shift the market share</w:t>
      </w:r>
      <w:r w:rsidR="00AB4457" w:rsidRPr="00325AC7">
        <w:t xml:space="preserve"> and that it is unlikely CGH will substitute for </w:t>
      </w:r>
      <w:r w:rsidR="00874E6D" w:rsidRPr="00325AC7">
        <w:t>HS-free</w:t>
      </w:r>
      <w:r w:rsidR="00AB4457" w:rsidRPr="00325AC7">
        <w:t xml:space="preserve"> ocular lubricants any more than the HS containing ocular lubricants would.</w:t>
      </w:r>
    </w:p>
    <w:p w14:paraId="49AB95D6" w14:textId="2D5D3233" w:rsidR="00130412" w:rsidRPr="00325AC7" w:rsidRDefault="00130412" w:rsidP="00033BDD">
      <w:pPr>
        <w:pStyle w:val="3-BodyText"/>
      </w:pPr>
      <w:r w:rsidRPr="00325AC7">
        <w:t xml:space="preserve">Table </w:t>
      </w:r>
      <w:r w:rsidR="00302F7F" w:rsidRPr="00325AC7">
        <w:t>4</w:t>
      </w:r>
      <w:r w:rsidRPr="00325AC7">
        <w:t xml:space="preserve"> presents the estimated </w:t>
      </w:r>
      <w:r w:rsidR="00316948" w:rsidRPr="00325AC7">
        <w:t>use and the financial implications of CGH</w:t>
      </w:r>
      <w:r w:rsidRPr="00325AC7">
        <w:t xml:space="preserve"> to the PBS/RPBS</w:t>
      </w:r>
      <w:r w:rsidR="00FD0A9A" w:rsidRPr="00325AC7">
        <w:t>.</w:t>
      </w:r>
    </w:p>
    <w:p w14:paraId="78955761" w14:textId="6944B88E" w:rsidR="007A688B" w:rsidRPr="008F5B0E" w:rsidRDefault="007A688B" w:rsidP="008F5B0E">
      <w:pPr>
        <w:pStyle w:val="TableFigureHeading"/>
      </w:pPr>
      <w:r w:rsidRPr="008F5B0E">
        <w:t xml:space="preserve">Table </w:t>
      </w:r>
      <w:r w:rsidR="002013AB">
        <w:fldChar w:fldCharType="begin" w:fldLock="1"/>
      </w:r>
      <w:r w:rsidR="002013AB">
        <w:instrText xml:space="preserve"> SEQ Table \* ARABIC </w:instrText>
      </w:r>
      <w:r w:rsidR="002013AB">
        <w:fldChar w:fldCharType="separate"/>
      </w:r>
      <w:r w:rsidR="000A071E">
        <w:rPr>
          <w:noProof/>
        </w:rPr>
        <w:t>4</w:t>
      </w:r>
      <w:r w:rsidR="002013AB">
        <w:rPr>
          <w:noProof/>
        </w:rPr>
        <w:fldChar w:fldCharType="end"/>
      </w:r>
      <w:r w:rsidRPr="008F5B0E">
        <w:t>: Estimated use and financial implications</w:t>
      </w: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
        <w:tblDescription w:val="Table 4: Estimated use and financial implications "/>
      </w:tblPr>
      <w:tblGrid>
        <w:gridCol w:w="3255"/>
        <w:gridCol w:w="988"/>
        <w:gridCol w:w="854"/>
        <w:gridCol w:w="1000"/>
        <w:gridCol w:w="1000"/>
        <w:gridCol w:w="1000"/>
        <w:gridCol w:w="1007"/>
      </w:tblGrid>
      <w:tr w:rsidR="00130412" w:rsidRPr="00325AC7" w14:paraId="2A73A981" w14:textId="77777777" w:rsidTr="000D6AD2">
        <w:trPr>
          <w:cantSplit/>
          <w:trHeight w:val="241"/>
          <w:tblHeader/>
          <w:jc w:val="center"/>
        </w:trPr>
        <w:tc>
          <w:tcPr>
            <w:tcW w:w="1788" w:type="pct"/>
            <w:shd w:val="clear" w:color="auto" w:fill="auto"/>
            <w:vAlign w:val="center"/>
          </w:tcPr>
          <w:p w14:paraId="0CBFCD4A" w14:textId="77777777" w:rsidR="00130412" w:rsidRPr="00325AC7" w:rsidRDefault="00130412" w:rsidP="00164163">
            <w:pPr>
              <w:pStyle w:val="TableText0"/>
              <w:keepLines/>
            </w:pPr>
          </w:p>
        </w:tc>
        <w:tc>
          <w:tcPr>
            <w:tcW w:w="543" w:type="pct"/>
            <w:shd w:val="clear" w:color="auto" w:fill="auto"/>
            <w:vAlign w:val="center"/>
          </w:tcPr>
          <w:p w14:paraId="35333486" w14:textId="77777777" w:rsidR="00130412" w:rsidRPr="00325AC7" w:rsidRDefault="00130412" w:rsidP="00A64BA7">
            <w:pPr>
              <w:pStyle w:val="TableText0"/>
              <w:keepLines/>
              <w:jc w:val="center"/>
              <w:rPr>
                <w:b/>
              </w:rPr>
            </w:pPr>
            <w:r w:rsidRPr="00325AC7">
              <w:rPr>
                <w:b/>
              </w:rPr>
              <w:t>Year 1</w:t>
            </w:r>
          </w:p>
        </w:tc>
        <w:tc>
          <w:tcPr>
            <w:tcW w:w="469" w:type="pct"/>
            <w:shd w:val="clear" w:color="auto" w:fill="auto"/>
            <w:vAlign w:val="center"/>
          </w:tcPr>
          <w:p w14:paraId="0872D95C" w14:textId="77777777" w:rsidR="00130412" w:rsidRPr="00325AC7" w:rsidRDefault="00130412" w:rsidP="00A64BA7">
            <w:pPr>
              <w:pStyle w:val="TableText0"/>
              <w:keepLines/>
              <w:jc w:val="center"/>
              <w:rPr>
                <w:b/>
              </w:rPr>
            </w:pPr>
            <w:r w:rsidRPr="00325AC7">
              <w:rPr>
                <w:b/>
              </w:rPr>
              <w:t>Year 2</w:t>
            </w:r>
          </w:p>
        </w:tc>
        <w:tc>
          <w:tcPr>
            <w:tcW w:w="549" w:type="pct"/>
            <w:shd w:val="clear" w:color="auto" w:fill="auto"/>
            <w:vAlign w:val="center"/>
          </w:tcPr>
          <w:p w14:paraId="3909562B" w14:textId="77777777" w:rsidR="00130412" w:rsidRPr="00325AC7" w:rsidRDefault="00130412" w:rsidP="00A64BA7">
            <w:pPr>
              <w:pStyle w:val="TableText0"/>
              <w:keepLines/>
              <w:jc w:val="center"/>
              <w:rPr>
                <w:b/>
              </w:rPr>
            </w:pPr>
            <w:r w:rsidRPr="00325AC7">
              <w:rPr>
                <w:b/>
              </w:rPr>
              <w:t>Year 3</w:t>
            </w:r>
          </w:p>
        </w:tc>
        <w:tc>
          <w:tcPr>
            <w:tcW w:w="549" w:type="pct"/>
            <w:shd w:val="clear" w:color="auto" w:fill="auto"/>
            <w:vAlign w:val="center"/>
          </w:tcPr>
          <w:p w14:paraId="363B8EDB" w14:textId="77777777" w:rsidR="00130412" w:rsidRPr="00325AC7" w:rsidRDefault="00130412" w:rsidP="00A64BA7">
            <w:pPr>
              <w:pStyle w:val="TableText0"/>
              <w:keepLines/>
              <w:jc w:val="center"/>
              <w:rPr>
                <w:b/>
              </w:rPr>
            </w:pPr>
            <w:r w:rsidRPr="00325AC7">
              <w:rPr>
                <w:b/>
              </w:rPr>
              <w:t>Year 4</w:t>
            </w:r>
          </w:p>
        </w:tc>
        <w:tc>
          <w:tcPr>
            <w:tcW w:w="549" w:type="pct"/>
            <w:shd w:val="clear" w:color="auto" w:fill="auto"/>
            <w:vAlign w:val="center"/>
          </w:tcPr>
          <w:p w14:paraId="25E43C3B" w14:textId="77777777" w:rsidR="00130412" w:rsidRPr="00325AC7" w:rsidRDefault="00130412" w:rsidP="00A64BA7">
            <w:pPr>
              <w:pStyle w:val="TableText0"/>
              <w:keepLines/>
              <w:jc w:val="center"/>
              <w:rPr>
                <w:b/>
              </w:rPr>
            </w:pPr>
            <w:r w:rsidRPr="00325AC7">
              <w:rPr>
                <w:b/>
              </w:rPr>
              <w:t>Year 5</w:t>
            </w:r>
          </w:p>
        </w:tc>
        <w:tc>
          <w:tcPr>
            <w:tcW w:w="552" w:type="pct"/>
            <w:vAlign w:val="center"/>
          </w:tcPr>
          <w:p w14:paraId="3FE760A6" w14:textId="77777777" w:rsidR="00130412" w:rsidRPr="00325AC7" w:rsidRDefault="00130412" w:rsidP="00A64BA7">
            <w:pPr>
              <w:pStyle w:val="TableText0"/>
              <w:keepLines/>
              <w:jc w:val="center"/>
              <w:rPr>
                <w:b/>
              </w:rPr>
            </w:pPr>
            <w:r w:rsidRPr="00325AC7">
              <w:rPr>
                <w:b/>
              </w:rPr>
              <w:t>Year 6</w:t>
            </w:r>
          </w:p>
        </w:tc>
      </w:tr>
      <w:tr w:rsidR="00130412" w:rsidRPr="00325AC7" w14:paraId="0C63B084" w14:textId="77777777" w:rsidTr="000D6AD2">
        <w:trPr>
          <w:cantSplit/>
          <w:trHeight w:val="241"/>
          <w:jc w:val="center"/>
        </w:trPr>
        <w:tc>
          <w:tcPr>
            <w:tcW w:w="5000" w:type="pct"/>
            <w:gridSpan w:val="7"/>
            <w:shd w:val="clear" w:color="auto" w:fill="auto"/>
            <w:vAlign w:val="center"/>
          </w:tcPr>
          <w:p w14:paraId="323A949A" w14:textId="77777777" w:rsidR="00130412" w:rsidRPr="00325AC7" w:rsidRDefault="00130412" w:rsidP="00164163">
            <w:pPr>
              <w:pStyle w:val="TableText0"/>
              <w:keepLines/>
              <w:rPr>
                <w:b/>
                <w:color w:val="000000"/>
              </w:rPr>
            </w:pPr>
            <w:r w:rsidRPr="00325AC7">
              <w:rPr>
                <w:b/>
                <w:color w:val="000000"/>
              </w:rPr>
              <w:t>Estimated extent of use</w:t>
            </w:r>
          </w:p>
        </w:tc>
      </w:tr>
      <w:tr w:rsidR="00FE7756" w:rsidRPr="00325AC7" w14:paraId="600A5A62" w14:textId="77777777" w:rsidTr="000D6AD2">
        <w:trPr>
          <w:cantSplit/>
          <w:trHeight w:val="241"/>
          <w:jc w:val="center"/>
        </w:trPr>
        <w:tc>
          <w:tcPr>
            <w:tcW w:w="1788" w:type="pct"/>
            <w:shd w:val="clear" w:color="auto" w:fill="auto"/>
            <w:vAlign w:val="center"/>
          </w:tcPr>
          <w:p w14:paraId="3738182D" w14:textId="25B0D0CF" w:rsidR="00FE7756" w:rsidRPr="00325AC7" w:rsidRDefault="00FE7756" w:rsidP="00FE7756">
            <w:pPr>
              <w:pStyle w:val="TableText0"/>
              <w:keepLines/>
              <w:rPr>
                <w:vertAlign w:val="superscript"/>
              </w:rPr>
            </w:pPr>
            <w:r w:rsidRPr="00325AC7">
              <w:t xml:space="preserve">Number of </w:t>
            </w:r>
            <w:r w:rsidR="00A64BA7" w:rsidRPr="00325AC7">
              <w:t xml:space="preserve">CGH </w:t>
            </w:r>
            <w:r w:rsidRPr="00325AC7">
              <w:t>scripts dispensed</w:t>
            </w:r>
          </w:p>
        </w:tc>
        <w:tc>
          <w:tcPr>
            <w:tcW w:w="543" w:type="pct"/>
            <w:vAlign w:val="center"/>
          </w:tcPr>
          <w:p w14:paraId="7E043A01" w14:textId="4C605ABD" w:rsidR="00FE7756" w:rsidRPr="002E7F24" w:rsidRDefault="00DC3DD9" w:rsidP="00A64BA7">
            <w:pPr>
              <w:pStyle w:val="TableText0"/>
              <w:keepLines/>
              <w:jc w:val="center"/>
              <w:rPr>
                <w:color w:val="000000"/>
                <w:highlight w:val="darkGray"/>
              </w:rPr>
            </w:pPr>
            <w:r w:rsidRPr="00DC3DD9">
              <w:rPr>
                <w:rFonts w:hint="eastAsia"/>
                <w:color w:val="000000"/>
                <w:w w:val="15"/>
                <w:shd w:val="solid" w:color="000000" w:fill="000000"/>
                <w:fitText w:val="45" w:id="-1234509824"/>
                <w14:textFill>
                  <w14:solidFill>
                    <w14:srgbClr w14:val="000000">
                      <w14:alpha w14:val="100000"/>
                    </w14:srgbClr>
                  </w14:solidFill>
                </w14:textFill>
              </w:rPr>
              <w:t xml:space="preserve">　</w:t>
            </w:r>
            <w:r w:rsidRPr="00DC3DD9">
              <w:rPr>
                <w:color w:val="000000"/>
                <w:w w:val="15"/>
                <w:shd w:val="solid" w:color="000000" w:fill="000000"/>
                <w:fitText w:val="45" w:id="-1234509824"/>
                <w14:textFill>
                  <w14:solidFill>
                    <w14:srgbClr w14:val="000000">
                      <w14:alpha w14:val="100000"/>
                    </w14:srgbClr>
                  </w14:solidFill>
                </w14:textFill>
              </w:rPr>
              <w:t>|</w:t>
            </w:r>
            <w:r w:rsidRPr="00DC3DD9">
              <w:rPr>
                <w:rFonts w:hint="eastAsia"/>
                <w:color w:val="000000"/>
                <w:spacing w:val="-30"/>
                <w:w w:val="15"/>
                <w:shd w:val="solid" w:color="000000" w:fill="000000"/>
                <w:fitText w:val="45" w:id="-1234509824"/>
                <w14:textFill>
                  <w14:solidFill>
                    <w14:srgbClr w14:val="000000">
                      <w14:alpha w14:val="100000"/>
                    </w14:srgbClr>
                  </w14:solidFill>
                </w14:textFill>
              </w:rPr>
              <w:t xml:space="preserve">　</w:t>
            </w:r>
            <w:r w:rsidR="00FB154E" w:rsidRPr="002E7F24">
              <w:rPr>
                <w:color w:val="000000"/>
                <w:vertAlign w:val="superscript"/>
              </w:rPr>
              <w:t>1</w:t>
            </w:r>
          </w:p>
        </w:tc>
        <w:tc>
          <w:tcPr>
            <w:tcW w:w="469" w:type="pct"/>
            <w:vAlign w:val="center"/>
          </w:tcPr>
          <w:p w14:paraId="03323965" w14:textId="75F27D0B" w:rsidR="00FE7756" w:rsidRPr="002E7F24" w:rsidRDefault="00DC3DD9" w:rsidP="00A64BA7">
            <w:pPr>
              <w:pStyle w:val="TableText0"/>
              <w:keepLines/>
              <w:jc w:val="center"/>
              <w:rPr>
                <w:color w:val="000000"/>
                <w:highlight w:val="darkGray"/>
              </w:rPr>
            </w:pPr>
            <w:r w:rsidRPr="00DC3DD9">
              <w:rPr>
                <w:color w:val="000000"/>
                <w:spacing w:val="41"/>
                <w:shd w:val="solid" w:color="000000" w:fill="000000"/>
                <w:fitText w:val="465" w:id="-1234509823"/>
                <w14:textFill>
                  <w14:solidFill>
                    <w14:srgbClr w14:val="000000">
                      <w14:alpha w14:val="100000"/>
                    </w14:srgbClr>
                  </w14:solidFill>
                </w14:textFill>
              </w:rPr>
              <w:t>|||||</w:t>
            </w:r>
            <w:r w:rsidRPr="00DC3DD9">
              <w:rPr>
                <w:color w:val="000000"/>
                <w:spacing w:val="5"/>
                <w:shd w:val="solid" w:color="000000" w:fill="000000"/>
                <w:fitText w:val="465" w:id="-1234509823"/>
                <w14:textFill>
                  <w14:solidFill>
                    <w14:srgbClr w14:val="000000">
                      <w14:alpha w14:val="100000"/>
                    </w14:srgbClr>
                  </w14:solidFill>
                </w14:textFill>
              </w:rPr>
              <w:t>|</w:t>
            </w:r>
            <w:r w:rsidR="00FB154E">
              <w:rPr>
                <w:color w:val="000000"/>
                <w:vertAlign w:val="superscript"/>
              </w:rPr>
              <w:t>2</w:t>
            </w:r>
          </w:p>
        </w:tc>
        <w:tc>
          <w:tcPr>
            <w:tcW w:w="549" w:type="pct"/>
            <w:vAlign w:val="center"/>
          </w:tcPr>
          <w:p w14:paraId="38D08313" w14:textId="4CA8F4E0" w:rsidR="00FE7756" w:rsidRPr="002E7F24" w:rsidRDefault="00DC3DD9" w:rsidP="00A64BA7">
            <w:pPr>
              <w:pStyle w:val="TableText0"/>
              <w:keepLines/>
              <w:jc w:val="center"/>
              <w:rPr>
                <w:color w:val="000000"/>
                <w:highlight w:val="darkGray"/>
              </w:rPr>
            </w:pPr>
            <w:r w:rsidRPr="00DC3DD9">
              <w:rPr>
                <w:color w:val="000000"/>
                <w:spacing w:val="78"/>
                <w:shd w:val="solid" w:color="000000" w:fill="000000"/>
                <w:fitText w:val="405" w:id="-1234509822"/>
                <w14:textFill>
                  <w14:solidFill>
                    <w14:srgbClr w14:val="000000">
                      <w14:alpha w14:val="100000"/>
                    </w14:srgbClr>
                  </w14:solidFill>
                </w14:textFill>
              </w:rPr>
              <w:t>|||</w:t>
            </w:r>
            <w:r w:rsidRPr="00DC3DD9">
              <w:rPr>
                <w:color w:val="000000"/>
                <w:spacing w:val="1"/>
                <w:shd w:val="solid" w:color="000000" w:fill="000000"/>
                <w:fitText w:val="405" w:id="-1234509822"/>
                <w14:textFill>
                  <w14:solidFill>
                    <w14:srgbClr w14:val="000000">
                      <w14:alpha w14:val="100000"/>
                    </w14:srgbClr>
                  </w14:solidFill>
                </w14:textFill>
              </w:rPr>
              <w:t>|</w:t>
            </w:r>
            <w:r w:rsidR="00FB154E">
              <w:rPr>
                <w:color w:val="000000"/>
                <w:vertAlign w:val="superscript"/>
              </w:rPr>
              <w:t>3</w:t>
            </w:r>
          </w:p>
        </w:tc>
        <w:tc>
          <w:tcPr>
            <w:tcW w:w="549" w:type="pct"/>
            <w:vAlign w:val="center"/>
          </w:tcPr>
          <w:p w14:paraId="32415043" w14:textId="06CEA8F4" w:rsidR="00FE7756" w:rsidRPr="002E7F24" w:rsidRDefault="00DC3DD9" w:rsidP="00A64BA7">
            <w:pPr>
              <w:pStyle w:val="TableText0"/>
              <w:keepLines/>
              <w:jc w:val="center"/>
              <w:rPr>
                <w:color w:val="000000"/>
                <w:highlight w:val="darkGray"/>
              </w:rPr>
            </w:pPr>
            <w:r w:rsidRPr="00DC3DD9">
              <w:rPr>
                <w:color w:val="000000"/>
                <w:spacing w:val="78"/>
                <w:shd w:val="solid" w:color="000000" w:fill="000000"/>
                <w:fitText w:val="405" w:id="-1234509821"/>
                <w14:textFill>
                  <w14:solidFill>
                    <w14:srgbClr w14:val="000000">
                      <w14:alpha w14:val="100000"/>
                    </w14:srgbClr>
                  </w14:solidFill>
                </w14:textFill>
              </w:rPr>
              <w:t>|||</w:t>
            </w:r>
            <w:r w:rsidRPr="00DC3DD9">
              <w:rPr>
                <w:color w:val="000000"/>
                <w:spacing w:val="1"/>
                <w:shd w:val="solid" w:color="000000" w:fill="000000"/>
                <w:fitText w:val="405" w:id="-1234509821"/>
                <w14:textFill>
                  <w14:solidFill>
                    <w14:srgbClr w14:val="000000">
                      <w14:alpha w14:val="100000"/>
                    </w14:srgbClr>
                  </w14:solidFill>
                </w14:textFill>
              </w:rPr>
              <w:t>|</w:t>
            </w:r>
            <w:r w:rsidR="00FB154E">
              <w:rPr>
                <w:color w:val="000000"/>
                <w:vertAlign w:val="superscript"/>
              </w:rPr>
              <w:t>3</w:t>
            </w:r>
          </w:p>
        </w:tc>
        <w:tc>
          <w:tcPr>
            <w:tcW w:w="549" w:type="pct"/>
            <w:vAlign w:val="center"/>
          </w:tcPr>
          <w:p w14:paraId="0EB0FB73" w14:textId="26857415" w:rsidR="00FE7756" w:rsidRPr="002E7F24" w:rsidRDefault="00DC3DD9" w:rsidP="00A64BA7">
            <w:pPr>
              <w:pStyle w:val="TableText0"/>
              <w:keepLines/>
              <w:jc w:val="center"/>
              <w:rPr>
                <w:color w:val="000000"/>
                <w:highlight w:val="darkGray"/>
              </w:rPr>
            </w:pPr>
            <w:r w:rsidRPr="00DC3DD9">
              <w:rPr>
                <w:color w:val="000000"/>
                <w:spacing w:val="78"/>
                <w:shd w:val="solid" w:color="000000" w:fill="000000"/>
                <w:fitText w:val="405" w:id="-1234509820"/>
                <w14:textFill>
                  <w14:solidFill>
                    <w14:srgbClr w14:val="000000">
                      <w14:alpha w14:val="100000"/>
                    </w14:srgbClr>
                  </w14:solidFill>
                </w14:textFill>
              </w:rPr>
              <w:t>|||</w:t>
            </w:r>
            <w:r w:rsidRPr="00DC3DD9">
              <w:rPr>
                <w:color w:val="000000"/>
                <w:spacing w:val="1"/>
                <w:shd w:val="solid" w:color="000000" w:fill="000000"/>
                <w:fitText w:val="405" w:id="-1234509820"/>
                <w14:textFill>
                  <w14:solidFill>
                    <w14:srgbClr w14:val="000000">
                      <w14:alpha w14:val="100000"/>
                    </w14:srgbClr>
                  </w14:solidFill>
                </w14:textFill>
              </w:rPr>
              <w:t>|</w:t>
            </w:r>
            <w:r w:rsidR="00FB154E">
              <w:rPr>
                <w:color w:val="000000"/>
                <w:vertAlign w:val="superscript"/>
              </w:rPr>
              <w:t>4</w:t>
            </w:r>
          </w:p>
        </w:tc>
        <w:tc>
          <w:tcPr>
            <w:tcW w:w="552" w:type="pct"/>
            <w:vAlign w:val="center"/>
          </w:tcPr>
          <w:p w14:paraId="36AB2DD7" w14:textId="00EA45BA" w:rsidR="00FE7756" w:rsidRPr="002E7F24" w:rsidRDefault="00DC3DD9" w:rsidP="00A64BA7">
            <w:pPr>
              <w:pStyle w:val="TableText0"/>
              <w:keepLines/>
              <w:jc w:val="center"/>
              <w:rPr>
                <w:color w:val="000000"/>
                <w:highlight w:val="darkGray"/>
              </w:rPr>
            </w:pPr>
            <w:r w:rsidRPr="00DC3DD9">
              <w:rPr>
                <w:color w:val="000000"/>
                <w:spacing w:val="60"/>
                <w:shd w:val="solid" w:color="000000" w:fill="000000"/>
                <w:fitText w:val="375" w:id="-1234509819"/>
                <w14:textFill>
                  <w14:solidFill>
                    <w14:srgbClr w14:val="000000">
                      <w14:alpha w14:val="100000"/>
                    </w14:srgbClr>
                  </w14:solidFill>
                </w14:textFill>
              </w:rPr>
              <w:t>|||</w:t>
            </w:r>
            <w:r w:rsidRPr="00DC3DD9">
              <w:rPr>
                <w:color w:val="000000"/>
                <w:spacing w:val="15"/>
                <w:shd w:val="solid" w:color="000000" w:fill="000000"/>
                <w:fitText w:val="375" w:id="-1234509819"/>
                <w14:textFill>
                  <w14:solidFill>
                    <w14:srgbClr w14:val="000000">
                      <w14:alpha w14:val="100000"/>
                    </w14:srgbClr>
                  </w14:solidFill>
                </w14:textFill>
              </w:rPr>
              <w:t>|</w:t>
            </w:r>
            <w:r w:rsidR="00FB154E">
              <w:rPr>
                <w:color w:val="000000"/>
                <w:vertAlign w:val="superscript"/>
              </w:rPr>
              <w:t>4</w:t>
            </w:r>
          </w:p>
        </w:tc>
      </w:tr>
      <w:tr w:rsidR="00A64BA7" w:rsidRPr="00325AC7" w14:paraId="784315BF" w14:textId="77777777" w:rsidTr="000D6AD2">
        <w:trPr>
          <w:cantSplit/>
          <w:trHeight w:val="241"/>
          <w:jc w:val="center"/>
        </w:trPr>
        <w:tc>
          <w:tcPr>
            <w:tcW w:w="1788" w:type="pct"/>
            <w:shd w:val="clear" w:color="auto" w:fill="auto"/>
            <w:vAlign w:val="center"/>
          </w:tcPr>
          <w:p w14:paraId="65C10335" w14:textId="07764089" w:rsidR="00A64BA7" w:rsidRPr="00325AC7" w:rsidRDefault="00A64BA7" w:rsidP="00A64BA7">
            <w:pPr>
              <w:pStyle w:val="TableText0"/>
              <w:keepLines/>
            </w:pPr>
            <w:r w:rsidRPr="00325AC7">
              <w:t>Number of HA 0.1% scripts dispensed</w:t>
            </w:r>
          </w:p>
        </w:tc>
        <w:tc>
          <w:tcPr>
            <w:tcW w:w="543" w:type="pct"/>
            <w:vAlign w:val="center"/>
          </w:tcPr>
          <w:p w14:paraId="38A4F43A" w14:textId="713B74EB" w:rsidR="00A64BA7" w:rsidRPr="002E7F24" w:rsidRDefault="00A64BA7" w:rsidP="00A64BA7">
            <w:pPr>
              <w:pStyle w:val="TableText0"/>
              <w:keepLines/>
              <w:jc w:val="center"/>
              <w:rPr>
                <w:color w:val="000000"/>
                <w:highlight w:val="darkGray"/>
              </w:rPr>
            </w:pPr>
            <w:r w:rsidRPr="00FB154E">
              <w:rPr>
                <w:color w:val="000000"/>
              </w:rPr>
              <w:t>-</w:t>
            </w:r>
            <w:r w:rsidR="00DC3DD9" w:rsidRPr="000243DD">
              <w:rPr>
                <w:rFonts w:hint="eastAsia"/>
                <w:color w:val="000000"/>
                <w:w w:val="16"/>
                <w:shd w:val="solid" w:color="000000" w:fill="000000"/>
                <w:fitText w:val="75" w:id="-1234509818"/>
                <w14:textFill>
                  <w14:solidFill>
                    <w14:srgbClr w14:val="000000">
                      <w14:alpha w14:val="100000"/>
                    </w14:srgbClr>
                  </w14:solidFill>
                </w14:textFill>
              </w:rPr>
              <w:t xml:space="preserve">　</w:t>
            </w:r>
            <w:r w:rsidR="00DC3DD9" w:rsidRPr="000243DD">
              <w:rPr>
                <w:color w:val="000000"/>
                <w:w w:val="16"/>
                <w:shd w:val="solid" w:color="000000" w:fill="000000"/>
                <w:fitText w:val="75" w:id="-1234509818"/>
                <w14:textFill>
                  <w14:solidFill>
                    <w14:srgbClr w14:val="000000">
                      <w14:alpha w14:val="100000"/>
                    </w14:srgbClr>
                  </w14:solidFill>
                </w14:textFill>
              </w:rPr>
              <w:t>|</w:t>
            </w:r>
            <w:r w:rsidR="00DC3DD9" w:rsidRPr="000243DD">
              <w:rPr>
                <w:rFonts w:hint="eastAsia"/>
                <w:color w:val="000000"/>
                <w:spacing w:val="5"/>
                <w:w w:val="16"/>
                <w:shd w:val="solid" w:color="000000" w:fill="000000"/>
                <w:fitText w:val="75" w:id="-1234509818"/>
                <w14:textFill>
                  <w14:solidFill>
                    <w14:srgbClr w14:val="000000">
                      <w14:alpha w14:val="100000"/>
                    </w14:srgbClr>
                  </w14:solidFill>
                </w14:textFill>
              </w:rPr>
              <w:t xml:space="preserve">　</w:t>
            </w:r>
            <w:r w:rsidR="00FB154E" w:rsidRPr="006F69AD">
              <w:rPr>
                <w:color w:val="000000"/>
                <w:vertAlign w:val="superscript"/>
              </w:rPr>
              <w:t>1</w:t>
            </w:r>
          </w:p>
        </w:tc>
        <w:tc>
          <w:tcPr>
            <w:tcW w:w="469" w:type="pct"/>
            <w:vAlign w:val="center"/>
          </w:tcPr>
          <w:p w14:paraId="2B3A2518" w14:textId="5EEFCF80" w:rsidR="00A64BA7" w:rsidRPr="002E7F24" w:rsidRDefault="00A64BA7" w:rsidP="00A64BA7">
            <w:pPr>
              <w:pStyle w:val="TableText0"/>
              <w:keepLines/>
              <w:jc w:val="center"/>
              <w:rPr>
                <w:color w:val="000000"/>
                <w:highlight w:val="darkGray"/>
              </w:rPr>
            </w:pPr>
            <w:r w:rsidRPr="00FB154E">
              <w:rPr>
                <w:color w:val="000000"/>
              </w:rPr>
              <w:t>-</w:t>
            </w:r>
            <w:r w:rsidR="00DC3DD9" w:rsidRPr="00DC3DD9">
              <w:rPr>
                <w:color w:val="000000"/>
                <w:spacing w:val="47"/>
                <w:shd w:val="solid" w:color="000000" w:fill="000000"/>
                <w:fitText w:val="495" w:id="-1234509817"/>
                <w14:textFill>
                  <w14:solidFill>
                    <w14:srgbClr w14:val="000000">
                      <w14:alpha w14:val="100000"/>
                    </w14:srgbClr>
                  </w14:solidFill>
                </w14:textFill>
              </w:rPr>
              <w:t>|||||</w:t>
            </w:r>
            <w:r w:rsidR="00DC3DD9" w:rsidRPr="00DC3DD9">
              <w:rPr>
                <w:color w:val="000000"/>
                <w:spacing w:val="5"/>
                <w:shd w:val="solid" w:color="000000" w:fill="000000"/>
                <w:fitText w:val="495" w:id="-1234509817"/>
                <w14:textFill>
                  <w14:solidFill>
                    <w14:srgbClr w14:val="000000">
                      <w14:alpha w14:val="100000"/>
                    </w14:srgbClr>
                  </w14:solidFill>
                </w14:textFill>
              </w:rPr>
              <w:t>|</w:t>
            </w:r>
            <w:r w:rsidR="00FB154E">
              <w:rPr>
                <w:color w:val="000000"/>
                <w:vertAlign w:val="superscript"/>
              </w:rPr>
              <w:t>2</w:t>
            </w:r>
          </w:p>
        </w:tc>
        <w:tc>
          <w:tcPr>
            <w:tcW w:w="549" w:type="pct"/>
            <w:vAlign w:val="center"/>
          </w:tcPr>
          <w:p w14:paraId="70ADE341" w14:textId="1181A1E4" w:rsidR="00A64BA7" w:rsidRPr="002E7F24" w:rsidRDefault="00A64BA7" w:rsidP="00A64BA7">
            <w:pPr>
              <w:pStyle w:val="TableText0"/>
              <w:keepLines/>
              <w:jc w:val="center"/>
              <w:rPr>
                <w:color w:val="000000"/>
                <w:highlight w:val="darkGray"/>
              </w:rPr>
            </w:pPr>
            <w:r w:rsidRPr="00FB154E">
              <w:rPr>
                <w:color w:val="000000"/>
              </w:rPr>
              <w:t>-</w:t>
            </w:r>
            <w:r w:rsidR="00DC3DD9" w:rsidRPr="00DC3DD9">
              <w:rPr>
                <w:color w:val="000000"/>
                <w:spacing w:val="32"/>
                <w:shd w:val="solid" w:color="000000" w:fill="000000"/>
                <w:fitText w:val="420" w:id="-1234509816"/>
                <w14:textFill>
                  <w14:solidFill>
                    <w14:srgbClr w14:val="000000">
                      <w14:alpha w14:val="100000"/>
                    </w14:srgbClr>
                  </w14:solidFill>
                </w14:textFill>
              </w:rPr>
              <w:t>|||||</w:t>
            </w:r>
            <w:r w:rsidR="00DC3DD9" w:rsidRPr="00DC3DD9">
              <w:rPr>
                <w:color w:val="000000"/>
                <w:spacing w:val="5"/>
                <w:shd w:val="solid" w:color="000000" w:fill="000000"/>
                <w:fitText w:val="420" w:id="-1234509816"/>
                <w14:textFill>
                  <w14:solidFill>
                    <w14:srgbClr w14:val="000000">
                      <w14:alpha w14:val="100000"/>
                    </w14:srgbClr>
                  </w14:solidFill>
                </w14:textFill>
              </w:rPr>
              <w:t>|</w:t>
            </w:r>
            <w:r w:rsidR="00FB154E">
              <w:rPr>
                <w:color w:val="000000"/>
                <w:vertAlign w:val="superscript"/>
              </w:rPr>
              <w:t>3</w:t>
            </w:r>
          </w:p>
        </w:tc>
        <w:tc>
          <w:tcPr>
            <w:tcW w:w="549" w:type="pct"/>
            <w:vAlign w:val="center"/>
          </w:tcPr>
          <w:p w14:paraId="59F43723" w14:textId="2F4EA068" w:rsidR="00A64BA7" w:rsidRPr="002E7F24" w:rsidRDefault="00A64BA7" w:rsidP="00A64BA7">
            <w:pPr>
              <w:pStyle w:val="TableText0"/>
              <w:keepLines/>
              <w:jc w:val="center"/>
              <w:rPr>
                <w:color w:val="000000"/>
                <w:highlight w:val="darkGray"/>
              </w:rPr>
            </w:pPr>
            <w:r w:rsidRPr="00FB154E">
              <w:rPr>
                <w:color w:val="000000"/>
              </w:rPr>
              <w:t>-</w:t>
            </w:r>
            <w:r w:rsidR="00DC3DD9" w:rsidRPr="00DC3DD9">
              <w:rPr>
                <w:color w:val="000000"/>
                <w:spacing w:val="32"/>
                <w:shd w:val="solid" w:color="000000" w:fill="000000"/>
                <w:fitText w:val="420" w:id="-1234509815"/>
                <w14:textFill>
                  <w14:solidFill>
                    <w14:srgbClr w14:val="000000">
                      <w14:alpha w14:val="100000"/>
                    </w14:srgbClr>
                  </w14:solidFill>
                </w14:textFill>
              </w:rPr>
              <w:t>|||||</w:t>
            </w:r>
            <w:r w:rsidR="00DC3DD9" w:rsidRPr="00DC3DD9">
              <w:rPr>
                <w:color w:val="000000"/>
                <w:spacing w:val="5"/>
                <w:shd w:val="solid" w:color="000000" w:fill="000000"/>
                <w:fitText w:val="420" w:id="-1234509815"/>
                <w14:textFill>
                  <w14:solidFill>
                    <w14:srgbClr w14:val="000000">
                      <w14:alpha w14:val="100000"/>
                    </w14:srgbClr>
                  </w14:solidFill>
                </w14:textFill>
              </w:rPr>
              <w:t>|</w:t>
            </w:r>
            <w:r w:rsidR="00FB154E">
              <w:rPr>
                <w:color w:val="000000"/>
                <w:vertAlign w:val="superscript"/>
              </w:rPr>
              <w:t>3</w:t>
            </w:r>
          </w:p>
        </w:tc>
        <w:tc>
          <w:tcPr>
            <w:tcW w:w="549" w:type="pct"/>
            <w:vAlign w:val="center"/>
          </w:tcPr>
          <w:p w14:paraId="08F423BE" w14:textId="1A76EF7F" w:rsidR="00A64BA7" w:rsidRPr="002E7F24" w:rsidRDefault="00A64BA7" w:rsidP="00A64BA7">
            <w:pPr>
              <w:pStyle w:val="TableText0"/>
              <w:keepLines/>
              <w:jc w:val="center"/>
              <w:rPr>
                <w:color w:val="000000"/>
                <w:highlight w:val="darkGray"/>
              </w:rPr>
            </w:pPr>
            <w:r w:rsidRPr="00FB154E">
              <w:rPr>
                <w:color w:val="000000"/>
              </w:rPr>
              <w:t>-</w:t>
            </w:r>
            <w:r w:rsidR="00DC3DD9" w:rsidRPr="00DC3DD9">
              <w:rPr>
                <w:color w:val="000000"/>
                <w:spacing w:val="32"/>
                <w:shd w:val="solid" w:color="000000" w:fill="000000"/>
                <w:fitText w:val="420" w:id="-1234509814"/>
                <w14:textFill>
                  <w14:solidFill>
                    <w14:srgbClr w14:val="000000">
                      <w14:alpha w14:val="100000"/>
                    </w14:srgbClr>
                  </w14:solidFill>
                </w14:textFill>
              </w:rPr>
              <w:t>|||||</w:t>
            </w:r>
            <w:r w:rsidR="00DC3DD9" w:rsidRPr="00DC3DD9">
              <w:rPr>
                <w:color w:val="000000"/>
                <w:spacing w:val="5"/>
                <w:shd w:val="solid" w:color="000000" w:fill="000000"/>
                <w:fitText w:val="420" w:id="-1234509814"/>
                <w14:textFill>
                  <w14:solidFill>
                    <w14:srgbClr w14:val="000000">
                      <w14:alpha w14:val="100000"/>
                    </w14:srgbClr>
                  </w14:solidFill>
                </w14:textFill>
              </w:rPr>
              <w:t>|</w:t>
            </w:r>
            <w:r w:rsidR="00FB154E">
              <w:rPr>
                <w:color w:val="000000"/>
                <w:vertAlign w:val="superscript"/>
              </w:rPr>
              <w:t>4</w:t>
            </w:r>
          </w:p>
        </w:tc>
        <w:tc>
          <w:tcPr>
            <w:tcW w:w="552" w:type="pct"/>
            <w:vAlign w:val="center"/>
          </w:tcPr>
          <w:p w14:paraId="190BE453" w14:textId="3234016F" w:rsidR="00A64BA7" w:rsidRPr="002E7F24" w:rsidRDefault="00A64BA7" w:rsidP="00A64BA7">
            <w:pPr>
              <w:pStyle w:val="TableText0"/>
              <w:keepLines/>
              <w:jc w:val="center"/>
              <w:rPr>
                <w:color w:val="000000"/>
                <w:highlight w:val="darkGray"/>
              </w:rPr>
            </w:pPr>
            <w:r w:rsidRPr="00FB154E">
              <w:rPr>
                <w:color w:val="000000"/>
              </w:rPr>
              <w:t>-</w:t>
            </w:r>
            <w:r w:rsidR="00DC3DD9" w:rsidRPr="00DC3DD9">
              <w:rPr>
                <w:color w:val="000000"/>
                <w:spacing w:val="32"/>
                <w:shd w:val="solid" w:color="000000" w:fill="000000"/>
                <w:fitText w:val="420" w:id="-1234509813"/>
                <w14:textFill>
                  <w14:solidFill>
                    <w14:srgbClr w14:val="000000">
                      <w14:alpha w14:val="100000"/>
                    </w14:srgbClr>
                  </w14:solidFill>
                </w14:textFill>
              </w:rPr>
              <w:t>|||||</w:t>
            </w:r>
            <w:r w:rsidR="00DC3DD9" w:rsidRPr="00DC3DD9">
              <w:rPr>
                <w:color w:val="000000"/>
                <w:spacing w:val="5"/>
                <w:shd w:val="solid" w:color="000000" w:fill="000000"/>
                <w:fitText w:val="420" w:id="-1234509813"/>
                <w14:textFill>
                  <w14:solidFill>
                    <w14:srgbClr w14:val="000000">
                      <w14:alpha w14:val="100000"/>
                    </w14:srgbClr>
                  </w14:solidFill>
                </w14:textFill>
              </w:rPr>
              <w:t>|</w:t>
            </w:r>
            <w:r w:rsidR="00FB154E">
              <w:rPr>
                <w:color w:val="000000"/>
                <w:vertAlign w:val="superscript"/>
              </w:rPr>
              <w:t>4</w:t>
            </w:r>
          </w:p>
        </w:tc>
      </w:tr>
      <w:tr w:rsidR="00A64BA7" w:rsidRPr="00325AC7" w14:paraId="2758D11A" w14:textId="77777777" w:rsidTr="000D6AD2">
        <w:trPr>
          <w:cantSplit/>
          <w:trHeight w:val="241"/>
          <w:jc w:val="center"/>
        </w:trPr>
        <w:tc>
          <w:tcPr>
            <w:tcW w:w="5000" w:type="pct"/>
            <w:gridSpan w:val="7"/>
            <w:shd w:val="clear" w:color="auto" w:fill="auto"/>
            <w:vAlign w:val="center"/>
          </w:tcPr>
          <w:p w14:paraId="1F9EBA2B" w14:textId="5A32B044" w:rsidR="00A64BA7" w:rsidRPr="008F5B0E" w:rsidRDefault="00A64BA7" w:rsidP="00A64BA7">
            <w:pPr>
              <w:pStyle w:val="In-tableHeading"/>
              <w:rPr>
                <w:lang w:val="en-AU"/>
              </w:rPr>
            </w:pPr>
            <w:r w:rsidRPr="008F5B0E">
              <w:rPr>
                <w:lang w:val="en-AU"/>
              </w:rPr>
              <w:t>Estimated financial implications</w:t>
            </w:r>
          </w:p>
        </w:tc>
      </w:tr>
      <w:tr w:rsidR="00A64BA7" w:rsidRPr="00325AC7" w14:paraId="01AB5A93" w14:textId="77777777" w:rsidTr="000D6AD2">
        <w:trPr>
          <w:cantSplit/>
          <w:trHeight w:val="482"/>
          <w:jc w:val="center"/>
        </w:trPr>
        <w:tc>
          <w:tcPr>
            <w:tcW w:w="1788" w:type="pct"/>
            <w:shd w:val="clear" w:color="auto" w:fill="auto"/>
            <w:vAlign w:val="center"/>
          </w:tcPr>
          <w:p w14:paraId="71869436" w14:textId="1E8F9D88" w:rsidR="00A64BA7" w:rsidRPr="00325AC7" w:rsidRDefault="00A0619E" w:rsidP="00A64BA7">
            <w:pPr>
              <w:pStyle w:val="TableText0"/>
              <w:keepLines/>
            </w:pPr>
            <w:r w:rsidRPr="00325AC7">
              <w:t>Cost to PBS/RPBS less co-payment</w:t>
            </w:r>
            <w:r w:rsidR="00FD6FC0" w:rsidRPr="00325AC7">
              <w:t xml:space="preserve"> of CGH</w:t>
            </w:r>
            <w:r w:rsidR="00FB154E">
              <w:t xml:space="preserve"> ($)</w:t>
            </w:r>
          </w:p>
        </w:tc>
        <w:tc>
          <w:tcPr>
            <w:tcW w:w="543" w:type="pct"/>
            <w:tcBorders>
              <w:bottom w:val="single" w:sz="4" w:space="0" w:color="auto"/>
            </w:tcBorders>
            <w:vAlign w:val="center"/>
          </w:tcPr>
          <w:p w14:paraId="52F0C6C4" w14:textId="10B31796" w:rsidR="00A64BA7" w:rsidRPr="002E7F24" w:rsidRDefault="00DC3DD9" w:rsidP="00A64BA7">
            <w:pPr>
              <w:pStyle w:val="TableText0"/>
              <w:keepLines/>
              <w:jc w:val="center"/>
              <w:rPr>
                <w:color w:val="000000"/>
                <w:highlight w:val="darkGray"/>
              </w:rPr>
            </w:pPr>
            <w:r w:rsidRPr="00DC3DD9">
              <w:rPr>
                <w:rFonts w:hint="eastAsia"/>
                <w:color w:val="000000"/>
                <w:w w:val="15"/>
                <w:shd w:val="solid" w:color="000000" w:fill="000000"/>
                <w:fitText w:val="45" w:id="-1234509812"/>
                <w14:textFill>
                  <w14:solidFill>
                    <w14:srgbClr w14:val="000000">
                      <w14:alpha w14:val="100000"/>
                    </w14:srgbClr>
                  </w14:solidFill>
                </w14:textFill>
              </w:rPr>
              <w:t xml:space="preserve">　</w:t>
            </w:r>
            <w:r w:rsidRPr="00DC3DD9">
              <w:rPr>
                <w:color w:val="000000"/>
                <w:w w:val="15"/>
                <w:shd w:val="solid" w:color="000000" w:fill="000000"/>
                <w:fitText w:val="45" w:id="-1234509812"/>
                <w14:textFill>
                  <w14:solidFill>
                    <w14:srgbClr w14:val="000000">
                      <w14:alpha w14:val="100000"/>
                    </w14:srgbClr>
                  </w14:solidFill>
                </w14:textFill>
              </w:rPr>
              <w:t>|</w:t>
            </w:r>
            <w:r w:rsidRPr="00DC3DD9">
              <w:rPr>
                <w:rFonts w:hint="eastAsia"/>
                <w:color w:val="000000"/>
                <w:spacing w:val="-30"/>
                <w:w w:val="15"/>
                <w:shd w:val="solid" w:color="000000" w:fill="000000"/>
                <w:fitText w:val="45" w:id="-1234509812"/>
                <w14:textFill>
                  <w14:solidFill>
                    <w14:srgbClr w14:val="000000">
                      <w14:alpha w14:val="100000"/>
                    </w14:srgbClr>
                  </w14:solidFill>
                </w14:textFill>
              </w:rPr>
              <w:t xml:space="preserve">　</w:t>
            </w:r>
            <w:r w:rsidR="00FB154E">
              <w:rPr>
                <w:color w:val="000000"/>
                <w:vertAlign w:val="superscript"/>
              </w:rPr>
              <w:t>5</w:t>
            </w:r>
          </w:p>
        </w:tc>
        <w:tc>
          <w:tcPr>
            <w:tcW w:w="469" w:type="pct"/>
            <w:tcBorders>
              <w:bottom w:val="single" w:sz="4" w:space="0" w:color="auto"/>
            </w:tcBorders>
            <w:vAlign w:val="center"/>
          </w:tcPr>
          <w:p w14:paraId="7A061D73" w14:textId="09B04EB3" w:rsidR="00A64BA7" w:rsidRPr="002E7F24" w:rsidRDefault="00DC3DD9" w:rsidP="00A64BA7">
            <w:pPr>
              <w:pStyle w:val="TableText0"/>
              <w:keepLines/>
              <w:jc w:val="center"/>
              <w:rPr>
                <w:color w:val="000000"/>
                <w:highlight w:val="darkGray"/>
              </w:rPr>
            </w:pPr>
            <w:r w:rsidRPr="00DC3DD9">
              <w:rPr>
                <w:color w:val="000000"/>
                <w:spacing w:val="41"/>
                <w:shd w:val="solid" w:color="000000" w:fill="000000"/>
                <w:fitText w:val="465" w:id="-1234509811"/>
                <w14:textFill>
                  <w14:solidFill>
                    <w14:srgbClr w14:val="000000">
                      <w14:alpha w14:val="100000"/>
                    </w14:srgbClr>
                  </w14:solidFill>
                </w14:textFill>
              </w:rPr>
              <w:t>|||||</w:t>
            </w:r>
            <w:r w:rsidRPr="00DC3DD9">
              <w:rPr>
                <w:color w:val="000000"/>
                <w:spacing w:val="5"/>
                <w:shd w:val="solid" w:color="000000" w:fill="000000"/>
                <w:fitText w:val="465" w:id="-1234509811"/>
                <w14:textFill>
                  <w14:solidFill>
                    <w14:srgbClr w14:val="000000">
                      <w14:alpha w14:val="100000"/>
                    </w14:srgbClr>
                  </w14:solidFill>
                </w14:textFill>
              </w:rPr>
              <w:t>|</w:t>
            </w:r>
            <w:r w:rsidR="00FB154E">
              <w:rPr>
                <w:color w:val="000000"/>
                <w:vertAlign w:val="superscript"/>
              </w:rPr>
              <w:t>5</w:t>
            </w:r>
          </w:p>
        </w:tc>
        <w:tc>
          <w:tcPr>
            <w:tcW w:w="549" w:type="pct"/>
            <w:tcBorders>
              <w:bottom w:val="single" w:sz="4" w:space="0" w:color="auto"/>
            </w:tcBorders>
            <w:vAlign w:val="center"/>
          </w:tcPr>
          <w:p w14:paraId="57A4B338" w14:textId="2A71E04B" w:rsidR="00A64BA7" w:rsidRPr="002E7F24" w:rsidRDefault="00DC3DD9" w:rsidP="00A64BA7">
            <w:pPr>
              <w:pStyle w:val="TableText0"/>
              <w:keepLines/>
              <w:jc w:val="center"/>
              <w:rPr>
                <w:color w:val="000000"/>
                <w:highlight w:val="darkGray"/>
              </w:rPr>
            </w:pPr>
            <w:r w:rsidRPr="00DC3DD9">
              <w:rPr>
                <w:color w:val="000000"/>
                <w:spacing w:val="78"/>
                <w:shd w:val="solid" w:color="000000" w:fill="000000"/>
                <w:fitText w:val="405" w:id="-1234509810"/>
                <w14:textFill>
                  <w14:solidFill>
                    <w14:srgbClr w14:val="000000">
                      <w14:alpha w14:val="100000"/>
                    </w14:srgbClr>
                  </w14:solidFill>
                </w14:textFill>
              </w:rPr>
              <w:t>|||</w:t>
            </w:r>
            <w:r w:rsidRPr="00DC3DD9">
              <w:rPr>
                <w:color w:val="000000"/>
                <w:spacing w:val="1"/>
                <w:shd w:val="solid" w:color="000000" w:fill="000000"/>
                <w:fitText w:val="405" w:id="-1234509810"/>
                <w14:textFill>
                  <w14:solidFill>
                    <w14:srgbClr w14:val="000000">
                      <w14:alpha w14:val="100000"/>
                    </w14:srgbClr>
                  </w14:solidFill>
                </w14:textFill>
              </w:rPr>
              <w:t>|</w:t>
            </w:r>
            <w:r w:rsidR="00FB154E">
              <w:rPr>
                <w:color w:val="000000"/>
                <w:vertAlign w:val="superscript"/>
              </w:rPr>
              <w:t>5</w:t>
            </w:r>
          </w:p>
        </w:tc>
        <w:tc>
          <w:tcPr>
            <w:tcW w:w="549" w:type="pct"/>
            <w:tcBorders>
              <w:bottom w:val="single" w:sz="4" w:space="0" w:color="auto"/>
            </w:tcBorders>
            <w:vAlign w:val="center"/>
          </w:tcPr>
          <w:p w14:paraId="647C61A7" w14:textId="09F19D5A" w:rsidR="00A64BA7" w:rsidRPr="002E7F24" w:rsidRDefault="00DC3DD9" w:rsidP="00A64BA7">
            <w:pPr>
              <w:pStyle w:val="TableText0"/>
              <w:keepLines/>
              <w:jc w:val="center"/>
              <w:rPr>
                <w:color w:val="000000"/>
                <w:highlight w:val="darkGray"/>
              </w:rPr>
            </w:pPr>
            <w:r w:rsidRPr="00DC3DD9">
              <w:rPr>
                <w:color w:val="000000"/>
                <w:spacing w:val="78"/>
                <w:shd w:val="solid" w:color="000000" w:fill="000000"/>
                <w:fitText w:val="405" w:id="-1234509809"/>
                <w14:textFill>
                  <w14:solidFill>
                    <w14:srgbClr w14:val="000000">
                      <w14:alpha w14:val="100000"/>
                    </w14:srgbClr>
                  </w14:solidFill>
                </w14:textFill>
              </w:rPr>
              <w:t>|||</w:t>
            </w:r>
            <w:r w:rsidRPr="00DC3DD9">
              <w:rPr>
                <w:color w:val="000000"/>
                <w:spacing w:val="1"/>
                <w:shd w:val="solid" w:color="000000" w:fill="000000"/>
                <w:fitText w:val="405" w:id="-1234509809"/>
                <w14:textFill>
                  <w14:solidFill>
                    <w14:srgbClr w14:val="000000">
                      <w14:alpha w14:val="100000"/>
                    </w14:srgbClr>
                  </w14:solidFill>
                </w14:textFill>
              </w:rPr>
              <w:t>|</w:t>
            </w:r>
            <w:r w:rsidR="00FB154E">
              <w:rPr>
                <w:color w:val="000000"/>
                <w:vertAlign w:val="superscript"/>
              </w:rPr>
              <w:t>5</w:t>
            </w:r>
          </w:p>
        </w:tc>
        <w:tc>
          <w:tcPr>
            <w:tcW w:w="549" w:type="pct"/>
            <w:tcBorders>
              <w:bottom w:val="single" w:sz="4" w:space="0" w:color="auto"/>
            </w:tcBorders>
            <w:vAlign w:val="center"/>
          </w:tcPr>
          <w:p w14:paraId="12BB3C9B" w14:textId="730B32BC" w:rsidR="00A64BA7" w:rsidRPr="002E7F24" w:rsidRDefault="00DC3DD9" w:rsidP="00A64BA7">
            <w:pPr>
              <w:pStyle w:val="TableText0"/>
              <w:keepLines/>
              <w:jc w:val="center"/>
              <w:rPr>
                <w:color w:val="000000"/>
                <w:highlight w:val="darkGray"/>
              </w:rPr>
            </w:pPr>
            <w:r w:rsidRPr="00DC3DD9">
              <w:rPr>
                <w:color w:val="000000"/>
                <w:spacing w:val="78"/>
                <w:shd w:val="solid" w:color="000000" w:fill="000000"/>
                <w:fitText w:val="405" w:id="-1234509808"/>
                <w14:textFill>
                  <w14:solidFill>
                    <w14:srgbClr w14:val="000000">
                      <w14:alpha w14:val="100000"/>
                    </w14:srgbClr>
                  </w14:solidFill>
                </w14:textFill>
              </w:rPr>
              <w:t>|||</w:t>
            </w:r>
            <w:r w:rsidRPr="00DC3DD9">
              <w:rPr>
                <w:color w:val="000000"/>
                <w:spacing w:val="1"/>
                <w:shd w:val="solid" w:color="000000" w:fill="000000"/>
                <w:fitText w:val="405" w:id="-1234509808"/>
                <w14:textFill>
                  <w14:solidFill>
                    <w14:srgbClr w14:val="000000">
                      <w14:alpha w14:val="100000"/>
                    </w14:srgbClr>
                  </w14:solidFill>
                </w14:textFill>
              </w:rPr>
              <w:t>|</w:t>
            </w:r>
            <w:r w:rsidR="00FB154E">
              <w:rPr>
                <w:color w:val="000000"/>
                <w:vertAlign w:val="superscript"/>
              </w:rPr>
              <w:t>5</w:t>
            </w:r>
          </w:p>
        </w:tc>
        <w:tc>
          <w:tcPr>
            <w:tcW w:w="552" w:type="pct"/>
            <w:tcBorders>
              <w:bottom w:val="single" w:sz="4" w:space="0" w:color="auto"/>
            </w:tcBorders>
            <w:vAlign w:val="center"/>
          </w:tcPr>
          <w:p w14:paraId="3410C03B" w14:textId="691051F3" w:rsidR="00A64BA7" w:rsidRPr="002E7F24" w:rsidRDefault="00DC3DD9" w:rsidP="00A64BA7">
            <w:pPr>
              <w:pStyle w:val="TableText0"/>
              <w:keepLines/>
              <w:jc w:val="center"/>
              <w:rPr>
                <w:color w:val="000000"/>
                <w:highlight w:val="darkGray"/>
              </w:rPr>
            </w:pPr>
            <w:r w:rsidRPr="00DC3DD9">
              <w:rPr>
                <w:color w:val="000000"/>
                <w:spacing w:val="60"/>
                <w:shd w:val="solid" w:color="000000" w:fill="000000"/>
                <w:fitText w:val="375" w:id="-1234509824"/>
                <w14:textFill>
                  <w14:solidFill>
                    <w14:srgbClr w14:val="000000">
                      <w14:alpha w14:val="100000"/>
                    </w14:srgbClr>
                  </w14:solidFill>
                </w14:textFill>
              </w:rPr>
              <w:t>|||</w:t>
            </w:r>
            <w:r w:rsidRPr="00DC3DD9">
              <w:rPr>
                <w:color w:val="000000"/>
                <w:spacing w:val="15"/>
                <w:shd w:val="solid" w:color="000000" w:fill="000000"/>
                <w:fitText w:val="375" w:id="-1234509824"/>
                <w14:textFill>
                  <w14:solidFill>
                    <w14:srgbClr w14:val="000000">
                      <w14:alpha w14:val="100000"/>
                    </w14:srgbClr>
                  </w14:solidFill>
                </w14:textFill>
              </w:rPr>
              <w:t>|</w:t>
            </w:r>
            <w:r w:rsidR="00FB154E">
              <w:rPr>
                <w:color w:val="000000"/>
                <w:vertAlign w:val="superscript"/>
              </w:rPr>
              <w:t>5</w:t>
            </w:r>
          </w:p>
        </w:tc>
      </w:tr>
      <w:tr w:rsidR="00257D1F" w:rsidRPr="00325AC7" w14:paraId="75B422AB" w14:textId="77777777" w:rsidTr="000D6AD2">
        <w:trPr>
          <w:cantSplit/>
          <w:trHeight w:val="482"/>
          <w:jc w:val="center"/>
        </w:trPr>
        <w:tc>
          <w:tcPr>
            <w:tcW w:w="1788" w:type="pct"/>
            <w:shd w:val="clear" w:color="auto" w:fill="auto"/>
            <w:vAlign w:val="center"/>
          </w:tcPr>
          <w:p w14:paraId="570124C3" w14:textId="0A883AFE" w:rsidR="00257D1F" w:rsidRPr="00325AC7" w:rsidRDefault="00257D1F" w:rsidP="00257D1F">
            <w:pPr>
              <w:pStyle w:val="TableText0"/>
              <w:keepLines/>
            </w:pPr>
            <w:r w:rsidRPr="00325AC7">
              <w:t>Cost to PBS/RPBS less co-payment of HA 0.1%</w:t>
            </w:r>
            <w:r w:rsidR="00FB154E">
              <w:t xml:space="preserve"> ($)</w:t>
            </w:r>
          </w:p>
        </w:tc>
        <w:tc>
          <w:tcPr>
            <w:tcW w:w="543" w:type="pct"/>
            <w:tcBorders>
              <w:top w:val="single" w:sz="4" w:space="0" w:color="auto"/>
              <w:left w:val="nil"/>
              <w:bottom w:val="single" w:sz="4" w:space="0" w:color="auto"/>
              <w:right w:val="single" w:sz="4" w:space="0" w:color="auto"/>
            </w:tcBorders>
            <w:shd w:val="clear" w:color="auto" w:fill="auto"/>
          </w:tcPr>
          <w:p w14:paraId="61EC3FA1" w14:textId="073E2C33" w:rsidR="00257D1F" w:rsidRPr="002E7F24" w:rsidRDefault="00DC3DD9" w:rsidP="00257D1F">
            <w:pPr>
              <w:pStyle w:val="TableText0"/>
              <w:jc w:val="center"/>
              <w:rPr>
                <w:highlight w:val="darkGray"/>
              </w:rPr>
            </w:pPr>
            <w:r w:rsidRPr="00DC3DD9">
              <w:rPr>
                <w:rFonts w:hint="eastAsia"/>
                <w:color w:val="000000"/>
                <w:w w:val="15"/>
                <w:shd w:val="solid" w:color="000000" w:fill="000000"/>
                <w:fitText w:val="45" w:id="-1234509823"/>
                <w14:textFill>
                  <w14:solidFill>
                    <w14:srgbClr w14:val="000000">
                      <w14:alpha w14:val="100000"/>
                    </w14:srgbClr>
                  </w14:solidFill>
                </w14:textFill>
              </w:rPr>
              <w:t xml:space="preserve">　</w:t>
            </w:r>
            <w:r w:rsidRPr="00DC3DD9">
              <w:rPr>
                <w:color w:val="000000"/>
                <w:w w:val="15"/>
                <w:shd w:val="solid" w:color="000000" w:fill="000000"/>
                <w:fitText w:val="45" w:id="-1234509823"/>
                <w14:textFill>
                  <w14:solidFill>
                    <w14:srgbClr w14:val="000000">
                      <w14:alpha w14:val="100000"/>
                    </w14:srgbClr>
                  </w14:solidFill>
                </w14:textFill>
              </w:rPr>
              <w:t>|</w:t>
            </w:r>
            <w:r w:rsidRPr="00DC3DD9">
              <w:rPr>
                <w:rFonts w:hint="eastAsia"/>
                <w:color w:val="000000"/>
                <w:spacing w:val="-30"/>
                <w:w w:val="15"/>
                <w:shd w:val="solid" w:color="000000" w:fill="000000"/>
                <w:fitText w:val="45" w:id="-1234509823"/>
                <w14:textFill>
                  <w14:solidFill>
                    <w14:srgbClr w14:val="000000">
                      <w14:alpha w14:val="100000"/>
                    </w14:srgbClr>
                  </w14:solidFill>
                </w14:textFill>
              </w:rPr>
              <w:t xml:space="preserve">　</w:t>
            </w:r>
            <w:r w:rsidR="00FB154E">
              <w:rPr>
                <w:color w:val="000000"/>
                <w:vertAlign w:val="superscript"/>
              </w:rPr>
              <w:t>6</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F51E7D1" w14:textId="4B3683FF" w:rsidR="00257D1F" w:rsidRPr="002E7F24" w:rsidRDefault="00DC3DD9" w:rsidP="00257D1F">
            <w:pPr>
              <w:pStyle w:val="TableText0"/>
              <w:jc w:val="center"/>
              <w:rPr>
                <w:highlight w:val="darkGray"/>
              </w:rPr>
            </w:pPr>
            <w:r w:rsidRPr="00DC3DD9">
              <w:rPr>
                <w:color w:val="000000"/>
                <w:spacing w:val="41"/>
                <w:shd w:val="solid" w:color="000000" w:fill="000000"/>
                <w:fitText w:val="465" w:id="-1234509822"/>
                <w14:textFill>
                  <w14:solidFill>
                    <w14:srgbClr w14:val="000000">
                      <w14:alpha w14:val="100000"/>
                    </w14:srgbClr>
                  </w14:solidFill>
                </w14:textFill>
              </w:rPr>
              <w:t>|||||</w:t>
            </w:r>
            <w:r w:rsidRPr="00DC3DD9">
              <w:rPr>
                <w:color w:val="000000"/>
                <w:spacing w:val="5"/>
                <w:shd w:val="solid" w:color="000000" w:fill="000000"/>
                <w:fitText w:val="465" w:id="-1234509822"/>
                <w14:textFill>
                  <w14:solidFill>
                    <w14:srgbClr w14:val="000000">
                      <w14:alpha w14:val="100000"/>
                    </w14:srgbClr>
                  </w14:solidFill>
                </w14:textFill>
              </w:rPr>
              <w:t>|</w:t>
            </w:r>
            <w:r w:rsidR="00FB154E">
              <w:rPr>
                <w:color w:val="000000"/>
                <w:vertAlign w:val="superscript"/>
              </w:rPr>
              <w:t>6</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4371F15" w14:textId="1987E42C" w:rsidR="00257D1F" w:rsidRPr="002E7F24" w:rsidRDefault="00DC3DD9" w:rsidP="00257D1F">
            <w:pPr>
              <w:pStyle w:val="TableText0"/>
              <w:jc w:val="center"/>
              <w:rPr>
                <w:highlight w:val="darkGray"/>
              </w:rPr>
            </w:pPr>
            <w:r w:rsidRPr="00DC3DD9">
              <w:rPr>
                <w:color w:val="000000"/>
                <w:spacing w:val="78"/>
                <w:shd w:val="solid" w:color="000000" w:fill="000000"/>
                <w:fitText w:val="405" w:id="-1234509821"/>
                <w14:textFill>
                  <w14:solidFill>
                    <w14:srgbClr w14:val="000000">
                      <w14:alpha w14:val="100000"/>
                    </w14:srgbClr>
                  </w14:solidFill>
                </w14:textFill>
              </w:rPr>
              <w:t>|||</w:t>
            </w:r>
            <w:r w:rsidRPr="00DC3DD9">
              <w:rPr>
                <w:color w:val="000000"/>
                <w:spacing w:val="1"/>
                <w:shd w:val="solid" w:color="000000" w:fill="000000"/>
                <w:fitText w:val="405" w:id="-1234509821"/>
                <w14:textFill>
                  <w14:solidFill>
                    <w14:srgbClr w14:val="000000">
                      <w14:alpha w14:val="100000"/>
                    </w14:srgbClr>
                  </w14:solidFill>
                </w14:textFill>
              </w:rPr>
              <w:t>|</w:t>
            </w:r>
            <w:r w:rsidR="00FB154E">
              <w:rPr>
                <w:color w:val="000000"/>
                <w:vertAlign w:val="superscript"/>
              </w:rPr>
              <w:t>6</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1B04086" w14:textId="0097261E" w:rsidR="00257D1F" w:rsidRPr="002E7F24" w:rsidRDefault="00DC3DD9" w:rsidP="00257D1F">
            <w:pPr>
              <w:pStyle w:val="TableText0"/>
              <w:jc w:val="center"/>
              <w:rPr>
                <w:highlight w:val="darkGray"/>
              </w:rPr>
            </w:pPr>
            <w:r w:rsidRPr="00DC3DD9">
              <w:rPr>
                <w:color w:val="000000"/>
                <w:spacing w:val="78"/>
                <w:shd w:val="solid" w:color="000000" w:fill="000000"/>
                <w:fitText w:val="405" w:id="-1234509820"/>
                <w14:textFill>
                  <w14:solidFill>
                    <w14:srgbClr w14:val="000000">
                      <w14:alpha w14:val="100000"/>
                    </w14:srgbClr>
                  </w14:solidFill>
                </w14:textFill>
              </w:rPr>
              <w:t>|||</w:t>
            </w:r>
            <w:r w:rsidRPr="00DC3DD9">
              <w:rPr>
                <w:color w:val="000000"/>
                <w:spacing w:val="1"/>
                <w:shd w:val="solid" w:color="000000" w:fill="000000"/>
                <w:fitText w:val="405" w:id="-1234509820"/>
                <w14:textFill>
                  <w14:solidFill>
                    <w14:srgbClr w14:val="000000">
                      <w14:alpha w14:val="100000"/>
                    </w14:srgbClr>
                  </w14:solidFill>
                </w14:textFill>
              </w:rPr>
              <w:t>|</w:t>
            </w:r>
            <w:r w:rsidR="00FB154E">
              <w:rPr>
                <w:color w:val="000000"/>
                <w:vertAlign w:val="superscript"/>
              </w:rPr>
              <w:t>6</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1A80AA1" w14:textId="46112BEE" w:rsidR="00257D1F" w:rsidRPr="002E7F24" w:rsidRDefault="00DC3DD9" w:rsidP="00257D1F">
            <w:pPr>
              <w:pStyle w:val="TableText0"/>
              <w:jc w:val="center"/>
              <w:rPr>
                <w:highlight w:val="darkGray"/>
              </w:rPr>
            </w:pPr>
            <w:r w:rsidRPr="00DC3DD9">
              <w:rPr>
                <w:color w:val="000000"/>
                <w:spacing w:val="78"/>
                <w:shd w:val="solid" w:color="000000" w:fill="000000"/>
                <w:fitText w:val="405" w:id="-1234509819"/>
                <w14:textFill>
                  <w14:solidFill>
                    <w14:srgbClr w14:val="000000">
                      <w14:alpha w14:val="100000"/>
                    </w14:srgbClr>
                  </w14:solidFill>
                </w14:textFill>
              </w:rPr>
              <w:t>|||</w:t>
            </w:r>
            <w:r w:rsidRPr="00DC3DD9">
              <w:rPr>
                <w:color w:val="000000"/>
                <w:spacing w:val="1"/>
                <w:shd w:val="solid" w:color="000000" w:fill="000000"/>
                <w:fitText w:val="405" w:id="-1234509819"/>
                <w14:textFill>
                  <w14:solidFill>
                    <w14:srgbClr w14:val="000000">
                      <w14:alpha w14:val="100000"/>
                    </w14:srgbClr>
                  </w14:solidFill>
                </w14:textFill>
              </w:rPr>
              <w:t>|</w:t>
            </w:r>
            <w:r w:rsidR="00FB154E">
              <w:rPr>
                <w:color w:val="000000"/>
                <w:vertAlign w:val="superscript"/>
              </w:rPr>
              <w:t>6</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16AC93F0" w14:textId="1D76C582" w:rsidR="00257D1F" w:rsidRPr="002E7F24" w:rsidRDefault="00DC3DD9" w:rsidP="00257D1F">
            <w:pPr>
              <w:pStyle w:val="TableText0"/>
              <w:jc w:val="center"/>
              <w:rPr>
                <w:highlight w:val="darkGray"/>
              </w:rPr>
            </w:pPr>
            <w:r w:rsidRPr="00DC3DD9">
              <w:rPr>
                <w:color w:val="000000"/>
                <w:spacing w:val="60"/>
                <w:shd w:val="solid" w:color="000000" w:fill="000000"/>
                <w:fitText w:val="375" w:id="-1234509818"/>
                <w14:textFill>
                  <w14:solidFill>
                    <w14:srgbClr w14:val="000000">
                      <w14:alpha w14:val="100000"/>
                    </w14:srgbClr>
                  </w14:solidFill>
                </w14:textFill>
              </w:rPr>
              <w:t>|||</w:t>
            </w:r>
            <w:r w:rsidRPr="00DC3DD9">
              <w:rPr>
                <w:color w:val="000000"/>
                <w:spacing w:val="15"/>
                <w:shd w:val="solid" w:color="000000" w:fill="000000"/>
                <w:fitText w:val="375" w:id="-1234509818"/>
                <w14:textFill>
                  <w14:solidFill>
                    <w14:srgbClr w14:val="000000">
                      <w14:alpha w14:val="100000"/>
                    </w14:srgbClr>
                  </w14:solidFill>
                </w14:textFill>
              </w:rPr>
              <w:t>|</w:t>
            </w:r>
            <w:r w:rsidR="00FB154E">
              <w:rPr>
                <w:color w:val="000000"/>
                <w:vertAlign w:val="superscript"/>
              </w:rPr>
              <w:t>6</w:t>
            </w:r>
          </w:p>
        </w:tc>
      </w:tr>
      <w:tr w:rsidR="009F472A" w:rsidRPr="00325AC7" w14:paraId="3BAC0FEA" w14:textId="77777777" w:rsidTr="000D6AD2">
        <w:trPr>
          <w:cantSplit/>
          <w:trHeight w:val="241"/>
          <w:jc w:val="center"/>
        </w:trPr>
        <w:tc>
          <w:tcPr>
            <w:tcW w:w="5000" w:type="pct"/>
            <w:gridSpan w:val="7"/>
            <w:shd w:val="clear" w:color="auto" w:fill="auto"/>
            <w:vAlign w:val="center"/>
          </w:tcPr>
          <w:p w14:paraId="7E8B28E0" w14:textId="77777777" w:rsidR="009F472A" w:rsidRPr="008F5B0E" w:rsidRDefault="009F472A" w:rsidP="00AC59B5">
            <w:pPr>
              <w:pStyle w:val="In-tableHeading"/>
              <w:rPr>
                <w:lang w:val="en-AU"/>
              </w:rPr>
            </w:pPr>
            <w:r w:rsidRPr="008F5B0E">
              <w:rPr>
                <w:lang w:val="en-AU"/>
              </w:rPr>
              <w:t>Net financial implications</w:t>
            </w:r>
          </w:p>
        </w:tc>
      </w:tr>
      <w:tr w:rsidR="009F472A" w:rsidRPr="00325AC7" w14:paraId="5BAA7435" w14:textId="77777777" w:rsidTr="000D6AD2">
        <w:trPr>
          <w:cantSplit/>
          <w:trHeight w:val="257"/>
          <w:jc w:val="center"/>
        </w:trPr>
        <w:tc>
          <w:tcPr>
            <w:tcW w:w="1788" w:type="pct"/>
            <w:shd w:val="clear" w:color="auto" w:fill="auto"/>
            <w:vAlign w:val="center"/>
          </w:tcPr>
          <w:p w14:paraId="26CD49ED" w14:textId="1ADB823C" w:rsidR="009F472A" w:rsidRPr="00325AC7" w:rsidRDefault="009F472A" w:rsidP="009F472A">
            <w:pPr>
              <w:pStyle w:val="TableText0"/>
              <w:keepLines/>
            </w:pPr>
            <w:r w:rsidRPr="00325AC7">
              <w:t>Net cost to PBS/RPBS</w:t>
            </w:r>
            <w:r w:rsidR="00FB154E">
              <w:t xml:space="preserve"> ($)</w:t>
            </w:r>
          </w:p>
        </w:tc>
        <w:tc>
          <w:tcPr>
            <w:tcW w:w="543" w:type="pct"/>
            <w:tcBorders>
              <w:top w:val="nil"/>
              <w:left w:val="nil"/>
              <w:bottom w:val="single" w:sz="8" w:space="0" w:color="auto"/>
              <w:right w:val="single" w:sz="8" w:space="0" w:color="auto"/>
            </w:tcBorders>
            <w:shd w:val="clear" w:color="auto" w:fill="auto"/>
            <w:vAlign w:val="center"/>
          </w:tcPr>
          <w:p w14:paraId="2C99C51E" w14:textId="66B0DB9D" w:rsidR="009F472A" w:rsidRPr="002E7F24" w:rsidRDefault="00DC3DD9" w:rsidP="009F472A">
            <w:pPr>
              <w:pStyle w:val="TableText0"/>
              <w:keepLines/>
              <w:jc w:val="center"/>
              <w:rPr>
                <w:color w:val="000000"/>
                <w:highlight w:val="darkGray"/>
              </w:rPr>
            </w:pPr>
            <w:r w:rsidRPr="00DC3DD9">
              <w:rPr>
                <w:rFonts w:hint="eastAsia"/>
                <w:color w:val="000000"/>
                <w:w w:val="15"/>
                <w:shd w:val="solid" w:color="000000" w:fill="000000"/>
                <w:fitText w:val="45" w:id="-1234509817"/>
                <w14:textFill>
                  <w14:solidFill>
                    <w14:srgbClr w14:val="000000">
                      <w14:alpha w14:val="100000"/>
                    </w14:srgbClr>
                  </w14:solidFill>
                </w14:textFill>
              </w:rPr>
              <w:t xml:space="preserve">　</w:t>
            </w:r>
            <w:r w:rsidRPr="00DC3DD9">
              <w:rPr>
                <w:color w:val="000000"/>
                <w:w w:val="15"/>
                <w:shd w:val="solid" w:color="000000" w:fill="000000"/>
                <w:fitText w:val="45" w:id="-1234509817"/>
                <w14:textFill>
                  <w14:solidFill>
                    <w14:srgbClr w14:val="000000">
                      <w14:alpha w14:val="100000"/>
                    </w14:srgbClr>
                  </w14:solidFill>
                </w14:textFill>
              </w:rPr>
              <w:t>|</w:t>
            </w:r>
            <w:r w:rsidRPr="00DC3DD9">
              <w:rPr>
                <w:rFonts w:hint="eastAsia"/>
                <w:color w:val="000000"/>
                <w:spacing w:val="-30"/>
                <w:w w:val="15"/>
                <w:shd w:val="solid" w:color="000000" w:fill="000000"/>
                <w:fitText w:val="45" w:id="-1234509817"/>
                <w14:textFill>
                  <w14:solidFill>
                    <w14:srgbClr w14:val="000000">
                      <w14:alpha w14:val="100000"/>
                    </w14:srgbClr>
                  </w14:solidFill>
                </w14:textFill>
              </w:rPr>
              <w:t xml:space="preserve">　</w:t>
            </w:r>
            <w:r w:rsidR="00FB154E">
              <w:rPr>
                <w:color w:val="000000"/>
                <w:vertAlign w:val="superscript"/>
              </w:rPr>
              <w:t>6</w:t>
            </w:r>
          </w:p>
        </w:tc>
        <w:tc>
          <w:tcPr>
            <w:tcW w:w="469" w:type="pct"/>
            <w:tcBorders>
              <w:top w:val="nil"/>
              <w:left w:val="nil"/>
              <w:bottom w:val="single" w:sz="8" w:space="0" w:color="auto"/>
              <w:right w:val="single" w:sz="8" w:space="0" w:color="auto"/>
            </w:tcBorders>
            <w:shd w:val="clear" w:color="auto" w:fill="auto"/>
            <w:vAlign w:val="center"/>
          </w:tcPr>
          <w:p w14:paraId="222BD655" w14:textId="5B01B0BF" w:rsidR="009F472A" w:rsidRPr="002E7F24" w:rsidRDefault="00DC3DD9" w:rsidP="009F472A">
            <w:pPr>
              <w:pStyle w:val="TableText0"/>
              <w:keepLines/>
              <w:jc w:val="center"/>
              <w:rPr>
                <w:color w:val="000000"/>
                <w:highlight w:val="darkGray"/>
              </w:rPr>
            </w:pPr>
            <w:r w:rsidRPr="00DC3DD9">
              <w:rPr>
                <w:color w:val="000000"/>
                <w:spacing w:val="41"/>
                <w:shd w:val="solid" w:color="000000" w:fill="000000"/>
                <w:fitText w:val="465" w:id="-1234509816"/>
                <w14:textFill>
                  <w14:solidFill>
                    <w14:srgbClr w14:val="000000">
                      <w14:alpha w14:val="100000"/>
                    </w14:srgbClr>
                  </w14:solidFill>
                </w14:textFill>
              </w:rPr>
              <w:t>|||||</w:t>
            </w:r>
            <w:r w:rsidRPr="00DC3DD9">
              <w:rPr>
                <w:color w:val="000000"/>
                <w:spacing w:val="5"/>
                <w:shd w:val="solid" w:color="000000" w:fill="000000"/>
                <w:fitText w:val="465" w:id="-1234509816"/>
                <w14:textFill>
                  <w14:solidFill>
                    <w14:srgbClr w14:val="000000">
                      <w14:alpha w14:val="100000"/>
                    </w14:srgbClr>
                  </w14:solidFill>
                </w14:textFill>
              </w:rPr>
              <w:t>|</w:t>
            </w:r>
            <w:r w:rsidR="00FB154E">
              <w:rPr>
                <w:color w:val="000000"/>
                <w:vertAlign w:val="superscript"/>
              </w:rPr>
              <w:t>6</w:t>
            </w:r>
          </w:p>
        </w:tc>
        <w:tc>
          <w:tcPr>
            <w:tcW w:w="549" w:type="pct"/>
            <w:tcBorders>
              <w:top w:val="nil"/>
              <w:left w:val="nil"/>
              <w:bottom w:val="single" w:sz="8" w:space="0" w:color="auto"/>
              <w:right w:val="single" w:sz="8" w:space="0" w:color="auto"/>
            </w:tcBorders>
            <w:shd w:val="clear" w:color="auto" w:fill="auto"/>
            <w:vAlign w:val="center"/>
          </w:tcPr>
          <w:p w14:paraId="06CA4AD5" w14:textId="3853795D" w:rsidR="009F472A" w:rsidRPr="002E7F24" w:rsidRDefault="00DC3DD9" w:rsidP="009F472A">
            <w:pPr>
              <w:pStyle w:val="TableText0"/>
              <w:keepLines/>
              <w:jc w:val="center"/>
              <w:rPr>
                <w:color w:val="000000"/>
                <w:highlight w:val="darkGray"/>
              </w:rPr>
            </w:pPr>
            <w:r w:rsidRPr="00DC3DD9">
              <w:rPr>
                <w:color w:val="000000"/>
                <w:spacing w:val="78"/>
                <w:shd w:val="solid" w:color="000000" w:fill="000000"/>
                <w:fitText w:val="405" w:id="-1234509815"/>
                <w14:textFill>
                  <w14:solidFill>
                    <w14:srgbClr w14:val="000000">
                      <w14:alpha w14:val="100000"/>
                    </w14:srgbClr>
                  </w14:solidFill>
                </w14:textFill>
              </w:rPr>
              <w:t>|||</w:t>
            </w:r>
            <w:r w:rsidRPr="00DC3DD9">
              <w:rPr>
                <w:color w:val="000000"/>
                <w:spacing w:val="1"/>
                <w:shd w:val="solid" w:color="000000" w:fill="000000"/>
                <w:fitText w:val="405" w:id="-1234509815"/>
                <w14:textFill>
                  <w14:solidFill>
                    <w14:srgbClr w14:val="000000">
                      <w14:alpha w14:val="100000"/>
                    </w14:srgbClr>
                  </w14:solidFill>
                </w14:textFill>
              </w:rPr>
              <w:t>|</w:t>
            </w:r>
            <w:r w:rsidR="00FB154E">
              <w:rPr>
                <w:color w:val="000000"/>
                <w:vertAlign w:val="superscript"/>
              </w:rPr>
              <w:t>6</w:t>
            </w:r>
          </w:p>
        </w:tc>
        <w:tc>
          <w:tcPr>
            <w:tcW w:w="549" w:type="pct"/>
            <w:tcBorders>
              <w:top w:val="nil"/>
              <w:left w:val="nil"/>
              <w:bottom w:val="single" w:sz="8" w:space="0" w:color="auto"/>
              <w:right w:val="single" w:sz="8" w:space="0" w:color="auto"/>
            </w:tcBorders>
            <w:shd w:val="clear" w:color="auto" w:fill="auto"/>
            <w:vAlign w:val="center"/>
          </w:tcPr>
          <w:p w14:paraId="19A57997" w14:textId="63409FF6" w:rsidR="009F472A" w:rsidRPr="002E7F24" w:rsidRDefault="00DC3DD9" w:rsidP="009F472A">
            <w:pPr>
              <w:pStyle w:val="TableText0"/>
              <w:keepLines/>
              <w:jc w:val="center"/>
              <w:rPr>
                <w:color w:val="000000"/>
                <w:highlight w:val="darkGray"/>
              </w:rPr>
            </w:pPr>
            <w:r w:rsidRPr="00DC3DD9">
              <w:rPr>
                <w:color w:val="000000"/>
                <w:spacing w:val="78"/>
                <w:shd w:val="solid" w:color="000000" w:fill="000000"/>
                <w:fitText w:val="405" w:id="-1234509814"/>
                <w14:textFill>
                  <w14:solidFill>
                    <w14:srgbClr w14:val="000000">
                      <w14:alpha w14:val="100000"/>
                    </w14:srgbClr>
                  </w14:solidFill>
                </w14:textFill>
              </w:rPr>
              <w:t>|||</w:t>
            </w:r>
            <w:r w:rsidRPr="00DC3DD9">
              <w:rPr>
                <w:color w:val="000000"/>
                <w:spacing w:val="1"/>
                <w:shd w:val="solid" w:color="000000" w:fill="000000"/>
                <w:fitText w:val="405" w:id="-1234509814"/>
                <w14:textFill>
                  <w14:solidFill>
                    <w14:srgbClr w14:val="000000">
                      <w14:alpha w14:val="100000"/>
                    </w14:srgbClr>
                  </w14:solidFill>
                </w14:textFill>
              </w:rPr>
              <w:t>|</w:t>
            </w:r>
            <w:r w:rsidR="00FB154E">
              <w:rPr>
                <w:color w:val="000000"/>
                <w:vertAlign w:val="superscript"/>
              </w:rPr>
              <w:t>6</w:t>
            </w:r>
          </w:p>
        </w:tc>
        <w:tc>
          <w:tcPr>
            <w:tcW w:w="549" w:type="pct"/>
            <w:tcBorders>
              <w:top w:val="nil"/>
              <w:left w:val="nil"/>
              <w:bottom w:val="single" w:sz="8" w:space="0" w:color="auto"/>
              <w:right w:val="single" w:sz="8" w:space="0" w:color="auto"/>
            </w:tcBorders>
            <w:shd w:val="clear" w:color="auto" w:fill="auto"/>
            <w:vAlign w:val="center"/>
          </w:tcPr>
          <w:p w14:paraId="7C364FC6" w14:textId="3B6E29CC" w:rsidR="009F472A" w:rsidRPr="002E7F24" w:rsidRDefault="00DC3DD9" w:rsidP="009F472A">
            <w:pPr>
              <w:pStyle w:val="TableText0"/>
              <w:keepLines/>
              <w:jc w:val="center"/>
              <w:rPr>
                <w:color w:val="000000"/>
                <w:highlight w:val="darkGray"/>
              </w:rPr>
            </w:pPr>
            <w:r w:rsidRPr="00DC3DD9">
              <w:rPr>
                <w:color w:val="000000"/>
                <w:spacing w:val="78"/>
                <w:shd w:val="solid" w:color="000000" w:fill="000000"/>
                <w:fitText w:val="405" w:id="-1234509813"/>
                <w14:textFill>
                  <w14:solidFill>
                    <w14:srgbClr w14:val="000000">
                      <w14:alpha w14:val="100000"/>
                    </w14:srgbClr>
                  </w14:solidFill>
                </w14:textFill>
              </w:rPr>
              <w:t>|||</w:t>
            </w:r>
            <w:r w:rsidRPr="00DC3DD9">
              <w:rPr>
                <w:color w:val="000000"/>
                <w:spacing w:val="1"/>
                <w:shd w:val="solid" w:color="000000" w:fill="000000"/>
                <w:fitText w:val="405" w:id="-1234509813"/>
                <w14:textFill>
                  <w14:solidFill>
                    <w14:srgbClr w14:val="000000">
                      <w14:alpha w14:val="100000"/>
                    </w14:srgbClr>
                  </w14:solidFill>
                </w14:textFill>
              </w:rPr>
              <w:t>|</w:t>
            </w:r>
            <w:r w:rsidR="00FB154E">
              <w:rPr>
                <w:color w:val="000000"/>
                <w:vertAlign w:val="superscript"/>
              </w:rPr>
              <w:t>6</w:t>
            </w:r>
          </w:p>
        </w:tc>
        <w:tc>
          <w:tcPr>
            <w:tcW w:w="552" w:type="pct"/>
            <w:tcBorders>
              <w:top w:val="nil"/>
              <w:left w:val="nil"/>
              <w:bottom w:val="single" w:sz="8" w:space="0" w:color="auto"/>
              <w:right w:val="single" w:sz="8" w:space="0" w:color="auto"/>
            </w:tcBorders>
            <w:shd w:val="clear" w:color="auto" w:fill="auto"/>
            <w:vAlign w:val="center"/>
          </w:tcPr>
          <w:p w14:paraId="4A9F486E" w14:textId="64A5CDE5" w:rsidR="009F472A" w:rsidRPr="002E7F24" w:rsidRDefault="00DC3DD9" w:rsidP="009F472A">
            <w:pPr>
              <w:pStyle w:val="TableText0"/>
              <w:keepLines/>
              <w:jc w:val="center"/>
              <w:rPr>
                <w:color w:val="000000"/>
                <w:highlight w:val="darkGray"/>
              </w:rPr>
            </w:pPr>
            <w:r w:rsidRPr="00DC3DD9">
              <w:rPr>
                <w:color w:val="000000"/>
                <w:spacing w:val="60"/>
                <w:shd w:val="solid" w:color="000000" w:fill="000000"/>
                <w:fitText w:val="375" w:id="-1234509812"/>
                <w14:textFill>
                  <w14:solidFill>
                    <w14:srgbClr w14:val="000000">
                      <w14:alpha w14:val="100000"/>
                    </w14:srgbClr>
                  </w14:solidFill>
                </w14:textFill>
              </w:rPr>
              <w:t>|||</w:t>
            </w:r>
            <w:r w:rsidRPr="00DC3DD9">
              <w:rPr>
                <w:color w:val="000000"/>
                <w:spacing w:val="15"/>
                <w:shd w:val="solid" w:color="000000" w:fill="000000"/>
                <w:fitText w:val="375" w:id="-1234509812"/>
                <w14:textFill>
                  <w14:solidFill>
                    <w14:srgbClr w14:val="000000">
                      <w14:alpha w14:val="100000"/>
                    </w14:srgbClr>
                  </w14:solidFill>
                </w14:textFill>
              </w:rPr>
              <w:t>|</w:t>
            </w:r>
            <w:r w:rsidR="00FB154E">
              <w:rPr>
                <w:color w:val="000000"/>
                <w:vertAlign w:val="superscript"/>
              </w:rPr>
              <w:t>6</w:t>
            </w:r>
          </w:p>
        </w:tc>
      </w:tr>
    </w:tbl>
    <w:p w14:paraId="674FB9D3" w14:textId="3FDEDBBD" w:rsidR="00130412" w:rsidRPr="00325AC7" w:rsidRDefault="00130412" w:rsidP="00130412">
      <w:pPr>
        <w:pStyle w:val="TableFigureFooter"/>
        <w:keepNext/>
        <w:jc w:val="left"/>
      </w:pPr>
      <w:r w:rsidRPr="00325AC7">
        <w:t>PBS = Pharmaceutical Benefits Scheme; RPBS = Repatriation Pharmaceutical Benefits Scheme.</w:t>
      </w:r>
    </w:p>
    <w:p w14:paraId="2BDA228F" w14:textId="721FE713" w:rsidR="000607A1" w:rsidRDefault="00130412" w:rsidP="00237515">
      <w:pPr>
        <w:pStyle w:val="TableFigureFooter"/>
        <w:spacing w:after="0"/>
      </w:pPr>
      <w:r w:rsidRPr="00325AC7">
        <w:t xml:space="preserve">Source: </w:t>
      </w:r>
      <w:r w:rsidR="00FE7756" w:rsidRPr="00325AC7">
        <w:t>Impact Net’ OPTIVE FUSION Section 4 Utilisation Workbook</w:t>
      </w:r>
    </w:p>
    <w:p w14:paraId="7A147A57" w14:textId="77777777" w:rsidR="00FB154E" w:rsidRPr="009A6D58" w:rsidRDefault="00FB154E" w:rsidP="00FB154E">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EA652AA" w14:textId="0AA22F16" w:rsidR="00FB154E" w:rsidRPr="009A6D58" w:rsidRDefault="00FB154E" w:rsidP="00FB154E">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FB154E">
        <w:rPr>
          <w:rFonts w:ascii="Arial Narrow" w:hAnsi="Arial Narrow" w:cs="Arial"/>
          <w:i/>
          <w:sz w:val="18"/>
          <w:szCs w:val="18"/>
        </w:rPr>
        <w:t>5,000 to &lt; 10,000</w:t>
      </w:r>
    </w:p>
    <w:p w14:paraId="4DBE35B9" w14:textId="7FCE0558" w:rsidR="00FB154E" w:rsidRPr="009A6D58" w:rsidRDefault="00FB154E" w:rsidP="00FB154E">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FB154E">
        <w:rPr>
          <w:rFonts w:ascii="Arial Narrow" w:hAnsi="Arial Narrow" w:cs="Arial"/>
          <w:i/>
          <w:sz w:val="18"/>
          <w:szCs w:val="18"/>
        </w:rPr>
        <w:t>20,000 to &lt; 30,000</w:t>
      </w:r>
    </w:p>
    <w:p w14:paraId="151FDEB0" w14:textId="2AA3B28C" w:rsidR="00FB154E" w:rsidRDefault="00FB154E" w:rsidP="00FB154E">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FB154E">
        <w:rPr>
          <w:rFonts w:ascii="Arial Narrow" w:hAnsi="Arial Narrow" w:cs="Arial"/>
          <w:i/>
          <w:sz w:val="18"/>
          <w:szCs w:val="18"/>
        </w:rPr>
        <w:t>30,000 to &lt; 40,000</w:t>
      </w:r>
    </w:p>
    <w:p w14:paraId="02AECFAC" w14:textId="59322467" w:rsidR="00FB154E" w:rsidRDefault="00FB154E" w:rsidP="00FB154E">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FB154E">
        <w:rPr>
          <w:rFonts w:ascii="Arial Narrow" w:hAnsi="Arial Narrow" w:cs="Arial"/>
          <w:i/>
          <w:sz w:val="18"/>
          <w:szCs w:val="18"/>
        </w:rPr>
        <w:t>40,000 to &lt; 50,000</w:t>
      </w:r>
    </w:p>
    <w:p w14:paraId="0761A2C6" w14:textId="65BCCBC9" w:rsidR="00FB154E" w:rsidRDefault="00FB154E" w:rsidP="00FB154E">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FB154E">
        <w:rPr>
          <w:rFonts w:ascii="Arial Narrow" w:hAnsi="Arial Narrow" w:cs="Arial"/>
          <w:i/>
          <w:sz w:val="18"/>
          <w:szCs w:val="18"/>
        </w:rPr>
        <w:t>$0 to &lt; $10 million</w:t>
      </w:r>
    </w:p>
    <w:p w14:paraId="0258CDE4" w14:textId="7F6DF35D" w:rsidR="00FB154E" w:rsidRPr="009A6D58" w:rsidRDefault="00FB154E" w:rsidP="00FB154E">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FB154E">
        <w:rPr>
          <w:rFonts w:ascii="Arial Narrow" w:hAnsi="Arial Narrow" w:cs="Arial"/>
          <w:i/>
          <w:sz w:val="18"/>
          <w:szCs w:val="18"/>
        </w:rPr>
        <w:t>net cost saving</w:t>
      </w:r>
    </w:p>
    <w:p w14:paraId="4CF0B558" w14:textId="77777777" w:rsidR="00FB154E" w:rsidRPr="00325AC7" w:rsidRDefault="00FB154E" w:rsidP="000607A1">
      <w:pPr>
        <w:pStyle w:val="TableFigureFooter"/>
      </w:pPr>
    </w:p>
    <w:p w14:paraId="17DA119A" w14:textId="6877C0CA" w:rsidR="000607A1" w:rsidRPr="00325AC7" w:rsidRDefault="001E66A3" w:rsidP="000607A1">
      <w:pPr>
        <w:pStyle w:val="3-BodyText"/>
      </w:pPr>
      <w:r w:rsidRPr="00325AC7">
        <w:t>Using the proposed price, t</w:t>
      </w:r>
      <w:r w:rsidR="000607A1" w:rsidRPr="00325AC7">
        <w:t xml:space="preserve">he submission estimated that the listing of CGH will result in </w:t>
      </w:r>
      <w:r w:rsidR="00CA036E">
        <w:t xml:space="preserve">net cost </w:t>
      </w:r>
      <w:r w:rsidR="000607A1" w:rsidRPr="00325AC7">
        <w:t xml:space="preserve">savings </w:t>
      </w:r>
      <w:bookmarkStart w:id="3" w:name="_Hlk106719685"/>
      <w:r w:rsidR="000607A1" w:rsidRPr="00325AC7">
        <w:t xml:space="preserve">from year 1 to year 6 with a total estimated saving of </w:t>
      </w:r>
      <w:r w:rsidR="00CA036E" w:rsidRPr="00CA036E">
        <w:t>$0</w:t>
      </w:r>
      <w:r w:rsidR="00490391">
        <w:t> </w:t>
      </w:r>
      <w:r w:rsidR="00CA036E" w:rsidRPr="00CA036E">
        <w:t>to</w:t>
      </w:r>
      <w:r w:rsidR="00490391">
        <w:t> </w:t>
      </w:r>
      <w:r w:rsidR="00CA036E" w:rsidRPr="00CA036E">
        <w:t>&lt;</w:t>
      </w:r>
      <w:r w:rsidR="00237515">
        <w:t> </w:t>
      </w:r>
      <w:r w:rsidR="00CA036E" w:rsidRPr="00CA036E">
        <w:t>$10</w:t>
      </w:r>
      <w:r w:rsidR="00DC634B">
        <w:t> </w:t>
      </w:r>
      <w:r w:rsidR="00CA036E" w:rsidRPr="00CA036E">
        <w:t>million</w:t>
      </w:r>
      <w:r w:rsidR="00DC634B">
        <w:t xml:space="preserve"> </w:t>
      </w:r>
      <w:r w:rsidR="000607A1" w:rsidRPr="00325AC7">
        <w:t>over the first 6 years.</w:t>
      </w:r>
      <w:r w:rsidR="00326754" w:rsidRPr="00325AC7">
        <w:t xml:space="preserve"> </w:t>
      </w:r>
      <w:r w:rsidR="00326754" w:rsidRPr="00325AC7">
        <w:rPr>
          <w:iCs/>
        </w:rPr>
        <w:t xml:space="preserve">A sensitivity analysis was conducted using the price of the lowest cost ocular lubricant and </w:t>
      </w:r>
      <w:r w:rsidR="00AC6750" w:rsidRPr="00325AC7">
        <w:rPr>
          <w:iCs/>
        </w:rPr>
        <w:t xml:space="preserve">the savings over the first 6 years increased to </w:t>
      </w:r>
      <w:r w:rsidR="00CA036E" w:rsidRPr="00CA036E">
        <w:t>$0</w:t>
      </w:r>
      <w:r w:rsidR="00490391">
        <w:t> </w:t>
      </w:r>
      <w:r w:rsidR="00CA036E" w:rsidRPr="00CA036E">
        <w:t>to</w:t>
      </w:r>
      <w:r w:rsidR="00490391">
        <w:t> </w:t>
      </w:r>
      <w:r w:rsidR="00CA036E" w:rsidRPr="00CA036E">
        <w:t>&lt;</w:t>
      </w:r>
      <w:r w:rsidR="002E7F24">
        <w:t> </w:t>
      </w:r>
      <w:r w:rsidR="00CA036E" w:rsidRPr="00CA036E">
        <w:t>$10 million</w:t>
      </w:r>
      <w:r w:rsidR="00AC6750" w:rsidRPr="00325AC7">
        <w:rPr>
          <w:iCs/>
        </w:rPr>
        <w:t>.</w:t>
      </w:r>
    </w:p>
    <w:p w14:paraId="52C81163" w14:textId="4C0F38A6" w:rsidR="001921F8" w:rsidRPr="00325AC7" w:rsidRDefault="003243EB" w:rsidP="000B0E57">
      <w:pPr>
        <w:pStyle w:val="3-BodyText"/>
      </w:pPr>
      <w:r w:rsidRPr="00325AC7">
        <w:t>A sensitivity analysis was also provided to include HS 0.2% substitution.</w:t>
      </w:r>
      <w:r w:rsidR="000B0E57" w:rsidRPr="00325AC7">
        <w:t xml:space="preserve"> This resulted in estimated </w:t>
      </w:r>
      <w:r w:rsidR="00B30322">
        <w:t xml:space="preserve">net cost </w:t>
      </w:r>
      <w:r w:rsidR="000B0E57" w:rsidRPr="00325AC7">
        <w:t xml:space="preserve">savings from year 1 to year 6 with a total estimated saving of </w:t>
      </w:r>
      <w:r w:rsidR="00CA036E" w:rsidRPr="00CA036E">
        <w:t>$0</w:t>
      </w:r>
      <w:r w:rsidR="00490391">
        <w:t> </w:t>
      </w:r>
      <w:r w:rsidR="00CA036E" w:rsidRPr="00CA036E">
        <w:t>to</w:t>
      </w:r>
      <w:r w:rsidR="00490391">
        <w:t> </w:t>
      </w:r>
      <w:r w:rsidR="00CA036E" w:rsidRPr="00CA036E">
        <w:t>&lt;</w:t>
      </w:r>
      <w:r w:rsidR="00490391">
        <w:t> </w:t>
      </w:r>
      <w:r w:rsidR="00CA036E" w:rsidRPr="00CA036E">
        <w:t>$10 million</w:t>
      </w:r>
      <w:r w:rsidR="00CA036E" w:rsidRPr="00CA036E" w:rsidDel="00CA036E">
        <w:t xml:space="preserve"> </w:t>
      </w:r>
      <w:r w:rsidR="000B0E57" w:rsidRPr="00325AC7">
        <w:t>over the first 6 years.</w:t>
      </w:r>
    </w:p>
    <w:p w14:paraId="4AD77CF1" w14:textId="55D0F630" w:rsidR="00B80954" w:rsidRPr="00325AC7" w:rsidRDefault="00B80954" w:rsidP="00521C0D">
      <w:pPr>
        <w:pStyle w:val="3-BodyText"/>
      </w:pPr>
      <w:r w:rsidRPr="00325AC7">
        <w:t>As a Category 3 submission, neither the economic analysis nor the financial estimates analysis have been independently evaluated.</w:t>
      </w:r>
    </w:p>
    <w:bookmarkEnd w:id="3"/>
    <w:p w14:paraId="5608792C" w14:textId="69B860EB" w:rsidR="00AA3C89" w:rsidRPr="008F5B0E" w:rsidRDefault="00FE00E4" w:rsidP="001A1675">
      <w:pPr>
        <w:ind w:left="720"/>
        <w:jc w:val="left"/>
        <w:rPr>
          <w:rFonts w:asciiTheme="minorHAnsi" w:hAnsiTheme="minorHAnsi"/>
          <w:i/>
          <w:iCs/>
        </w:rPr>
      </w:pPr>
      <w:r w:rsidRPr="008F5B0E">
        <w:rPr>
          <w:rFonts w:asciiTheme="minorHAnsi" w:hAnsiTheme="minorHAnsi"/>
          <w:i/>
          <w:iCs/>
        </w:rPr>
        <w:t xml:space="preserve">For more detail on PBAC’s view, see section </w:t>
      </w:r>
      <w:r w:rsidRPr="00325AC7">
        <w:rPr>
          <w:rFonts w:asciiTheme="minorHAnsi" w:hAnsiTheme="minorHAnsi"/>
          <w:i/>
          <w:iCs/>
        </w:rPr>
        <w:t>6</w:t>
      </w:r>
      <w:r w:rsidRPr="008F5B0E">
        <w:rPr>
          <w:rFonts w:asciiTheme="minorHAnsi" w:hAnsiTheme="minorHAnsi"/>
          <w:i/>
          <w:iCs/>
        </w:rPr>
        <w:t xml:space="preserve"> PBAC outcome.</w:t>
      </w:r>
    </w:p>
    <w:p w14:paraId="34D074F5" w14:textId="02EA8FFB" w:rsidR="00FD23AB" w:rsidRPr="00325AC7" w:rsidRDefault="00FD23AB" w:rsidP="00FD23AB">
      <w:pPr>
        <w:pStyle w:val="2-SectionHeading"/>
      </w:pPr>
      <w:r w:rsidRPr="00325AC7">
        <w:t>PBAC Outcome</w:t>
      </w:r>
    </w:p>
    <w:p w14:paraId="18F93CB6" w14:textId="4097D798" w:rsidR="007A6427" w:rsidRPr="00325AC7" w:rsidRDefault="007A6427" w:rsidP="007A6427">
      <w:pPr>
        <w:pStyle w:val="3-BodyText"/>
      </w:pPr>
      <w:r w:rsidRPr="00325AC7">
        <w:t xml:space="preserve">The </w:t>
      </w:r>
      <w:r w:rsidRPr="00325AC7">
        <w:rPr>
          <w:rFonts w:cs="Calibri"/>
        </w:rPr>
        <w:t xml:space="preserve">PBAC deferred making a recommendation to list </w:t>
      </w:r>
      <w:r w:rsidR="0027103E" w:rsidRPr="00325AC7">
        <w:rPr>
          <w:rFonts w:cs="Calibri"/>
        </w:rPr>
        <w:t>CGH</w:t>
      </w:r>
      <w:r w:rsidRPr="00325AC7">
        <w:rPr>
          <w:rFonts w:cs="Calibri"/>
        </w:rPr>
        <w:t xml:space="preserve"> </w:t>
      </w:r>
      <w:r w:rsidRPr="00325AC7">
        <w:t xml:space="preserve">for the treatment of severe dry eye syndrome </w:t>
      </w:r>
      <w:r w:rsidR="005E6AE8" w:rsidRPr="00325AC7">
        <w:t>to</w:t>
      </w:r>
      <w:r w:rsidRPr="00325AC7">
        <w:t xml:space="preserve"> undertake further analysis of the cost effectiveness of ocular lubricants in Australia.</w:t>
      </w:r>
    </w:p>
    <w:p w14:paraId="2C9AC478" w14:textId="3109708C" w:rsidR="007A6427" w:rsidRPr="00325AC7" w:rsidRDefault="007A6427" w:rsidP="007A6427">
      <w:pPr>
        <w:pStyle w:val="3-BodyText"/>
        <w:rPr>
          <w:bCs/>
        </w:rPr>
      </w:pPr>
      <w:r w:rsidRPr="00325AC7">
        <w:t xml:space="preserve">The PBAC </w:t>
      </w:r>
      <w:r w:rsidR="003572EE">
        <w:t>recalled</w:t>
      </w:r>
      <w:r w:rsidRPr="00325AC7">
        <w:t xml:space="preserve"> that </w:t>
      </w:r>
      <w:r w:rsidR="003572EE">
        <w:t>in</w:t>
      </w:r>
      <w:r w:rsidRPr="00325AC7">
        <w:t xml:space="preserve"> its July 2020 consideration of Cationorm it considered the cost minimisation comparison of Hyaluronate 0.1/0.2% to Cationorm was appropriate</w:t>
      </w:r>
      <w:r w:rsidR="003572EE">
        <w:t>,</w:t>
      </w:r>
      <w:r w:rsidRPr="00325AC7">
        <w:t xml:space="preserve"> </w:t>
      </w:r>
      <w:r w:rsidRPr="00325AC7">
        <w:rPr>
          <w:bCs/>
        </w:rPr>
        <w:t>advis</w:t>
      </w:r>
      <w:r w:rsidR="004A370E">
        <w:rPr>
          <w:bCs/>
        </w:rPr>
        <w:t>ing that</w:t>
      </w:r>
      <w:r w:rsidRPr="00325AC7">
        <w:rPr>
          <w:bCs/>
        </w:rPr>
        <w:t xml:space="preserve"> </w:t>
      </w:r>
      <w:r w:rsidR="00224D71" w:rsidRPr="00AE4F5D">
        <w:rPr>
          <w:bCs/>
        </w:rPr>
        <w:t>“</w:t>
      </w:r>
      <w:r w:rsidRPr="00A003D1">
        <w:rPr>
          <w:bCs/>
        </w:rPr>
        <w:t>all preservative free, multi-dose ocular lubricants currently listed on the PBS were appropriate comparators for Cationorm</w:t>
      </w:r>
      <w:r w:rsidR="00224D71" w:rsidRPr="00AE4F5D">
        <w:rPr>
          <w:bCs/>
        </w:rPr>
        <w:t>”</w:t>
      </w:r>
      <w:r w:rsidRPr="00AE4F5D">
        <w:rPr>
          <w:bCs/>
        </w:rPr>
        <w:t xml:space="preserve"> (</w:t>
      </w:r>
      <w:r w:rsidRPr="00325AC7">
        <w:rPr>
          <w:iCs/>
        </w:rPr>
        <w:t>paragraph 6.2, Cationorm PSD, July 2020 PBAC Meeting).</w:t>
      </w:r>
    </w:p>
    <w:p w14:paraId="0D6CB420" w14:textId="7AA2FDB6" w:rsidR="003572EE" w:rsidRDefault="007A6427" w:rsidP="009E368C">
      <w:pPr>
        <w:pStyle w:val="3-BodyText"/>
      </w:pPr>
      <w:r w:rsidRPr="00325AC7">
        <w:t xml:space="preserve">The PBAC also </w:t>
      </w:r>
      <w:r w:rsidR="003572EE">
        <w:t>recalled</w:t>
      </w:r>
      <w:r w:rsidRPr="00325AC7">
        <w:t xml:space="preserve"> it</w:t>
      </w:r>
      <w:r w:rsidR="003572EE">
        <w:t>s</w:t>
      </w:r>
      <w:r w:rsidRPr="00325AC7">
        <w:t xml:space="preserve"> advi</w:t>
      </w:r>
      <w:r w:rsidR="003572EE">
        <w:t>ce</w:t>
      </w:r>
      <w:r w:rsidRPr="00325AC7">
        <w:t xml:space="preserve"> in 2014 that all ocular lubricants should be considered equivalent for pricing purposes</w:t>
      </w:r>
      <w:r w:rsidR="00B26E48">
        <w:t xml:space="preserve">, </w:t>
      </w:r>
      <w:r w:rsidR="00BC7336">
        <w:t>inclusive of hyaluronate based ocular lubricants</w:t>
      </w:r>
      <w:r w:rsidR="00B26E48">
        <w:t>.</w:t>
      </w:r>
      <w:r w:rsidRPr="00325AC7">
        <w:t xml:space="preserve"> However, the PBAC acknowledged that over time prices have diverged due to different formulary allocations</w:t>
      </w:r>
      <w:r w:rsidR="003572EE">
        <w:t>,</w:t>
      </w:r>
      <w:r w:rsidRPr="00325AC7">
        <w:t xml:space="preserve"> notwithstanding that </w:t>
      </w:r>
      <w:r w:rsidR="004A370E">
        <w:t xml:space="preserve">the </w:t>
      </w:r>
      <w:r w:rsidRPr="00325AC7">
        <w:t xml:space="preserve">listings were on a cost minimisation basis. </w:t>
      </w:r>
    </w:p>
    <w:p w14:paraId="48700BD5" w14:textId="3B1916BC" w:rsidR="007A6427" w:rsidRPr="00325AC7" w:rsidRDefault="00EC4FC0" w:rsidP="009E368C">
      <w:pPr>
        <w:pStyle w:val="3-BodyText"/>
      </w:pPr>
      <w:r>
        <w:t>T</w:t>
      </w:r>
      <w:r w:rsidR="007A6427" w:rsidRPr="00325AC7">
        <w:t>he PBAC considered that the cost-effectiveness of PF ocular lubricants in relation to PC ocular lubricants was uncertain</w:t>
      </w:r>
      <w:r w:rsidR="002C74D9" w:rsidRPr="00325AC7">
        <w:t>.</w:t>
      </w:r>
      <w:r w:rsidR="00172A16" w:rsidRPr="00325AC7">
        <w:t xml:space="preserve"> The PBAC considered that </w:t>
      </w:r>
      <w:r w:rsidR="00F261A5">
        <w:t>CGH, a PC ocular lubricant, demonstrated</w:t>
      </w:r>
      <w:r w:rsidR="00172A16" w:rsidRPr="00325AC7">
        <w:t xml:space="preserve"> non-inferior</w:t>
      </w:r>
      <w:r w:rsidR="009E368C" w:rsidRPr="00325AC7">
        <w:t xml:space="preserve"> comparative </w:t>
      </w:r>
      <w:r w:rsidR="00AE4F5D" w:rsidRPr="00325AC7">
        <w:t>effectiv</w:t>
      </w:r>
      <w:r w:rsidR="00AE4F5D">
        <w:t>e</w:t>
      </w:r>
      <w:r w:rsidR="00AE4F5D" w:rsidRPr="00325AC7">
        <w:t>ness</w:t>
      </w:r>
      <w:r w:rsidR="009E368C" w:rsidRPr="00325AC7">
        <w:t xml:space="preserve"> and safety </w:t>
      </w:r>
      <w:r w:rsidR="00F261A5">
        <w:t xml:space="preserve">to the nominated </w:t>
      </w:r>
      <w:r w:rsidR="00872D8F">
        <w:t>comparator,</w:t>
      </w:r>
      <w:r w:rsidR="00F261A5">
        <w:t xml:space="preserve"> which is a PF ocular lubricant, suggesting that there is no added benefit to PF hyaluronate based ocular lubricants</w:t>
      </w:r>
      <w:r w:rsidR="009E368C" w:rsidRPr="00325AC7">
        <w:t xml:space="preserve">. </w:t>
      </w:r>
    </w:p>
    <w:p w14:paraId="0D82B4DC" w14:textId="17E89C6C" w:rsidR="007A6427" w:rsidRPr="00325AC7" w:rsidRDefault="00EC4FC0" w:rsidP="007A6427">
      <w:pPr>
        <w:pStyle w:val="3-BodyText"/>
      </w:pPr>
      <w:r>
        <w:t>T</w:t>
      </w:r>
      <w:r w:rsidR="007A6427" w:rsidRPr="00325AC7">
        <w:t>he PBAC sought to further review the cost effectiveness of ocular lubricants prior to making a recommendation</w:t>
      </w:r>
      <w:r w:rsidR="00B26E48">
        <w:t>.</w:t>
      </w:r>
    </w:p>
    <w:p w14:paraId="6A612486" w14:textId="68FADC5C" w:rsidR="007A6427" w:rsidRPr="00325AC7" w:rsidRDefault="007A6427" w:rsidP="007A6427">
      <w:pPr>
        <w:pStyle w:val="3-BodyText"/>
      </w:pPr>
      <w:r w:rsidRPr="00325AC7">
        <w:t>The PBAC requested that a literature review and economic analysis be undertaken, along with obtaining clinical advice, to confirm</w:t>
      </w:r>
      <w:r w:rsidR="003572EE">
        <w:t xml:space="preserve"> whether any products are superior and</w:t>
      </w:r>
      <w:r w:rsidRPr="00325AC7">
        <w:t xml:space="preserve">  the appropriate therapeutic relativities </w:t>
      </w:r>
      <w:r w:rsidR="003572EE">
        <w:t>for ocular lubricants</w:t>
      </w:r>
      <w:r w:rsidRPr="00325AC7">
        <w:t>.</w:t>
      </w:r>
    </w:p>
    <w:p w14:paraId="79A132EA" w14:textId="2F977469" w:rsidR="003572EE" w:rsidRPr="00325AC7" w:rsidRDefault="003572EE" w:rsidP="003572EE">
      <w:pPr>
        <w:pStyle w:val="3-BodyText"/>
        <w:rPr>
          <w:rFonts w:cstheme="minorHAnsi"/>
        </w:rPr>
      </w:pPr>
      <w:r w:rsidRPr="001C00A3">
        <w:rPr>
          <w:rFonts w:cs="Arial"/>
          <w:iCs/>
          <w:snapToGrid w:val="0"/>
        </w:rPr>
        <w:t xml:space="preserve">The PBAC noted that the submission assumed that </w:t>
      </w:r>
      <w:r w:rsidRPr="00325AC7">
        <w:t xml:space="preserve">CGH will substitute HS 0.1% on a one-to-one basis with a peak market share of </w:t>
      </w:r>
      <w:r w:rsidR="00DC3DD9" w:rsidRPr="009A4A8D">
        <w:rPr>
          <w:color w:val="000000"/>
          <w:spacing w:val="-130"/>
          <w:w w:val="15"/>
          <w:shd w:val="solid" w:color="000000" w:fill="000000"/>
          <w14:textFill>
            <w14:solidFill>
              <w14:srgbClr w14:val="000000">
                <w14:alpha w14:val="100000"/>
              </w14:srgbClr>
            </w14:solidFill>
          </w14:textFill>
        </w:rPr>
        <w:t>|</w:t>
      </w:r>
      <w:r w:rsidR="00DC3DD9" w:rsidRPr="00DF4246">
        <w:rPr>
          <w:color w:val="000000"/>
          <w:w w:val="15"/>
          <w:shd w:val="solid" w:color="000000" w:fill="000000"/>
          <w14:textFill>
            <w14:solidFill>
              <w14:srgbClr w14:val="000000">
                <w14:alpha w14:val="100000"/>
              </w14:srgbClr>
            </w14:solidFill>
          </w14:textFill>
        </w:rPr>
        <w:t xml:space="preserve">  |</w:t>
      </w:r>
      <w:r w:rsidRPr="003957B2">
        <w:t>% (</w:t>
      </w:r>
      <w:r w:rsidR="00DC3DD9" w:rsidRPr="009A4A8D">
        <w:rPr>
          <w:color w:val="000000"/>
          <w:spacing w:val="-130"/>
          <w:w w:val="15"/>
          <w:shd w:val="solid" w:color="000000" w:fill="000000"/>
          <w14:textFill>
            <w14:solidFill>
              <w14:srgbClr w14:val="000000">
                <w14:alpha w14:val="100000"/>
              </w14:srgbClr>
            </w14:solidFill>
          </w14:textFill>
        </w:rPr>
        <w:t>|</w:t>
      </w:r>
      <w:r w:rsidR="00DC3DD9" w:rsidRPr="00DF4246">
        <w:rPr>
          <w:color w:val="000000"/>
          <w:w w:val="15"/>
          <w:shd w:val="solid" w:color="000000" w:fill="000000"/>
          <w14:textFill>
            <w14:solidFill>
              <w14:srgbClr w14:val="000000">
                <w14:alpha w14:val="100000"/>
              </w14:srgbClr>
            </w14:solidFill>
          </w14:textFill>
        </w:rPr>
        <w:t xml:space="preserve">  |</w:t>
      </w:r>
      <w:r w:rsidRPr="003957B2">
        <w:t xml:space="preserve">% in year 1, </w:t>
      </w:r>
      <w:r w:rsidR="00DC3DD9" w:rsidRPr="009A4A8D">
        <w:rPr>
          <w:color w:val="000000"/>
          <w:spacing w:val="-130"/>
          <w:w w:val="15"/>
          <w:shd w:val="solid" w:color="000000" w:fill="000000"/>
          <w14:textFill>
            <w14:solidFill>
              <w14:srgbClr w14:val="000000">
                <w14:alpha w14:val="100000"/>
              </w14:srgbClr>
            </w14:solidFill>
          </w14:textFill>
        </w:rPr>
        <w:t>|</w:t>
      </w:r>
      <w:r w:rsidR="00DC3DD9" w:rsidRPr="00DF4246">
        <w:rPr>
          <w:color w:val="000000"/>
          <w:w w:val="15"/>
          <w:shd w:val="solid" w:color="000000" w:fill="000000"/>
          <w14:textFill>
            <w14:solidFill>
              <w14:srgbClr w14:val="000000">
                <w14:alpha w14:val="100000"/>
              </w14:srgbClr>
            </w14:solidFill>
          </w14:textFill>
        </w:rPr>
        <w:t xml:space="preserve">  |</w:t>
      </w:r>
      <w:r w:rsidRPr="003957B2">
        <w:t xml:space="preserve">% in year 2, </w:t>
      </w:r>
      <w:r w:rsidR="00DC3DD9" w:rsidRPr="009A4A8D">
        <w:rPr>
          <w:color w:val="000000"/>
          <w:spacing w:val="-130"/>
          <w:w w:val="15"/>
          <w:shd w:val="solid" w:color="000000" w:fill="000000"/>
          <w14:textFill>
            <w14:solidFill>
              <w14:srgbClr w14:val="000000">
                <w14:alpha w14:val="100000"/>
              </w14:srgbClr>
            </w14:solidFill>
          </w14:textFill>
        </w:rPr>
        <w:t>|</w:t>
      </w:r>
      <w:r w:rsidR="00DC3DD9" w:rsidRPr="00DF4246">
        <w:rPr>
          <w:color w:val="000000"/>
          <w:w w:val="15"/>
          <w:shd w:val="solid" w:color="000000" w:fill="000000"/>
          <w14:textFill>
            <w14:solidFill>
              <w14:srgbClr w14:val="000000">
                <w14:alpha w14:val="100000"/>
              </w14:srgbClr>
            </w14:solidFill>
          </w14:textFill>
        </w:rPr>
        <w:t xml:space="preserve">  |</w:t>
      </w:r>
      <w:r w:rsidRPr="003957B2">
        <w:t xml:space="preserve">% in years 3-6). </w:t>
      </w:r>
      <w:r w:rsidRPr="00325AC7">
        <w:t>The PBAC also noted a DUSC utilisation review of ocular lubricants in February</w:t>
      </w:r>
      <w:r w:rsidR="00096F43">
        <w:t> </w:t>
      </w:r>
      <w:r w:rsidRPr="00325AC7">
        <w:t xml:space="preserve">2021 had found that there has been an increase in the use of PF </w:t>
      </w:r>
      <w:r w:rsidRPr="00325AC7">
        <w:rPr>
          <w:rFonts w:cstheme="minorHAnsi"/>
        </w:rPr>
        <w:t xml:space="preserve">ocular lubricants over PC ocular lubricants. The PBAC considered that </w:t>
      </w:r>
      <w:r>
        <w:rPr>
          <w:rFonts w:cstheme="minorHAnsi"/>
        </w:rPr>
        <w:t>the submission may have</w:t>
      </w:r>
      <w:r w:rsidRPr="00325AC7">
        <w:rPr>
          <w:rFonts w:cstheme="minorHAnsi"/>
        </w:rPr>
        <w:t xml:space="preserve"> overestimated</w:t>
      </w:r>
      <w:r>
        <w:rPr>
          <w:rFonts w:cstheme="minorHAnsi"/>
        </w:rPr>
        <w:t xml:space="preserve"> utilisation</w:t>
      </w:r>
      <w:r w:rsidRPr="00325AC7">
        <w:rPr>
          <w:rFonts w:cstheme="minorHAnsi"/>
        </w:rPr>
        <w:t xml:space="preserve">, however, </w:t>
      </w:r>
      <w:r>
        <w:rPr>
          <w:rFonts w:cstheme="minorHAnsi"/>
        </w:rPr>
        <w:t>the financial impact</w:t>
      </w:r>
      <w:r w:rsidRPr="00325AC7">
        <w:rPr>
          <w:rFonts w:cstheme="minorHAnsi"/>
        </w:rPr>
        <w:t xml:space="preserve"> would be </w:t>
      </w:r>
      <w:r>
        <w:rPr>
          <w:rFonts w:cstheme="minorHAnsi"/>
        </w:rPr>
        <w:t>clarified</w:t>
      </w:r>
      <w:r w:rsidRPr="00325AC7">
        <w:rPr>
          <w:rFonts w:cstheme="minorHAnsi"/>
        </w:rPr>
        <w:t xml:space="preserve"> once the therapeutic relativities of the PBS listed ocular lubricants</w:t>
      </w:r>
      <w:r>
        <w:rPr>
          <w:rFonts w:cstheme="minorHAnsi"/>
        </w:rPr>
        <w:t xml:space="preserve"> are confirmed</w:t>
      </w:r>
      <w:r w:rsidRPr="00325AC7">
        <w:rPr>
          <w:rFonts w:cstheme="minorHAnsi"/>
        </w:rPr>
        <w:t>. The PBAC also noted that the market share estimates may be impacted by the listing of</w:t>
      </w:r>
      <w:r w:rsidR="00096F43">
        <w:rPr>
          <w:rFonts w:cstheme="minorHAnsi"/>
        </w:rPr>
        <w:t xml:space="preserve"> hyaluronic acid with polyethylene glycol 400 with propylene glycol with hydroxypropyl guar</w:t>
      </w:r>
      <w:r w:rsidRPr="00325AC7">
        <w:rPr>
          <w:rFonts w:cstheme="minorHAnsi"/>
        </w:rPr>
        <w:t xml:space="preserve"> </w:t>
      </w:r>
      <w:r w:rsidR="00096F43">
        <w:rPr>
          <w:rFonts w:cstheme="minorHAnsi"/>
        </w:rPr>
        <w:t>(</w:t>
      </w:r>
      <w:r w:rsidRPr="00325AC7">
        <w:rPr>
          <w:rFonts w:cstheme="minorHAnsi"/>
        </w:rPr>
        <w:t>Systane</w:t>
      </w:r>
      <w:r w:rsidR="00096F43">
        <w:rPr>
          <w:rFonts w:cstheme="minorHAnsi"/>
        </w:rPr>
        <w:t>®</w:t>
      </w:r>
      <w:r w:rsidRPr="00325AC7">
        <w:rPr>
          <w:rFonts w:cstheme="minorHAnsi"/>
        </w:rPr>
        <w:t xml:space="preserve"> Hydration</w:t>
      </w:r>
      <w:r w:rsidR="00096F43">
        <w:rPr>
          <w:rFonts w:cstheme="minorHAnsi"/>
        </w:rPr>
        <w:t>)</w:t>
      </w:r>
      <w:r w:rsidRPr="00325AC7">
        <w:rPr>
          <w:rFonts w:cstheme="minorHAnsi"/>
        </w:rPr>
        <w:t xml:space="preserve"> were it to be recommended.</w:t>
      </w:r>
    </w:p>
    <w:p w14:paraId="7D51F03B" w14:textId="067F64D4" w:rsidR="003A4A1F" w:rsidRPr="004F0A7F" w:rsidRDefault="003A4A1F" w:rsidP="007A6427">
      <w:pPr>
        <w:pStyle w:val="3-BodyText"/>
      </w:pPr>
      <w:r w:rsidRPr="004F0A7F">
        <w:rPr>
          <w:rFonts w:cs="Arial"/>
          <w:iCs/>
          <w:snapToGrid w:val="0"/>
        </w:rPr>
        <w:t xml:space="preserve">The PBAC </w:t>
      </w:r>
      <w:r w:rsidR="003572EE">
        <w:rPr>
          <w:rFonts w:cs="Arial"/>
          <w:iCs/>
          <w:snapToGrid w:val="0"/>
        </w:rPr>
        <w:t xml:space="preserve">also </w:t>
      </w:r>
      <w:r w:rsidRPr="004F0A7F">
        <w:rPr>
          <w:rFonts w:cs="Arial"/>
          <w:iCs/>
          <w:snapToGrid w:val="0"/>
        </w:rPr>
        <w:t xml:space="preserve">advised that it is not necessary to </w:t>
      </w:r>
      <w:r w:rsidR="00597324">
        <w:rPr>
          <w:rFonts w:cs="Arial"/>
          <w:iCs/>
          <w:snapToGrid w:val="0"/>
        </w:rPr>
        <w:t xml:space="preserve">make explicit </w:t>
      </w:r>
      <w:r w:rsidRPr="004F0A7F">
        <w:rPr>
          <w:rFonts w:cs="Arial"/>
          <w:iCs/>
          <w:snapToGrid w:val="0"/>
        </w:rPr>
        <w:t>mention</w:t>
      </w:r>
      <w:r w:rsidR="00597324">
        <w:rPr>
          <w:rFonts w:cs="Arial"/>
          <w:iCs/>
          <w:snapToGrid w:val="0"/>
        </w:rPr>
        <w:t xml:space="preserve"> of</w:t>
      </w:r>
      <w:r w:rsidRPr="004F0A7F">
        <w:rPr>
          <w:rFonts w:cs="Arial"/>
          <w:iCs/>
          <w:snapToGrid w:val="0"/>
        </w:rPr>
        <w:t xml:space="preserve"> </w:t>
      </w:r>
      <w:bookmarkStart w:id="4" w:name="_Hlk131609995"/>
      <w:r w:rsidRPr="004F0A7F">
        <w:rPr>
          <w:rFonts w:cs="Arial"/>
          <w:iCs/>
          <w:snapToGrid w:val="0"/>
        </w:rPr>
        <w:t>Sjogren’s</w:t>
      </w:r>
      <w:bookmarkEnd w:id="4"/>
      <w:r w:rsidRPr="004F0A7F">
        <w:rPr>
          <w:rFonts w:cs="Arial"/>
          <w:iCs/>
          <w:snapToGrid w:val="0"/>
        </w:rPr>
        <w:t xml:space="preserve"> syndrome in the indications of ocular lubricants as this indication is encompassed within the indication of severe dry eye syndrome</w:t>
      </w:r>
      <w:r w:rsidR="005E6AE8">
        <w:rPr>
          <w:rFonts w:cs="Arial"/>
          <w:iCs/>
          <w:snapToGrid w:val="0"/>
        </w:rPr>
        <w:t>. The PBAC considered that</w:t>
      </w:r>
      <w:r w:rsidR="001416EF" w:rsidRPr="004F0A7F">
        <w:rPr>
          <w:rFonts w:cs="Arial"/>
          <w:iCs/>
          <w:snapToGrid w:val="0"/>
        </w:rPr>
        <w:t xml:space="preserve"> its presence in some but not all restrictions of ocular lubricants used for severe dry eye syndrome</w:t>
      </w:r>
      <w:r w:rsidR="005E6AE8">
        <w:rPr>
          <w:rFonts w:cs="Arial"/>
          <w:iCs/>
          <w:snapToGrid w:val="0"/>
        </w:rPr>
        <w:t xml:space="preserve"> may</w:t>
      </w:r>
      <w:r w:rsidR="001416EF" w:rsidRPr="004F0A7F">
        <w:rPr>
          <w:rFonts w:cs="Arial"/>
          <w:iCs/>
          <w:snapToGrid w:val="0"/>
        </w:rPr>
        <w:t xml:space="preserve"> suggest that </w:t>
      </w:r>
      <w:r w:rsidR="00510E13" w:rsidRPr="004F0A7F">
        <w:rPr>
          <w:rFonts w:cs="Arial"/>
          <w:iCs/>
          <w:snapToGrid w:val="0"/>
        </w:rPr>
        <w:t xml:space="preserve">not </w:t>
      </w:r>
      <w:r w:rsidR="005E6AE8" w:rsidRPr="00325AC7">
        <w:rPr>
          <w:rFonts w:cs="Arial"/>
          <w:iCs/>
          <w:snapToGrid w:val="0"/>
        </w:rPr>
        <w:t>all</w:t>
      </w:r>
      <w:r w:rsidR="00510E13" w:rsidRPr="004F0A7F">
        <w:rPr>
          <w:rFonts w:cs="Arial"/>
          <w:iCs/>
          <w:snapToGrid w:val="0"/>
        </w:rPr>
        <w:t xml:space="preserve"> these ocular lubricants are suitable for Sjogren’s syndrome</w:t>
      </w:r>
      <w:r w:rsidR="005E6AE8">
        <w:rPr>
          <w:rFonts w:cs="Arial"/>
          <w:iCs/>
          <w:snapToGrid w:val="0"/>
        </w:rPr>
        <w:t>, which is not the case</w:t>
      </w:r>
      <w:r w:rsidRPr="004F0A7F">
        <w:rPr>
          <w:rFonts w:cs="Arial"/>
          <w:iCs/>
          <w:snapToGrid w:val="0"/>
        </w:rPr>
        <w:t>. The PBAC</w:t>
      </w:r>
      <w:r w:rsidR="005E6AE8">
        <w:rPr>
          <w:rFonts w:cs="Arial"/>
          <w:iCs/>
          <w:snapToGrid w:val="0"/>
        </w:rPr>
        <w:t xml:space="preserve"> therefore</w:t>
      </w:r>
      <w:r w:rsidRPr="004F0A7F">
        <w:rPr>
          <w:rFonts w:cs="Arial"/>
          <w:iCs/>
          <w:snapToGrid w:val="0"/>
        </w:rPr>
        <w:t xml:space="preserve"> </w:t>
      </w:r>
      <w:r w:rsidR="00510E13" w:rsidRPr="004F0A7F">
        <w:rPr>
          <w:rFonts w:cs="Arial"/>
          <w:iCs/>
          <w:snapToGrid w:val="0"/>
        </w:rPr>
        <w:t>advised</w:t>
      </w:r>
      <w:r w:rsidRPr="004F0A7F">
        <w:rPr>
          <w:rFonts w:cs="Arial"/>
          <w:iCs/>
          <w:snapToGrid w:val="0"/>
        </w:rPr>
        <w:t xml:space="preserve"> that </w:t>
      </w:r>
      <w:r w:rsidR="001416EF" w:rsidRPr="004F0A7F">
        <w:rPr>
          <w:rFonts w:cs="Arial"/>
          <w:iCs/>
          <w:snapToGrid w:val="0"/>
        </w:rPr>
        <w:t xml:space="preserve">the listings of all ocular lubricants used for severe dry eye syndrome </w:t>
      </w:r>
      <w:r w:rsidR="00510E13" w:rsidRPr="004F0A7F">
        <w:rPr>
          <w:rFonts w:cs="Arial"/>
          <w:iCs/>
          <w:snapToGrid w:val="0"/>
        </w:rPr>
        <w:t>be revised</w:t>
      </w:r>
      <w:r w:rsidR="001416EF" w:rsidRPr="004F0A7F">
        <w:rPr>
          <w:rFonts w:cs="Arial"/>
          <w:iCs/>
          <w:snapToGrid w:val="0"/>
        </w:rPr>
        <w:t xml:space="preserve"> to remove </w:t>
      </w:r>
      <w:r w:rsidR="00510E13" w:rsidRPr="004F0A7F">
        <w:rPr>
          <w:rFonts w:cs="Arial"/>
          <w:iCs/>
          <w:snapToGrid w:val="0"/>
        </w:rPr>
        <w:t>any</w:t>
      </w:r>
      <w:r w:rsidR="001416EF" w:rsidRPr="004F0A7F">
        <w:rPr>
          <w:rFonts w:cs="Arial"/>
          <w:iCs/>
          <w:snapToGrid w:val="0"/>
        </w:rPr>
        <w:t xml:space="preserve"> reference to Sjogren’s syndrome.</w:t>
      </w:r>
    </w:p>
    <w:p w14:paraId="2BC32942" w14:textId="1EFECDE1" w:rsidR="007A6427" w:rsidRDefault="007A6427" w:rsidP="007A6427">
      <w:pPr>
        <w:pStyle w:val="3-BodyText"/>
        <w:numPr>
          <w:ilvl w:val="0"/>
          <w:numId w:val="0"/>
        </w:numPr>
      </w:pPr>
      <w:r w:rsidRPr="00325AC7">
        <w:rPr>
          <w:b/>
          <w:bCs/>
        </w:rPr>
        <w:t>Outcome:</w:t>
      </w:r>
      <w:r w:rsidRPr="00325AC7">
        <w:br/>
        <w:t>Deferred</w:t>
      </w:r>
    </w:p>
    <w:p w14:paraId="61D9204E" w14:textId="6F4DD071" w:rsidR="00BF0029" w:rsidRPr="00BF0029" w:rsidRDefault="00BF0029" w:rsidP="00BF0029">
      <w:pPr>
        <w:pStyle w:val="2-SectionHeading"/>
      </w:pPr>
      <w:r w:rsidRPr="00BF0029">
        <w:t>Context for Decision</w:t>
      </w:r>
    </w:p>
    <w:p w14:paraId="61B94B11" w14:textId="77777777" w:rsidR="00BF0029" w:rsidRPr="00BF0029" w:rsidRDefault="00BF0029" w:rsidP="000C34D1">
      <w:pPr>
        <w:pStyle w:val="3-BodyText"/>
        <w:numPr>
          <w:ilvl w:val="0"/>
          <w:numId w:val="0"/>
        </w:numPr>
        <w:ind w:left="720"/>
        <w:rPr>
          <w:rFonts w:cs="Arial"/>
          <w:bCs/>
          <w:lang w:val="en-GB" w:eastAsia="en-US"/>
        </w:rPr>
      </w:pPr>
      <w:r w:rsidRPr="000C34D1">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BF0029">
        <w:rPr>
          <w:rFonts w:cs="Arial"/>
          <w:bCs/>
          <w:lang w:val="en-GB" w:eastAsia="en-US"/>
        </w:rPr>
        <w:t>.</w:t>
      </w:r>
    </w:p>
    <w:p w14:paraId="1C81B93F" w14:textId="715BC0A5" w:rsidR="00BF0029" w:rsidRPr="00BF0029" w:rsidRDefault="00BF0029" w:rsidP="00BF0029">
      <w:pPr>
        <w:pStyle w:val="2-SectionHeading"/>
      </w:pPr>
      <w:r w:rsidRPr="00BF0029">
        <w:t>Sponsor’s Comment</w:t>
      </w:r>
    </w:p>
    <w:p w14:paraId="302D0316" w14:textId="17DB9438" w:rsidR="00BF0029" w:rsidRDefault="003957B2" w:rsidP="002E7F24">
      <w:pPr>
        <w:pStyle w:val="3-BodyText"/>
        <w:numPr>
          <w:ilvl w:val="0"/>
          <w:numId w:val="0"/>
        </w:numPr>
        <w:ind w:left="720"/>
      </w:pPr>
      <w:r w:rsidRPr="002E7F24">
        <w:t>Allergan is disappointed by the PBAC’s decision to defer making a recommendation on CGH until a cost effectiveness review of all ocular lubricants has been conducted.</w:t>
      </w:r>
    </w:p>
    <w:p w14:paraId="69C54298" w14:textId="77777777" w:rsidR="007853C9" w:rsidRDefault="007853C9">
      <w:pPr>
        <w:jc w:val="left"/>
        <w:rPr>
          <w:rFonts w:asciiTheme="minorHAnsi" w:eastAsiaTheme="majorEastAsia" w:hAnsiTheme="minorHAnsi" w:cstheme="majorBidi"/>
          <w:b/>
          <w:color w:val="FF0000"/>
          <w:spacing w:val="5"/>
          <w:kern w:val="28"/>
          <w:sz w:val="36"/>
          <w:szCs w:val="36"/>
        </w:rPr>
      </w:pPr>
      <w:r>
        <w:rPr>
          <w:color w:val="FF0000"/>
        </w:rPr>
        <w:br w:type="page"/>
      </w:r>
    </w:p>
    <w:p w14:paraId="282B5718" w14:textId="0A8FA087" w:rsidR="00096F43" w:rsidRPr="008B19F2" w:rsidRDefault="00096F43" w:rsidP="008B19F2">
      <w:pPr>
        <w:pStyle w:val="1MainTitle"/>
        <w:ind w:left="1134" w:hanging="1134"/>
        <w:jc w:val="left"/>
        <w:rPr>
          <w:rFonts w:eastAsia="Calibri"/>
          <w:color w:val="FF0000"/>
          <w:sz w:val="28"/>
          <w:szCs w:val="28"/>
          <w:lang w:eastAsia="en-US"/>
        </w:rPr>
      </w:pPr>
      <w:r w:rsidRPr="008B19F2">
        <w:rPr>
          <w:rFonts w:eastAsia="Calibri"/>
          <w:color w:val="FF0000"/>
          <w:sz w:val="28"/>
          <w:szCs w:val="28"/>
          <w:lang w:eastAsia="en-US"/>
        </w:rPr>
        <w:t xml:space="preserve">Addendum to the March 2023 PBAC </w:t>
      </w:r>
      <w:r w:rsidR="009F69C4" w:rsidRPr="008B19F2">
        <w:rPr>
          <w:rFonts w:eastAsia="Calibri"/>
          <w:color w:val="FF0000"/>
          <w:sz w:val="28"/>
          <w:szCs w:val="28"/>
          <w:lang w:eastAsia="en-US"/>
        </w:rPr>
        <w:t>PSD</w:t>
      </w:r>
      <w:r w:rsidRPr="008B19F2">
        <w:rPr>
          <w:rFonts w:eastAsia="Calibri"/>
          <w:color w:val="FF0000"/>
          <w:sz w:val="28"/>
          <w:szCs w:val="28"/>
          <w:lang w:eastAsia="en-US"/>
        </w:rPr>
        <w:t>:</w:t>
      </w:r>
    </w:p>
    <w:p w14:paraId="42203FA0" w14:textId="77777777" w:rsidR="00096F43" w:rsidRPr="002C389E" w:rsidRDefault="00096F43" w:rsidP="00096F43">
      <w:pPr>
        <w:pStyle w:val="1MainTitle"/>
        <w:jc w:val="left"/>
      </w:pPr>
      <w:r>
        <w:t>4</w:t>
      </w:r>
      <w:r w:rsidRPr="00325AC7">
        <w:t>.</w:t>
      </w:r>
      <w:r>
        <w:t>02</w:t>
      </w:r>
      <w:r w:rsidRPr="00325AC7">
        <w:tab/>
        <w:t xml:space="preserve">CARMELLOSE WITH GLYCEROL AND HYALURONIC ACID, </w:t>
      </w:r>
      <w:r w:rsidRPr="00325AC7">
        <w:br/>
        <w:t xml:space="preserve">Eye drops containing carmellose sodium 5 mg per mL with glycerol 9 mg per mL and sodium hyaluronate </w:t>
      </w:r>
      <w:r w:rsidRPr="00325AC7">
        <w:rPr>
          <w:color w:val="000000" w:themeColor="dark1"/>
        </w:rPr>
        <w:t>1</w:t>
      </w:r>
      <w:r>
        <w:rPr>
          <w:color w:val="000000" w:themeColor="dark1"/>
        </w:rPr>
        <w:t> </w:t>
      </w:r>
      <w:r w:rsidRPr="00325AC7">
        <w:rPr>
          <w:color w:val="000000" w:themeColor="dark1"/>
        </w:rPr>
        <w:t>mg per mL, 10 mL,</w:t>
      </w:r>
      <w:r w:rsidRPr="00325AC7">
        <w:br/>
        <w:t>Optive Fusion®,</w:t>
      </w:r>
      <w:r w:rsidRPr="00325AC7">
        <w:br/>
        <w:t>Allergan Australia Pty Ltd</w:t>
      </w:r>
    </w:p>
    <w:p w14:paraId="6A35C1E7" w14:textId="77777777" w:rsidR="00096F43" w:rsidRDefault="00096F43" w:rsidP="00096F43">
      <w:pPr>
        <w:pStyle w:val="2-SectionHeading"/>
        <w:numPr>
          <w:ilvl w:val="0"/>
          <w:numId w:val="2"/>
        </w:numPr>
      </w:pPr>
      <w:bookmarkStart w:id="5" w:name="_Hlk135040613"/>
      <w:r>
        <w:t>Purpose</w:t>
      </w:r>
    </w:p>
    <w:p w14:paraId="2B5CA086" w14:textId="77777777" w:rsidR="00096F43" w:rsidRDefault="00096F43" w:rsidP="00096F43">
      <w:pPr>
        <w:pStyle w:val="3-BodyText"/>
        <w:numPr>
          <w:ilvl w:val="1"/>
          <w:numId w:val="2"/>
        </w:numPr>
      </w:pPr>
      <w:bookmarkStart w:id="6" w:name="_Hlk135040814"/>
      <w:r>
        <w:t xml:space="preserve">To determine the appropriate comparator for the listing of </w:t>
      </w:r>
      <w:r w:rsidRPr="00325AC7">
        <w:t>CGH multidose PC eye drops (Optive Fusion) as a General Schedule Restricted Benefit listing for the treatment of severe dry eye syndrome.</w:t>
      </w:r>
    </w:p>
    <w:bookmarkEnd w:id="6"/>
    <w:p w14:paraId="1B86F3D9" w14:textId="77777777" w:rsidR="00096F43" w:rsidRDefault="00096F43" w:rsidP="00096F43">
      <w:pPr>
        <w:pStyle w:val="2-SectionHeading"/>
        <w:numPr>
          <w:ilvl w:val="0"/>
          <w:numId w:val="2"/>
        </w:numPr>
      </w:pPr>
      <w:r>
        <w:t>Background</w:t>
      </w:r>
    </w:p>
    <w:p w14:paraId="23458408" w14:textId="77777777" w:rsidR="00096F43" w:rsidRDefault="00096F43" w:rsidP="00096F43">
      <w:pPr>
        <w:pStyle w:val="3-BodyText"/>
        <w:numPr>
          <w:ilvl w:val="1"/>
          <w:numId w:val="2"/>
        </w:numPr>
      </w:pPr>
      <w:r>
        <w:t xml:space="preserve">The PBAC considered the listing of CGH at its March 2023 meeting and </w:t>
      </w:r>
      <w:bookmarkStart w:id="7" w:name="_Hlk135045098"/>
      <w:r>
        <w:t xml:space="preserve">deferred making a recommendation to </w:t>
      </w:r>
      <w:r w:rsidRPr="00325AC7">
        <w:t>undertake further analysis of the cost effectiveness of ocular lubricants in Australia.</w:t>
      </w:r>
      <w:bookmarkEnd w:id="7"/>
    </w:p>
    <w:p w14:paraId="3CE6E339" w14:textId="77777777" w:rsidR="00096F43" w:rsidRDefault="00096F43" w:rsidP="00096F43">
      <w:pPr>
        <w:pStyle w:val="3-BodyText"/>
        <w:numPr>
          <w:ilvl w:val="1"/>
          <w:numId w:val="2"/>
        </w:numPr>
      </w:pPr>
      <w:bookmarkStart w:id="8" w:name="_Hlk135045132"/>
      <w:r>
        <w:t>The PBAC had advised that it considered t</w:t>
      </w:r>
      <w:r w:rsidRPr="00325AC7">
        <w:t>he submission</w:t>
      </w:r>
      <w:r>
        <w:t>’s</w:t>
      </w:r>
      <w:r w:rsidRPr="00325AC7">
        <w:t xml:space="preserve"> claim</w:t>
      </w:r>
      <w:r>
        <w:t xml:space="preserve"> of</w:t>
      </w:r>
      <w:r w:rsidRPr="00325AC7">
        <w:t xml:space="preserve"> non-inferior </w:t>
      </w:r>
      <w:r>
        <w:t>c</w:t>
      </w:r>
      <w:r w:rsidRPr="00325AC7">
        <w:t xml:space="preserve">omparative effectiveness and non-inferior comparative safety </w:t>
      </w:r>
      <w:r>
        <w:t>to</w:t>
      </w:r>
      <w:r w:rsidRPr="00325AC7">
        <w:t xml:space="preserve"> </w:t>
      </w:r>
      <w:bookmarkEnd w:id="8"/>
      <w:r w:rsidRPr="00325AC7">
        <w:t>HS 0.1%</w:t>
      </w:r>
      <w:r>
        <w:t xml:space="preserve"> </w:t>
      </w:r>
      <w:r w:rsidRPr="00325AC7">
        <w:rPr>
          <w:szCs w:val="20"/>
          <w:lang w:eastAsia="en-US"/>
        </w:rPr>
        <w:t>was reasonably supported by the</w:t>
      </w:r>
      <w:r>
        <w:rPr>
          <w:szCs w:val="20"/>
          <w:lang w:eastAsia="en-US"/>
        </w:rPr>
        <w:t xml:space="preserve"> submission</w:t>
      </w:r>
      <w:r w:rsidRPr="00325AC7">
        <w:rPr>
          <w:szCs w:val="20"/>
          <w:lang w:eastAsia="en-US"/>
        </w:rPr>
        <w:t xml:space="preserve"> data.</w:t>
      </w:r>
      <w:r>
        <w:t xml:space="preserve"> The PBAC had noted that the nominated comparator, </w:t>
      </w:r>
      <w:r w:rsidRPr="00325AC7">
        <w:t>HS 0.1%</w:t>
      </w:r>
      <w:r>
        <w:t>, is a PF ocular lubricant, whereas CGH is a PC ocular lubricant, and therefore considered that the data presented demonstrated that there was no added benefit to PF ocular lubricants over PC ocular lubricants</w:t>
      </w:r>
      <w:r w:rsidRPr="00325AC7">
        <w:t>.</w:t>
      </w:r>
    </w:p>
    <w:p w14:paraId="00A7E404" w14:textId="77777777" w:rsidR="00096F43" w:rsidRDefault="00096F43" w:rsidP="00096F43">
      <w:pPr>
        <w:pStyle w:val="3-BodyText"/>
        <w:numPr>
          <w:ilvl w:val="1"/>
          <w:numId w:val="2"/>
        </w:numPr>
      </w:pPr>
      <w:bookmarkStart w:id="9" w:name="_Hlk135049840"/>
      <w:r>
        <w:t>Furthermore, t</w:t>
      </w:r>
      <w:r w:rsidRPr="00325AC7">
        <w:t xml:space="preserve">he PBAC </w:t>
      </w:r>
      <w:r>
        <w:t>had</w:t>
      </w:r>
      <w:r w:rsidRPr="00325AC7">
        <w:t xml:space="preserve"> </w:t>
      </w:r>
      <w:r>
        <w:t>recalled</w:t>
      </w:r>
      <w:r w:rsidRPr="00325AC7">
        <w:t xml:space="preserve"> it</w:t>
      </w:r>
      <w:r>
        <w:t>s</w:t>
      </w:r>
      <w:r w:rsidRPr="00325AC7">
        <w:t xml:space="preserve"> advi</w:t>
      </w:r>
      <w:r>
        <w:t>ce</w:t>
      </w:r>
      <w:r w:rsidRPr="00325AC7">
        <w:t xml:space="preserve"> in 2014 that all ocular lubricants should be considered equivalent for pricing purposes</w:t>
      </w:r>
      <w:r>
        <w:t>, inclusive of hyaluronate based ocular lubricants.</w:t>
      </w:r>
      <w:bookmarkEnd w:id="9"/>
      <w:r>
        <w:t xml:space="preserve"> </w:t>
      </w:r>
      <w:bookmarkStart w:id="10" w:name="_Hlk135049879"/>
      <w:r>
        <w:t xml:space="preserve">At the March 2023 meeting, the PBAC had considered that </w:t>
      </w:r>
      <w:r w:rsidRPr="0012799E">
        <w:rPr>
          <w:rFonts w:cstheme="minorHAnsi"/>
          <w:szCs w:val="24"/>
        </w:rPr>
        <w:t xml:space="preserve">Systane </w:t>
      </w:r>
      <w:r>
        <w:rPr>
          <w:rFonts w:cstheme="minorHAnsi"/>
          <w:szCs w:val="24"/>
        </w:rPr>
        <w:t xml:space="preserve">Hydration </w:t>
      </w:r>
      <w:r w:rsidRPr="0012799E">
        <w:rPr>
          <w:rFonts w:cstheme="minorHAnsi"/>
          <w:szCs w:val="24"/>
        </w:rPr>
        <w:t>multi-dose</w:t>
      </w:r>
      <w:r>
        <w:rPr>
          <w:rFonts w:cstheme="minorHAnsi"/>
          <w:szCs w:val="24"/>
        </w:rPr>
        <w:t xml:space="preserve"> PF eye drops were </w:t>
      </w:r>
      <w:r w:rsidRPr="007E23EB">
        <w:t>non-inferior</w:t>
      </w:r>
      <w:r>
        <w:t xml:space="preserve"> in</w:t>
      </w:r>
      <w:r w:rsidRPr="003678C1">
        <w:t xml:space="preserve"> comparative effectiveness and comparative safety </w:t>
      </w:r>
      <w:r>
        <w:t>when</w:t>
      </w:r>
      <w:r w:rsidRPr="007E23EB">
        <w:t xml:space="preserve"> </w:t>
      </w:r>
      <w:r w:rsidRPr="003678C1">
        <w:t>compared with</w:t>
      </w:r>
      <w:r>
        <w:t xml:space="preserve"> HS 0.1%, HS 0.2%, and Cationorm respectively, noting that Systane Hydration does not contain hyaluronate.</w:t>
      </w:r>
    </w:p>
    <w:bookmarkEnd w:id="10"/>
    <w:p w14:paraId="43E32CEB" w14:textId="77777777" w:rsidR="00096F43" w:rsidRDefault="00096F43" w:rsidP="00096F43">
      <w:pPr>
        <w:pStyle w:val="2-SectionHeading"/>
        <w:numPr>
          <w:ilvl w:val="0"/>
          <w:numId w:val="2"/>
        </w:numPr>
      </w:pPr>
      <w:r>
        <w:t>PBAC Outcome</w:t>
      </w:r>
    </w:p>
    <w:p w14:paraId="7D3F0770" w14:textId="77777777" w:rsidR="00096F43" w:rsidRDefault="00096F43" w:rsidP="00096F43">
      <w:pPr>
        <w:pStyle w:val="3-BodyText"/>
        <w:numPr>
          <w:ilvl w:val="1"/>
          <w:numId w:val="2"/>
        </w:numPr>
      </w:pPr>
      <w:bookmarkStart w:id="11" w:name="_Hlk135050141"/>
      <w:r>
        <w:t xml:space="preserve">The PBAC recommended the listing of CGH multidose PC eye drops </w:t>
      </w:r>
      <w:r w:rsidRPr="00325AC7">
        <w:t>for the treatment of severe dry eye syndrome</w:t>
      </w:r>
      <w:r>
        <w:t xml:space="preserve"> on a cost-minimisation basis to the lowest cost PBS listed ocular lubricant.</w:t>
      </w:r>
    </w:p>
    <w:p w14:paraId="760D57B5" w14:textId="77777777" w:rsidR="00096F43" w:rsidRDefault="00096F43" w:rsidP="00096F43">
      <w:pPr>
        <w:pStyle w:val="3-BodyText"/>
        <w:numPr>
          <w:ilvl w:val="1"/>
          <w:numId w:val="2"/>
        </w:numPr>
      </w:pPr>
      <w:r>
        <w:t xml:space="preserve">The PBAC noted that under section 101(3B) of the Act, for a therapy to be </w:t>
      </w:r>
      <w:r w:rsidRPr="005B0F20">
        <w:t>substantially more costly than an alternative therapy or alternative therapies</w:t>
      </w:r>
      <w:r>
        <w:t>, it must,</w:t>
      </w:r>
      <w:r w:rsidRPr="005B0F20">
        <w:t xml:space="preserve"> for some patients, provide a significant improvement in efficacy or reduction of toxicity over the alternative therapy or therapies</w:t>
      </w:r>
      <w:r>
        <w:t xml:space="preserve">. The PBAC considered that CGH multidose PC eye drops do not provide a </w:t>
      </w:r>
      <w:r w:rsidRPr="005B0F20">
        <w:t>significant improvement in efficacy or reduction of toxicity</w:t>
      </w:r>
      <w:r>
        <w:t xml:space="preserve"> over other PC ocular lubricants and reaffirmed its previous 2014 advice that hyaluronate based PF eye drops are considered to be non-inferior in effectiveness and safety to other PBS listed ocular lubricants. Specifically, the PBAC considered that PF ocular lubricants do not provide a significant reduction in toxicity over PBS listed PC ocular lubricants and that hyaluronate based ocular lubricants do not provide a significant improvement in efficacy over other PBS listed ocular lubricants.</w:t>
      </w:r>
    </w:p>
    <w:p w14:paraId="78EABD0D" w14:textId="4B550953" w:rsidR="00096F43" w:rsidRDefault="00096F43" w:rsidP="00096F43">
      <w:pPr>
        <w:pStyle w:val="3-BodyText"/>
        <w:numPr>
          <w:ilvl w:val="1"/>
          <w:numId w:val="2"/>
        </w:numPr>
      </w:pPr>
      <w:r>
        <w:rPr>
          <w:rFonts w:cstheme="minorHAnsi"/>
        </w:rPr>
        <w:t xml:space="preserve">The PBAC </w:t>
      </w:r>
      <w:r w:rsidRPr="00325AC7">
        <w:rPr>
          <w:rFonts w:cstheme="minorHAnsi"/>
        </w:rPr>
        <w:t xml:space="preserve">considered </w:t>
      </w:r>
      <w:r>
        <w:rPr>
          <w:rFonts w:cstheme="minorHAnsi"/>
        </w:rPr>
        <w:t>that the financial estimates would be acceptable once cost</w:t>
      </w:r>
      <w:r w:rsidR="007853C9">
        <w:rPr>
          <w:rFonts w:cstheme="minorHAnsi"/>
        </w:rPr>
        <w:noBreakHyphen/>
      </w:r>
      <w:r>
        <w:rPr>
          <w:rFonts w:cstheme="minorHAnsi"/>
        </w:rPr>
        <w:t>minimised to the lowest cost ocular lubricant.</w:t>
      </w:r>
    </w:p>
    <w:p w14:paraId="60639721" w14:textId="77777777" w:rsidR="00096F43" w:rsidRDefault="00096F43" w:rsidP="00096F43">
      <w:pPr>
        <w:pStyle w:val="3-BodyText"/>
        <w:numPr>
          <w:ilvl w:val="1"/>
          <w:numId w:val="2"/>
        </w:numPr>
      </w:pPr>
      <w:r w:rsidRPr="00650BF7">
        <w:t xml:space="preserve">The PBAC noted that its recommendation was on a cost-minimisation basis and advised that, because </w:t>
      </w:r>
      <w:r>
        <w:t>CGH</w:t>
      </w:r>
      <w:r w:rsidRPr="00650BF7">
        <w:t xml:space="preserve"> is not expected to provide a substantial and clinically relevant improvement in efficacy, or reduction of toxicity over all other </w:t>
      </w:r>
      <w:r>
        <w:t>ocular lubricants</w:t>
      </w:r>
      <w:r w:rsidRPr="00650BF7">
        <w:t xml:space="preserve">, or not expected to address a high and urgent unmet clinical need given the presence of an alternative therapy, the criteria prescribed by the </w:t>
      </w:r>
      <w:r w:rsidRPr="007E227B">
        <w:rPr>
          <w:i/>
          <w:iCs/>
        </w:rPr>
        <w:t>National Health (Pharmaceuticals and Vaccines – Cost Recovery) Regulations 20</w:t>
      </w:r>
      <w:r>
        <w:rPr>
          <w:i/>
          <w:iCs/>
        </w:rPr>
        <w:t>22</w:t>
      </w:r>
      <w:r w:rsidRPr="00650BF7">
        <w:t xml:space="preserve"> for Pricing Pathway A were not met.</w:t>
      </w:r>
    </w:p>
    <w:p w14:paraId="67A9AD1F" w14:textId="77777777" w:rsidR="00096F43" w:rsidRDefault="00096F43" w:rsidP="00096F43">
      <w:pPr>
        <w:pStyle w:val="3-BodyText"/>
        <w:numPr>
          <w:ilvl w:val="1"/>
          <w:numId w:val="2"/>
        </w:numPr>
      </w:pPr>
      <w:r w:rsidRPr="00650BF7">
        <w:t xml:space="preserve">The PBAC advised that under Section 101(3BA) of the </w:t>
      </w:r>
      <w:r w:rsidRPr="007E227B">
        <w:rPr>
          <w:i/>
          <w:iCs/>
        </w:rPr>
        <w:t>National Health Act 1953</w:t>
      </w:r>
      <w:r w:rsidRPr="00650BF7">
        <w:t xml:space="preserve"> </w:t>
      </w:r>
      <w:r>
        <w:t>CGH</w:t>
      </w:r>
      <w:r w:rsidRPr="00650BF7">
        <w:t xml:space="preserve"> should be treated as interchangeable with other PBS-listed ocular lubricants on an individual patient basis.</w:t>
      </w:r>
    </w:p>
    <w:p w14:paraId="736359D2" w14:textId="77777777" w:rsidR="00096F43" w:rsidRDefault="00096F43" w:rsidP="00096F43">
      <w:pPr>
        <w:pStyle w:val="3-BodyText"/>
        <w:numPr>
          <w:ilvl w:val="1"/>
          <w:numId w:val="2"/>
        </w:numPr>
      </w:pPr>
      <w:r w:rsidRPr="00650BF7">
        <w:t xml:space="preserve">The PBAC advised that </w:t>
      </w:r>
      <w:r>
        <w:t>CGH</w:t>
      </w:r>
      <w:r w:rsidRPr="00650BF7">
        <w:t xml:space="preserve"> is suitable for prescribing by nurse practitioners and optometrists, which aligns with other PBS-listed ocular lubricants.</w:t>
      </w:r>
    </w:p>
    <w:p w14:paraId="4579CC25" w14:textId="77777777" w:rsidR="00096F43" w:rsidRDefault="00096F43" w:rsidP="00096F43">
      <w:pPr>
        <w:pStyle w:val="3-BodyText"/>
        <w:numPr>
          <w:ilvl w:val="1"/>
          <w:numId w:val="2"/>
        </w:numPr>
      </w:pPr>
      <w:r w:rsidRPr="00650BF7">
        <w:t xml:space="preserve">The PBAC advised that </w:t>
      </w:r>
      <w:r>
        <w:t>CGH</w:t>
      </w:r>
      <w:r w:rsidRPr="00650BF7">
        <w:t xml:space="preserve"> should be exempt from the Early Supply Rule as it currently does not apply to other PBS-listed ocular lubricants.</w:t>
      </w:r>
    </w:p>
    <w:p w14:paraId="6C996ED8" w14:textId="77777777" w:rsidR="00096F43" w:rsidRDefault="00096F43" w:rsidP="00096F43">
      <w:pPr>
        <w:pStyle w:val="3-BodyText"/>
        <w:numPr>
          <w:ilvl w:val="1"/>
          <w:numId w:val="2"/>
        </w:numPr>
      </w:pPr>
      <w:r w:rsidRPr="00650BF7">
        <w:t>The PBAC noted that this submission is not eligible for an Independent Review as it received a positive recommendation.</w:t>
      </w:r>
    </w:p>
    <w:p w14:paraId="553E58A4" w14:textId="62C53A7F" w:rsidR="007853C9" w:rsidRDefault="00096F43" w:rsidP="00096F43">
      <w:pPr>
        <w:pStyle w:val="3-BodyText"/>
        <w:numPr>
          <w:ilvl w:val="0"/>
          <w:numId w:val="0"/>
        </w:numPr>
      </w:pPr>
      <w:r w:rsidRPr="00325AC7">
        <w:rPr>
          <w:b/>
          <w:bCs/>
        </w:rPr>
        <w:t>Outcome:</w:t>
      </w:r>
      <w:r w:rsidRPr="00325AC7">
        <w:br/>
      </w:r>
      <w:r>
        <w:t>Recommended</w:t>
      </w:r>
    </w:p>
    <w:p w14:paraId="4361F76C" w14:textId="77777777" w:rsidR="007853C9" w:rsidRDefault="007853C9">
      <w:pPr>
        <w:jc w:val="left"/>
        <w:rPr>
          <w:rFonts w:asciiTheme="minorHAnsi" w:eastAsiaTheme="minorHAnsi" w:hAnsiTheme="minorHAnsi" w:cstheme="minorBidi"/>
          <w:szCs w:val="22"/>
        </w:rPr>
      </w:pPr>
      <w:r>
        <w:br w:type="page"/>
      </w:r>
    </w:p>
    <w:bookmarkEnd w:id="11"/>
    <w:p w14:paraId="53DB754D" w14:textId="77777777" w:rsidR="00096F43" w:rsidRDefault="00096F43" w:rsidP="00096F43">
      <w:pPr>
        <w:pStyle w:val="2-SectionHeading"/>
        <w:numPr>
          <w:ilvl w:val="0"/>
          <w:numId w:val="2"/>
        </w:numPr>
      </w:pPr>
      <w:r>
        <w:t>Recommended listing</w:t>
      </w:r>
    </w:p>
    <w:bookmarkEnd w:id="5"/>
    <w:p w14:paraId="252FF021" w14:textId="77777777" w:rsidR="00096F43" w:rsidRPr="00325AC7" w:rsidRDefault="00096F43" w:rsidP="00096F43">
      <w:pPr>
        <w:pStyle w:val="3-BodyText"/>
        <w:numPr>
          <w:ilvl w:val="1"/>
          <w:numId w:val="2"/>
        </w:numPr>
      </w:pPr>
      <w:r>
        <w:t>Add new listing:</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096F43" w:rsidRPr="00325AC7" w14:paraId="2FAFB5FB" w14:textId="77777777" w:rsidTr="007575A6">
        <w:trPr>
          <w:cantSplit/>
          <w:trHeight w:val="471"/>
        </w:trPr>
        <w:tc>
          <w:tcPr>
            <w:tcW w:w="3964" w:type="dxa"/>
          </w:tcPr>
          <w:p w14:paraId="3B1BDDB5" w14:textId="77777777" w:rsidR="00096F43" w:rsidRPr="00325AC7" w:rsidRDefault="00096F43" w:rsidP="007575A6">
            <w:pPr>
              <w:keepNext/>
              <w:ind w:left="-108"/>
              <w:rPr>
                <w:rFonts w:ascii="Arial Narrow" w:hAnsi="Arial Narrow" w:cs="Arial"/>
                <w:b/>
                <w:bCs/>
                <w:sz w:val="20"/>
                <w:szCs w:val="20"/>
              </w:rPr>
            </w:pPr>
            <w:r w:rsidRPr="00325AC7">
              <w:rPr>
                <w:rFonts w:ascii="Arial Narrow" w:hAnsi="Arial Narrow" w:cs="Arial"/>
                <w:b/>
                <w:bCs/>
                <w:sz w:val="20"/>
                <w:szCs w:val="20"/>
              </w:rPr>
              <w:t>MEDICINAL PRODUCT</w:t>
            </w:r>
          </w:p>
          <w:p w14:paraId="371539AD" w14:textId="77777777" w:rsidR="00096F43" w:rsidRPr="00325AC7" w:rsidRDefault="00096F43" w:rsidP="007575A6">
            <w:pPr>
              <w:keepNext/>
              <w:ind w:left="-108"/>
              <w:rPr>
                <w:rFonts w:ascii="Arial Narrow" w:hAnsi="Arial Narrow" w:cs="Arial"/>
                <w:b/>
                <w:sz w:val="20"/>
                <w:szCs w:val="20"/>
              </w:rPr>
            </w:pPr>
            <w:r w:rsidRPr="00325AC7">
              <w:rPr>
                <w:rFonts w:ascii="Arial Narrow" w:hAnsi="Arial Narrow" w:cs="Arial"/>
                <w:b/>
                <w:bCs/>
                <w:sz w:val="20"/>
                <w:szCs w:val="20"/>
              </w:rPr>
              <w:t xml:space="preserve"> Medicinal Product Pack</w:t>
            </w:r>
          </w:p>
        </w:tc>
        <w:tc>
          <w:tcPr>
            <w:tcW w:w="993" w:type="dxa"/>
          </w:tcPr>
          <w:p w14:paraId="44528248" w14:textId="77777777" w:rsidR="00096F43" w:rsidRPr="00325AC7" w:rsidRDefault="00096F43" w:rsidP="007575A6">
            <w:pPr>
              <w:keepNext/>
              <w:ind w:left="-108"/>
              <w:jc w:val="center"/>
              <w:rPr>
                <w:rFonts w:ascii="Arial Narrow" w:hAnsi="Arial Narrow" w:cs="Arial"/>
                <w:b/>
                <w:sz w:val="20"/>
                <w:szCs w:val="20"/>
              </w:rPr>
            </w:pPr>
            <w:r w:rsidRPr="00325AC7">
              <w:rPr>
                <w:rFonts w:ascii="Arial Narrow" w:hAnsi="Arial Narrow" w:cs="Arial"/>
                <w:b/>
                <w:sz w:val="20"/>
                <w:szCs w:val="20"/>
              </w:rPr>
              <w:t>PBS item code</w:t>
            </w:r>
          </w:p>
        </w:tc>
        <w:tc>
          <w:tcPr>
            <w:tcW w:w="850" w:type="dxa"/>
          </w:tcPr>
          <w:p w14:paraId="2C5CD53B" w14:textId="77777777" w:rsidR="00096F43" w:rsidRPr="00325AC7" w:rsidRDefault="00096F43" w:rsidP="007575A6">
            <w:pPr>
              <w:keepNext/>
              <w:ind w:left="-108"/>
              <w:jc w:val="center"/>
              <w:rPr>
                <w:rFonts w:ascii="Arial Narrow" w:hAnsi="Arial Narrow" w:cs="Arial"/>
                <w:b/>
                <w:sz w:val="20"/>
                <w:szCs w:val="20"/>
              </w:rPr>
            </w:pPr>
            <w:r w:rsidRPr="00325AC7">
              <w:rPr>
                <w:rFonts w:ascii="Arial Narrow" w:hAnsi="Arial Narrow" w:cs="Arial"/>
                <w:b/>
                <w:sz w:val="20"/>
                <w:szCs w:val="20"/>
              </w:rPr>
              <w:t>Max. qty packs</w:t>
            </w:r>
          </w:p>
        </w:tc>
        <w:tc>
          <w:tcPr>
            <w:tcW w:w="851" w:type="dxa"/>
          </w:tcPr>
          <w:p w14:paraId="006D0072" w14:textId="77777777" w:rsidR="00096F43" w:rsidRPr="00325AC7" w:rsidRDefault="00096F43" w:rsidP="007575A6">
            <w:pPr>
              <w:keepNext/>
              <w:ind w:left="-108"/>
              <w:jc w:val="center"/>
              <w:rPr>
                <w:rFonts w:ascii="Arial Narrow" w:hAnsi="Arial Narrow" w:cs="Arial"/>
                <w:b/>
                <w:sz w:val="20"/>
                <w:szCs w:val="20"/>
              </w:rPr>
            </w:pPr>
            <w:r w:rsidRPr="00325AC7">
              <w:rPr>
                <w:rFonts w:ascii="Arial Narrow" w:hAnsi="Arial Narrow" w:cs="Arial"/>
                <w:b/>
                <w:sz w:val="20"/>
                <w:szCs w:val="20"/>
              </w:rPr>
              <w:t>Max. qty units</w:t>
            </w:r>
          </w:p>
        </w:tc>
        <w:tc>
          <w:tcPr>
            <w:tcW w:w="708" w:type="dxa"/>
          </w:tcPr>
          <w:p w14:paraId="70B6B7E1" w14:textId="77777777" w:rsidR="00096F43" w:rsidRPr="00325AC7" w:rsidRDefault="00096F43" w:rsidP="007575A6">
            <w:pPr>
              <w:keepNext/>
              <w:ind w:left="-108"/>
              <w:jc w:val="center"/>
              <w:rPr>
                <w:rFonts w:ascii="Arial Narrow" w:hAnsi="Arial Narrow" w:cs="Arial"/>
                <w:b/>
                <w:sz w:val="20"/>
                <w:szCs w:val="20"/>
              </w:rPr>
            </w:pPr>
            <w:r w:rsidRPr="00325AC7">
              <w:rPr>
                <w:rFonts w:ascii="Arial Narrow" w:hAnsi="Arial Narrow" w:cs="Arial"/>
                <w:b/>
                <w:sz w:val="20"/>
                <w:szCs w:val="20"/>
              </w:rPr>
              <w:t>№.of</w:t>
            </w:r>
          </w:p>
          <w:p w14:paraId="2CB921DC" w14:textId="77777777" w:rsidR="00096F43" w:rsidRPr="00325AC7" w:rsidRDefault="00096F43" w:rsidP="007575A6">
            <w:pPr>
              <w:keepNext/>
              <w:ind w:left="-108"/>
              <w:jc w:val="center"/>
              <w:rPr>
                <w:rFonts w:ascii="Arial Narrow" w:hAnsi="Arial Narrow" w:cs="Arial"/>
                <w:b/>
                <w:sz w:val="20"/>
                <w:szCs w:val="20"/>
              </w:rPr>
            </w:pPr>
            <w:r w:rsidRPr="00325AC7">
              <w:rPr>
                <w:rFonts w:ascii="Arial Narrow" w:hAnsi="Arial Narrow" w:cs="Arial"/>
                <w:b/>
                <w:sz w:val="20"/>
                <w:szCs w:val="20"/>
              </w:rPr>
              <w:t>Rpts</w:t>
            </w:r>
          </w:p>
        </w:tc>
        <w:tc>
          <w:tcPr>
            <w:tcW w:w="1559" w:type="dxa"/>
          </w:tcPr>
          <w:p w14:paraId="5554C252" w14:textId="77777777" w:rsidR="00096F43" w:rsidRPr="008F5B0E" w:rsidRDefault="00096F43" w:rsidP="007575A6">
            <w:pPr>
              <w:keepNext/>
              <w:rPr>
                <w:rFonts w:ascii="Arial Narrow" w:hAnsi="Arial Narrow" w:cs="Arial"/>
                <w:b/>
                <w:sz w:val="20"/>
                <w:szCs w:val="20"/>
              </w:rPr>
            </w:pPr>
            <w:r w:rsidRPr="00325AC7">
              <w:rPr>
                <w:rFonts w:ascii="Arial Narrow" w:hAnsi="Arial Narrow" w:cs="Arial"/>
                <w:b/>
                <w:sz w:val="20"/>
                <w:szCs w:val="20"/>
              </w:rPr>
              <w:t>Available brands</w:t>
            </w:r>
          </w:p>
        </w:tc>
      </w:tr>
      <w:tr w:rsidR="00096F43" w:rsidRPr="00325AC7" w14:paraId="454AA120" w14:textId="77777777" w:rsidTr="007575A6">
        <w:trPr>
          <w:cantSplit/>
          <w:trHeight w:val="761"/>
        </w:trPr>
        <w:tc>
          <w:tcPr>
            <w:tcW w:w="3964" w:type="dxa"/>
            <w:vAlign w:val="center"/>
          </w:tcPr>
          <w:p w14:paraId="02E53122" w14:textId="77777777" w:rsidR="00096F43" w:rsidRPr="00325AC7" w:rsidRDefault="00096F43" w:rsidP="007575A6">
            <w:pPr>
              <w:keepNext/>
              <w:ind w:left="-108"/>
              <w:jc w:val="left"/>
              <w:rPr>
                <w:rFonts w:ascii="Arial Narrow" w:hAnsi="Arial Narrow" w:cs="Arial"/>
                <w:sz w:val="20"/>
                <w:szCs w:val="20"/>
              </w:rPr>
            </w:pPr>
            <w:r w:rsidRPr="00325AC7">
              <w:rPr>
                <w:rFonts w:ascii="Arial Narrow" w:hAnsi="Arial Narrow" w:cs="Arial"/>
                <w:sz w:val="20"/>
                <w:szCs w:val="20"/>
              </w:rPr>
              <w:t>CARMELLOSE SODIUM + GLYCEROL + HYALURONATE SODIUM</w:t>
            </w:r>
          </w:p>
          <w:p w14:paraId="2D9A9BC0" w14:textId="77777777" w:rsidR="00096F43" w:rsidRPr="00325AC7" w:rsidRDefault="00096F43" w:rsidP="007575A6">
            <w:pPr>
              <w:keepNext/>
              <w:ind w:left="-108"/>
              <w:jc w:val="left"/>
              <w:rPr>
                <w:rFonts w:ascii="Arial Narrow" w:hAnsi="Arial Narrow" w:cs="Arial"/>
                <w:sz w:val="20"/>
                <w:szCs w:val="20"/>
              </w:rPr>
            </w:pPr>
            <w:r w:rsidRPr="00325AC7">
              <w:rPr>
                <w:rFonts w:ascii="Arial Narrow" w:hAnsi="Arial Narrow" w:cs="Arial"/>
                <w:sz w:val="20"/>
                <w:szCs w:val="20"/>
              </w:rPr>
              <w:t>carmellose sodium 0.5% + glycerol 0.9% + hyaluronate sodium 0.1% eye drops, 10 mL</w:t>
            </w:r>
          </w:p>
        </w:tc>
        <w:tc>
          <w:tcPr>
            <w:tcW w:w="993" w:type="dxa"/>
            <w:vAlign w:val="center"/>
          </w:tcPr>
          <w:p w14:paraId="1F55E9A6" w14:textId="77777777" w:rsidR="00096F43" w:rsidRPr="00325AC7" w:rsidRDefault="00096F43" w:rsidP="007575A6">
            <w:pPr>
              <w:keepNext/>
              <w:ind w:left="-108"/>
              <w:jc w:val="center"/>
              <w:rPr>
                <w:rFonts w:ascii="Arial Narrow" w:hAnsi="Arial Narrow" w:cs="Arial"/>
                <w:sz w:val="20"/>
                <w:szCs w:val="20"/>
              </w:rPr>
            </w:pPr>
            <w:r w:rsidRPr="00325AC7">
              <w:rPr>
                <w:rFonts w:ascii="Arial Narrow" w:hAnsi="Arial Narrow" w:cs="Arial"/>
                <w:sz w:val="20"/>
                <w:szCs w:val="20"/>
              </w:rPr>
              <w:t>New</w:t>
            </w:r>
          </w:p>
        </w:tc>
        <w:tc>
          <w:tcPr>
            <w:tcW w:w="850" w:type="dxa"/>
            <w:vAlign w:val="center"/>
          </w:tcPr>
          <w:p w14:paraId="3DF14811" w14:textId="77777777" w:rsidR="00096F43" w:rsidRPr="00325AC7" w:rsidRDefault="00096F43" w:rsidP="007575A6">
            <w:pPr>
              <w:keepNext/>
              <w:jc w:val="center"/>
              <w:rPr>
                <w:rFonts w:ascii="Arial Narrow" w:hAnsi="Arial Narrow" w:cs="Arial"/>
                <w:sz w:val="20"/>
                <w:szCs w:val="20"/>
              </w:rPr>
            </w:pPr>
            <w:r w:rsidRPr="00325AC7">
              <w:rPr>
                <w:rFonts w:ascii="Arial Narrow" w:hAnsi="Arial Narrow" w:cs="Arial"/>
                <w:sz w:val="20"/>
                <w:szCs w:val="20"/>
              </w:rPr>
              <w:t>1</w:t>
            </w:r>
          </w:p>
        </w:tc>
        <w:tc>
          <w:tcPr>
            <w:tcW w:w="851" w:type="dxa"/>
            <w:vAlign w:val="center"/>
          </w:tcPr>
          <w:p w14:paraId="6C6687F1" w14:textId="77777777" w:rsidR="00096F43" w:rsidRPr="00325AC7" w:rsidRDefault="00096F43" w:rsidP="007575A6">
            <w:pPr>
              <w:keepNext/>
              <w:ind w:left="-108"/>
              <w:jc w:val="center"/>
              <w:rPr>
                <w:rFonts w:ascii="Arial Narrow" w:hAnsi="Arial Narrow" w:cs="Arial"/>
                <w:sz w:val="20"/>
                <w:szCs w:val="20"/>
              </w:rPr>
            </w:pPr>
            <w:r w:rsidRPr="00325AC7">
              <w:rPr>
                <w:rFonts w:ascii="Arial Narrow" w:hAnsi="Arial Narrow" w:cs="Arial"/>
                <w:sz w:val="20"/>
                <w:szCs w:val="20"/>
              </w:rPr>
              <w:t>1</w:t>
            </w:r>
          </w:p>
        </w:tc>
        <w:tc>
          <w:tcPr>
            <w:tcW w:w="708" w:type="dxa"/>
            <w:vAlign w:val="center"/>
          </w:tcPr>
          <w:p w14:paraId="347A2B9A" w14:textId="77777777" w:rsidR="00096F43" w:rsidRPr="00325AC7" w:rsidRDefault="00096F43" w:rsidP="007575A6">
            <w:pPr>
              <w:keepNext/>
              <w:ind w:left="-108"/>
              <w:jc w:val="center"/>
              <w:rPr>
                <w:rFonts w:ascii="Arial Narrow" w:hAnsi="Arial Narrow" w:cs="Arial"/>
                <w:sz w:val="20"/>
                <w:szCs w:val="20"/>
              </w:rPr>
            </w:pPr>
            <w:r w:rsidRPr="00325AC7">
              <w:rPr>
                <w:rFonts w:ascii="Arial Narrow" w:hAnsi="Arial Narrow" w:cs="Arial"/>
                <w:sz w:val="20"/>
                <w:szCs w:val="20"/>
              </w:rPr>
              <w:t>5</w:t>
            </w:r>
          </w:p>
        </w:tc>
        <w:tc>
          <w:tcPr>
            <w:tcW w:w="1559" w:type="dxa"/>
            <w:vAlign w:val="center"/>
          </w:tcPr>
          <w:p w14:paraId="4DE780F2" w14:textId="77777777" w:rsidR="00096F43" w:rsidRPr="00325AC7" w:rsidRDefault="00096F43" w:rsidP="007575A6">
            <w:pPr>
              <w:keepNext/>
              <w:jc w:val="center"/>
              <w:rPr>
                <w:rFonts w:ascii="Arial Narrow" w:hAnsi="Arial Narrow" w:cs="Arial"/>
                <w:sz w:val="20"/>
                <w:szCs w:val="20"/>
                <w:vertAlign w:val="superscript"/>
              </w:rPr>
            </w:pPr>
            <w:r w:rsidRPr="00325AC7">
              <w:rPr>
                <w:rFonts w:ascii="Arial Narrow" w:hAnsi="Arial Narrow" w:cs="Arial"/>
                <w:sz w:val="20"/>
                <w:szCs w:val="20"/>
              </w:rPr>
              <w:t>Optive Fusion</w:t>
            </w:r>
          </w:p>
        </w:tc>
      </w:tr>
    </w:tbl>
    <w:p w14:paraId="5B1420F7" w14:textId="33FFEAAE" w:rsidR="00096F43" w:rsidRPr="00325AC7" w:rsidRDefault="00096F43" w:rsidP="00096F43">
      <w:pPr>
        <w:pStyle w:val="3-BodyText"/>
        <w:numPr>
          <w:ilvl w:val="0"/>
          <w:numId w:val="0"/>
        </w:numPr>
        <w:spacing w:before="120"/>
        <w:ind w:left="720" w:hanging="720"/>
      </w:pPr>
      <w:r w:rsidRPr="00325AC7">
        <w:t>Restriction Summary / Treatment of Concept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096F43" w:rsidRPr="00325AC7" w14:paraId="43717F78" w14:textId="77777777" w:rsidTr="007575A6">
        <w:tc>
          <w:tcPr>
            <w:tcW w:w="553" w:type="pct"/>
            <w:tcBorders>
              <w:top w:val="single" w:sz="4" w:space="0" w:color="auto"/>
              <w:left w:val="single" w:sz="4" w:space="0" w:color="auto"/>
              <w:bottom w:val="single" w:sz="4" w:space="0" w:color="auto"/>
              <w:right w:val="single" w:sz="4" w:space="0" w:color="auto"/>
            </w:tcBorders>
          </w:tcPr>
          <w:p w14:paraId="2E41837D" w14:textId="1E162A6F" w:rsidR="00096F43" w:rsidRPr="00602ACD" w:rsidRDefault="00096F43" w:rsidP="007575A6">
            <w:pPr>
              <w:jc w:val="center"/>
              <w:rPr>
                <w:rFonts w:ascii="Arial Narrow" w:hAnsi="Arial Narrow" w:cs="Arial"/>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25E317F" w14:textId="77777777" w:rsidR="00096F43" w:rsidRPr="00602ACD" w:rsidRDefault="00096F43" w:rsidP="007575A6">
            <w:pPr>
              <w:rPr>
                <w:rFonts w:ascii="Arial Narrow" w:hAnsi="Arial Narrow" w:cs="Arial"/>
                <w:sz w:val="20"/>
                <w:szCs w:val="20"/>
              </w:rPr>
            </w:pPr>
            <w:r w:rsidRPr="00602ACD">
              <w:rPr>
                <w:rFonts w:ascii="Arial Narrow" w:hAnsi="Arial Narrow" w:cs="Arial"/>
                <w:b/>
                <w:sz w:val="20"/>
                <w:szCs w:val="20"/>
              </w:rPr>
              <w:t>Category / Program:</w:t>
            </w:r>
          </w:p>
          <w:p w14:paraId="129D9BDF" w14:textId="77777777" w:rsidR="00096F43" w:rsidRPr="00602ACD" w:rsidRDefault="00096F43" w:rsidP="007575A6">
            <w:pPr>
              <w:rPr>
                <w:rFonts w:ascii="Arial Narrow" w:hAnsi="Arial Narrow" w:cs="Arial"/>
                <w:sz w:val="20"/>
                <w:szCs w:val="20"/>
              </w:rPr>
            </w:pPr>
            <w:r w:rsidRPr="00602ACD">
              <w:rPr>
                <w:rFonts w:ascii="Arial Narrow" w:hAnsi="Arial Narrow" w:cs="Arial"/>
                <w:sz w:val="20"/>
                <w:szCs w:val="20"/>
              </w:rPr>
              <w:t xml:space="preserve">GENERAL – General Schedule (Code GE) </w:t>
            </w:r>
          </w:p>
        </w:tc>
      </w:tr>
      <w:tr w:rsidR="00096F43" w:rsidRPr="00325AC7" w14:paraId="768037C7" w14:textId="77777777" w:rsidTr="007575A6">
        <w:trPr>
          <w:trHeight w:val="240"/>
        </w:trPr>
        <w:tc>
          <w:tcPr>
            <w:tcW w:w="553" w:type="pct"/>
            <w:tcBorders>
              <w:top w:val="single" w:sz="4" w:space="0" w:color="auto"/>
              <w:left w:val="single" w:sz="4" w:space="0" w:color="auto"/>
              <w:bottom w:val="single" w:sz="4" w:space="0" w:color="auto"/>
              <w:right w:val="single" w:sz="4" w:space="0" w:color="auto"/>
            </w:tcBorders>
          </w:tcPr>
          <w:p w14:paraId="7434070A" w14:textId="77777777" w:rsidR="00096F43" w:rsidRPr="00602ACD" w:rsidRDefault="00096F43" w:rsidP="007575A6">
            <w:pPr>
              <w:rPr>
                <w:rFonts w:ascii="Arial Narrow" w:hAnsi="Arial Narrow" w:cs="Arial"/>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AFF12C8" w14:textId="77777777" w:rsidR="00096F43" w:rsidRPr="00602ACD" w:rsidRDefault="00096F43" w:rsidP="007575A6">
            <w:pPr>
              <w:rPr>
                <w:rFonts w:ascii="Arial Narrow" w:hAnsi="Arial Narrow" w:cs="Arial"/>
                <w:b/>
                <w:sz w:val="20"/>
                <w:szCs w:val="20"/>
              </w:rPr>
            </w:pPr>
            <w:r w:rsidRPr="00602ACD">
              <w:rPr>
                <w:rFonts w:ascii="Arial Narrow" w:hAnsi="Arial Narrow" w:cs="Arial"/>
                <w:b/>
                <w:sz w:val="20"/>
                <w:szCs w:val="20"/>
              </w:rPr>
              <w:t xml:space="preserve">Prescriber type: </w:t>
            </w:r>
            <w:r w:rsidRPr="00602ACD">
              <w:rPr>
                <w:rFonts w:ascii="Arial Narrow" w:hAnsi="Arial Narrow" w:cs="Arial"/>
                <w:sz w:val="20"/>
                <w:szCs w:val="20"/>
              </w:rPr>
              <w:fldChar w:fldCharType="begin" w:fldLock="1">
                <w:ffData>
                  <w:name w:val=""/>
                  <w:enabled/>
                  <w:calcOnExit w:val="0"/>
                  <w:checkBox>
                    <w:sizeAuto/>
                    <w:default w:val="1"/>
                  </w:checkBox>
                </w:ffData>
              </w:fldChar>
            </w:r>
            <w:r w:rsidRPr="00602ACD">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602ACD">
              <w:rPr>
                <w:rFonts w:ascii="Arial Narrow" w:hAnsi="Arial Narrow" w:cs="Arial"/>
                <w:sz w:val="20"/>
                <w:szCs w:val="20"/>
              </w:rPr>
              <w:fldChar w:fldCharType="end"/>
            </w:r>
            <w:r w:rsidRPr="00602ACD">
              <w:rPr>
                <w:rFonts w:ascii="Arial Narrow" w:hAnsi="Arial Narrow" w:cs="Arial"/>
                <w:sz w:val="20"/>
                <w:szCs w:val="20"/>
              </w:rPr>
              <w:t xml:space="preserve">Medical Practitioners  </w:t>
            </w:r>
            <w:r w:rsidRPr="00602ACD">
              <w:rPr>
                <w:rFonts w:ascii="Arial Narrow" w:hAnsi="Arial Narrow" w:cs="Arial"/>
                <w:sz w:val="20"/>
                <w:szCs w:val="20"/>
              </w:rPr>
              <w:fldChar w:fldCharType="begin" w:fldLock="1">
                <w:ffData>
                  <w:name w:val="Check3"/>
                  <w:enabled/>
                  <w:calcOnExit w:val="0"/>
                  <w:checkBox>
                    <w:sizeAuto/>
                    <w:default w:val="1"/>
                  </w:checkBox>
                </w:ffData>
              </w:fldChar>
            </w:r>
            <w:r w:rsidRPr="00602ACD">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602ACD">
              <w:rPr>
                <w:rFonts w:ascii="Arial Narrow" w:hAnsi="Arial Narrow" w:cs="Arial"/>
                <w:sz w:val="20"/>
                <w:szCs w:val="20"/>
              </w:rPr>
              <w:fldChar w:fldCharType="end"/>
            </w:r>
            <w:r w:rsidRPr="00602ACD">
              <w:rPr>
                <w:rFonts w:ascii="Arial Narrow" w:hAnsi="Arial Narrow" w:cs="Arial"/>
                <w:sz w:val="20"/>
                <w:szCs w:val="20"/>
              </w:rPr>
              <w:t xml:space="preserve">Nurse practitioners  </w:t>
            </w:r>
            <w:r w:rsidRPr="00602ACD">
              <w:rPr>
                <w:rFonts w:ascii="Arial Narrow" w:hAnsi="Arial Narrow" w:cs="Arial"/>
                <w:sz w:val="20"/>
                <w:szCs w:val="20"/>
              </w:rPr>
              <w:fldChar w:fldCharType="begin" w:fldLock="1">
                <w:ffData>
                  <w:name w:val=""/>
                  <w:enabled/>
                  <w:calcOnExit w:val="0"/>
                  <w:checkBox>
                    <w:sizeAuto/>
                    <w:default w:val="1"/>
                  </w:checkBox>
                </w:ffData>
              </w:fldChar>
            </w:r>
            <w:r w:rsidRPr="00602ACD">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602ACD">
              <w:rPr>
                <w:rFonts w:ascii="Arial Narrow" w:hAnsi="Arial Narrow" w:cs="Arial"/>
                <w:sz w:val="20"/>
                <w:szCs w:val="20"/>
              </w:rPr>
              <w:fldChar w:fldCharType="end"/>
            </w:r>
            <w:r w:rsidRPr="00602ACD">
              <w:rPr>
                <w:rFonts w:ascii="Arial Narrow" w:hAnsi="Arial Narrow" w:cs="Arial"/>
                <w:sz w:val="20"/>
                <w:szCs w:val="20"/>
              </w:rPr>
              <w:t>Optometrists</w:t>
            </w:r>
          </w:p>
        </w:tc>
      </w:tr>
      <w:tr w:rsidR="00096F43" w:rsidRPr="00325AC7" w14:paraId="35C674F7" w14:textId="77777777" w:rsidTr="007575A6">
        <w:tc>
          <w:tcPr>
            <w:tcW w:w="553" w:type="pct"/>
            <w:tcBorders>
              <w:top w:val="single" w:sz="4" w:space="0" w:color="auto"/>
              <w:left w:val="single" w:sz="4" w:space="0" w:color="auto"/>
              <w:bottom w:val="single" w:sz="4" w:space="0" w:color="auto"/>
              <w:right w:val="single" w:sz="4" w:space="0" w:color="auto"/>
            </w:tcBorders>
          </w:tcPr>
          <w:p w14:paraId="2FE8C52E" w14:textId="77777777" w:rsidR="00096F43" w:rsidRPr="00602ACD" w:rsidRDefault="00096F43" w:rsidP="007575A6">
            <w:pPr>
              <w:rPr>
                <w:rFonts w:ascii="Arial Narrow" w:hAnsi="Arial Narrow" w:cs="Arial"/>
                <w:sz w:val="20"/>
                <w:szCs w:val="20"/>
              </w:rPr>
            </w:pPr>
          </w:p>
          <w:p w14:paraId="0FE1412B" w14:textId="77777777" w:rsidR="00096F43" w:rsidRPr="00602ACD" w:rsidRDefault="00096F43" w:rsidP="007575A6">
            <w:pPr>
              <w:rPr>
                <w:rFonts w:ascii="Arial Narrow" w:hAnsi="Arial Narrow" w:cs="Arial"/>
                <w:sz w:val="20"/>
                <w:szCs w:val="20"/>
              </w:rPr>
            </w:pPr>
          </w:p>
          <w:p w14:paraId="4F8DBEB9" w14:textId="77777777" w:rsidR="00096F43" w:rsidRPr="00602ACD" w:rsidRDefault="00096F43" w:rsidP="007575A6">
            <w:pPr>
              <w:rPr>
                <w:rFonts w:ascii="Arial Narrow" w:hAnsi="Arial Narrow" w:cs="Arial"/>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BDAB094" w14:textId="77777777" w:rsidR="00096F43" w:rsidRPr="00602ACD" w:rsidRDefault="00096F43" w:rsidP="007575A6">
            <w:pPr>
              <w:rPr>
                <w:rFonts w:ascii="Arial Narrow" w:hAnsi="Arial Narrow" w:cs="Arial"/>
                <w:b/>
                <w:sz w:val="20"/>
                <w:szCs w:val="20"/>
              </w:rPr>
            </w:pPr>
            <w:r w:rsidRPr="00602ACD">
              <w:rPr>
                <w:rFonts w:ascii="Arial Narrow" w:hAnsi="Arial Narrow" w:cs="Arial"/>
                <w:b/>
                <w:sz w:val="20"/>
                <w:szCs w:val="20"/>
              </w:rPr>
              <w:t>Restriction Level / Method:</w:t>
            </w:r>
          </w:p>
          <w:p w14:paraId="5FB4CA6C" w14:textId="77777777" w:rsidR="00096F43" w:rsidRPr="00602ACD" w:rsidRDefault="00096F43" w:rsidP="007575A6">
            <w:pPr>
              <w:rPr>
                <w:rFonts w:ascii="Arial Narrow" w:hAnsi="Arial Narrow" w:cs="Arial"/>
                <w:sz w:val="20"/>
                <w:szCs w:val="20"/>
              </w:rPr>
            </w:pPr>
            <w:r w:rsidRPr="00602ACD">
              <w:rPr>
                <w:rFonts w:ascii="Arial Narrow" w:hAnsi="Arial Narrow" w:cs="Arial"/>
                <w:sz w:val="20"/>
                <w:szCs w:val="20"/>
              </w:rPr>
              <w:fldChar w:fldCharType="begin" w:fldLock="1">
                <w:ffData>
                  <w:name w:val=""/>
                  <w:enabled/>
                  <w:calcOnExit w:val="0"/>
                  <w:checkBox>
                    <w:sizeAuto/>
                    <w:default w:val="1"/>
                  </w:checkBox>
                </w:ffData>
              </w:fldChar>
            </w:r>
            <w:r w:rsidRPr="00602ACD">
              <w:rPr>
                <w:rFonts w:ascii="Arial Narrow" w:hAnsi="Arial Narrow" w:cs="Arial"/>
                <w:sz w:val="20"/>
                <w:szCs w:val="20"/>
              </w:rPr>
              <w:instrText xml:space="preserve"> FORMCHECKBOX </w:instrText>
            </w:r>
            <w:r w:rsidR="002013AB">
              <w:rPr>
                <w:rFonts w:ascii="Arial Narrow" w:hAnsi="Arial Narrow" w:cs="Arial"/>
                <w:sz w:val="20"/>
                <w:szCs w:val="20"/>
              </w:rPr>
            </w:r>
            <w:r w:rsidR="002013AB">
              <w:rPr>
                <w:rFonts w:ascii="Arial Narrow" w:hAnsi="Arial Narrow" w:cs="Arial"/>
                <w:sz w:val="20"/>
                <w:szCs w:val="20"/>
              </w:rPr>
              <w:fldChar w:fldCharType="separate"/>
            </w:r>
            <w:r w:rsidRPr="00602ACD">
              <w:rPr>
                <w:rFonts w:ascii="Arial Narrow" w:hAnsi="Arial Narrow" w:cs="Arial"/>
                <w:sz w:val="20"/>
                <w:szCs w:val="20"/>
              </w:rPr>
              <w:fldChar w:fldCharType="end"/>
            </w:r>
            <w:r w:rsidRPr="00602ACD">
              <w:rPr>
                <w:rFonts w:ascii="Arial Narrow" w:hAnsi="Arial Narrow" w:cs="Arial"/>
                <w:sz w:val="20"/>
                <w:szCs w:val="20"/>
              </w:rPr>
              <w:t>Restricted benefit</w:t>
            </w:r>
          </w:p>
        </w:tc>
      </w:tr>
      <w:tr w:rsidR="00096F43" w:rsidRPr="00325AC7" w14:paraId="3EB685BD" w14:textId="77777777" w:rsidTr="007575A6">
        <w:tc>
          <w:tcPr>
            <w:tcW w:w="553" w:type="pct"/>
            <w:vAlign w:val="center"/>
          </w:tcPr>
          <w:p w14:paraId="1981F881" w14:textId="5366B060" w:rsidR="00096F43" w:rsidRPr="00602ACD" w:rsidRDefault="00096F43" w:rsidP="007575A6">
            <w:pPr>
              <w:jc w:val="center"/>
              <w:rPr>
                <w:rFonts w:ascii="Arial Narrow" w:hAnsi="Arial Narrow"/>
                <w:sz w:val="20"/>
                <w:szCs w:val="20"/>
              </w:rPr>
            </w:pPr>
          </w:p>
        </w:tc>
        <w:tc>
          <w:tcPr>
            <w:tcW w:w="4447" w:type="pct"/>
            <w:vAlign w:val="center"/>
          </w:tcPr>
          <w:p w14:paraId="2A273F5C" w14:textId="77777777" w:rsidR="00096F43" w:rsidRPr="00602ACD" w:rsidRDefault="00096F43" w:rsidP="007575A6">
            <w:pPr>
              <w:rPr>
                <w:rFonts w:ascii="Arial Narrow" w:hAnsi="Arial Narrow"/>
                <w:b/>
                <w:bCs/>
                <w:sz w:val="20"/>
                <w:szCs w:val="20"/>
              </w:rPr>
            </w:pPr>
            <w:r w:rsidRPr="00602ACD">
              <w:rPr>
                <w:rFonts w:ascii="Arial Narrow" w:hAnsi="Arial Narrow"/>
                <w:b/>
                <w:bCs/>
                <w:sz w:val="20"/>
                <w:szCs w:val="20"/>
              </w:rPr>
              <w:t xml:space="preserve">Condition: </w:t>
            </w:r>
            <w:r w:rsidRPr="00602ACD">
              <w:rPr>
                <w:rFonts w:ascii="Arial Narrow" w:hAnsi="Arial Narrow"/>
                <w:bCs/>
                <w:sz w:val="20"/>
                <w:szCs w:val="20"/>
              </w:rPr>
              <w:t>Severe dry eye syndrome</w:t>
            </w:r>
          </w:p>
        </w:tc>
      </w:tr>
      <w:tr w:rsidR="00096F43" w:rsidRPr="00325AC7" w14:paraId="5EC501A3" w14:textId="77777777" w:rsidTr="007575A6">
        <w:tc>
          <w:tcPr>
            <w:tcW w:w="553" w:type="pct"/>
            <w:vAlign w:val="center"/>
            <w:hideMark/>
          </w:tcPr>
          <w:p w14:paraId="7B356AEA" w14:textId="25893ABA" w:rsidR="00096F43" w:rsidRPr="00602ACD" w:rsidRDefault="00096F43" w:rsidP="007575A6">
            <w:pPr>
              <w:jc w:val="center"/>
              <w:rPr>
                <w:rFonts w:ascii="Arial Narrow" w:hAnsi="Arial Narrow"/>
                <w:sz w:val="20"/>
                <w:szCs w:val="20"/>
              </w:rPr>
            </w:pPr>
          </w:p>
        </w:tc>
        <w:tc>
          <w:tcPr>
            <w:tcW w:w="4447" w:type="pct"/>
            <w:vAlign w:val="center"/>
            <w:hideMark/>
          </w:tcPr>
          <w:p w14:paraId="4B53893F" w14:textId="77777777" w:rsidR="00096F43" w:rsidRPr="00602ACD" w:rsidRDefault="00096F43" w:rsidP="007575A6">
            <w:pPr>
              <w:rPr>
                <w:rFonts w:ascii="Arial Narrow" w:hAnsi="Arial Narrow"/>
                <w:sz w:val="20"/>
                <w:szCs w:val="20"/>
              </w:rPr>
            </w:pPr>
            <w:r w:rsidRPr="00602ACD">
              <w:rPr>
                <w:rFonts w:ascii="Arial Narrow" w:hAnsi="Arial Narrow"/>
                <w:b/>
                <w:bCs/>
                <w:sz w:val="20"/>
                <w:szCs w:val="20"/>
              </w:rPr>
              <w:t>Indication:</w:t>
            </w:r>
            <w:r w:rsidRPr="00602ACD">
              <w:rPr>
                <w:rFonts w:ascii="Arial Narrow" w:hAnsi="Arial Narrow"/>
                <w:sz w:val="20"/>
                <w:szCs w:val="20"/>
              </w:rPr>
              <w:t xml:space="preserve"> </w:t>
            </w:r>
            <w:r w:rsidRPr="00602ACD">
              <w:rPr>
                <w:rFonts w:ascii="Arial Narrow" w:hAnsi="Arial Narrow"/>
                <w:bCs/>
                <w:sz w:val="20"/>
                <w:szCs w:val="20"/>
              </w:rPr>
              <w:t>Severe dry eye syndrome</w:t>
            </w:r>
          </w:p>
        </w:tc>
      </w:tr>
    </w:tbl>
    <w:p w14:paraId="46DCBC8E" w14:textId="77777777" w:rsidR="00096F43" w:rsidRDefault="00096F43" w:rsidP="00096F43">
      <w:pPr>
        <w:pStyle w:val="3-BodyText"/>
        <w:numPr>
          <w:ilvl w:val="0"/>
          <w:numId w:val="0"/>
        </w:numPr>
      </w:pPr>
    </w:p>
    <w:p w14:paraId="1D3A7478" w14:textId="77777777" w:rsidR="00096F43" w:rsidRPr="00325AC7" w:rsidRDefault="00096F43" w:rsidP="00096F43">
      <w:pPr>
        <w:pStyle w:val="3-BodyText"/>
        <w:numPr>
          <w:ilvl w:val="0"/>
          <w:numId w:val="0"/>
        </w:numPr>
      </w:pPr>
      <w:r w:rsidRPr="00BB6D30">
        <w:rPr>
          <w:rFonts w:cs="Arial"/>
          <w:b/>
          <w:bCs/>
          <w:i/>
        </w:rPr>
        <w:t xml:space="preserve">This restriction may be subject to further review. Should there be any changes made to the restriction the </w:t>
      </w:r>
      <w:r>
        <w:rPr>
          <w:rFonts w:cs="Arial"/>
          <w:b/>
          <w:bCs/>
          <w:i/>
        </w:rPr>
        <w:t>s</w:t>
      </w:r>
      <w:r w:rsidRPr="00BB6D30">
        <w:rPr>
          <w:rFonts w:cs="Arial"/>
          <w:b/>
          <w:bCs/>
          <w:i/>
        </w:rPr>
        <w:t>ponsor will be informed</w:t>
      </w:r>
      <w:r w:rsidRPr="007F262A">
        <w:rPr>
          <w:rFonts w:cs="Arial"/>
        </w:rPr>
        <w:t>.</w:t>
      </w:r>
    </w:p>
    <w:p w14:paraId="26993415" w14:textId="619FABC6" w:rsidR="009A4A8D" w:rsidRDefault="009A4A8D" w:rsidP="00732716">
      <w:pPr>
        <w:pStyle w:val="2-SectionHeading"/>
        <w:rPr>
          <w:bCs/>
          <w:lang w:val="en-GB"/>
        </w:rPr>
      </w:pPr>
      <w:r w:rsidRPr="00C07617">
        <w:t>Context for Decision</w:t>
      </w:r>
    </w:p>
    <w:p w14:paraId="5E6FDC33" w14:textId="77777777" w:rsidR="009A4A8D" w:rsidRPr="007129F2" w:rsidRDefault="009A4A8D" w:rsidP="00732716">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cs="Arial"/>
          <w:bCs/>
          <w:lang w:val="en-GB"/>
        </w:rPr>
        <w:t>be made</w:t>
      </w:r>
      <w:proofErr w:type="gramEnd"/>
      <w:r w:rsidRPr="007129F2">
        <w:rPr>
          <w:rFonts w:asciiTheme="minorHAnsi" w:hAnsiTheme="minorHAnsi" w:cs="Arial"/>
          <w:bCs/>
          <w:lang w:val="en-GB"/>
        </w:rPr>
        <w:t xml:space="preserve"> available through the PBS. The PBAC welcomes applications containing new information at any time.</w:t>
      </w:r>
    </w:p>
    <w:p w14:paraId="045F70D0" w14:textId="424E6A67" w:rsidR="009A4A8D" w:rsidRPr="00C07617" w:rsidRDefault="009A4A8D" w:rsidP="00732716">
      <w:pPr>
        <w:pStyle w:val="2-SectionHeading"/>
      </w:pPr>
      <w:r>
        <w:t>Sponsor’s Comment</w:t>
      </w:r>
    </w:p>
    <w:p w14:paraId="36CD5BCD" w14:textId="1C9EC1F9" w:rsidR="00F0377D" w:rsidRPr="00F0377D" w:rsidRDefault="00732716" w:rsidP="00732716">
      <w:pPr>
        <w:spacing w:after="120"/>
        <w:ind w:left="426" w:firstLine="294"/>
      </w:pPr>
      <w:r>
        <w:rPr>
          <w:rFonts w:asciiTheme="minorHAnsi" w:hAnsiTheme="minorHAnsi" w:cs="Arial"/>
          <w:bCs/>
        </w:rPr>
        <w:t>T</w:t>
      </w:r>
      <w:r w:rsidR="009A4A8D" w:rsidRPr="00C07617">
        <w:rPr>
          <w:rFonts w:asciiTheme="minorHAnsi" w:hAnsiTheme="minorHAnsi" w:cs="Arial"/>
          <w:bCs/>
        </w:rPr>
        <w:t>he sponsor had no comment.</w:t>
      </w:r>
    </w:p>
    <w:sectPr w:rsidR="00F0377D" w:rsidRPr="00F0377D"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112B" w14:textId="77777777" w:rsidR="00310827" w:rsidRDefault="00310827">
      <w:r>
        <w:separator/>
      </w:r>
    </w:p>
    <w:p w14:paraId="63617BC1" w14:textId="77777777" w:rsidR="00310827" w:rsidRDefault="00310827"/>
  </w:endnote>
  <w:endnote w:type="continuationSeparator" w:id="0">
    <w:p w14:paraId="756F72B5" w14:textId="77777777" w:rsidR="00310827" w:rsidRDefault="00310827">
      <w:r>
        <w:continuationSeparator/>
      </w:r>
    </w:p>
    <w:p w14:paraId="4F908ED3" w14:textId="77777777" w:rsidR="00310827" w:rsidRDefault="00310827"/>
  </w:endnote>
  <w:endnote w:type="continuationNotice" w:id="1">
    <w:p w14:paraId="3AD6A222" w14:textId="77777777" w:rsidR="00310827" w:rsidRDefault="0031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66C6" w14:textId="77777777" w:rsidR="008B19F2" w:rsidRDefault="008B1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BBCF" w14:textId="78512DB1" w:rsidR="00A47CCD" w:rsidRDefault="00A47CCD">
    <w:pPr>
      <w:pStyle w:val="Footer"/>
    </w:pPr>
  </w:p>
  <w:p w14:paraId="5D52D982" w14:textId="58000776" w:rsidR="00A47CCD" w:rsidRPr="00FD23AB" w:rsidRDefault="002013AB" w:rsidP="00A47CCD">
    <w:pPr>
      <w:pStyle w:val="Header"/>
      <w:ind w:left="360"/>
      <w:rPr>
        <w:rFonts w:asciiTheme="minorHAnsi" w:hAnsiTheme="minorHAnsi" w:cstheme="minorHAnsi"/>
        <w:b/>
        <w:bCs/>
        <w:i w:val="0"/>
        <w:iCs w:val="0"/>
        <w:color w:val="808080"/>
      </w:rPr>
    </w:pPr>
    <w:sdt>
      <w:sdtPr>
        <w:rPr>
          <w:b/>
          <w:bCs/>
          <w:i w:val="0"/>
          <w:iCs w:val="0"/>
        </w:rPr>
        <w:id w:val="-933202838"/>
        <w:docPartObj>
          <w:docPartGallery w:val="Page Numbers (Bottom of Page)"/>
          <w:docPartUnique/>
        </w:docPartObj>
      </w:sdtPr>
      <w:sdtEndPr>
        <w:rPr>
          <w:noProof/>
        </w:rPr>
      </w:sdtEndPr>
      <w:sdtContent>
        <w:r w:rsidR="00A47CCD" w:rsidRPr="00FD23AB">
          <w:rPr>
            <w:b/>
            <w:bCs/>
            <w:i w:val="0"/>
            <w:iCs w:val="0"/>
          </w:rPr>
          <w:fldChar w:fldCharType="begin"/>
        </w:r>
        <w:r w:rsidR="00A47CCD" w:rsidRPr="00FD23AB">
          <w:rPr>
            <w:b/>
            <w:bCs/>
            <w:i w:val="0"/>
            <w:iCs w:val="0"/>
          </w:rPr>
          <w:instrText xml:space="preserve"> PAGE   \* MERGEFORMAT </w:instrText>
        </w:r>
        <w:r w:rsidR="00A47CCD" w:rsidRPr="00FD23AB">
          <w:rPr>
            <w:b/>
            <w:bCs/>
            <w:i w:val="0"/>
            <w:iCs w:val="0"/>
          </w:rPr>
          <w:fldChar w:fldCharType="separate"/>
        </w:r>
        <w:r w:rsidR="00A47CCD" w:rsidRPr="00FD23AB">
          <w:rPr>
            <w:b/>
            <w:bCs/>
            <w:i w:val="0"/>
            <w:iCs w:val="0"/>
          </w:rPr>
          <w:t>1</w:t>
        </w:r>
        <w:r w:rsidR="00A47CCD" w:rsidRPr="00FD23AB">
          <w:rPr>
            <w:b/>
            <w:bCs/>
            <w:i w:val="0"/>
            <w:iCs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1B93" w14:textId="77777777" w:rsidR="008B19F2" w:rsidRDefault="008B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8658" w14:textId="77777777" w:rsidR="00310827" w:rsidRDefault="00310827">
      <w:r>
        <w:separator/>
      </w:r>
    </w:p>
    <w:p w14:paraId="5653DC12" w14:textId="77777777" w:rsidR="00310827" w:rsidRDefault="00310827"/>
  </w:footnote>
  <w:footnote w:type="continuationSeparator" w:id="0">
    <w:p w14:paraId="17D4E47C" w14:textId="77777777" w:rsidR="00310827" w:rsidRDefault="00310827">
      <w:r>
        <w:continuationSeparator/>
      </w:r>
    </w:p>
    <w:p w14:paraId="5D4E2CC8" w14:textId="77777777" w:rsidR="00310827" w:rsidRDefault="00310827"/>
  </w:footnote>
  <w:footnote w:type="continuationNotice" w:id="1">
    <w:p w14:paraId="22E1A25C" w14:textId="77777777" w:rsidR="00310827" w:rsidRDefault="00310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734F" w14:textId="77777777" w:rsidR="008B19F2" w:rsidRDefault="008B1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18BF" w14:textId="58E82F94" w:rsidR="00A47CCD" w:rsidRPr="00B0517D" w:rsidRDefault="00BF0029" w:rsidP="00A47CCD">
    <w:pPr>
      <w:keepNext/>
      <w:tabs>
        <w:tab w:val="center" w:pos="4513"/>
        <w:tab w:val="right" w:pos="9026"/>
      </w:tabs>
      <w:jc w:val="center"/>
      <w:rPr>
        <w:rFonts w:asciiTheme="minorHAnsi" w:eastAsiaTheme="minorEastAsia" w:hAnsiTheme="minorHAnsi" w:cstheme="minorHAnsi"/>
        <w:i/>
      </w:rPr>
    </w:pPr>
    <w:r>
      <w:rPr>
        <w:rFonts w:asciiTheme="minorHAnsi" w:eastAsiaTheme="minorEastAsia" w:hAnsiTheme="minorHAnsi" w:cstheme="minorHAnsi"/>
        <w:i/>
      </w:rPr>
      <w:t>Public Summary Document</w:t>
    </w:r>
    <w:r w:rsidR="00BA04DF">
      <w:rPr>
        <w:rFonts w:asciiTheme="minorHAnsi" w:eastAsiaTheme="minorEastAsia" w:hAnsiTheme="minorHAnsi" w:cstheme="minorHAnsi"/>
        <w:i/>
      </w:rPr>
      <w:t xml:space="preserve"> </w:t>
    </w:r>
    <w:r w:rsidR="00FD23AB">
      <w:rPr>
        <w:rFonts w:asciiTheme="minorHAnsi" w:eastAsiaTheme="minorEastAsia" w:hAnsiTheme="minorHAnsi" w:cstheme="minorHAnsi"/>
        <w:i/>
      </w:rPr>
      <w:t xml:space="preserve">– </w:t>
    </w:r>
    <w:r w:rsidR="00A47CCD" w:rsidRPr="00B0517D">
      <w:rPr>
        <w:rFonts w:asciiTheme="minorHAnsi" w:eastAsiaTheme="minorEastAsia" w:hAnsiTheme="minorHAnsi" w:cstheme="minorHAnsi"/>
        <w:i/>
      </w:rPr>
      <w:t>March 2023 PBAC Meeting</w:t>
    </w:r>
    <w:r w:rsidR="00C04CF0">
      <w:rPr>
        <w:rFonts w:asciiTheme="minorHAnsi" w:eastAsiaTheme="minorEastAsia" w:hAnsiTheme="minorHAnsi" w:cstheme="minorHAnsi"/>
        <w:i/>
      </w:rPr>
      <w:t xml:space="preserve"> with May 2023 Addendum</w:t>
    </w:r>
  </w:p>
  <w:p w14:paraId="4BDCE8CA" w14:textId="77777777" w:rsidR="00A47CCD" w:rsidRDefault="00A47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DC5B" w14:textId="77777777" w:rsidR="008B19F2" w:rsidRDefault="008B1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720"/>
        </w:tabs>
        <w:ind w:left="72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30A4F98"/>
    <w:multiLevelType w:val="hybridMultilevel"/>
    <w:tmpl w:val="70980FD6"/>
    <w:lvl w:ilvl="0" w:tplc="0C090019">
      <w:start w:val="1"/>
      <w:numFmt w:val="lowerLetter"/>
      <w:lvlText w:val="%1."/>
      <w:lvlJc w:val="left"/>
      <w:pPr>
        <w:ind w:left="720" w:hanging="360"/>
      </w:pPr>
      <w:rPr>
        <w:color w:val="auto"/>
      </w:rPr>
    </w:lvl>
    <w:lvl w:ilvl="1" w:tplc="7D92F134">
      <w:start w:val="1"/>
      <w:numFmt w:val="upp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F63D5"/>
    <w:multiLevelType w:val="hybridMultilevel"/>
    <w:tmpl w:val="39C23216"/>
    <w:lvl w:ilvl="0" w:tplc="7D92F134">
      <w:start w:val="1"/>
      <w:numFmt w:val="upp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5E7DC8"/>
    <w:multiLevelType w:val="hybridMultilevel"/>
    <w:tmpl w:val="5ECAE4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346AD7"/>
    <w:multiLevelType w:val="hybridMultilevel"/>
    <w:tmpl w:val="26A04BE6"/>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921A809C"/>
    <w:lvl w:ilvl="0" w:tplc="7D92F134">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9256EA7"/>
    <w:multiLevelType w:val="hybridMultilevel"/>
    <w:tmpl w:val="11261D00"/>
    <w:lvl w:ilvl="0" w:tplc="18E42894">
      <w:start w:val="20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76D6399A"/>
    <w:multiLevelType w:val="hybridMultilevel"/>
    <w:tmpl w:val="183888A4"/>
    <w:lvl w:ilvl="0" w:tplc="3F1ECEA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4D033C"/>
    <w:multiLevelType w:val="multilevel"/>
    <w:tmpl w:val="1E2A838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77650554">
    <w:abstractNumId w:val="12"/>
  </w:num>
  <w:num w:numId="2" w16cid:durableId="1358237160">
    <w:abstractNumId w:val="28"/>
  </w:num>
  <w:num w:numId="3" w16cid:durableId="1527065411">
    <w:abstractNumId w:val="0"/>
  </w:num>
  <w:num w:numId="4" w16cid:durableId="2120564589">
    <w:abstractNumId w:val="19"/>
  </w:num>
  <w:num w:numId="5" w16cid:durableId="1005202720">
    <w:abstractNumId w:val="30"/>
  </w:num>
  <w:num w:numId="6" w16cid:durableId="882210552">
    <w:abstractNumId w:val="25"/>
  </w:num>
  <w:num w:numId="7" w16cid:durableId="762458026">
    <w:abstractNumId w:val="16"/>
  </w:num>
  <w:num w:numId="8" w16cid:durableId="771517328">
    <w:abstractNumId w:val="14"/>
  </w:num>
  <w:num w:numId="9" w16cid:durableId="268008778">
    <w:abstractNumId w:val="1"/>
  </w:num>
  <w:num w:numId="10" w16cid:durableId="1655983665">
    <w:abstractNumId w:val="28"/>
  </w:num>
  <w:num w:numId="11" w16cid:durableId="877011905">
    <w:abstractNumId w:val="23"/>
  </w:num>
  <w:num w:numId="12" w16cid:durableId="1096173080">
    <w:abstractNumId w:val="26"/>
  </w:num>
  <w:num w:numId="13" w16cid:durableId="1217350671">
    <w:abstractNumId w:val="10"/>
  </w:num>
  <w:num w:numId="14" w16cid:durableId="583995817">
    <w:abstractNumId w:val="9"/>
  </w:num>
  <w:num w:numId="15" w16cid:durableId="1114835245">
    <w:abstractNumId w:val="21"/>
  </w:num>
  <w:num w:numId="16" w16cid:durableId="1156535126">
    <w:abstractNumId w:val="2"/>
  </w:num>
  <w:num w:numId="17" w16cid:durableId="1054937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3519202">
    <w:abstractNumId w:val="29"/>
  </w:num>
  <w:num w:numId="19" w16cid:durableId="1092703495">
    <w:abstractNumId w:val="18"/>
  </w:num>
  <w:num w:numId="20" w16cid:durableId="2109807780">
    <w:abstractNumId w:val="7"/>
  </w:num>
  <w:num w:numId="21" w16cid:durableId="892421738">
    <w:abstractNumId w:val="6"/>
  </w:num>
  <w:num w:numId="22" w16cid:durableId="387000687">
    <w:abstractNumId w:val="15"/>
  </w:num>
  <w:num w:numId="23" w16cid:durableId="1220358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1492">
    <w:abstractNumId w:val="8"/>
  </w:num>
  <w:num w:numId="25" w16cid:durableId="2087148324">
    <w:abstractNumId w:val="28"/>
  </w:num>
  <w:num w:numId="26" w16cid:durableId="867138068">
    <w:abstractNumId w:val="24"/>
  </w:num>
  <w:num w:numId="27" w16cid:durableId="533808717">
    <w:abstractNumId w:val="5"/>
  </w:num>
  <w:num w:numId="28" w16cid:durableId="262810562">
    <w:abstractNumId w:val="17"/>
  </w:num>
  <w:num w:numId="29" w16cid:durableId="7030163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3191818">
    <w:abstractNumId w:val="28"/>
  </w:num>
  <w:num w:numId="31" w16cid:durableId="379405730">
    <w:abstractNumId w:val="11"/>
  </w:num>
  <w:num w:numId="32" w16cid:durableId="74978689">
    <w:abstractNumId w:val="28"/>
  </w:num>
  <w:num w:numId="33" w16cid:durableId="1387949048">
    <w:abstractNumId w:val="28"/>
  </w:num>
  <w:num w:numId="34" w16cid:durableId="1946112208">
    <w:abstractNumId w:val="27"/>
  </w:num>
  <w:num w:numId="35" w16cid:durableId="2133014574">
    <w:abstractNumId w:val="3"/>
  </w:num>
  <w:num w:numId="36" w16cid:durableId="2056388802">
    <w:abstractNumId w:val="13"/>
  </w:num>
  <w:num w:numId="37" w16cid:durableId="2137944920">
    <w:abstractNumId w:val="4"/>
  </w:num>
  <w:num w:numId="38" w16cid:durableId="1115320846">
    <w:abstractNumId w:val="28"/>
  </w:num>
  <w:num w:numId="39" w16cid:durableId="1886716115">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FE3"/>
    <w:rsid w:val="000025AD"/>
    <w:rsid w:val="0000335D"/>
    <w:rsid w:val="00006782"/>
    <w:rsid w:val="000078DF"/>
    <w:rsid w:val="0001179A"/>
    <w:rsid w:val="00011A59"/>
    <w:rsid w:val="00014D69"/>
    <w:rsid w:val="00016A41"/>
    <w:rsid w:val="00017424"/>
    <w:rsid w:val="000214D1"/>
    <w:rsid w:val="000243DD"/>
    <w:rsid w:val="0002464A"/>
    <w:rsid w:val="00025A04"/>
    <w:rsid w:val="0002693D"/>
    <w:rsid w:val="000272B8"/>
    <w:rsid w:val="0003050E"/>
    <w:rsid w:val="0003106B"/>
    <w:rsid w:val="00033BDD"/>
    <w:rsid w:val="00034382"/>
    <w:rsid w:val="00034905"/>
    <w:rsid w:val="00036C34"/>
    <w:rsid w:val="00036FF5"/>
    <w:rsid w:val="00037954"/>
    <w:rsid w:val="00040A30"/>
    <w:rsid w:val="000421A1"/>
    <w:rsid w:val="0004240E"/>
    <w:rsid w:val="00044EC4"/>
    <w:rsid w:val="00045E26"/>
    <w:rsid w:val="00046903"/>
    <w:rsid w:val="00047F83"/>
    <w:rsid w:val="000514B5"/>
    <w:rsid w:val="0005322E"/>
    <w:rsid w:val="0005433C"/>
    <w:rsid w:val="00054E2B"/>
    <w:rsid w:val="00054FB6"/>
    <w:rsid w:val="000607A1"/>
    <w:rsid w:val="00060E64"/>
    <w:rsid w:val="000621AB"/>
    <w:rsid w:val="00062E88"/>
    <w:rsid w:val="00066193"/>
    <w:rsid w:val="00066755"/>
    <w:rsid w:val="00071A5B"/>
    <w:rsid w:val="00072730"/>
    <w:rsid w:val="0007337F"/>
    <w:rsid w:val="00074320"/>
    <w:rsid w:val="00074AB6"/>
    <w:rsid w:val="000763D5"/>
    <w:rsid w:val="00076C38"/>
    <w:rsid w:val="00077143"/>
    <w:rsid w:val="000773E4"/>
    <w:rsid w:val="00077DF7"/>
    <w:rsid w:val="0008050C"/>
    <w:rsid w:val="00082169"/>
    <w:rsid w:val="000834BE"/>
    <w:rsid w:val="00083F01"/>
    <w:rsid w:val="00087C4C"/>
    <w:rsid w:val="0009185C"/>
    <w:rsid w:val="000918CB"/>
    <w:rsid w:val="00091B06"/>
    <w:rsid w:val="000951C4"/>
    <w:rsid w:val="00095ADA"/>
    <w:rsid w:val="000969AD"/>
    <w:rsid w:val="00096F43"/>
    <w:rsid w:val="000975FB"/>
    <w:rsid w:val="00097AAF"/>
    <w:rsid w:val="000A02F8"/>
    <w:rsid w:val="000A071E"/>
    <w:rsid w:val="000A165A"/>
    <w:rsid w:val="000A390A"/>
    <w:rsid w:val="000A3AA2"/>
    <w:rsid w:val="000A44B2"/>
    <w:rsid w:val="000A4FBD"/>
    <w:rsid w:val="000A52F6"/>
    <w:rsid w:val="000A58B8"/>
    <w:rsid w:val="000B0E57"/>
    <w:rsid w:val="000B44C3"/>
    <w:rsid w:val="000B558D"/>
    <w:rsid w:val="000B5A89"/>
    <w:rsid w:val="000B65F6"/>
    <w:rsid w:val="000B7767"/>
    <w:rsid w:val="000C1AFF"/>
    <w:rsid w:val="000C34D1"/>
    <w:rsid w:val="000C5F95"/>
    <w:rsid w:val="000C6996"/>
    <w:rsid w:val="000C7C46"/>
    <w:rsid w:val="000D09E9"/>
    <w:rsid w:val="000D113F"/>
    <w:rsid w:val="000D23BA"/>
    <w:rsid w:val="000D4B0C"/>
    <w:rsid w:val="000D59E1"/>
    <w:rsid w:val="000D6AD2"/>
    <w:rsid w:val="000E0BCB"/>
    <w:rsid w:val="000E1148"/>
    <w:rsid w:val="000E19B7"/>
    <w:rsid w:val="000E20FC"/>
    <w:rsid w:val="000E3DFB"/>
    <w:rsid w:val="000E3F5B"/>
    <w:rsid w:val="000E4218"/>
    <w:rsid w:val="000E5EA1"/>
    <w:rsid w:val="000E681E"/>
    <w:rsid w:val="000E696B"/>
    <w:rsid w:val="000E7E52"/>
    <w:rsid w:val="000E7E90"/>
    <w:rsid w:val="000EE1C7"/>
    <w:rsid w:val="000F0003"/>
    <w:rsid w:val="000F3384"/>
    <w:rsid w:val="000F4BAF"/>
    <w:rsid w:val="000F4E6A"/>
    <w:rsid w:val="000F7354"/>
    <w:rsid w:val="000F7C27"/>
    <w:rsid w:val="00101ABE"/>
    <w:rsid w:val="00102202"/>
    <w:rsid w:val="00102700"/>
    <w:rsid w:val="00102A78"/>
    <w:rsid w:val="00103118"/>
    <w:rsid w:val="00103F1B"/>
    <w:rsid w:val="00104227"/>
    <w:rsid w:val="001053D5"/>
    <w:rsid w:val="001107BF"/>
    <w:rsid w:val="00113649"/>
    <w:rsid w:val="00113D5C"/>
    <w:rsid w:val="00115272"/>
    <w:rsid w:val="00115FD6"/>
    <w:rsid w:val="00116B03"/>
    <w:rsid w:val="00120AA6"/>
    <w:rsid w:val="00121AFA"/>
    <w:rsid w:val="001239DB"/>
    <w:rsid w:val="001240A7"/>
    <w:rsid w:val="0012417C"/>
    <w:rsid w:val="00124BF2"/>
    <w:rsid w:val="00125837"/>
    <w:rsid w:val="0012597F"/>
    <w:rsid w:val="00126B09"/>
    <w:rsid w:val="00126B19"/>
    <w:rsid w:val="00126D3A"/>
    <w:rsid w:val="0012749D"/>
    <w:rsid w:val="001277FC"/>
    <w:rsid w:val="00127A23"/>
    <w:rsid w:val="00130412"/>
    <w:rsid w:val="001306A5"/>
    <w:rsid w:val="00130918"/>
    <w:rsid w:val="001311AE"/>
    <w:rsid w:val="00134BB0"/>
    <w:rsid w:val="001366C2"/>
    <w:rsid w:val="00136C17"/>
    <w:rsid w:val="00140B74"/>
    <w:rsid w:val="00140D94"/>
    <w:rsid w:val="001416EF"/>
    <w:rsid w:val="00142395"/>
    <w:rsid w:val="00142714"/>
    <w:rsid w:val="00144D09"/>
    <w:rsid w:val="001452ED"/>
    <w:rsid w:val="00147D84"/>
    <w:rsid w:val="00150C67"/>
    <w:rsid w:val="00151CBD"/>
    <w:rsid w:val="001533C3"/>
    <w:rsid w:val="001549C1"/>
    <w:rsid w:val="00156C8D"/>
    <w:rsid w:val="00160B4A"/>
    <w:rsid w:val="00160F4D"/>
    <w:rsid w:val="00162BDD"/>
    <w:rsid w:val="00162D4E"/>
    <w:rsid w:val="00163329"/>
    <w:rsid w:val="00164623"/>
    <w:rsid w:val="001652DE"/>
    <w:rsid w:val="001653EC"/>
    <w:rsid w:val="00165B64"/>
    <w:rsid w:val="00165DDB"/>
    <w:rsid w:val="00167C39"/>
    <w:rsid w:val="00172259"/>
    <w:rsid w:val="0017271A"/>
    <w:rsid w:val="00172A16"/>
    <w:rsid w:val="00176B9D"/>
    <w:rsid w:val="00180713"/>
    <w:rsid w:val="00180720"/>
    <w:rsid w:val="00182915"/>
    <w:rsid w:val="001830CE"/>
    <w:rsid w:val="0018367D"/>
    <w:rsid w:val="001836E3"/>
    <w:rsid w:val="00184659"/>
    <w:rsid w:val="00185E09"/>
    <w:rsid w:val="001860E5"/>
    <w:rsid w:val="0018643B"/>
    <w:rsid w:val="001921F8"/>
    <w:rsid w:val="0019463D"/>
    <w:rsid w:val="00196307"/>
    <w:rsid w:val="00197C70"/>
    <w:rsid w:val="00197F03"/>
    <w:rsid w:val="001A0D10"/>
    <w:rsid w:val="001A1675"/>
    <w:rsid w:val="001A33EA"/>
    <w:rsid w:val="001A4413"/>
    <w:rsid w:val="001A4C4F"/>
    <w:rsid w:val="001A5A2B"/>
    <w:rsid w:val="001A76FB"/>
    <w:rsid w:val="001B017F"/>
    <w:rsid w:val="001B0B79"/>
    <w:rsid w:val="001B2BBC"/>
    <w:rsid w:val="001B2BCD"/>
    <w:rsid w:val="001B31BC"/>
    <w:rsid w:val="001B3A40"/>
    <w:rsid w:val="001B3FFE"/>
    <w:rsid w:val="001B5129"/>
    <w:rsid w:val="001B77BE"/>
    <w:rsid w:val="001C0B4C"/>
    <w:rsid w:val="001C0EC4"/>
    <w:rsid w:val="001C1195"/>
    <w:rsid w:val="001C12AE"/>
    <w:rsid w:val="001C1E84"/>
    <w:rsid w:val="001C20E1"/>
    <w:rsid w:val="001C2A0F"/>
    <w:rsid w:val="001C2E42"/>
    <w:rsid w:val="001C7C47"/>
    <w:rsid w:val="001D1F5F"/>
    <w:rsid w:val="001D3B1D"/>
    <w:rsid w:val="001E06D2"/>
    <w:rsid w:val="001E17C4"/>
    <w:rsid w:val="001E2D65"/>
    <w:rsid w:val="001E66A3"/>
    <w:rsid w:val="001E6ABE"/>
    <w:rsid w:val="001F005B"/>
    <w:rsid w:val="001F1850"/>
    <w:rsid w:val="001F1FBF"/>
    <w:rsid w:val="001F2311"/>
    <w:rsid w:val="001F2B80"/>
    <w:rsid w:val="001F2F1C"/>
    <w:rsid w:val="001F3189"/>
    <w:rsid w:val="002004E1"/>
    <w:rsid w:val="00200BEA"/>
    <w:rsid w:val="002013AB"/>
    <w:rsid w:val="00201FB8"/>
    <w:rsid w:val="00203FAC"/>
    <w:rsid w:val="00205E8B"/>
    <w:rsid w:val="0020668A"/>
    <w:rsid w:val="002133FB"/>
    <w:rsid w:val="00213CFB"/>
    <w:rsid w:val="0021553C"/>
    <w:rsid w:val="0021557B"/>
    <w:rsid w:val="00215F31"/>
    <w:rsid w:val="00216B87"/>
    <w:rsid w:val="002174FD"/>
    <w:rsid w:val="00217BE1"/>
    <w:rsid w:val="002214B9"/>
    <w:rsid w:val="00221626"/>
    <w:rsid w:val="00222680"/>
    <w:rsid w:val="00222ABD"/>
    <w:rsid w:val="00223281"/>
    <w:rsid w:val="00223370"/>
    <w:rsid w:val="00224D71"/>
    <w:rsid w:val="00226083"/>
    <w:rsid w:val="00227BC5"/>
    <w:rsid w:val="00230C6D"/>
    <w:rsid w:val="00230F63"/>
    <w:rsid w:val="002339D8"/>
    <w:rsid w:val="00234252"/>
    <w:rsid w:val="0023466E"/>
    <w:rsid w:val="00234BAC"/>
    <w:rsid w:val="00237515"/>
    <w:rsid w:val="00237AC6"/>
    <w:rsid w:val="00242BFD"/>
    <w:rsid w:val="00244139"/>
    <w:rsid w:val="00244490"/>
    <w:rsid w:val="00244BEC"/>
    <w:rsid w:val="00245B9C"/>
    <w:rsid w:val="00252587"/>
    <w:rsid w:val="00253499"/>
    <w:rsid w:val="00253C45"/>
    <w:rsid w:val="002551A4"/>
    <w:rsid w:val="00257664"/>
    <w:rsid w:val="00257D1F"/>
    <w:rsid w:val="00260165"/>
    <w:rsid w:val="00264235"/>
    <w:rsid w:val="00265151"/>
    <w:rsid w:val="00265C2C"/>
    <w:rsid w:val="00266509"/>
    <w:rsid w:val="0027103E"/>
    <w:rsid w:val="00271BA1"/>
    <w:rsid w:val="00273AC5"/>
    <w:rsid w:val="002762FA"/>
    <w:rsid w:val="00277505"/>
    <w:rsid w:val="00277873"/>
    <w:rsid w:val="0028158C"/>
    <w:rsid w:val="0028171A"/>
    <w:rsid w:val="002823B6"/>
    <w:rsid w:val="0028253E"/>
    <w:rsid w:val="00283E5A"/>
    <w:rsid w:val="00290C03"/>
    <w:rsid w:val="00292E3B"/>
    <w:rsid w:val="002933A8"/>
    <w:rsid w:val="002939F8"/>
    <w:rsid w:val="00294274"/>
    <w:rsid w:val="0029458F"/>
    <w:rsid w:val="002978B8"/>
    <w:rsid w:val="00297A63"/>
    <w:rsid w:val="002A018F"/>
    <w:rsid w:val="002A0E04"/>
    <w:rsid w:val="002A104C"/>
    <w:rsid w:val="002A1EF7"/>
    <w:rsid w:val="002A2B7B"/>
    <w:rsid w:val="002A494D"/>
    <w:rsid w:val="002A4960"/>
    <w:rsid w:val="002A49B1"/>
    <w:rsid w:val="002A636A"/>
    <w:rsid w:val="002A755F"/>
    <w:rsid w:val="002B0AE0"/>
    <w:rsid w:val="002B1AE6"/>
    <w:rsid w:val="002B1D51"/>
    <w:rsid w:val="002B2DBA"/>
    <w:rsid w:val="002B2DE8"/>
    <w:rsid w:val="002B30F8"/>
    <w:rsid w:val="002B388A"/>
    <w:rsid w:val="002B3BFE"/>
    <w:rsid w:val="002B3C1A"/>
    <w:rsid w:val="002B4EB4"/>
    <w:rsid w:val="002B5596"/>
    <w:rsid w:val="002B5BB0"/>
    <w:rsid w:val="002B77D7"/>
    <w:rsid w:val="002C212F"/>
    <w:rsid w:val="002C2F35"/>
    <w:rsid w:val="002C6AA9"/>
    <w:rsid w:val="002C7485"/>
    <w:rsid w:val="002C74D9"/>
    <w:rsid w:val="002D039B"/>
    <w:rsid w:val="002D0CCC"/>
    <w:rsid w:val="002D15AD"/>
    <w:rsid w:val="002D2641"/>
    <w:rsid w:val="002D283A"/>
    <w:rsid w:val="002D3691"/>
    <w:rsid w:val="002D4543"/>
    <w:rsid w:val="002D6222"/>
    <w:rsid w:val="002E022A"/>
    <w:rsid w:val="002E1A3C"/>
    <w:rsid w:val="002E30DC"/>
    <w:rsid w:val="002E3153"/>
    <w:rsid w:val="002E4A02"/>
    <w:rsid w:val="002E4F32"/>
    <w:rsid w:val="002E516A"/>
    <w:rsid w:val="002E5292"/>
    <w:rsid w:val="002E61E3"/>
    <w:rsid w:val="002E72CA"/>
    <w:rsid w:val="002E75DD"/>
    <w:rsid w:val="002E7F24"/>
    <w:rsid w:val="002F1D07"/>
    <w:rsid w:val="002F3F81"/>
    <w:rsid w:val="002F5B5E"/>
    <w:rsid w:val="002F5C5B"/>
    <w:rsid w:val="002F600D"/>
    <w:rsid w:val="002F6F0F"/>
    <w:rsid w:val="002F7E47"/>
    <w:rsid w:val="00300AD6"/>
    <w:rsid w:val="00300B1B"/>
    <w:rsid w:val="003019D0"/>
    <w:rsid w:val="003019DE"/>
    <w:rsid w:val="00302F7F"/>
    <w:rsid w:val="003064AF"/>
    <w:rsid w:val="00307DC6"/>
    <w:rsid w:val="00310827"/>
    <w:rsid w:val="00310A8B"/>
    <w:rsid w:val="00310B68"/>
    <w:rsid w:val="00311076"/>
    <w:rsid w:val="00315592"/>
    <w:rsid w:val="003160D2"/>
    <w:rsid w:val="00316948"/>
    <w:rsid w:val="003173FC"/>
    <w:rsid w:val="00317C6C"/>
    <w:rsid w:val="00320B80"/>
    <w:rsid w:val="00320CD3"/>
    <w:rsid w:val="003215FF"/>
    <w:rsid w:val="00322667"/>
    <w:rsid w:val="003243EB"/>
    <w:rsid w:val="00325AC7"/>
    <w:rsid w:val="0032607C"/>
    <w:rsid w:val="00326754"/>
    <w:rsid w:val="00326AD5"/>
    <w:rsid w:val="00326E79"/>
    <w:rsid w:val="0032748A"/>
    <w:rsid w:val="003301B1"/>
    <w:rsid w:val="00330256"/>
    <w:rsid w:val="00331189"/>
    <w:rsid w:val="0033263D"/>
    <w:rsid w:val="00334E69"/>
    <w:rsid w:val="0033518A"/>
    <w:rsid w:val="00335535"/>
    <w:rsid w:val="003367EF"/>
    <w:rsid w:val="00341AE4"/>
    <w:rsid w:val="00343FB7"/>
    <w:rsid w:val="003457E5"/>
    <w:rsid w:val="003476EE"/>
    <w:rsid w:val="003541DD"/>
    <w:rsid w:val="00356C65"/>
    <w:rsid w:val="00356C9B"/>
    <w:rsid w:val="00356E5B"/>
    <w:rsid w:val="003572EE"/>
    <w:rsid w:val="00360887"/>
    <w:rsid w:val="0036249F"/>
    <w:rsid w:val="00371246"/>
    <w:rsid w:val="003736C9"/>
    <w:rsid w:val="00374EB9"/>
    <w:rsid w:val="00383B77"/>
    <w:rsid w:val="00384988"/>
    <w:rsid w:val="003872CF"/>
    <w:rsid w:val="003874CB"/>
    <w:rsid w:val="00391D1E"/>
    <w:rsid w:val="00394DE9"/>
    <w:rsid w:val="003957B2"/>
    <w:rsid w:val="00396108"/>
    <w:rsid w:val="003970DD"/>
    <w:rsid w:val="0039782C"/>
    <w:rsid w:val="00397D6A"/>
    <w:rsid w:val="003A13A6"/>
    <w:rsid w:val="003A2165"/>
    <w:rsid w:val="003A3AF3"/>
    <w:rsid w:val="003A4A1F"/>
    <w:rsid w:val="003A5B4A"/>
    <w:rsid w:val="003A5D95"/>
    <w:rsid w:val="003A6510"/>
    <w:rsid w:val="003A74E2"/>
    <w:rsid w:val="003B0D3A"/>
    <w:rsid w:val="003B2302"/>
    <w:rsid w:val="003B23C5"/>
    <w:rsid w:val="003B2A75"/>
    <w:rsid w:val="003B49B2"/>
    <w:rsid w:val="003B4C0C"/>
    <w:rsid w:val="003B5F39"/>
    <w:rsid w:val="003B6124"/>
    <w:rsid w:val="003B7960"/>
    <w:rsid w:val="003C0908"/>
    <w:rsid w:val="003C093A"/>
    <w:rsid w:val="003C1ECF"/>
    <w:rsid w:val="003C2FB5"/>
    <w:rsid w:val="003C5CC5"/>
    <w:rsid w:val="003D24C5"/>
    <w:rsid w:val="003D4594"/>
    <w:rsid w:val="003D4AC4"/>
    <w:rsid w:val="003D5433"/>
    <w:rsid w:val="003D63B7"/>
    <w:rsid w:val="003D74C5"/>
    <w:rsid w:val="003D77AC"/>
    <w:rsid w:val="003E1B5A"/>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590E"/>
    <w:rsid w:val="00407CC8"/>
    <w:rsid w:val="0041247E"/>
    <w:rsid w:val="00414F0C"/>
    <w:rsid w:val="0041755B"/>
    <w:rsid w:val="00420400"/>
    <w:rsid w:val="00423E78"/>
    <w:rsid w:val="004252EC"/>
    <w:rsid w:val="00427167"/>
    <w:rsid w:val="00430D39"/>
    <w:rsid w:val="00433E7C"/>
    <w:rsid w:val="00433FE9"/>
    <w:rsid w:val="00442C91"/>
    <w:rsid w:val="00445830"/>
    <w:rsid w:val="00445DA7"/>
    <w:rsid w:val="004465BD"/>
    <w:rsid w:val="00446938"/>
    <w:rsid w:val="004528FA"/>
    <w:rsid w:val="00454D47"/>
    <w:rsid w:val="00454F8E"/>
    <w:rsid w:val="00461A44"/>
    <w:rsid w:val="00461A71"/>
    <w:rsid w:val="00462D26"/>
    <w:rsid w:val="0046368B"/>
    <w:rsid w:val="0046385A"/>
    <w:rsid w:val="00464039"/>
    <w:rsid w:val="00466ADA"/>
    <w:rsid w:val="004702BB"/>
    <w:rsid w:val="0047494B"/>
    <w:rsid w:val="00476245"/>
    <w:rsid w:val="00477A9B"/>
    <w:rsid w:val="00482AE4"/>
    <w:rsid w:val="00483035"/>
    <w:rsid w:val="004834E1"/>
    <w:rsid w:val="00485940"/>
    <w:rsid w:val="00486C95"/>
    <w:rsid w:val="00487594"/>
    <w:rsid w:val="004877C2"/>
    <w:rsid w:val="00490391"/>
    <w:rsid w:val="004904B9"/>
    <w:rsid w:val="004928E1"/>
    <w:rsid w:val="00492D8D"/>
    <w:rsid w:val="00495630"/>
    <w:rsid w:val="00496662"/>
    <w:rsid w:val="004A1431"/>
    <w:rsid w:val="004A2116"/>
    <w:rsid w:val="004A2484"/>
    <w:rsid w:val="004A370E"/>
    <w:rsid w:val="004A5A85"/>
    <w:rsid w:val="004A71D1"/>
    <w:rsid w:val="004A7C5B"/>
    <w:rsid w:val="004B1151"/>
    <w:rsid w:val="004B1845"/>
    <w:rsid w:val="004B2348"/>
    <w:rsid w:val="004B2E01"/>
    <w:rsid w:val="004B2E98"/>
    <w:rsid w:val="004B4FDB"/>
    <w:rsid w:val="004B5364"/>
    <w:rsid w:val="004B5640"/>
    <w:rsid w:val="004B6084"/>
    <w:rsid w:val="004B6F52"/>
    <w:rsid w:val="004BCF29"/>
    <w:rsid w:val="004C0206"/>
    <w:rsid w:val="004C02F3"/>
    <w:rsid w:val="004C03D0"/>
    <w:rsid w:val="004C1BD7"/>
    <w:rsid w:val="004C239C"/>
    <w:rsid w:val="004C2567"/>
    <w:rsid w:val="004C31FE"/>
    <w:rsid w:val="004C3E58"/>
    <w:rsid w:val="004C524C"/>
    <w:rsid w:val="004C5EDD"/>
    <w:rsid w:val="004C5FFA"/>
    <w:rsid w:val="004C691D"/>
    <w:rsid w:val="004C6C07"/>
    <w:rsid w:val="004C7E15"/>
    <w:rsid w:val="004D2CD1"/>
    <w:rsid w:val="004D3332"/>
    <w:rsid w:val="004D4FF6"/>
    <w:rsid w:val="004D5ADD"/>
    <w:rsid w:val="004E3005"/>
    <w:rsid w:val="004E3B1E"/>
    <w:rsid w:val="004E46CE"/>
    <w:rsid w:val="004E692D"/>
    <w:rsid w:val="004E7230"/>
    <w:rsid w:val="004E7D87"/>
    <w:rsid w:val="004F0A7F"/>
    <w:rsid w:val="004F1AB7"/>
    <w:rsid w:val="004F2553"/>
    <w:rsid w:val="004F306A"/>
    <w:rsid w:val="00501554"/>
    <w:rsid w:val="00502AFE"/>
    <w:rsid w:val="00502E64"/>
    <w:rsid w:val="00503AD7"/>
    <w:rsid w:val="00503E89"/>
    <w:rsid w:val="00504E0C"/>
    <w:rsid w:val="00504E13"/>
    <w:rsid w:val="00505C69"/>
    <w:rsid w:val="00507811"/>
    <w:rsid w:val="005109D4"/>
    <w:rsid w:val="00510E13"/>
    <w:rsid w:val="0051230A"/>
    <w:rsid w:val="00514CD7"/>
    <w:rsid w:val="005162F4"/>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515B"/>
    <w:rsid w:val="005467D0"/>
    <w:rsid w:val="00546B36"/>
    <w:rsid w:val="0055007B"/>
    <w:rsid w:val="0055286A"/>
    <w:rsid w:val="00555745"/>
    <w:rsid w:val="00557D4F"/>
    <w:rsid w:val="0056122E"/>
    <w:rsid w:val="0056484E"/>
    <w:rsid w:val="00565999"/>
    <w:rsid w:val="00567D8A"/>
    <w:rsid w:val="00570231"/>
    <w:rsid w:val="0057296E"/>
    <w:rsid w:val="0057433E"/>
    <w:rsid w:val="005746D0"/>
    <w:rsid w:val="005764CD"/>
    <w:rsid w:val="00577C4D"/>
    <w:rsid w:val="00580532"/>
    <w:rsid w:val="00580567"/>
    <w:rsid w:val="0058084C"/>
    <w:rsid w:val="00580F9E"/>
    <w:rsid w:val="00581932"/>
    <w:rsid w:val="0058388D"/>
    <w:rsid w:val="00586425"/>
    <w:rsid w:val="005903BB"/>
    <w:rsid w:val="00593893"/>
    <w:rsid w:val="005951A0"/>
    <w:rsid w:val="005963BB"/>
    <w:rsid w:val="00596BF4"/>
    <w:rsid w:val="00596D37"/>
    <w:rsid w:val="00597324"/>
    <w:rsid w:val="005A0B2A"/>
    <w:rsid w:val="005A15D2"/>
    <w:rsid w:val="005A3173"/>
    <w:rsid w:val="005A3223"/>
    <w:rsid w:val="005A3D6A"/>
    <w:rsid w:val="005A3DA3"/>
    <w:rsid w:val="005A3F80"/>
    <w:rsid w:val="005A43AC"/>
    <w:rsid w:val="005A52C4"/>
    <w:rsid w:val="005A5638"/>
    <w:rsid w:val="005A63A1"/>
    <w:rsid w:val="005B0486"/>
    <w:rsid w:val="005B1473"/>
    <w:rsid w:val="005B36FA"/>
    <w:rsid w:val="005B5212"/>
    <w:rsid w:val="005C47C7"/>
    <w:rsid w:val="005C4F73"/>
    <w:rsid w:val="005D03A7"/>
    <w:rsid w:val="005D03AB"/>
    <w:rsid w:val="005D401D"/>
    <w:rsid w:val="005D5017"/>
    <w:rsid w:val="005D5708"/>
    <w:rsid w:val="005D63FA"/>
    <w:rsid w:val="005D723E"/>
    <w:rsid w:val="005D73C7"/>
    <w:rsid w:val="005E0C2D"/>
    <w:rsid w:val="005E0D82"/>
    <w:rsid w:val="005E0F59"/>
    <w:rsid w:val="005E1333"/>
    <w:rsid w:val="005E2806"/>
    <w:rsid w:val="005E3136"/>
    <w:rsid w:val="005E507D"/>
    <w:rsid w:val="005E5512"/>
    <w:rsid w:val="005E69F9"/>
    <w:rsid w:val="005E6AE8"/>
    <w:rsid w:val="005E7150"/>
    <w:rsid w:val="005F0AD0"/>
    <w:rsid w:val="005F1F3C"/>
    <w:rsid w:val="005F5C46"/>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04DD"/>
    <w:rsid w:val="00621DB1"/>
    <w:rsid w:val="006246CC"/>
    <w:rsid w:val="006263BF"/>
    <w:rsid w:val="00626714"/>
    <w:rsid w:val="0062748A"/>
    <w:rsid w:val="00627765"/>
    <w:rsid w:val="006303FB"/>
    <w:rsid w:val="00630546"/>
    <w:rsid w:val="00630A2C"/>
    <w:rsid w:val="006322D8"/>
    <w:rsid w:val="00633DFC"/>
    <w:rsid w:val="00634A75"/>
    <w:rsid w:val="00636691"/>
    <w:rsid w:val="0063682E"/>
    <w:rsid w:val="00640088"/>
    <w:rsid w:val="00642672"/>
    <w:rsid w:val="00642DA8"/>
    <w:rsid w:val="006436CD"/>
    <w:rsid w:val="00651169"/>
    <w:rsid w:val="00653D69"/>
    <w:rsid w:val="006552E6"/>
    <w:rsid w:val="00655794"/>
    <w:rsid w:val="00656F2F"/>
    <w:rsid w:val="00657C63"/>
    <w:rsid w:val="00661CBC"/>
    <w:rsid w:val="00662B85"/>
    <w:rsid w:val="00665ACA"/>
    <w:rsid w:val="00665B97"/>
    <w:rsid w:val="006670BE"/>
    <w:rsid w:val="00670A76"/>
    <w:rsid w:val="00670B1A"/>
    <w:rsid w:val="006711AA"/>
    <w:rsid w:val="00672B57"/>
    <w:rsid w:val="00673F1F"/>
    <w:rsid w:val="00675622"/>
    <w:rsid w:val="00675BE4"/>
    <w:rsid w:val="00676E73"/>
    <w:rsid w:val="0067747D"/>
    <w:rsid w:val="0068010B"/>
    <w:rsid w:val="00680644"/>
    <w:rsid w:val="00680850"/>
    <w:rsid w:val="006818D5"/>
    <w:rsid w:val="00681CA4"/>
    <w:rsid w:val="00686559"/>
    <w:rsid w:val="0068769D"/>
    <w:rsid w:val="0069039D"/>
    <w:rsid w:val="006906DB"/>
    <w:rsid w:val="00691900"/>
    <w:rsid w:val="00691E6C"/>
    <w:rsid w:val="0069342D"/>
    <w:rsid w:val="00693DFB"/>
    <w:rsid w:val="00694FD5"/>
    <w:rsid w:val="0069501D"/>
    <w:rsid w:val="00696129"/>
    <w:rsid w:val="00697CF2"/>
    <w:rsid w:val="006A12A5"/>
    <w:rsid w:val="006A2515"/>
    <w:rsid w:val="006A2A80"/>
    <w:rsid w:val="006A572D"/>
    <w:rsid w:val="006A575B"/>
    <w:rsid w:val="006A5E20"/>
    <w:rsid w:val="006A6AAC"/>
    <w:rsid w:val="006B0D94"/>
    <w:rsid w:val="006B16B6"/>
    <w:rsid w:val="006B485D"/>
    <w:rsid w:val="006C0C45"/>
    <w:rsid w:val="006C334C"/>
    <w:rsid w:val="006C6650"/>
    <w:rsid w:val="006C6C10"/>
    <w:rsid w:val="006C708E"/>
    <w:rsid w:val="006D14E7"/>
    <w:rsid w:val="006D4444"/>
    <w:rsid w:val="006D6493"/>
    <w:rsid w:val="006D6EC7"/>
    <w:rsid w:val="006D7B96"/>
    <w:rsid w:val="006D7E45"/>
    <w:rsid w:val="006E1143"/>
    <w:rsid w:val="006E1BCD"/>
    <w:rsid w:val="006E1EBB"/>
    <w:rsid w:val="006E2732"/>
    <w:rsid w:val="006E59CD"/>
    <w:rsid w:val="006F0A71"/>
    <w:rsid w:val="006F1035"/>
    <w:rsid w:val="006F1C6B"/>
    <w:rsid w:val="006F40C2"/>
    <w:rsid w:val="006F5125"/>
    <w:rsid w:val="006F5BFD"/>
    <w:rsid w:val="006F733D"/>
    <w:rsid w:val="00700765"/>
    <w:rsid w:val="00702959"/>
    <w:rsid w:val="00702B6F"/>
    <w:rsid w:val="007030B4"/>
    <w:rsid w:val="00703109"/>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26E6B"/>
    <w:rsid w:val="0073137C"/>
    <w:rsid w:val="00731FE0"/>
    <w:rsid w:val="00732716"/>
    <w:rsid w:val="007340B9"/>
    <w:rsid w:val="007353D3"/>
    <w:rsid w:val="0074156B"/>
    <w:rsid w:val="00741619"/>
    <w:rsid w:val="00742885"/>
    <w:rsid w:val="00747092"/>
    <w:rsid w:val="007526E6"/>
    <w:rsid w:val="00754800"/>
    <w:rsid w:val="00754DF9"/>
    <w:rsid w:val="007555E8"/>
    <w:rsid w:val="00755CC5"/>
    <w:rsid w:val="00757A23"/>
    <w:rsid w:val="00762862"/>
    <w:rsid w:val="0076420C"/>
    <w:rsid w:val="00765502"/>
    <w:rsid w:val="00771D07"/>
    <w:rsid w:val="00772649"/>
    <w:rsid w:val="007727F0"/>
    <w:rsid w:val="00772AA9"/>
    <w:rsid w:val="00773BE3"/>
    <w:rsid w:val="00774046"/>
    <w:rsid w:val="007743DD"/>
    <w:rsid w:val="00774E2C"/>
    <w:rsid w:val="0077503C"/>
    <w:rsid w:val="0077518D"/>
    <w:rsid w:val="007753C2"/>
    <w:rsid w:val="00776068"/>
    <w:rsid w:val="007773D7"/>
    <w:rsid w:val="007838B8"/>
    <w:rsid w:val="007853C9"/>
    <w:rsid w:val="00785779"/>
    <w:rsid w:val="007868F2"/>
    <w:rsid w:val="00787EE0"/>
    <w:rsid w:val="00787FD8"/>
    <w:rsid w:val="007915BA"/>
    <w:rsid w:val="00791844"/>
    <w:rsid w:val="00791F5B"/>
    <w:rsid w:val="00793CE9"/>
    <w:rsid w:val="00796667"/>
    <w:rsid w:val="00797068"/>
    <w:rsid w:val="007979BD"/>
    <w:rsid w:val="007A3D8E"/>
    <w:rsid w:val="007A5C88"/>
    <w:rsid w:val="007A6427"/>
    <w:rsid w:val="007A688B"/>
    <w:rsid w:val="007A6A2F"/>
    <w:rsid w:val="007B024E"/>
    <w:rsid w:val="007B11D5"/>
    <w:rsid w:val="007B3BAF"/>
    <w:rsid w:val="007B3DDC"/>
    <w:rsid w:val="007B72A6"/>
    <w:rsid w:val="007C06D2"/>
    <w:rsid w:val="007C08E0"/>
    <w:rsid w:val="007C0F57"/>
    <w:rsid w:val="007C2F4B"/>
    <w:rsid w:val="007C40B6"/>
    <w:rsid w:val="007C4B56"/>
    <w:rsid w:val="007C5975"/>
    <w:rsid w:val="007C729F"/>
    <w:rsid w:val="007D316C"/>
    <w:rsid w:val="007D503D"/>
    <w:rsid w:val="007D59E7"/>
    <w:rsid w:val="007D5F2A"/>
    <w:rsid w:val="007D7C7E"/>
    <w:rsid w:val="007E07AC"/>
    <w:rsid w:val="007E1014"/>
    <w:rsid w:val="007E12F8"/>
    <w:rsid w:val="007E1D28"/>
    <w:rsid w:val="007E21E4"/>
    <w:rsid w:val="007E4564"/>
    <w:rsid w:val="007E490F"/>
    <w:rsid w:val="007F0021"/>
    <w:rsid w:val="007F2641"/>
    <w:rsid w:val="007F3E86"/>
    <w:rsid w:val="007F7C36"/>
    <w:rsid w:val="007F7F45"/>
    <w:rsid w:val="0080001F"/>
    <w:rsid w:val="00801958"/>
    <w:rsid w:val="0080430C"/>
    <w:rsid w:val="008055AF"/>
    <w:rsid w:val="008057CD"/>
    <w:rsid w:val="008066B8"/>
    <w:rsid w:val="00806796"/>
    <w:rsid w:val="00806CB5"/>
    <w:rsid w:val="00810167"/>
    <w:rsid w:val="008104D0"/>
    <w:rsid w:val="00811CC0"/>
    <w:rsid w:val="008137B8"/>
    <w:rsid w:val="008151D6"/>
    <w:rsid w:val="00817360"/>
    <w:rsid w:val="00820803"/>
    <w:rsid w:val="00821527"/>
    <w:rsid w:val="00822696"/>
    <w:rsid w:val="00823F50"/>
    <w:rsid w:val="00825A6C"/>
    <w:rsid w:val="0082617E"/>
    <w:rsid w:val="00826880"/>
    <w:rsid w:val="008268BB"/>
    <w:rsid w:val="00826F6D"/>
    <w:rsid w:val="008306F3"/>
    <w:rsid w:val="00830E40"/>
    <w:rsid w:val="00832D9A"/>
    <w:rsid w:val="008343BB"/>
    <w:rsid w:val="008345A1"/>
    <w:rsid w:val="00834A10"/>
    <w:rsid w:val="00835C62"/>
    <w:rsid w:val="008368A1"/>
    <w:rsid w:val="00840EF7"/>
    <w:rsid w:val="00844C0A"/>
    <w:rsid w:val="00846056"/>
    <w:rsid w:val="00846063"/>
    <w:rsid w:val="0084681F"/>
    <w:rsid w:val="00847D08"/>
    <w:rsid w:val="00847EC0"/>
    <w:rsid w:val="008533AE"/>
    <w:rsid w:val="00855FD6"/>
    <w:rsid w:val="00856DDD"/>
    <w:rsid w:val="008579CB"/>
    <w:rsid w:val="00860233"/>
    <w:rsid w:val="00863074"/>
    <w:rsid w:val="00863E68"/>
    <w:rsid w:val="008647B5"/>
    <w:rsid w:val="00867D64"/>
    <w:rsid w:val="00872AAD"/>
    <w:rsid w:val="00872D8F"/>
    <w:rsid w:val="00872E8F"/>
    <w:rsid w:val="00874E6D"/>
    <w:rsid w:val="00875DCB"/>
    <w:rsid w:val="00876FBF"/>
    <w:rsid w:val="0087755A"/>
    <w:rsid w:val="00882085"/>
    <w:rsid w:val="00883188"/>
    <w:rsid w:val="00884A0C"/>
    <w:rsid w:val="00885AC8"/>
    <w:rsid w:val="00886ACA"/>
    <w:rsid w:val="00886B01"/>
    <w:rsid w:val="008876E0"/>
    <w:rsid w:val="0089031E"/>
    <w:rsid w:val="0089109A"/>
    <w:rsid w:val="0089390B"/>
    <w:rsid w:val="00893D5C"/>
    <w:rsid w:val="0089460B"/>
    <w:rsid w:val="00895E0D"/>
    <w:rsid w:val="008963C5"/>
    <w:rsid w:val="00897D58"/>
    <w:rsid w:val="00897F22"/>
    <w:rsid w:val="008A0B39"/>
    <w:rsid w:val="008A11B7"/>
    <w:rsid w:val="008A17A3"/>
    <w:rsid w:val="008A1956"/>
    <w:rsid w:val="008A1E85"/>
    <w:rsid w:val="008A2419"/>
    <w:rsid w:val="008A3FB5"/>
    <w:rsid w:val="008A4144"/>
    <w:rsid w:val="008A4937"/>
    <w:rsid w:val="008A50F1"/>
    <w:rsid w:val="008A59D9"/>
    <w:rsid w:val="008A643E"/>
    <w:rsid w:val="008A6819"/>
    <w:rsid w:val="008B007A"/>
    <w:rsid w:val="008B194C"/>
    <w:rsid w:val="008B19F2"/>
    <w:rsid w:val="008B2EC0"/>
    <w:rsid w:val="008B6DCF"/>
    <w:rsid w:val="008C22AB"/>
    <w:rsid w:val="008C3854"/>
    <w:rsid w:val="008C7B2B"/>
    <w:rsid w:val="008D0945"/>
    <w:rsid w:val="008D1409"/>
    <w:rsid w:val="008D15CC"/>
    <w:rsid w:val="008D1729"/>
    <w:rsid w:val="008D1B5C"/>
    <w:rsid w:val="008D3C82"/>
    <w:rsid w:val="008D447E"/>
    <w:rsid w:val="008D6ACF"/>
    <w:rsid w:val="008D7A41"/>
    <w:rsid w:val="008E2C72"/>
    <w:rsid w:val="008E3680"/>
    <w:rsid w:val="008E4409"/>
    <w:rsid w:val="008E4F87"/>
    <w:rsid w:val="008E5870"/>
    <w:rsid w:val="008E77E4"/>
    <w:rsid w:val="008F0213"/>
    <w:rsid w:val="008F07ED"/>
    <w:rsid w:val="008F11F8"/>
    <w:rsid w:val="008F1434"/>
    <w:rsid w:val="008F2BB9"/>
    <w:rsid w:val="008F3CF1"/>
    <w:rsid w:val="008F3D6A"/>
    <w:rsid w:val="008F54C3"/>
    <w:rsid w:val="008F5B0E"/>
    <w:rsid w:val="008F5CFF"/>
    <w:rsid w:val="008F7355"/>
    <w:rsid w:val="00902044"/>
    <w:rsid w:val="009023DC"/>
    <w:rsid w:val="009027C5"/>
    <w:rsid w:val="00903DFE"/>
    <w:rsid w:val="00904413"/>
    <w:rsid w:val="009053C8"/>
    <w:rsid w:val="00906143"/>
    <w:rsid w:val="009067B7"/>
    <w:rsid w:val="0090775A"/>
    <w:rsid w:val="00907DFD"/>
    <w:rsid w:val="0091089D"/>
    <w:rsid w:val="0091331C"/>
    <w:rsid w:val="00913C99"/>
    <w:rsid w:val="00917D69"/>
    <w:rsid w:val="00920B6D"/>
    <w:rsid w:val="00926560"/>
    <w:rsid w:val="00926B15"/>
    <w:rsid w:val="00927ACA"/>
    <w:rsid w:val="00930291"/>
    <w:rsid w:val="00930937"/>
    <w:rsid w:val="009324A6"/>
    <w:rsid w:val="00933B7D"/>
    <w:rsid w:val="00933E6C"/>
    <w:rsid w:val="0093486A"/>
    <w:rsid w:val="00935A6E"/>
    <w:rsid w:val="00937958"/>
    <w:rsid w:val="009403E6"/>
    <w:rsid w:val="009406E5"/>
    <w:rsid w:val="00941602"/>
    <w:rsid w:val="00942160"/>
    <w:rsid w:val="00946921"/>
    <w:rsid w:val="00947343"/>
    <w:rsid w:val="0095146F"/>
    <w:rsid w:val="00953255"/>
    <w:rsid w:val="009534C7"/>
    <w:rsid w:val="00957944"/>
    <w:rsid w:val="009602C5"/>
    <w:rsid w:val="00962223"/>
    <w:rsid w:val="0096252B"/>
    <w:rsid w:val="009629B7"/>
    <w:rsid w:val="009644A3"/>
    <w:rsid w:val="009644D9"/>
    <w:rsid w:val="00964A9F"/>
    <w:rsid w:val="00966D0D"/>
    <w:rsid w:val="00967732"/>
    <w:rsid w:val="0096783C"/>
    <w:rsid w:val="00970023"/>
    <w:rsid w:val="00970CA5"/>
    <w:rsid w:val="0097174A"/>
    <w:rsid w:val="00971875"/>
    <w:rsid w:val="009722B3"/>
    <w:rsid w:val="00973E24"/>
    <w:rsid w:val="00974C21"/>
    <w:rsid w:val="00975948"/>
    <w:rsid w:val="00975C14"/>
    <w:rsid w:val="00976E93"/>
    <w:rsid w:val="009772FD"/>
    <w:rsid w:val="00977B62"/>
    <w:rsid w:val="00977BF3"/>
    <w:rsid w:val="009803E4"/>
    <w:rsid w:val="00980B0E"/>
    <w:rsid w:val="00982B39"/>
    <w:rsid w:val="009836A3"/>
    <w:rsid w:val="00984C58"/>
    <w:rsid w:val="009855A8"/>
    <w:rsid w:val="00985CBE"/>
    <w:rsid w:val="00985D1A"/>
    <w:rsid w:val="0098608A"/>
    <w:rsid w:val="00990CF8"/>
    <w:rsid w:val="009913F4"/>
    <w:rsid w:val="00991782"/>
    <w:rsid w:val="009937F7"/>
    <w:rsid w:val="0099465B"/>
    <w:rsid w:val="009951A1"/>
    <w:rsid w:val="00997A44"/>
    <w:rsid w:val="00997D2D"/>
    <w:rsid w:val="009A0CDD"/>
    <w:rsid w:val="009A3168"/>
    <w:rsid w:val="009A4A8D"/>
    <w:rsid w:val="009A4BDF"/>
    <w:rsid w:val="009A5D04"/>
    <w:rsid w:val="009A61CA"/>
    <w:rsid w:val="009A6479"/>
    <w:rsid w:val="009A6CDA"/>
    <w:rsid w:val="009B0C64"/>
    <w:rsid w:val="009B0F67"/>
    <w:rsid w:val="009B208A"/>
    <w:rsid w:val="009B2756"/>
    <w:rsid w:val="009B33AD"/>
    <w:rsid w:val="009B3D56"/>
    <w:rsid w:val="009B3F8C"/>
    <w:rsid w:val="009B533B"/>
    <w:rsid w:val="009B604B"/>
    <w:rsid w:val="009C6897"/>
    <w:rsid w:val="009C703C"/>
    <w:rsid w:val="009D0C29"/>
    <w:rsid w:val="009D206E"/>
    <w:rsid w:val="009D3CAA"/>
    <w:rsid w:val="009D507A"/>
    <w:rsid w:val="009D6532"/>
    <w:rsid w:val="009D71FD"/>
    <w:rsid w:val="009E06F0"/>
    <w:rsid w:val="009E0755"/>
    <w:rsid w:val="009E10AD"/>
    <w:rsid w:val="009E2588"/>
    <w:rsid w:val="009E2E8E"/>
    <w:rsid w:val="009E33F1"/>
    <w:rsid w:val="009E368C"/>
    <w:rsid w:val="009E40E1"/>
    <w:rsid w:val="009F09D1"/>
    <w:rsid w:val="009F0EFA"/>
    <w:rsid w:val="009F472A"/>
    <w:rsid w:val="009F4E46"/>
    <w:rsid w:val="009F5B65"/>
    <w:rsid w:val="009F5F2E"/>
    <w:rsid w:val="009F69C4"/>
    <w:rsid w:val="00A003D1"/>
    <w:rsid w:val="00A01432"/>
    <w:rsid w:val="00A0308F"/>
    <w:rsid w:val="00A0619E"/>
    <w:rsid w:val="00A06225"/>
    <w:rsid w:val="00A110D1"/>
    <w:rsid w:val="00A12587"/>
    <w:rsid w:val="00A128E6"/>
    <w:rsid w:val="00A12DDD"/>
    <w:rsid w:val="00A1357E"/>
    <w:rsid w:val="00A144D3"/>
    <w:rsid w:val="00A16B26"/>
    <w:rsid w:val="00A17EA7"/>
    <w:rsid w:val="00A212F9"/>
    <w:rsid w:val="00A21D7D"/>
    <w:rsid w:val="00A22AC3"/>
    <w:rsid w:val="00A2351E"/>
    <w:rsid w:val="00A23F3F"/>
    <w:rsid w:val="00A24067"/>
    <w:rsid w:val="00A24A4B"/>
    <w:rsid w:val="00A26165"/>
    <w:rsid w:val="00A2744D"/>
    <w:rsid w:val="00A30D16"/>
    <w:rsid w:val="00A323F6"/>
    <w:rsid w:val="00A333C5"/>
    <w:rsid w:val="00A33EB7"/>
    <w:rsid w:val="00A34E6C"/>
    <w:rsid w:val="00A34FD0"/>
    <w:rsid w:val="00A36398"/>
    <w:rsid w:val="00A37C8D"/>
    <w:rsid w:val="00A4020E"/>
    <w:rsid w:val="00A408E8"/>
    <w:rsid w:val="00A40FB5"/>
    <w:rsid w:val="00A42826"/>
    <w:rsid w:val="00A429B3"/>
    <w:rsid w:val="00A43A06"/>
    <w:rsid w:val="00A44347"/>
    <w:rsid w:val="00A445C6"/>
    <w:rsid w:val="00A44EC1"/>
    <w:rsid w:val="00A47CCD"/>
    <w:rsid w:val="00A510E4"/>
    <w:rsid w:val="00A526F7"/>
    <w:rsid w:val="00A5273B"/>
    <w:rsid w:val="00A53535"/>
    <w:rsid w:val="00A53A9D"/>
    <w:rsid w:val="00A55FEE"/>
    <w:rsid w:val="00A56F3F"/>
    <w:rsid w:val="00A57422"/>
    <w:rsid w:val="00A62C1A"/>
    <w:rsid w:val="00A63CA2"/>
    <w:rsid w:val="00A6426D"/>
    <w:rsid w:val="00A64BA7"/>
    <w:rsid w:val="00A665C1"/>
    <w:rsid w:val="00A673A4"/>
    <w:rsid w:val="00A7001A"/>
    <w:rsid w:val="00A70622"/>
    <w:rsid w:val="00A70977"/>
    <w:rsid w:val="00A70D58"/>
    <w:rsid w:val="00A744F9"/>
    <w:rsid w:val="00A7730A"/>
    <w:rsid w:val="00A77613"/>
    <w:rsid w:val="00A77B87"/>
    <w:rsid w:val="00A8017B"/>
    <w:rsid w:val="00A801AD"/>
    <w:rsid w:val="00A81851"/>
    <w:rsid w:val="00A83843"/>
    <w:rsid w:val="00A8390C"/>
    <w:rsid w:val="00A86AE0"/>
    <w:rsid w:val="00A91362"/>
    <w:rsid w:val="00A9151C"/>
    <w:rsid w:val="00A919C6"/>
    <w:rsid w:val="00A928BD"/>
    <w:rsid w:val="00A96353"/>
    <w:rsid w:val="00A97DE9"/>
    <w:rsid w:val="00AA0649"/>
    <w:rsid w:val="00AA12CD"/>
    <w:rsid w:val="00AA3C89"/>
    <w:rsid w:val="00AA4D1C"/>
    <w:rsid w:val="00AA4D4F"/>
    <w:rsid w:val="00AA52FD"/>
    <w:rsid w:val="00AA7006"/>
    <w:rsid w:val="00AB4457"/>
    <w:rsid w:val="00AB4684"/>
    <w:rsid w:val="00AB5856"/>
    <w:rsid w:val="00AC081D"/>
    <w:rsid w:val="00AC0C6F"/>
    <w:rsid w:val="00AC1266"/>
    <w:rsid w:val="00AC193C"/>
    <w:rsid w:val="00AC30C1"/>
    <w:rsid w:val="00AC3F35"/>
    <w:rsid w:val="00AC4DE5"/>
    <w:rsid w:val="00AC5206"/>
    <w:rsid w:val="00AC59B5"/>
    <w:rsid w:val="00AC6750"/>
    <w:rsid w:val="00AD2D35"/>
    <w:rsid w:val="00AD3106"/>
    <w:rsid w:val="00AD4322"/>
    <w:rsid w:val="00AE11A5"/>
    <w:rsid w:val="00AE13E2"/>
    <w:rsid w:val="00AE22D3"/>
    <w:rsid w:val="00AE28BC"/>
    <w:rsid w:val="00AE4F5D"/>
    <w:rsid w:val="00AE5A49"/>
    <w:rsid w:val="00AE5CB7"/>
    <w:rsid w:val="00AF022D"/>
    <w:rsid w:val="00AF11D8"/>
    <w:rsid w:val="00AF5867"/>
    <w:rsid w:val="00AF62DF"/>
    <w:rsid w:val="00AF68CC"/>
    <w:rsid w:val="00AF70D7"/>
    <w:rsid w:val="00AF7291"/>
    <w:rsid w:val="00B00CD0"/>
    <w:rsid w:val="00B00E7F"/>
    <w:rsid w:val="00B01911"/>
    <w:rsid w:val="00B01FF4"/>
    <w:rsid w:val="00B0326D"/>
    <w:rsid w:val="00B06037"/>
    <w:rsid w:val="00B06143"/>
    <w:rsid w:val="00B06478"/>
    <w:rsid w:val="00B07533"/>
    <w:rsid w:val="00B07CFB"/>
    <w:rsid w:val="00B1059E"/>
    <w:rsid w:val="00B14A36"/>
    <w:rsid w:val="00B16273"/>
    <w:rsid w:val="00B170A5"/>
    <w:rsid w:val="00B1725F"/>
    <w:rsid w:val="00B176C8"/>
    <w:rsid w:val="00B17EE5"/>
    <w:rsid w:val="00B205AA"/>
    <w:rsid w:val="00B2097A"/>
    <w:rsid w:val="00B22E84"/>
    <w:rsid w:val="00B233AD"/>
    <w:rsid w:val="00B23E25"/>
    <w:rsid w:val="00B25F75"/>
    <w:rsid w:val="00B26B3F"/>
    <w:rsid w:val="00B26E48"/>
    <w:rsid w:val="00B2778F"/>
    <w:rsid w:val="00B30322"/>
    <w:rsid w:val="00B327E2"/>
    <w:rsid w:val="00B33635"/>
    <w:rsid w:val="00B36D71"/>
    <w:rsid w:val="00B37A23"/>
    <w:rsid w:val="00B37CF8"/>
    <w:rsid w:val="00B42AF4"/>
    <w:rsid w:val="00B43E90"/>
    <w:rsid w:val="00B44308"/>
    <w:rsid w:val="00B45722"/>
    <w:rsid w:val="00B467DC"/>
    <w:rsid w:val="00B52303"/>
    <w:rsid w:val="00B5392A"/>
    <w:rsid w:val="00B539EF"/>
    <w:rsid w:val="00B54048"/>
    <w:rsid w:val="00B56118"/>
    <w:rsid w:val="00B563A2"/>
    <w:rsid w:val="00B566E1"/>
    <w:rsid w:val="00B56AFB"/>
    <w:rsid w:val="00B602F6"/>
    <w:rsid w:val="00B62EC1"/>
    <w:rsid w:val="00B64A96"/>
    <w:rsid w:val="00B6773F"/>
    <w:rsid w:val="00B705A0"/>
    <w:rsid w:val="00B70EB3"/>
    <w:rsid w:val="00B72906"/>
    <w:rsid w:val="00B74F48"/>
    <w:rsid w:val="00B7525E"/>
    <w:rsid w:val="00B75433"/>
    <w:rsid w:val="00B760FB"/>
    <w:rsid w:val="00B76765"/>
    <w:rsid w:val="00B767AB"/>
    <w:rsid w:val="00B801BA"/>
    <w:rsid w:val="00B80954"/>
    <w:rsid w:val="00B812D6"/>
    <w:rsid w:val="00B84D5C"/>
    <w:rsid w:val="00B8574A"/>
    <w:rsid w:val="00B85AF6"/>
    <w:rsid w:val="00B9367D"/>
    <w:rsid w:val="00B94121"/>
    <w:rsid w:val="00B956ED"/>
    <w:rsid w:val="00BA04DF"/>
    <w:rsid w:val="00BA2DA8"/>
    <w:rsid w:val="00BA347C"/>
    <w:rsid w:val="00BA4C79"/>
    <w:rsid w:val="00BB298A"/>
    <w:rsid w:val="00BB3469"/>
    <w:rsid w:val="00BB5C49"/>
    <w:rsid w:val="00BB5D5B"/>
    <w:rsid w:val="00BB6240"/>
    <w:rsid w:val="00BB6285"/>
    <w:rsid w:val="00BB69F5"/>
    <w:rsid w:val="00BB7EC3"/>
    <w:rsid w:val="00BC04B1"/>
    <w:rsid w:val="00BC470E"/>
    <w:rsid w:val="00BC4B9A"/>
    <w:rsid w:val="00BC5460"/>
    <w:rsid w:val="00BC7336"/>
    <w:rsid w:val="00BD02C3"/>
    <w:rsid w:val="00BD7483"/>
    <w:rsid w:val="00BD784C"/>
    <w:rsid w:val="00BE020A"/>
    <w:rsid w:val="00BE13DF"/>
    <w:rsid w:val="00BE1EF0"/>
    <w:rsid w:val="00BE25D7"/>
    <w:rsid w:val="00BF0029"/>
    <w:rsid w:val="00BF0103"/>
    <w:rsid w:val="00BF092C"/>
    <w:rsid w:val="00BF17DA"/>
    <w:rsid w:val="00BF27A0"/>
    <w:rsid w:val="00BF4CB6"/>
    <w:rsid w:val="00BF6CBD"/>
    <w:rsid w:val="00C00DA7"/>
    <w:rsid w:val="00C034FB"/>
    <w:rsid w:val="00C04CDE"/>
    <w:rsid w:val="00C04CF0"/>
    <w:rsid w:val="00C068A6"/>
    <w:rsid w:val="00C12768"/>
    <w:rsid w:val="00C12D70"/>
    <w:rsid w:val="00C15255"/>
    <w:rsid w:val="00C16724"/>
    <w:rsid w:val="00C16749"/>
    <w:rsid w:val="00C21B09"/>
    <w:rsid w:val="00C252AC"/>
    <w:rsid w:val="00C25EFF"/>
    <w:rsid w:val="00C2673A"/>
    <w:rsid w:val="00C278CD"/>
    <w:rsid w:val="00C27B58"/>
    <w:rsid w:val="00C27C1C"/>
    <w:rsid w:val="00C309AF"/>
    <w:rsid w:val="00C33186"/>
    <w:rsid w:val="00C35996"/>
    <w:rsid w:val="00C42BCD"/>
    <w:rsid w:val="00C42D6D"/>
    <w:rsid w:val="00C464A3"/>
    <w:rsid w:val="00C46B94"/>
    <w:rsid w:val="00C46C13"/>
    <w:rsid w:val="00C4747E"/>
    <w:rsid w:val="00C5151E"/>
    <w:rsid w:val="00C52256"/>
    <w:rsid w:val="00C5342C"/>
    <w:rsid w:val="00C53B2B"/>
    <w:rsid w:val="00C54E7B"/>
    <w:rsid w:val="00C57465"/>
    <w:rsid w:val="00C60272"/>
    <w:rsid w:val="00C603D4"/>
    <w:rsid w:val="00C62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5200"/>
    <w:rsid w:val="00C96EC0"/>
    <w:rsid w:val="00CA036E"/>
    <w:rsid w:val="00CA48D9"/>
    <w:rsid w:val="00CB1193"/>
    <w:rsid w:val="00CB4767"/>
    <w:rsid w:val="00CB493D"/>
    <w:rsid w:val="00CB7E04"/>
    <w:rsid w:val="00CC0B05"/>
    <w:rsid w:val="00CC2183"/>
    <w:rsid w:val="00CC3B97"/>
    <w:rsid w:val="00CC4B91"/>
    <w:rsid w:val="00CC6E2D"/>
    <w:rsid w:val="00CD28A2"/>
    <w:rsid w:val="00CD530A"/>
    <w:rsid w:val="00CD6257"/>
    <w:rsid w:val="00CD7C0B"/>
    <w:rsid w:val="00CE10C4"/>
    <w:rsid w:val="00CE1543"/>
    <w:rsid w:val="00CE2343"/>
    <w:rsid w:val="00CE27B5"/>
    <w:rsid w:val="00CE2BDF"/>
    <w:rsid w:val="00CE3C92"/>
    <w:rsid w:val="00CE6D24"/>
    <w:rsid w:val="00CE6DAF"/>
    <w:rsid w:val="00CE7F06"/>
    <w:rsid w:val="00CF410A"/>
    <w:rsid w:val="00CF7528"/>
    <w:rsid w:val="00CF7FDE"/>
    <w:rsid w:val="00D012AF"/>
    <w:rsid w:val="00D0321E"/>
    <w:rsid w:val="00D03B68"/>
    <w:rsid w:val="00D05457"/>
    <w:rsid w:val="00D069EB"/>
    <w:rsid w:val="00D071FB"/>
    <w:rsid w:val="00D07A8A"/>
    <w:rsid w:val="00D10E31"/>
    <w:rsid w:val="00D11199"/>
    <w:rsid w:val="00D1455A"/>
    <w:rsid w:val="00D14A70"/>
    <w:rsid w:val="00D15934"/>
    <w:rsid w:val="00D172DE"/>
    <w:rsid w:val="00D207EA"/>
    <w:rsid w:val="00D22093"/>
    <w:rsid w:val="00D30930"/>
    <w:rsid w:val="00D31150"/>
    <w:rsid w:val="00D3138B"/>
    <w:rsid w:val="00D31FCE"/>
    <w:rsid w:val="00D3280C"/>
    <w:rsid w:val="00D3406A"/>
    <w:rsid w:val="00D34D24"/>
    <w:rsid w:val="00D34FCA"/>
    <w:rsid w:val="00D37E6F"/>
    <w:rsid w:val="00D40B11"/>
    <w:rsid w:val="00D42864"/>
    <w:rsid w:val="00D429EC"/>
    <w:rsid w:val="00D441F1"/>
    <w:rsid w:val="00D4572C"/>
    <w:rsid w:val="00D469B2"/>
    <w:rsid w:val="00D50816"/>
    <w:rsid w:val="00D52B24"/>
    <w:rsid w:val="00D53693"/>
    <w:rsid w:val="00D54B09"/>
    <w:rsid w:val="00D6243E"/>
    <w:rsid w:val="00D62CE0"/>
    <w:rsid w:val="00D650BE"/>
    <w:rsid w:val="00D65658"/>
    <w:rsid w:val="00D67EB2"/>
    <w:rsid w:val="00D70349"/>
    <w:rsid w:val="00D72B6F"/>
    <w:rsid w:val="00D741EB"/>
    <w:rsid w:val="00D7659A"/>
    <w:rsid w:val="00D7679C"/>
    <w:rsid w:val="00D820F3"/>
    <w:rsid w:val="00D83605"/>
    <w:rsid w:val="00D84934"/>
    <w:rsid w:val="00D860F5"/>
    <w:rsid w:val="00D866EB"/>
    <w:rsid w:val="00D8698E"/>
    <w:rsid w:val="00D87D1A"/>
    <w:rsid w:val="00D906DA"/>
    <w:rsid w:val="00D91271"/>
    <w:rsid w:val="00D919F5"/>
    <w:rsid w:val="00D9384F"/>
    <w:rsid w:val="00D9416F"/>
    <w:rsid w:val="00D945F6"/>
    <w:rsid w:val="00D94F03"/>
    <w:rsid w:val="00D95161"/>
    <w:rsid w:val="00D95C23"/>
    <w:rsid w:val="00DA0A82"/>
    <w:rsid w:val="00DA0D14"/>
    <w:rsid w:val="00DA1FC9"/>
    <w:rsid w:val="00DA2CB5"/>
    <w:rsid w:val="00DA2D33"/>
    <w:rsid w:val="00DA383E"/>
    <w:rsid w:val="00DA4BAC"/>
    <w:rsid w:val="00DA722E"/>
    <w:rsid w:val="00DA792A"/>
    <w:rsid w:val="00DB0151"/>
    <w:rsid w:val="00DB04D7"/>
    <w:rsid w:val="00DB104F"/>
    <w:rsid w:val="00DB50E1"/>
    <w:rsid w:val="00DC0566"/>
    <w:rsid w:val="00DC05E1"/>
    <w:rsid w:val="00DC1499"/>
    <w:rsid w:val="00DC16CF"/>
    <w:rsid w:val="00DC2C3E"/>
    <w:rsid w:val="00DC3137"/>
    <w:rsid w:val="00DC3DD9"/>
    <w:rsid w:val="00DC4880"/>
    <w:rsid w:val="00DC5E90"/>
    <w:rsid w:val="00DC634B"/>
    <w:rsid w:val="00DC6981"/>
    <w:rsid w:val="00DD0BE9"/>
    <w:rsid w:val="00DD26F9"/>
    <w:rsid w:val="00DD42AB"/>
    <w:rsid w:val="00DE06AF"/>
    <w:rsid w:val="00DE589B"/>
    <w:rsid w:val="00DE6D27"/>
    <w:rsid w:val="00DE76EA"/>
    <w:rsid w:val="00DF01F8"/>
    <w:rsid w:val="00DF021D"/>
    <w:rsid w:val="00DF14EE"/>
    <w:rsid w:val="00DF217D"/>
    <w:rsid w:val="00DF26A7"/>
    <w:rsid w:val="00DF3277"/>
    <w:rsid w:val="00DF4246"/>
    <w:rsid w:val="00DF6A31"/>
    <w:rsid w:val="00DF71AC"/>
    <w:rsid w:val="00DF77A1"/>
    <w:rsid w:val="00DF7919"/>
    <w:rsid w:val="00E0207E"/>
    <w:rsid w:val="00E02AE6"/>
    <w:rsid w:val="00E03912"/>
    <w:rsid w:val="00E04076"/>
    <w:rsid w:val="00E04384"/>
    <w:rsid w:val="00E04748"/>
    <w:rsid w:val="00E078D9"/>
    <w:rsid w:val="00E10293"/>
    <w:rsid w:val="00E103A0"/>
    <w:rsid w:val="00E1043F"/>
    <w:rsid w:val="00E11F44"/>
    <w:rsid w:val="00E13E60"/>
    <w:rsid w:val="00E147F3"/>
    <w:rsid w:val="00E15627"/>
    <w:rsid w:val="00E15F65"/>
    <w:rsid w:val="00E164B3"/>
    <w:rsid w:val="00E16910"/>
    <w:rsid w:val="00E21164"/>
    <w:rsid w:val="00E239E2"/>
    <w:rsid w:val="00E24E09"/>
    <w:rsid w:val="00E27234"/>
    <w:rsid w:val="00E3495C"/>
    <w:rsid w:val="00E35412"/>
    <w:rsid w:val="00E42BDB"/>
    <w:rsid w:val="00E46EB8"/>
    <w:rsid w:val="00E55035"/>
    <w:rsid w:val="00E55408"/>
    <w:rsid w:val="00E5726D"/>
    <w:rsid w:val="00E57EEB"/>
    <w:rsid w:val="00E62D94"/>
    <w:rsid w:val="00E62ECC"/>
    <w:rsid w:val="00E64F37"/>
    <w:rsid w:val="00E65091"/>
    <w:rsid w:val="00E65393"/>
    <w:rsid w:val="00E65E54"/>
    <w:rsid w:val="00E661C7"/>
    <w:rsid w:val="00E732C4"/>
    <w:rsid w:val="00E745DA"/>
    <w:rsid w:val="00E74E41"/>
    <w:rsid w:val="00E80155"/>
    <w:rsid w:val="00E81021"/>
    <w:rsid w:val="00E8134B"/>
    <w:rsid w:val="00E81E0D"/>
    <w:rsid w:val="00E81F28"/>
    <w:rsid w:val="00E83F40"/>
    <w:rsid w:val="00E848C0"/>
    <w:rsid w:val="00E84BB8"/>
    <w:rsid w:val="00E86F92"/>
    <w:rsid w:val="00E879EA"/>
    <w:rsid w:val="00E9103C"/>
    <w:rsid w:val="00E91B96"/>
    <w:rsid w:val="00E92F2E"/>
    <w:rsid w:val="00E935DA"/>
    <w:rsid w:val="00E93ABC"/>
    <w:rsid w:val="00E93D1E"/>
    <w:rsid w:val="00E941A1"/>
    <w:rsid w:val="00E94F7E"/>
    <w:rsid w:val="00E95CE3"/>
    <w:rsid w:val="00E95F9A"/>
    <w:rsid w:val="00EA0856"/>
    <w:rsid w:val="00EA1DC4"/>
    <w:rsid w:val="00EA252F"/>
    <w:rsid w:val="00EA2825"/>
    <w:rsid w:val="00EA2B70"/>
    <w:rsid w:val="00EA5027"/>
    <w:rsid w:val="00EA64C2"/>
    <w:rsid w:val="00EA6518"/>
    <w:rsid w:val="00EA71A2"/>
    <w:rsid w:val="00EA7466"/>
    <w:rsid w:val="00EA7EDE"/>
    <w:rsid w:val="00EB0B63"/>
    <w:rsid w:val="00EB1936"/>
    <w:rsid w:val="00EB281B"/>
    <w:rsid w:val="00EB3545"/>
    <w:rsid w:val="00EB37BE"/>
    <w:rsid w:val="00EB4BAE"/>
    <w:rsid w:val="00EB5088"/>
    <w:rsid w:val="00EB5103"/>
    <w:rsid w:val="00EB7210"/>
    <w:rsid w:val="00EB799A"/>
    <w:rsid w:val="00EC043E"/>
    <w:rsid w:val="00EC2726"/>
    <w:rsid w:val="00EC4FC0"/>
    <w:rsid w:val="00EC65C8"/>
    <w:rsid w:val="00EC681C"/>
    <w:rsid w:val="00EC7B87"/>
    <w:rsid w:val="00EC7BBE"/>
    <w:rsid w:val="00ED1644"/>
    <w:rsid w:val="00ED2593"/>
    <w:rsid w:val="00ED3709"/>
    <w:rsid w:val="00ED7D55"/>
    <w:rsid w:val="00ED7D9C"/>
    <w:rsid w:val="00EE00A7"/>
    <w:rsid w:val="00EE31A2"/>
    <w:rsid w:val="00EE4329"/>
    <w:rsid w:val="00EE6203"/>
    <w:rsid w:val="00EF0069"/>
    <w:rsid w:val="00EF15B5"/>
    <w:rsid w:val="00EF3ED7"/>
    <w:rsid w:val="00EF44A0"/>
    <w:rsid w:val="00EF4580"/>
    <w:rsid w:val="00EF4FED"/>
    <w:rsid w:val="00EF5F45"/>
    <w:rsid w:val="00EF6843"/>
    <w:rsid w:val="00EF6941"/>
    <w:rsid w:val="00EF6DB3"/>
    <w:rsid w:val="00EF6FB3"/>
    <w:rsid w:val="00F0068B"/>
    <w:rsid w:val="00F007C6"/>
    <w:rsid w:val="00F0172E"/>
    <w:rsid w:val="00F0377D"/>
    <w:rsid w:val="00F0403F"/>
    <w:rsid w:val="00F050BD"/>
    <w:rsid w:val="00F05101"/>
    <w:rsid w:val="00F05657"/>
    <w:rsid w:val="00F05AB0"/>
    <w:rsid w:val="00F12C74"/>
    <w:rsid w:val="00F1559A"/>
    <w:rsid w:val="00F17ED6"/>
    <w:rsid w:val="00F20676"/>
    <w:rsid w:val="00F209E2"/>
    <w:rsid w:val="00F22026"/>
    <w:rsid w:val="00F2398F"/>
    <w:rsid w:val="00F25343"/>
    <w:rsid w:val="00F25578"/>
    <w:rsid w:val="00F258E5"/>
    <w:rsid w:val="00F25B9C"/>
    <w:rsid w:val="00F261A5"/>
    <w:rsid w:val="00F2675A"/>
    <w:rsid w:val="00F26CC6"/>
    <w:rsid w:val="00F300BC"/>
    <w:rsid w:val="00F305FA"/>
    <w:rsid w:val="00F3263C"/>
    <w:rsid w:val="00F3334E"/>
    <w:rsid w:val="00F3573A"/>
    <w:rsid w:val="00F36CCB"/>
    <w:rsid w:val="00F374E5"/>
    <w:rsid w:val="00F37B93"/>
    <w:rsid w:val="00F37BAD"/>
    <w:rsid w:val="00F37ECA"/>
    <w:rsid w:val="00F40A1C"/>
    <w:rsid w:val="00F41AD5"/>
    <w:rsid w:val="00F43AF2"/>
    <w:rsid w:val="00F45216"/>
    <w:rsid w:val="00F5007E"/>
    <w:rsid w:val="00F508F6"/>
    <w:rsid w:val="00F50EC4"/>
    <w:rsid w:val="00F5107B"/>
    <w:rsid w:val="00F52232"/>
    <w:rsid w:val="00F527B1"/>
    <w:rsid w:val="00F52DC2"/>
    <w:rsid w:val="00F550CF"/>
    <w:rsid w:val="00F553D2"/>
    <w:rsid w:val="00F56A2D"/>
    <w:rsid w:val="00F57A6D"/>
    <w:rsid w:val="00F6044B"/>
    <w:rsid w:val="00F61FC8"/>
    <w:rsid w:val="00F62F19"/>
    <w:rsid w:val="00F638CC"/>
    <w:rsid w:val="00F64C9E"/>
    <w:rsid w:val="00F64CC1"/>
    <w:rsid w:val="00F708B1"/>
    <w:rsid w:val="00F72317"/>
    <w:rsid w:val="00F73DC1"/>
    <w:rsid w:val="00F74911"/>
    <w:rsid w:val="00F75BB8"/>
    <w:rsid w:val="00F76A5B"/>
    <w:rsid w:val="00F77714"/>
    <w:rsid w:val="00F80475"/>
    <w:rsid w:val="00F80E6E"/>
    <w:rsid w:val="00F81390"/>
    <w:rsid w:val="00F81F7A"/>
    <w:rsid w:val="00F8247A"/>
    <w:rsid w:val="00F82E5C"/>
    <w:rsid w:val="00F83F58"/>
    <w:rsid w:val="00F85206"/>
    <w:rsid w:val="00F87CEA"/>
    <w:rsid w:val="00F92E57"/>
    <w:rsid w:val="00F92F25"/>
    <w:rsid w:val="00F94216"/>
    <w:rsid w:val="00F9629A"/>
    <w:rsid w:val="00F97EFC"/>
    <w:rsid w:val="00FA0B04"/>
    <w:rsid w:val="00FA0C7C"/>
    <w:rsid w:val="00FA1BDD"/>
    <w:rsid w:val="00FA305C"/>
    <w:rsid w:val="00FA462E"/>
    <w:rsid w:val="00FA4DD5"/>
    <w:rsid w:val="00FA5883"/>
    <w:rsid w:val="00FA6055"/>
    <w:rsid w:val="00FB0B39"/>
    <w:rsid w:val="00FB154E"/>
    <w:rsid w:val="00FB322F"/>
    <w:rsid w:val="00FB442F"/>
    <w:rsid w:val="00FC118C"/>
    <w:rsid w:val="00FC1929"/>
    <w:rsid w:val="00FC3639"/>
    <w:rsid w:val="00FC5B46"/>
    <w:rsid w:val="00FC7176"/>
    <w:rsid w:val="00FD0A9A"/>
    <w:rsid w:val="00FD1D4F"/>
    <w:rsid w:val="00FD23AB"/>
    <w:rsid w:val="00FD24BF"/>
    <w:rsid w:val="00FD3B6E"/>
    <w:rsid w:val="00FD4140"/>
    <w:rsid w:val="00FD57EB"/>
    <w:rsid w:val="00FD6D8E"/>
    <w:rsid w:val="00FD6FC0"/>
    <w:rsid w:val="00FE00E4"/>
    <w:rsid w:val="00FE0663"/>
    <w:rsid w:val="00FE0E94"/>
    <w:rsid w:val="00FE369C"/>
    <w:rsid w:val="00FE3CD9"/>
    <w:rsid w:val="00FE4347"/>
    <w:rsid w:val="00FE7756"/>
    <w:rsid w:val="00FF00BD"/>
    <w:rsid w:val="00FF09CE"/>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2AC"/>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C252AC"/>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new style,ASD Table,HTAtableplain"/>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C252AC"/>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ListBullet"/>
    <w:link w:val="ListParagraphChar"/>
    <w:uiPriority w:val="34"/>
    <w:qFormat/>
    <w:rsid w:val="00C252AC"/>
    <w:pPr>
      <w:numPr>
        <w:numId w:val="31"/>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252AC"/>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C252AC"/>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C252AC"/>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C252AC"/>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C252AC"/>
    <w:pPr>
      <w:keepNext/>
    </w:pPr>
    <w:rPr>
      <w:rFonts w:ascii="Arial Narrow" w:eastAsiaTheme="majorEastAsia" w:hAnsi="Arial Narrow"/>
      <w:b/>
      <w:szCs w:val="24"/>
      <w:lang w:val="en-US"/>
    </w:rPr>
  </w:style>
  <w:style w:type="paragraph" w:customStyle="1" w:styleId="2-SectionHeading">
    <w:name w:val="2-Section Heading"/>
    <w:qFormat/>
    <w:rsid w:val="00C252AC"/>
    <w:pPr>
      <w:keepNext/>
      <w:numPr>
        <w:numId w:val="3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C252A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C252AC"/>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C252AC"/>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C252AC"/>
    <w:rPr>
      <w:rFonts w:ascii="Arial Narrow" w:eastAsiaTheme="majorEastAsia" w:hAnsi="Arial Narrow" w:cstheme="majorBidi"/>
      <w:b/>
      <w:bCs/>
      <w:szCs w:val="24"/>
    </w:rPr>
  </w:style>
  <w:style w:type="paragraph" w:customStyle="1" w:styleId="3-BodyText">
    <w:name w:val="3-Body Text"/>
    <w:link w:val="3-BodyTextChar"/>
    <w:qFormat/>
    <w:rsid w:val="00C252AC"/>
    <w:pPr>
      <w:numPr>
        <w:ilvl w:val="1"/>
        <w:numId w:val="3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252A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C252AC"/>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C252AC"/>
    <w:rPr>
      <w:rFonts w:ascii="Calibri" w:hAnsi="Calibri" w:cs="Arial"/>
      <w:b/>
      <w:sz w:val="24"/>
      <w:szCs w:val="24"/>
    </w:rPr>
  </w:style>
  <w:style w:type="paragraph" w:customStyle="1" w:styleId="TableFigureFooter">
    <w:name w:val="Table/Figure Footer"/>
    <w:basedOn w:val="Normal"/>
    <w:link w:val="TableFigureFooterChar"/>
    <w:qFormat/>
    <w:rsid w:val="00C252AC"/>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C252AC"/>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C252AC"/>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C252AC"/>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C252AC"/>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C252AC"/>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customStyle="1" w:styleId="normaltextrun">
    <w:name w:val="normaltextrun"/>
    <w:basedOn w:val="DefaultParagraphFont"/>
    <w:rsid w:val="00315592"/>
  </w:style>
  <w:style w:type="character" w:customStyle="1" w:styleId="eop">
    <w:name w:val="eop"/>
    <w:basedOn w:val="DefaultParagraphFont"/>
    <w:rsid w:val="0031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457346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1713309">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0634566">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00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ftpharm.com/product/hylo-fresh-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D5E9-8160-4DC3-BD3E-5FE0C8EC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3589</Words>
  <Characters>19140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2023-08-21T05:30:00Z</dcterms:created>
  <dcterms:modified xsi:type="dcterms:W3CDTF">2023-08-21T05:33:00Z</dcterms:modified>
</cp:coreProperties>
</file>