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C8C138B" w:rsidR="00B60939" w:rsidRPr="004A6040" w:rsidRDefault="008207B6" w:rsidP="00F61348">
      <w:pPr>
        <w:pStyle w:val="1-MainHeading"/>
      </w:pPr>
      <w:bookmarkStart w:id="0" w:name="_Toc124838618"/>
      <w:r>
        <w:t>5.07</w:t>
      </w:r>
      <w:r w:rsidR="00163F66">
        <w:tab/>
      </w:r>
      <w:r w:rsidR="005824F0">
        <w:t>BIMEKIZUMAB</w:t>
      </w:r>
      <w:r w:rsidR="00163F66">
        <w:t>,</w:t>
      </w:r>
      <w:r w:rsidR="00163F66">
        <w:br/>
      </w:r>
      <w:r w:rsidR="005824F0">
        <w:t>I</w:t>
      </w:r>
      <w:r w:rsidR="005824F0" w:rsidRPr="00151502">
        <w:t xml:space="preserve">njection 160 mg in 1 mL </w:t>
      </w:r>
      <w:r w:rsidR="005824F0">
        <w:t xml:space="preserve">single use </w:t>
      </w:r>
      <w:r w:rsidR="005824F0" w:rsidRPr="00151502">
        <w:t>pre-filled syringe,</w:t>
      </w:r>
      <w:r w:rsidR="005824F0" w:rsidRPr="00151502">
        <w:br/>
      </w:r>
      <w:r w:rsidR="00F61348">
        <w:t>I</w:t>
      </w:r>
      <w:r w:rsidR="00F61348" w:rsidRPr="00151502">
        <w:t>nje</w:t>
      </w:r>
      <w:r w:rsidR="00F61348">
        <w:t>ction 160 mg in 1 mL single use pre-filled pen</w:t>
      </w:r>
      <w:r w:rsidR="008C582A">
        <w:t>,</w:t>
      </w:r>
      <w:r w:rsidR="00F61348" w:rsidRPr="00151502">
        <w:br/>
      </w:r>
      <w:r w:rsidR="005824F0" w:rsidRPr="00151502">
        <w:t>Bimzelx®,</w:t>
      </w:r>
      <w:r w:rsidR="005824F0" w:rsidRPr="00151502">
        <w:br/>
        <w:t xml:space="preserve">UCB </w:t>
      </w:r>
      <w:r w:rsidR="005824F0" w:rsidRPr="00151502">
        <w:rPr>
          <w:rFonts w:cstheme="minorHAnsi"/>
        </w:rPr>
        <w:t>Australia</w:t>
      </w:r>
      <w:r w:rsidR="009C6A21">
        <w:rPr>
          <w:rFonts w:cstheme="minorHAnsi"/>
        </w:rPr>
        <w:t xml:space="preserve"> Proprietary</w:t>
      </w:r>
      <w:r w:rsidR="005824F0" w:rsidRPr="00151502">
        <w:rPr>
          <w:rFonts w:cstheme="minorHAnsi"/>
        </w:rPr>
        <w:t xml:space="preserve"> </w:t>
      </w:r>
      <w:r w:rsidR="009C6A21">
        <w:rPr>
          <w:rFonts w:cstheme="minorHAnsi"/>
        </w:rPr>
        <w:t>Limited</w:t>
      </w:r>
      <w:r w:rsidR="005824F0" w:rsidRPr="00151502">
        <w:t>.</w:t>
      </w:r>
      <w:bookmarkEnd w:id="0"/>
    </w:p>
    <w:p w14:paraId="11C00795" w14:textId="3DFB6D23" w:rsidR="00B50DB8" w:rsidRPr="00407F2D" w:rsidRDefault="00B50DB8" w:rsidP="004A6040">
      <w:pPr>
        <w:pStyle w:val="2-SectionHeading"/>
      </w:pPr>
      <w:bookmarkStart w:id="1" w:name="_Toc124838620"/>
      <w:r w:rsidRPr="00407F2D">
        <w:t xml:space="preserve">Purpose of </w:t>
      </w:r>
      <w:r w:rsidR="00CD7193">
        <w:t>s</w:t>
      </w:r>
      <w:r w:rsidR="00BB3A45">
        <w:t>ubmission</w:t>
      </w:r>
      <w:bookmarkEnd w:id="1"/>
    </w:p>
    <w:p w14:paraId="19414AA1" w14:textId="483FF965" w:rsidR="002C2775" w:rsidRPr="00006029" w:rsidRDefault="007170DA" w:rsidP="00F61348">
      <w:pPr>
        <w:pStyle w:val="3-BodyText"/>
      </w:pPr>
      <w:r w:rsidRPr="00006029">
        <w:t xml:space="preserve">The </w:t>
      </w:r>
      <w:r w:rsidR="00F6222B">
        <w:t>Category 2</w:t>
      </w:r>
      <w:r w:rsidR="00F73E08" w:rsidRPr="00006029">
        <w:t xml:space="preserve"> </w:t>
      </w:r>
      <w:r w:rsidRPr="00006029">
        <w:t xml:space="preserve">submission requested </w:t>
      </w:r>
      <w:r w:rsidR="007A24C3" w:rsidRPr="00006029">
        <w:t xml:space="preserve">General Schedule </w:t>
      </w:r>
      <w:r w:rsidR="008B1757" w:rsidRPr="00006029">
        <w:t>Authority Required</w:t>
      </w:r>
      <w:r w:rsidR="00001261" w:rsidRPr="00006029">
        <w:t xml:space="preserve"> (in writing)</w:t>
      </w:r>
      <w:r w:rsidR="008B1757" w:rsidRPr="00006029">
        <w:t xml:space="preserve"> listing for </w:t>
      </w:r>
      <w:r w:rsidR="00001261" w:rsidRPr="00006029">
        <w:t>bimekizumab (BKZ)</w:t>
      </w:r>
      <w:r w:rsidR="008B1757" w:rsidRPr="00006029">
        <w:t xml:space="preserve"> for </w:t>
      </w:r>
      <w:r w:rsidR="0050174E" w:rsidRPr="00006029">
        <w:t xml:space="preserve">the </w:t>
      </w:r>
      <w:r w:rsidR="008B1757" w:rsidRPr="00006029">
        <w:t xml:space="preserve">treatment of </w:t>
      </w:r>
      <w:r w:rsidR="00001261" w:rsidRPr="00006029">
        <w:t>severe chronic plaque psoriasis (CPP)</w:t>
      </w:r>
      <w:r w:rsidR="00643A2F" w:rsidRPr="00006029">
        <w:t>.</w:t>
      </w:r>
    </w:p>
    <w:p w14:paraId="4E9FBCB5" w14:textId="4359BFE2" w:rsidR="00C2778B" w:rsidRPr="00006029" w:rsidRDefault="005750C5" w:rsidP="00F728FE">
      <w:pPr>
        <w:pStyle w:val="3-BodyText"/>
      </w:pPr>
      <w:r w:rsidRPr="00006029">
        <w:t xml:space="preserve">Listing was requested on the basis of a cost-effectiveness analysis versus </w:t>
      </w:r>
      <w:r w:rsidR="007A24C3" w:rsidRPr="00006029">
        <w:t xml:space="preserve">all </w:t>
      </w:r>
      <w:r w:rsidR="007A24C3" w:rsidRPr="00006029">
        <w:rPr>
          <w:rFonts w:cstheme="minorHAnsi"/>
        </w:rPr>
        <w:t xml:space="preserve">PBS-listed </w:t>
      </w:r>
      <w:r w:rsidR="002A4286" w:rsidRPr="00006029">
        <w:rPr>
          <w:iCs/>
          <w:lang w:eastAsia="en-US"/>
        </w:rPr>
        <w:t>biologic disease-modifying anti-rheumatic drug</w:t>
      </w:r>
      <w:r w:rsidR="002A4286" w:rsidRPr="00006029">
        <w:rPr>
          <w:rFonts w:cstheme="minorHAnsi"/>
        </w:rPr>
        <w:t xml:space="preserve"> </w:t>
      </w:r>
      <w:r w:rsidR="002A4286">
        <w:rPr>
          <w:rFonts w:cstheme="minorHAnsi"/>
        </w:rPr>
        <w:t>(</w:t>
      </w:r>
      <w:r w:rsidR="007A24C3" w:rsidRPr="00006029">
        <w:rPr>
          <w:rFonts w:cstheme="minorHAnsi"/>
        </w:rPr>
        <w:t>bDMARDs</w:t>
      </w:r>
      <w:r w:rsidR="002A4286">
        <w:rPr>
          <w:rFonts w:cstheme="minorHAnsi"/>
        </w:rPr>
        <w:t>)</w:t>
      </w:r>
      <w:r w:rsidR="007A24C3" w:rsidRPr="00006029">
        <w:rPr>
          <w:rFonts w:cstheme="minorHAnsi"/>
        </w:rPr>
        <w:t xml:space="preserve"> for CPP: adalimumab (ADA), guselkumab (GUS), ixekizumab (IXE), risankizumab (RIS), secukinumab (SEC), ustekinumab (UST), tildrakizumab (TIL), etanercept (ETN) and infliximab (IFX)</w:t>
      </w:r>
      <w:r w:rsidRPr="00006029">
        <w:t>.</w:t>
      </w:r>
    </w:p>
    <w:p w14:paraId="527CA7F0" w14:textId="3F64F2AE" w:rsidR="004E43B2" w:rsidRPr="00006029" w:rsidRDefault="00696EF9" w:rsidP="00552B4F">
      <w:pPr>
        <w:pStyle w:val="TableFigureHeading"/>
      </w:pPr>
      <w:bookmarkStart w:id="2" w:name="_Ref123829859"/>
      <w:r w:rsidRPr="00006029">
        <w:t xml:space="preserve">Table </w:t>
      </w:r>
      <w:fldSimple w:instr=" SEQ Table \* ARABIC ">
        <w:r w:rsidR="003F1ED3">
          <w:rPr>
            <w:noProof/>
          </w:rPr>
          <w:t>1</w:t>
        </w:r>
      </w:fldSimple>
      <w:bookmarkEnd w:id="2"/>
      <w:r w:rsidRPr="00006029">
        <w:t>:</w:t>
      </w:r>
      <w:r w:rsidR="00BC591F" w:rsidRPr="00006029">
        <w:rPr>
          <w:rStyle w:val="CommentReference"/>
          <w:b/>
          <w:szCs w:val="24"/>
        </w:rPr>
        <w:t xml:space="preserve"> </w:t>
      </w:r>
      <w:r w:rsidR="008B1757" w:rsidRPr="00006029">
        <w:rPr>
          <w:rStyle w:val="CommentReference"/>
          <w:b/>
          <w:szCs w:val="24"/>
        </w:rPr>
        <w:t xml:space="preserve">Key components of the clinical issue addressed by the </w:t>
      </w:r>
      <w:r w:rsidR="00FD33C9">
        <w:rPr>
          <w:rStyle w:val="CommentReference"/>
          <w:b/>
          <w:szCs w:val="24"/>
        </w:rPr>
        <w:t xml:space="preserve">current </w:t>
      </w:r>
      <w:r w:rsidR="008B1757" w:rsidRPr="00006029">
        <w:rPr>
          <w:rStyle w:val="CommentReference"/>
          <w:b/>
          <w:szCs w:val="24"/>
        </w:rPr>
        <w:t>submission</w:t>
      </w:r>
      <w:r w:rsidR="007170DA" w:rsidRPr="00006029">
        <w:rPr>
          <w:rStyle w:val="CommentReference"/>
          <w:b/>
          <w:szCs w:val="24"/>
        </w:rPr>
        <w:t xml:space="preserve"> (as stated in the </w:t>
      </w:r>
      <w:r w:rsidR="00FD33C9">
        <w:rPr>
          <w:rStyle w:val="CommentReference"/>
          <w:b/>
          <w:szCs w:val="24"/>
        </w:rPr>
        <w:t xml:space="preserve">current </w:t>
      </w:r>
      <w:r w:rsidR="007170DA" w:rsidRPr="00006029">
        <w:rPr>
          <w:rStyle w:val="CommentReference"/>
          <w:b/>
          <w:szCs w:val="24"/>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006029" w:rsidRPr="00006029" w14:paraId="2EA83D98" w14:textId="77777777" w:rsidTr="00552B4F">
        <w:tc>
          <w:tcPr>
            <w:tcW w:w="1668" w:type="dxa"/>
            <w:shd w:val="clear" w:color="auto" w:fill="C6D9F1" w:themeFill="text2" w:themeFillTint="33"/>
            <w:vAlign w:val="center"/>
          </w:tcPr>
          <w:p w14:paraId="3D6EC6B7" w14:textId="77777777" w:rsidR="00552B4F" w:rsidRPr="00006029" w:rsidRDefault="00552B4F" w:rsidP="00552B4F">
            <w:pPr>
              <w:pStyle w:val="TableText0"/>
              <w:shd w:val="clear" w:color="auto" w:fill="C6D9F1" w:themeFill="text2" w:themeFillTint="33"/>
              <w:rPr>
                <w:b/>
                <w:bCs w:val="0"/>
              </w:rPr>
            </w:pPr>
            <w:r w:rsidRPr="00006029">
              <w:rPr>
                <w:b/>
                <w:bCs w:val="0"/>
              </w:rPr>
              <w:t>Component</w:t>
            </w:r>
          </w:p>
        </w:tc>
        <w:tc>
          <w:tcPr>
            <w:tcW w:w="7488" w:type="dxa"/>
            <w:shd w:val="clear" w:color="auto" w:fill="C6D9F1" w:themeFill="text2" w:themeFillTint="33"/>
            <w:vAlign w:val="center"/>
          </w:tcPr>
          <w:p w14:paraId="5DCA22DC" w14:textId="77777777" w:rsidR="00552B4F" w:rsidRPr="00006029" w:rsidRDefault="00552B4F" w:rsidP="00552B4F">
            <w:pPr>
              <w:pStyle w:val="TableText0"/>
              <w:shd w:val="clear" w:color="auto" w:fill="C6D9F1" w:themeFill="text2" w:themeFillTint="33"/>
              <w:rPr>
                <w:b/>
                <w:bCs w:val="0"/>
              </w:rPr>
            </w:pPr>
            <w:r w:rsidRPr="00006029">
              <w:rPr>
                <w:b/>
                <w:bCs w:val="0"/>
              </w:rPr>
              <w:t>Description</w:t>
            </w:r>
          </w:p>
        </w:tc>
      </w:tr>
      <w:tr w:rsidR="00006029" w:rsidRPr="00006029" w14:paraId="6851FEAA" w14:textId="77777777" w:rsidTr="00552B4F">
        <w:tc>
          <w:tcPr>
            <w:tcW w:w="1668" w:type="dxa"/>
            <w:shd w:val="clear" w:color="auto" w:fill="C6D9F1" w:themeFill="text2" w:themeFillTint="33"/>
            <w:vAlign w:val="center"/>
          </w:tcPr>
          <w:p w14:paraId="074FCABC" w14:textId="77777777" w:rsidR="00552B4F" w:rsidRPr="00006029" w:rsidRDefault="00552B4F" w:rsidP="00552B4F">
            <w:pPr>
              <w:pStyle w:val="TableText0"/>
              <w:shd w:val="clear" w:color="auto" w:fill="C6D9F1" w:themeFill="text2" w:themeFillTint="33"/>
            </w:pPr>
            <w:r w:rsidRPr="00006029">
              <w:t>Population</w:t>
            </w:r>
          </w:p>
        </w:tc>
        <w:tc>
          <w:tcPr>
            <w:tcW w:w="7488" w:type="dxa"/>
            <w:shd w:val="clear" w:color="auto" w:fill="C6D9F1" w:themeFill="text2" w:themeFillTint="33"/>
            <w:vAlign w:val="center"/>
          </w:tcPr>
          <w:p w14:paraId="1B2151F6" w14:textId="77777777" w:rsidR="00552B4F" w:rsidRPr="00006029" w:rsidRDefault="00552B4F" w:rsidP="00552B4F">
            <w:pPr>
              <w:pStyle w:val="TableText0"/>
              <w:shd w:val="clear" w:color="auto" w:fill="C6D9F1" w:themeFill="text2" w:themeFillTint="33"/>
            </w:pPr>
            <w:r w:rsidRPr="00006029">
              <w:t>Adult patients with severe chronic plaque psoriasis (CPP)</w:t>
            </w:r>
          </w:p>
        </w:tc>
      </w:tr>
      <w:tr w:rsidR="00006029" w:rsidRPr="00006029" w14:paraId="6B67630C" w14:textId="77777777" w:rsidTr="00552B4F">
        <w:tc>
          <w:tcPr>
            <w:tcW w:w="1668" w:type="dxa"/>
            <w:shd w:val="clear" w:color="auto" w:fill="C6D9F1" w:themeFill="text2" w:themeFillTint="33"/>
            <w:vAlign w:val="center"/>
          </w:tcPr>
          <w:p w14:paraId="2CA3B7B8" w14:textId="77777777" w:rsidR="00552B4F" w:rsidRPr="00006029" w:rsidRDefault="00552B4F" w:rsidP="00552B4F">
            <w:pPr>
              <w:pStyle w:val="TableText0"/>
              <w:shd w:val="clear" w:color="auto" w:fill="C6D9F1" w:themeFill="text2" w:themeFillTint="33"/>
            </w:pPr>
            <w:r w:rsidRPr="00006029">
              <w:t>Intervention</w:t>
            </w:r>
          </w:p>
        </w:tc>
        <w:tc>
          <w:tcPr>
            <w:tcW w:w="7488" w:type="dxa"/>
            <w:shd w:val="clear" w:color="auto" w:fill="C6D9F1" w:themeFill="text2" w:themeFillTint="33"/>
            <w:vAlign w:val="center"/>
          </w:tcPr>
          <w:p w14:paraId="1FCBE044" w14:textId="460C8F79" w:rsidR="00552B4F" w:rsidRPr="00006029" w:rsidRDefault="00552B4F" w:rsidP="00552B4F">
            <w:pPr>
              <w:pStyle w:val="TableText0"/>
              <w:shd w:val="clear" w:color="auto" w:fill="C6D9F1" w:themeFill="text2" w:themeFillTint="33"/>
            </w:pPr>
            <w:r w:rsidRPr="00006029">
              <w:t>Bimekizumab 320 mg (given as 2 SC injections of 160 mg) at Week 0, 4, 8, 12, 16 and every 8 weeks thereafter</w:t>
            </w:r>
          </w:p>
        </w:tc>
      </w:tr>
      <w:tr w:rsidR="00006029" w:rsidRPr="00006029" w14:paraId="503BC9EE" w14:textId="77777777" w:rsidTr="00552B4F">
        <w:tc>
          <w:tcPr>
            <w:tcW w:w="1668" w:type="dxa"/>
            <w:shd w:val="clear" w:color="auto" w:fill="auto"/>
            <w:vAlign w:val="center"/>
          </w:tcPr>
          <w:p w14:paraId="784FB519" w14:textId="77777777" w:rsidR="00552B4F" w:rsidRPr="00006029" w:rsidRDefault="00552B4F" w:rsidP="00552B4F">
            <w:pPr>
              <w:pStyle w:val="TableText0"/>
            </w:pPr>
            <w:r w:rsidRPr="00006029">
              <w:t>Comparator</w:t>
            </w:r>
          </w:p>
        </w:tc>
        <w:tc>
          <w:tcPr>
            <w:tcW w:w="7488" w:type="dxa"/>
            <w:shd w:val="clear" w:color="auto" w:fill="auto"/>
            <w:vAlign w:val="center"/>
          </w:tcPr>
          <w:p w14:paraId="24E37619" w14:textId="016B9CFA" w:rsidR="00552B4F" w:rsidRPr="00006029" w:rsidRDefault="00552B4F" w:rsidP="005824F0">
            <w:pPr>
              <w:pStyle w:val="TableText0"/>
              <w:shd w:val="clear" w:color="auto" w:fill="C6D9F1" w:themeFill="text2" w:themeFillTint="33"/>
            </w:pPr>
            <w:r w:rsidRPr="00006029">
              <w:t>All current PBS-listed bDMARDs for CPP.</w:t>
            </w:r>
          </w:p>
          <w:p w14:paraId="453653DB" w14:textId="09EDB59B" w:rsidR="00552B4F" w:rsidRPr="00006029" w:rsidRDefault="00552B4F" w:rsidP="00552B4F">
            <w:pPr>
              <w:pStyle w:val="TableText0"/>
            </w:pPr>
            <w:r w:rsidRPr="00006029">
              <w:t>ADA, UST and SEC are excluded for the purposes</w:t>
            </w:r>
            <w:r w:rsidR="002D0018">
              <w:t xml:space="preserve"> of a cost-minimisation approach</w:t>
            </w:r>
            <w:r w:rsidRPr="00006029">
              <w:t xml:space="preserve"> to the least costly bDMARD, in view of the direct evidence demonstrating superiority of BKZ.</w:t>
            </w:r>
          </w:p>
        </w:tc>
      </w:tr>
      <w:tr w:rsidR="00006029" w:rsidRPr="00006029" w14:paraId="05711D03" w14:textId="77777777" w:rsidTr="00552B4F">
        <w:tc>
          <w:tcPr>
            <w:tcW w:w="1668" w:type="dxa"/>
            <w:shd w:val="clear" w:color="auto" w:fill="auto"/>
            <w:vAlign w:val="center"/>
          </w:tcPr>
          <w:p w14:paraId="20BE9358" w14:textId="77777777" w:rsidR="00552B4F" w:rsidRPr="00006029" w:rsidRDefault="00552B4F" w:rsidP="00552B4F">
            <w:pPr>
              <w:pStyle w:val="TableText0"/>
            </w:pPr>
            <w:r w:rsidRPr="00006029">
              <w:t>Outcomes</w:t>
            </w:r>
          </w:p>
        </w:tc>
        <w:tc>
          <w:tcPr>
            <w:tcW w:w="7488" w:type="dxa"/>
            <w:shd w:val="clear" w:color="auto" w:fill="auto"/>
            <w:vAlign w:val="center"/>
          </w:tcPr>
          <w:p w14:paraId="4A274F51" w14:textId="77777777" w:rsidR="00552B4F" w:rsidRPr="00006029" w:rsidRDefault="00552B4F" w:rsidP="00552B4F">
            <w:pPr>
              <w:pStyle w:val="TableText0"/>
              <w:shd w:val="clear" w:color="auto" w:fill="C6D9F1" w:themeFill="text2" w:themeFillTint="33"/>
            </w:pPr>
            <w:r w:rsidRPr="00006029">
              <w:rPr>
                <w:u w:val="single"/>
              </w:rPr>
              <w:t>Primary</w:t>
            </w:r>
            <w:r w:rsidRPr="00006029">
              <w:t>: PASI 90</w:t>
            </w:r>
          </w:p>
          <w:p w14:paraId="611AA0AE" w14:textId="77777777" w:rsidR="00552B4F" w:rsidRPr="00006029" w:rsidRDefault="00552B4F" w:rsidP="00552B4F">
            <w:pPr>
              <w:pStyle w:val="TableText0"/>
            </w:pPr>
            <w:r w:rsidRPr="00006029">
              <w:rPr>
                <w:u w:val="single"/>
                <w:shd w:val="clear" w:color="auto" w:fill="C6D9F1" w:themeFill="text2" w:themeFillTint="33"/>
              </w:rPr>
              <w:t>Other:</w:t>
            </w:r>
            <w:r w:rsidRPr="00006029">
              <w:rPr>
                <w:shd w:val="clear" w:color="auto" w:fill="C6D9F1" w:themeFill="text2" w:themeFillTint="33"/>
              </w:rPr>
              <w:t xml:space="preserve"> </w:t>
            </w:r>
            <w:r w:rsidRPr="00006029">
              <w:rPr>
                <w:u w:val="single"/>
                <w:shd w:val="clear" w:color="auto" w:fill="C6D9F1" w:themeFill="text2" w:themeFillTint="33"/>
              </w:rPr>
              <w:t>PASI 100,</w:t>
            </w:r>
            <w:r w:rsidRPr="00006029">
              <w:rPr>
                <w:u w:val="single"/>
              </w:rPr>
              <w:t xml:space="preserve"> </w:t>
            </w:r>
            <w:r w:rsidRPr="00006029">
              <w:rPr>
                <w:strike/>
                <w:u w:val="single"/>
              </w:rPr>
              <w:t>PASI 75</w:t>
            </w:r>
            <w:r w:rsidRPr="00006029">
              <w:rPr>
                <w:u w:val="single"/>
                <w:vertAlign w:val="superscript"/>
              </w:rPr>
              <w:t>a</w:t>
            </w:r>
            <w:r w:rsidRPr="00006029">
              <w:rPr>
                <w:u w:val="single"/>
              </w:rPr>
              <w:t>,</w:t>
            </w:r>
            <w:r w:rsidRPr="00006029">
              <w:rPr>
                <w:u w:val="single"/>
                <w:shd w:val="clear" w:color="auto" w:fill="C6D9F1" w:themeFill="text2" w:themeFillTint="33"/>
              </w:rPr>
              <w:t xml:space="preserve"> safety</w:t>
            </w:r>
            <w:r w:rsidRPr="00006029">
              <w:rPr>
                <w:shd w:val="clear" w:color="auto" w:fill="C6D9F1" w:themeFill="text2" w:themeFillTint="33"/>
              </w:rPr>
              <w:t>.</w:t>
            </w:r>
          </w:p>
          <w:p w14:paraId="55930D46" w14:textId="77777777" w:rsidR="00552B4F" w:rsidRPr="00006029" w:rsidRDefault="00552B4F" w:rsidP="00552B4F">
            <w:pPr>
              <w:pStyle w:val="TableText0"/>
            </w:pPr>
            <w:r w:rsidRPr="00006029">
              <w:rPr>
                <w:shd w:val="clear" w:color="auto" w:fill="C6D9F1" w:themeFill="text2" w:themeFillTint="33"/>
              </w:rPr>
              <w:t>The submission’s clinical claim was based on three direct randomised controlled trials of bimekizumab versus adalimumab, ustekinumab and secukinumab respectively; and a network meta-analysis of bimekizumab versus all bDMARDs listed on the PBS.</w:t>
            </w:r>
          </w:p>
        </w:tc>
      </w:tr>
      <w:tr w:rsidR="00006029" w:rsidRPr="00006029" w14:paraId="1BA4B76C" w14:textId="77777777" w:rsidTr="00552B4F">
        <w:tc>
          <w:tcPr>
            <w:tcW w:w="1668" w:type="dxa"/>
            <w:shd w:val="clear" w:color="auto" w:fill="auto"/>
            <w:vAlign w:val="center"/>
          </w:tcPr>
          <w:p w14:paraId="5F72A2C0" w14:textId="77777777" w:rsidR="00552B4F" w:rsidRPr="00006029" w:rsidRDefault="00552B4F" w:rsidP="00552B4F">
            <w:pPr>
              <w:pStyle w:val="TableText0"/>
            </w:pPr>
            <w:r w:rsidRPr="00006029">
              <w:t>Clinical claim</w:t>
            </w:r>
          </w:p>
        </w:tc>
        <w:tc>
          <w:tcPr>
            <w:tcW w:w="7488" w:type="dxa"/>
            <w:shd w:val="clear" w:color="auto" w:fill="auto"/>
            <w:vAlign w:val="center"/>
          </w:tcPr>
          <w:p w14:paraId="4BDA9576" w14:textId="77777777" w:rsidR="00552B4F" w:rsidRPr="00006029" w:rsidRDefault="00552B4F" w:rsidP="00552B4F">
            <w:pPr>
              <w:pStyle w:val="TableText0"/>
            </w:pPr>
            <w:r w:rsidRPr="00006029">
              <w:rPr>
                <w:shd w:val="clear" w:color="auto" w:fill="C6D9F1" w:themeFill="text2" w:themeFillTint="33"/>
              </w:rPr>
              <w:t>In adults with severe CPP, bimekizumab is more effective than all currently PBS-listed bDMARDs, at achieving</w:t>
            </w:r>
            <w:r w:rsidRPr="00006029">
              <w:t xml:space="preserve"> </w:t>
            </w:r>
            <w:r w:rsidRPr="00006029">
              <w:rPr>
                <w:strike/>
              </w:rPr>
              <w:t>PASI 75</w:t>
            </w:r>
            <w:r w:rsidRPr="00006029">
              <w:rPr>
                <w:vertAlign w:val="superscript"/>
              </w:rPr>
              <w:t>a</w:t>
            </w:r>
            <w:r w:rsidRPr="00006029">
              <w:t>,</w:t>
            </w:r>
            <w:r w:rsidRPr="00006029">
              <w:rPr>
                <w:shd w:val="clear" w:color="auto" w:fill="C6D9F1" w:themeFill="text2" w:themeFillTint="33"/>
              </w:rPr>
              <w:t xml:space="preserve"> PASI 90 and PASI 100. Bimekizumab is similar in safety compared to the currently-PBS listed bDMARDs.</w:t>
            </w:r>
          </w:p>
        </w:tc>
      </w:tr>
    </w:tbl>
    <w:p w14:paraId="191D5EC3" w14:textId="77777777" w:rsidR="00552B4F" w:rsidRPr="00006029" w:rsidRDefault="00552B4F" w:rsidP="00552B4F">
      <w:pPr>
        <w:pStyle w:val="TableFigureFooter"/>
        <w:spacing w:after="0"/>
        <w:rPr>
          <w:bCs/>
          <w:szCs w:val="18"/>
        </w:rPr>
      </w:pPr>
      <w:r w:rsidRPr="00006029">
        <w:rPr>
          <w:rStyle w:val="CommentReference"/>
          <w:b w:val="0"/>
          <w:bCs/>
          <w:sz w:val="18"/>
          <w:szCs w:val="18"/>
          <w:shd w:val="clear" w:color="auto" w:fill="C6D9F1" w:themeFill="text2" w:themeFillTint="33"/>
        </w:rPr>
        <w:t xml:space="preserve">Blue </w:t>
      </w:r>
      <w:r w:rsidRPr="00006029">
        <w:rPr>
          <w:rStyle w:val="CommentReference"/>
          <w:b w:val="0"/>
          <w:bCs/>
          <w:sz w:val="18"/>
          <w:szCs w:val="18"/>
        </w:rPr>
        <w:t>shading indicates data previously seen by the PBAC.</w:t>
      </w:r>
    </w:p>
    <w:p w14:paraId="16C91EFB" w14:textId="69877FAA" w:rsidR="00552B4F" w:rsidRPr="00006029" w:rsidRDefault="00552B4F" w:rsidP="00552B4F">
      <w:pPr>
        <w:pStyle w:val="FooterTableFigure"/>
      </w:pPr>
      <w:r w:rsidRPr="00006029">
        <w:t xml:space="preserve">Source: Table 1-1, p35 of the </w:t>
      </w:r>
      <w:r w:rsidR="00FD33C9">
        <w:t xml:space="preserve">current </w:t>
      </w:r>
      <w:r w:rsidRPr="00006029">
        <w:t>submission.</w:t>
      </w:r>
    </w:p>
    <w:p w14:paraId="3CB6493E" w14:textId="675C1365" w:rsidR="00552B4F" w:rsidRPr="007B7BB4" w:rsidRDefault="00552B4F" w:rsidP="00552B4F">
      <w:pPr>
        <w:pStyle w:val="FooterTableFigure"/>
        <w:spacing w:after="0"/>
      </w:pPr>
      <w:r w:rsidRPr="00006029">
        <w:t xml:space="preserve">: ADA = adalimumab; BKZ = bimekizumab; bDMARD = </w:t>
      </w:r>
      <w:r w:rsidRPr="00006029">
        <w:rPr>
          <w:iCs/>
          <w:lang w:eastAsia="en-US"/>
        </w:rPr>
        <w:t>biologic disease-modifying anti-rheumatic drug</w:t>
      </w:r>
      <w:r w:rsidRPr="00006029">
        <w:rPr>
          <w:i/>
          <w:iCs/>
          <w:lang w:eastAsia="en-US"/>
        </w:rPr>
        <w:t xml:space="preserve">; </w:t>
      </w:r>
      <w:r w:rsidRPr="00006029">
        <w:t xml:space="preserve">CPP = chronic plaque psoriasis; NMA = network meta-analysis; </w:t>
      </w:r>
      <w:r w:rsidRPr="00006029">
        <w:rPr>
          <w:szCs w:val="18"/>
        </w:rPr>
        <w:t xml:space="preserve">PASI=psoriasis area </w:t>
      </w:r>
      <w:r w:rsidRPr="00151502">
        <w:rPr>
          <w:szCs w:val="18"/>
        </w:rPr>
        <w:t>and severity index;</w:t>
      </w:r>
      <w:r w:rsidRPr="00151502">
        <w:rPr>
          <w:sz w:val="20"/>
        </w:rPr>
        <w:t xml:space="preserve"> </w:t>
      </w:r>
      <w:r>
        <w:rPr>
          <w:sz w:val="20"/>
        </w:rPr>
        <w:t xml:space="preserve">SEC = secukinumab; </w:t>
      </w:r>
      <w:r w:rsidRPr="00151502">
        <w:t>SC = subcutaneous</w:t>
      </w:r>
      <w:r>
        <w:t>; UST = ustekinumab.</w:t>
      </w:r>
    </w:p>
    <w:p w14:paraId="3824A2FF" w14:textId="06E796DF" w:rsidR="00552B4F" w:rsidRPr="00693823" w:rsidRDefault="00552B4F" w:rsidP="00552B4F">
      <w:pPr>
        <w:pStyle w:val="TableFigureFooter"/>
        <w:ind w:left="165" w:hanging="165"/>
      </w:pPr>
      <w:r w:rsidRPr="00693823">
        <w:rPr>
          <w:vertAlign w:val="superscript"/>
        </w:rPr>
        <w:t>a</w:t>
      </w:r>
      <w:r w:rsidRPr="00693823">
        <w:tab/>
        <w:t xml:space="preserve">The March 2022 submission included PASI 75 as one of the other outcomes, but this </w:t>
      </w:r>
      <w:r w:rsidR="00C6357A" w:rsidRPr="00693823">
        <w:t>current submission</w:t>
      </w:r>
      <w:r w:rsidRPr="00693823">
        <w:t xml:space="preserve"> stated that PASI 90 and PASI 100 had replaced PASI 75 as the key treatment goals.</w:t>
      </w:r>
    </w:p>
    <w:p w14:paraId="6B4AB6C2" w14:textId="3B20BE4B" w:rsidR="005C25FF" w:rsidRPr="00407F2D" w:rsidRDefault="005C25FF" w:rsidP="004A6040">
      <w:pPr>
        <w:pStyle w:val="2-SectionHeading"/>
      </w:pPr>
      <w:bookmarkStart w:id="3" w:name="_Toc124838621"/>
      <w:r w:rsidRPr="00407F2D">
        <w:t>Background</w:t>
      </w:r>
      <w:bookmarkEnd w:id="3"/>
    </w:p>
    <w:p w14:paraId="2C521D6D" w14:textId="78CF03EE" w:rsidR="005C25FF" w:rsidRPr="004151CF" w:rsidRDefault="005C25FF" w:rsidP="004A6040">
      <w:pPr>
        <w:pStyle w:val="4-SubsectionHeading"/>
      </w:pPr>
      <w:bookmarkStart w:id="4" w:name="_Toc22897638"/>
      <w:bookmarkStart w:id="5" w:name="_Toc124838622"/>
      <w:r w:rsidRPr="004151CF">
        <w:t>Registration status</w:t>
      </w:r>
      <w:bookmarkEnd w:id="4"/>
      <w:bookmarkEnd w:id="5"/>
    </w:p>
    <w:p w14:paraId="58B3BFED" w14:textId="378F28DB" w:rsidR="00E33853" w:rsidRDefault="007A24C3" w:rsidP="00E33853">
      <w:pPr>
        <w:pStyle w:val="3-BodyText"/>
      </w:pPr>
      <w:r>
        <w:t>BKZ</w:t>
      </w:r>
      <w:r w:rsidR="005C25FF" w:rsidRPr="004E18E9">
        <w:t xml:space="preserve"> was TGA registered on </w:t>
      </w:r>
      <w:r w:rsidR="00871736">
        <w:t>24 March 2022</w:t>
      </w:r>
      <w:r w:rsidR="005C25FF" w:rsidRPr="004E18E9">
        <w:t xml:space="preserve"> for </w:t>
      </w:r>
      <w:r w:rsidR="00871736" w:rsidRPr="00871736">
        <w:t>treatment of moderate to severe plaque psoriasis in adult patients who are candidates for systemic therapy or phototherapy</w:t>
      </w:r>
      <w:bookmarkStart w:id="6" w:name="_Toc22897639"/>
      <w:r w:rsidR="00D46F06">
        <w:t>.</w:t>
      </w:r>
    </w:p>
    <w:p w14:paraId="3E2A6EAB" w14:textId="7E6DE33E" w:rsidR="005C25FF" w:rsidRPr="00621ADA" w:rsidRDefault="005C25FF" w:rsidP="004E18E9">
      <w:pPr>
        <w:pStyle w:val="4-SubsectionHeading"/>
      </w:pPr>
      <w:bookmarkStart w:id="7" w:name="_Toc124838623"/>
      <w:r w:rsidRPr="00621ADA">
        <w:lastRenderedPageBreak/>
        <w:t>Previous PBAC consideration</w:t>
      </w:r>
      <w:bookmarkEnd w:id="6"/>
      <w:bookmarkEnd w:id="7"/>
    </w:p>
    <w:p w14:paraId="0DFA75FF" w14:textId="7BDA749E" w:rsidR="00681915" w:rsidRPr="00AD53AF" w:rsidRDefault="00D46F06" w:rsidP="00681915">
      <w:pPr>
        <w:pStyle w:val="3-BodyText"/>
      </w:pPr>
      <w:r w:rsidRPr="00AD53AF">
        <w:t xml:space="preserve">The March 2022 submission requested listing of BKZ for the treatment of CPP on the basis of cost effectiveness versus all </w:t>
      </w:r>
      <w:r w:rsidR="005824F0">
        <w:t xml:space="preserve">PBS </w:t>
      </w:r>
      <w:r w:rsidRPr="00AD53AF">
        <w:t>listed bDMARDs. The PBAC considered that, given the claim of superior effectiveness was not accepted, the economic model was largely uninformative for decision-making.</w:t>
      </w:r>
      <w:r w:rsidR="00681915" w:rsidRPr="00AD53AF">
        <w:t xml:space="preserve"> </w:t>
      </w:r>
      <w:r w:rsidRPr="00AD53AF">
        <w:t xml:space="preserve">Instead, the PBAC </w:t>
      </w:r>
      <w:r w:rsidR="00681915" w:rsidRPr="00AD53AF">
        <w:t xml:space="preserve">recommended listing of BKZ for the treatment of CPP on the basis of cost-minimisation to the least costly of alternative bDMARDs. The PBAC had considered that BKZ was likely superior to ADA, TIL and UST and non-inferior to GUS, IXE, SEC and RIS in terms of achieving PASI 75 and PASI 90 responses at Week 12/16 (paragraph 7.1, BKZ </w:t>
      </w:r>
      <w:r w:rsidR="00C16E6F" w:rsidRPr="00FF5744">
        <w:t xml:space="preserve">Public Summary Document </w:t>
      </w:r>
      <w:r w:rsidR="00C16E6F">
        <w:t>(</w:t>
      </w:r>
      <w:r w:rsidR="00681915" w:rsidRPr="00AD53AF">
        <w:t>PSD</w:t>
      </w:r>
      <w:r w:rsidR="00C16E6F">
        <w:t>)</w:t>
      </w:r>
      <w:r w:rsidR="00681915" w:rsidRPr="00AD53AF">
        <w:t xml:space="preserve">, March 2022 PBAC </w:t>
      </w:r>
      <w:r w:rsidR="00006029">
        <w:t>m</w:t>
      </w:r>
      <w:r w:rsidR="00681915" w:rsidRPr="00AD53AF">
        <w:t>eeting).</w:t>
      </w:r>
    </w:p>
    <w:p w14:paraId="059C0916" w14:textId="79AD8077" w:rsidR="00681915" w:rsidRPr="00AD53AF" w:rsidRDefault="00681915" w:rsidP="00681915">
      <w:pPr>
        <w:pStyle w:val="3-BodyText"/>
      </w:pPr>
      <w:r w:rsidRPr="00AD53AF">
        <w:t xml:space="preserve">The PBAC considered that, whilst there was some evidence to suggest BKZ is associated with a statistically significantly higher proportion of patients achieving a PASI 90 score compared to GUS, IXE, SEC and RIS at Week 12/16, the differences were relatively small (paragraph 7.6, BKZ PSD, March 2022 PBAC Meeting). The ESC questioned whether the difference in PASI 90 response rates was clinically meaningful and noted that the most recent Cochrane Review </w:t>
      </w:r>
      <w:r w:rsidR="005824F0">
        <w:t xml:space="preserve">by Sbidian 2021 </w:t>
      </w:r>
      <w:r w:rsidRPr="00AD53AF">
        <w:t xml:space="preserve">found the clinical effectiveness of BKZ was similar to GUS, IXE, SEC and RIS (paragraph 6.38, BKZ PSD, March 2022 PBAC </w:t>
      </w:r>
      <w:r w:rsidR="00006029">
        <w:t>m</w:t>
      </w:r>
      <w:r w:rsidRPr="00AD53AF">
        <w:t>eeting).</w:t>
      </w:r>
    </w:p>
    <w:p w14:paraId="0ED6196F" w14:textId="1C6CE83D" w:rsidR="00681915" w:rsidRPr="00AD53AF" w:rsidRDefault="00681915" w:rsidP="00681915">
      <w:pPr>
        <w:pStyle w:val="3-BodyText"/>
      </w:pPr>
      <w:r w:rsidRPr="00AD53AF">
        <w:t>The PBAC recalled that GUS, IXE and RIS were listed for CPP on the basis of cost-minimisation to the least costly alternative bDMARD and given the PBAC considered BKZ was likely to be non-inferior to these medicines, it was appropriate to list BKZ on the same basis. Following the March 2022 PBAC meeting, the Department of Health and Ageing advised the sponsor that the least costly bDMARD was ADA.</w:t>
      </w:r>
    </w:p>
    <w:p w14:paraId="5C654A13" w14:textId="20E08A04" w:rsidR="00D46F06" w:rsidRPr="00520870" w:rsidRDefault="00D46F06" w:rsidP="00F61348">
      <w:pPr>
        <w:pStyle w:val="3-BodyText"/>
      </w:pPr>
      <w:bookmarkStart w:id="8" w:name="_Ref127809456"/>
      <w:r w:rsidRPr="00520870">
        <w:t xml:space="preserve">The </w:t>
      </w:r>
      <w:r w:rsidR="00C6357A">
        <w:t>current submission</w:t>
      </w:r>
      <w:r w:rsidRPr="00520870">
        <w:t xml:space="preserve"> stated that the sponsor attempted to progress the PBAC’s recommendation but was unable to accept </w:t>
      </w:r>
      <w:r w:rsidR="00C34CA3">
        <w:t xml:space="preserve">a price based on cost minimisation to </w:t>
      </w:r>
      <w:r w:rsidRPr="00520870">
        <w:t>ADA</w:t>
      </w:r>
      <w:r w:rsidR="00C34CA3">
        <w:t xml:space="preserve">, which it considered was </w:t>
      </w:r>
      <w:r w:rsidRPr="00520870">
        <w:t>incongruent with the PBAC’s advice that BKZ was superior to ADA</w:t>
      </w:r>
      <w:r w:rsidR="00F61348">
        <w:t>.</w:t>
      </w:r>
      <w:bookmarkEnd w:id="8"/>
    </w:p>
    <w:p w14:paraId="5231F7FD" w14:textId="415747FB" w:rsidR="00D46F06" w:rsidRPr="00AD53AF" w:rsidRDefault="00D46F06" w:rsidP="00D46F06">
      <w:pPr>
        <w:pStyle w:val="3-BodyText"/>
      </w:pPr>
      <w:r w:rsidRPr="00AD53AF">
        <w:t xml:space="preserve">Therefore, the purpose of the </w:t>
      </w:r>
      <w:r w:rsidR="00C6357A">
        <w:t>current submission</w:t>
      </w:r>
      <w:r w:rsidRPr="00AD53AF">
        <w:t xml:space="preserve"> was to request that the PBAC reconsider the appropriate pricing for BKZ. The </w:t>
      </w:r>
      <w:r w:rsidR="00C6357A">
        <w:t>current submission</w:t>
      </w:r>
      <w:r w:rsidRPr="00AD53AF">
        <w:t xml:space="preserve"> approached this issue in two different ways, depending on the PBAC’s interpretation of the clinical evidence.</w:t>
      </w:r>
    </w:p>
    <w:p w14:paraId="620393CD" w14:textId="74FC0DC7" w:rsidR="00D46F06" w:rsidRPr="00AD53AF" w:rsidRDefault="00D46F06" w:rsidP="00F8704E">
      <w:pPr>
        <w:pStyle w:val="3-BodyText"/>
        <w:numPr>
          <w:ilvl w:val="1"/>
          <w:numId w:val="17"/>
        </w:numPr>
        <w:ind w:left="1134"/>
      </w:pPr>
      <w:r w:rsidRPr="00AD53AF">
        <w:t xml:space="preserve">The </w:t>
      </w:r>
      <w:r w:rsidR="00C6357A">
        <w:t>current submission</w:t>
      </w:r>
      <w:r w:rsidRPr="00AD53AF">
        <w:t xml:space="preserve"> disagreed with the PBAC’s interpretation of the clinical evidence and maintained that the premise of the original submission, that PASI 90 and PASI 100 are both clinically relevant outcomes and that the clinical evidence demonstrated that BKZ was superior to all PBS-listed bDMARDs in terms of PASI 90 and PASI 100. Hence, the model presented in the original submission was informative for decision making and a respecified base case supported a price premium over all PBS-listed bDMARDs.</w:t>
      </w:r>
    </w:p>
    <w:p w14:paraId="3E4A1915" w14:textId="198462EA" w:rsidR="00D46F06" w:rsidRDefault="00D46F06" w:rsidP="00F61348">
      <w:pPr>
        <w:pStyle w:val="3-BodyText"/>
        <w:numPr>
          <w:ilvl w:val="1"/>
          <w:numId w:val="17"/>
        </w:numPr>
        <w:ind w:left="1134"/>
      </w:pPr>
      <w:r w:rsidRPr="00AD53AF">
        <w:t xml:space="preserve">The </w:t>
      </w:r>
      <w:r w:rsidR="00C6357A">
        <w:t>current submission</w:t>
      </w:r>
      <w:r w:rsidRPr="00AD53AF">
        <w:t xml:space="preserve"> also argued that ADA, TIL and UST should be excluded as comparators when interpreting the PBAC’s advice to list BKZ on the basis of a cost-</w:t>
      </w:r>
      <w:r w:rsidRPr="00AD53AF">
        <w:lastRenderedPageBreak/>
        <w:t xml:space="preserve">minimisation </w:t>
      </w:r>
      <w:r w:rsidR="00F61348">
        <w:t>approach</w:t>
      </w:r>
      <w:r w:rsidR="00F61348" w:rsidRPr="00AD53AF">
        <w:t xml:space="preserve"> </w:t>
      </w:r>
      <w:r w:rsidRPr="00AD53AF">
        <w:t>to the least costly bDMARD given that the PBAC had considered that BKZ had superior effectiveness to ADA, TIL and UST.</w:t>
      </w:r>
    </w:p>
    <w:p w14:paraId="751635A4" w14:textId="77777777" w:rsidR="004C3BD1" w:rsidRPr="003373DF" w:rsidRDefault="004C3BD1" w:rsidP="004C3BD1">
      <w:pPr>
        <w:pStyle w:val="3-BodyText"/>
        <w:numPr>
          <w:ilvl w:val="0"/>
          <w:numId w:val="0"/>
        </w:numPr>
        <w:ind w:left="510" w:firstLine="170"/>
        <w:rPr>
          <w:i/>
        </w:rPr>
      </w:pPr>
      <w:r w:rsidRPr="003373DF">
        <w:rPr>
          <w:i/>
        </w:rPr>
        <w:t>For more detail on PBAC’s view, see section 7 PBAC outcome.</w:t>
      </w:r>
    </w:p>
    <w:p w14:paraId="57297E11" w14:textId="4DF630CE" w:rsidR="00716A34" w:rsidRDefault="00B50DB8" w:rsidP="00716A34">
      <w:pPr>
        <w:pStyle w:val="2-SectionHeading"/>
      </w:pPr>
      <w:bookmarkStart w:id="9" w:name="_Toc107902078"/>
      <w:bookmarkStart w:id="10" w:name="_Toc124838624"/>
      <w:bookmarkEnd w:id="9"/>
      <w:r w:rsidRPr="00407F2D">
        <w:t>Requested listing</w:t>
      </w:r>
      <w:bookmarkEnd w:id="1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56"/>
        <w:gridCol w:w="1099"/>
        <w:gridCol w:w="1255"/>
        <w:gridCol w:w="1089"/>
        <w:gridCol w:w="1565"/>
        <w:gridCol w:w="1663"/>
      </w:tblGrid>
      <w:tr w:rsidR="00716A34" w:rsidRPr="00151502" w14:paraId="0B8C1A63" w14:textId="77777777" w:rsidTr="008C582A">
        <w:tc>
          <w:tcPr>
            <w:tcW w:w="1305" w:type="pct"/>
            <w:shd w:val="clear" w:color="auto" w:fill="C6D9F1" w:themeFill="text2" w:themeFillTint="33"/>
          </w:tcPr>
          <w:p w14:paraId="6DD62545" w14:textId="77777777" w:rsidR="00716A34" w:rsidRPr="00151502" w:rsidRDefault="00716A34" w:rsidP="00552B4F">
            <w:pPr>
              <w:pStyle w:val="Tabletext"/>
              <w:rPr>
                <w:b/>
                <w:bCs/>
              </w:rPr>
            </w:pPr>
            <w:r w:rsidRPr="00151502">
              <w:rPr>
                <w:b/>
              </w:rPr>
              <w:t>Name, restriction, manner of administration, form</w:t>
            </w:r>
          </w:p>
        </w:tc>
        <w:tc>
          <w:tcPr>
            <w:tcW w:w="609" w:type="pct"/>
            <w:shd w:val="clear" w:color="auto" w:fill="C6D9F1" w:themeFill="text2" w:themeFillTint="33"/>
          </w:tcPr>
          <w:p w14:paraId="4B60C9C4" w14:textId="77777777" w:rsidR="00716A34" w:rsidRPr="00151502" w:rsidRDefault="00716A34" w:rsidP="00552B4F">
            <w:pPr>
              <w:pStyle w:val="Tabletext"/>
              <w:jc w:val="center"/>
              <w:rPr>
                <w:b/>
                <w:bCs/>
              </w:rPr>
            </w:pPr>
            <w:r w:rsidRPr="00151502">
              <w:rPr>
                <w:b/>
              </w:rPr>
              <w:t>Maximum quantity (packs)</w:t>
            </w:r>
          </w:p>
        </w:tc>
        <w:tc>
          <w:tcPr>
            <w:tcW w:w="695" w:type="pct"/>
            <w:shd w:val="clear" w:color="auto" w:fill="C6D9F1" w:themeFill="text2" w:themeFillTint="33"/>
          </w:tcPr>
          <w:p w14:paraId="5B294E3A" w14:textId="77777777" w:rsidR="00716A34" w:rsidRPr="00151502" w:rsidRDefault="00716A34" w:rsidP="00552B4F">
            <w:pPr>
              <w:pStyle w:val="Tabletext"/>
              <w:jc w:val="center"/>
              <w:rPr>
                <w:b/>
                <w:bCs/>
              </w:rPr>
            </w:pPr>
            <w:r w:rsidRPr="00151502">
              <w:rPr>
                <w:b/>
              </w:rPr>
              <w:t>Maximum quantity (units)</w:t>
            </w:r>
          </w:p>
        </w:tc>
        <w:tc>
          <w:tcPr>
            <w:tcW w:w="603" w:type="pct"/>
          </w:tcPr>
          <w:p w14:paraId="5AAAE1BB" w14:textId="77777777" w:rsidR="00716A34" w:rsidRPr="00151502" w:rsidRDefault="00716A34" w:rsidP="00552B4F">
            <w:pPr>
              <w:pStyle w:val="Tabletext"/>
              <w:rPr>
                <w:b/>
                <w:bCs/>
              </w:rPr>
            </w:pPr>
            <w:r w:rsidRPr="00151502">
              <w:rPr>
                <w:b/>
              </w:rPr>
              <w:t>No. of repeats</w:t>
            </w:r>
          </w:p>
        </w:tc>
        <w:tc>
          <w:tcPr>
            <w:tcW w:w="867" w:type="pct"/>
          </w:tcPr>
          <w:p w14:paraId="68A2BAE4" w14:textId="77777777" w:rsidR="00716A34" w:rsidRPr="00151502" w:rsidRDefault="00716A34" w:rsidP="00552B4F">
            <w:pPr>
              <w:pStyle w:val="Tabletext"/>
              <w:rPr>
                <w:b/>
                <w:bCs/>
              </w:rPr>
            </w:pPr>
            <w:r w:rsidRPr="00151502">
              <w:rPr>
                <w:b/>
              </w:rPr>
              <w:t>Dispensed price for maximum quantity</w:t>
            </w:r>
          </w:p>
        </w:tc>
        <w:tc>
          <w:tcPr>
            <w:tcW w:w="921" w:type="pct"/>
            <w:shd w:val="clear" w:color="auto" w:fill="C6D9F1" w:themeFill="text2" w:themeFillTint="33"/>
          </w:tcPr>
          <w:p w14:paraId="45E8B59D" w14:textId="77777777" w:rsidR="00716A34" w:rsidRPr="00151502" w:rsidRDefault="00716A34" w:rsidP="00552B4F">
            <w:pPr>
              <w:pStyle w:val="Tabletext"/>
              <w:rPr>
                <w:b/>
                <w:bCs/>
              </w:rPr>
            </w:pPr>
            <w:r w:rsidRPr="00151502">
              <w:rPr>
                <w:b/>
              </w:rPr>
              <w:t>Proprietary name and manufacturer</w:t>
            </w:r>
          </w:p>
        </w:tc>
      </w:tr>
      <w:tr w:rsidR="00716A34" w:rsidRPr="00151502" w14:paraId="406BFF83" w14:textId="77777777" w:rsidTr="008C582A">
        <w:tc>
          <w:tcPr>
            <w:tcW w:w="1305" w:type="pct"/>
            <w:shd w:val="clear" w:color="auto" w:fill="C6D9F1" w:themeFill="text2" w:themeFillTint="33"/>
            <w:vAlign w:val="center"/>
          </w:tcPr>
          <w:p w14:paraId="18DCECFB" w14:textId="77777777" w:rsidR="00716A34" w:rsidRPr="00151502" w:rsidRDefault="00716A34" w:rsidP="00552B4F">
            <w:pPr>
              <w:pStyle w:val="Tabletext"/>
            </w:pPr>
            <w:r w:rsidRPr="00151502">
              <w:t>BIMEKIZUMAB</w:t>
            </w:r>
          </w:p>
          <w:p w14:paraId="6E7C28AE" w14:textId="77777777" w:rsidR="00716A34" w:rsidRPr="00151502" w:rsidRDefault="00716A34" w:rsidP="00552B4F">
            <w:pPr>
              <w:pStyle w:val="Tabletext"/>
              <w:rPr>
                <w:b/>
                <w:bCs/>
              </w:rPr>
            </w:pPr>
            <w:r w:rsidRPr="00151502">
              <w:t>160 mg in 1mL pre-filled syringe (initial and continuing)</w:t>
            </w:r>
          </w:p>
        </w:tc>
        <w:tc>
          <w:tcPr>
            <w:tcW w:w="609" w:type="pct"/>
            <w:shd w:val="clear" w:color="auto" w:fill="C6D9F1" w:themeFill="text2" w:themeFillTint="33"/>
            <w:vAlign w:val="center"/>
          </w:tcPr>
          <w:p w14:paraId="2C3190B3" w14:textId="77777777" w:rsidR="00716A34" w:rsidRPr="00151502" w:rsidRDefault="00716A34" w:rsidP="00552B4F">
            <w:pPr>
              <w:pStyle w:val="Tabletext"/>
              <w:jc w:val="center"/>
              <w:rPr>
                <w:rFonts w:ascii="Times" w:hAnsi="Times"/>
              </w:rPr>
            </w:pPr>
            <w:r w:rsidRPr="00151502">
              <w:t>1</w:t>
            </w:r>
          </w:p>
        </w:tc>
        <w:tc>
          <w:tcPr>
            <w:tcW w:w="695" w:type="pct"/>
            <w:shd w:val="clear" w:color="auto" w:fill="C6D9F1" w:themeFill="text2" w:themeFillTint="33"/>
            <w:vAlign w:val="center"/>
          </w:tcPr>
          <w:p w14:paraId="0488F5AD" w14:textId="77777777" w:rsidR="00716A34" w:rsidRPr="00151502" w:rsidRDefault="00716A34" w:rsidP="00552B4F">
            <w:pPr>
              <w:pStyle w:val="Tabletext"/>
              <w:jc w:val="center"/>
              <w:rPr>
                <w:rFonts w:ascii="Times" w:hAnsi="Times"/>
              </w:rPr>
            </w:pPr>
            <w:r w:rsidRPr="00151502">
              <w:t>2</w:t>
            </w:r>
          </w:p>
        </w:tc>
        <w:tc>
          <w:tcPr>
            <w:tcW w:w="603" w:type="pct"/>
            <w:vAlign w:val="center"/>
          </w:tcPr>
          <w:p w14:paraId="41D269B0" w14:textId="4E76B13F" w:rsidR="00CF4770" w:rsidRDefault="00CF4770" w:rsidP="00CF4770">
            <w:pPr>
              <w:pStyle w:val="Tabletext"/>
              <w:jc w:val="center"/>
            </w:pPr>
            <w:r w:rsidRPr="00014FD4">
              <w:rPr>
                <w:shd w:val="clear" w:color="auto" w:fill="C6D9F1" w:themeFill="text2" w:themeFillTint="33"/>
              </w:rPr>
              <w:t>Initial: 5</w:t>
            </w:r>
          </w:p>
          <w:p w14:paraId="2D4D47AD" w14:textId="402D59E8" w:rsidR="00716A34" w:rsidRPr="00151502" w:rsidRDefault="00CF4770" w:rsidP="00CF4770">
            <w:pPr>
              <w:pStyle w:val="Tabletext"/>
              <w:jc w:val="center"/>
            </w:pPr>
            <w:r>
              <w:rPr>
                <w:shd w:val="clear" w:color="auto" w:fill="C6D9F1" w:themeFill="text2" w:themeFillTint="33"/>
              </w:rPr>
              <w:t xml:space="preserve">Continuing: </w:t>
            </w:r>
            <w:r w:rsidRPr="00413155">
              <w:rPr>
                <w:shd w:val="clear" w:color="auto" w:fill="C6D9F1" w:themeFill="text2" w:themeFillTint="33"/>
              </w:rPr>
              <w:t>2</w:t>
            </w:r>
          </w:p>
        </w:tc>
        <w:tc>
          <w:tcPr>
            <w:tcW w:w="867" w:type="pct"/>
            <w:vAlign w:val="center"/>
          </w:tcPr>
          <w:p w14:paraId="775DD13D" w14:textId="184EEDE2" w:rsidR="000018A5" w:rsidRDefault="000018A5" w:rsidP="000018A5">
            <w:pPr>
              <w:pStyle w:val="Tabletext"/>
              <w:jc w:val="center"/>
            </w:pPr>
            <w:r w:rsidRPr="000018A5">
              <w:t>$3,908.94</w:t>
            </w:r>
            <w:r w:rsidR="003373DF">
              <w:rPr>
                <w:vertAlign w:val="superscript"/>
              </w:rPr>
              <w:t>1</w:t>
            </w:r>
            <w:r w:rsidR="00393CE5" w:rsidRPr="000018A5">
              <w:t xml:space="preserve"> </w:t>
            </w:r>
            <w:r w:rsidRPr="000018A5">
              <w:t>published price</w:t>
            </w:r>
          </w:p>
          <w:p w14:paraId="6530FFFA" w14:textId="39C1BB3C" w:rsidR="000018A5" w:rsidRDefault="000018A5" w:rsidP="000018A5">
            <w:pPr>
              <w:pStyle w:val="Tabletext"/>
              <w:jc w:val="center"/>
            </w:pPr>
            <w:r>
              <w:t>$</w:t>
            </w:r>
            <w:r w:rsidR="004E39DC" w:rsidRPr="004E39DC">
              <w:rPr>
                <w:color w:val="000000"/>
                <w:spacing w:val="160"/>
                <w:shd w:val="solid" w:color="000000" w:fill="000000"/>
                <w:fitText w:val="246" w:id="-1233430272"/>
                <w14:textFill>
                  <w14:solidFill>
                    <w14:srgbClr w14:val="000000">
                      <w14:alpha w14:val="100000"/>
                    </w14:srgbClr>
                  </w14:solidFill>
                </w14:textFill>
              </w:rPr>
              <w:t>|</w:t>
            </w:r>
            <w:r w:rsidR="004E39DC" w:rsidRPr="004E39DC">
              <w:rPr>
                <w:color w:val="000000"/>
                <w:spacing w:val="1"/>
                <w:shd w:val="solid" w:color="000000" w:fill="000000"/>
                <w:fitText w:val="246" w:id="-1233430272"/>
                <w14:textFill>
                  <w14:solidFill>
                    <w14:srgbClr w14:val="000000">
                      <w14:alpha w14:val="100000"/>
                    </w14:srgbClr>
                  </w14:solidFill>
                </w14:textFill>
              </w:rPr>
              <w:t>|</w:t>
            </w:r>
          </w:p>
          <w:p w14:paraId="08C38879" w14:textId="23D90C8A" w:rsidR="00716A34" w:rsidRPr="00151502" w:rsidRDefault="000018A5" w:rsidP="000018A5">
            <w:pPr>
              <w:pStyle w:val="Tabletext"/>
              <w:jc w:val="center"/>
            </w:pPr>
            <w:r>
              <w:t>effective price</w:t>
            </w:r>
          </w:p>
        </w:tc>
        <w:tc>
          <w:tcPr>
            <w:tcW w:w="921" w:type="pct"/>
            <w:shd w:val="clear" w:color="auto" w:fill="C6D9F1" w:themeFill="text2" w:themeFillTint="33"/>
            <w:vAlign w:val="center"/>
          </w:tcPr>
          <w:p w14:paraId="50574E84" w14:textId="77777777" w:rsidR="00716A34" w:rsidRPr="00151502" w:rsidRDefault="00716A34" w:rsidP="00552B4F">
            <w:pPr>
              <w:pStyle w:val="Tabletext"/>
              <w:jc w:val="center"/>
              <w:rPr>
                <w:rFonts w:ascii="Times" w:hAnsi="Times"/>
              </w:rPr>
            </w:pPr>
            <w:r w:rsidRPr="00151502">
              <w:t>Bimzelx</w:t>
            </w:r>
            <w:r w:rsidRPr="00151502">
              <w:rPr>
                <w:vertAlign w:val="superscript"/>
              </w:rPr>
              <w:t>®</w:t>
            </w:r>
            <w:r w:rsidRPr="00151502">
              <w:t>, UCB Australia</w:t>
            </w:r>
          </w:p>
        </w:tc>
      </w:tr>
      <w:tr w:rsidR="000F47A5" w:rsidRPr="00151502" w14:paraId="7A3388C3" w14:textId="77777777" w:rsidTr="008C582A">
        <w:tc>
          <w:tcPr>
            <w:tcW w:w="1305" w:type="pct"/>
            <w:shd w:val="clear" w:color="auto" w:fill="C6D9F1" w:themeFill="text2" w:themeFillTint="33"/>
            <w:vAlign w:val="center"/>
          </w:tcPr>
          <w:p w14:paraId="13BCB59D" w14:textId="77777777" w:rsidR="000F47A5" w:rsidRPr="00151502" w:rsidRDefault="000F47A5" w:rsidP="000F47A5">
            <w:pPr>
              <w:pStyle w:val="Tabletext"/>
            </w:pPr>
            <w:r w:rsidRPr="00151502">
              <w:t>BIMEKIZUMAB</w:t>
            </w:r>
          </w:p>
          <w:p w14:paraId="2DB26236" w14:textId="5CAA0846" w:rsidR="000F47A5" w:rsidRPr="00151502" w:rsidRDefault="000F47A5" w:rsidP="000F47A5">
            <w:pPr>
              <w:pStyle w:val="Tabletext"/>
            </w:pPr>
            <w:r w:rsidRPr="00151502">
              <w:t xml:space="preserve">160 mg in 1mL pre-filled </w:t>
            </w:r>
            <w:r>
              <w:t>pen</w:t>
            </w:r>
            <w:r w:rsidRPr="00151502">
              <w:t xml:space="preserve"> (initial and continuing)</w:t>
            </w:r>
          </w:p>
        </w:tc>
        <w:tc>
          <w:tcPr>
            <w:tcW w:w="609" w:type="pct"/>
            <w:shd w:val="clear" w:color="auto" w:fill="C6D9F1" w:themeFill="text2" w:themeFillTint="33"/>
            <w:vAlign w:val="center"/>
          </w:tcPr>
          <w:p w14:paraId="2F6E74AE" w14:textId="32E48B72" w:rsidR="000F47A5" w:rsidRPr="00151502" w:rsidRDefault="000F47A5" w:rsidP="000F47A5">
            <w:pPr>
              <w:pStyle w:val="Tabletext"/>
              <w:jc w:val="center"/>
            </w:pPr>
            <w:r w:rsidRPr="00151502">
              <w:t>1</w:t>
            </w:r>
          </w:p>
        </w:tc>
        <w:tc>
          <w:tcPr>
            <w:tcW w:w="695" w:type="pct"/>
            <w:shd w:val="clear" w:color="auto" w:fill="C6D9F1" w:themeFill="text2" w:themeFillTint="33"/>
            <w:vAlign w:val="center"/>
          </w:tcPr>
          <w:p w14:paraId="3B7F007E" w14:textId="04C65F7F" w:rsidR="000F47A5" w:rsidRPr="00151502" w:rsidRDefault="000F47A5" w:rsidP="000F47A5">
            <w:pPr>
              <w:pStyle w:val="Tabletext"/>
              <w:jc w:val="center"/>
            </w:pPr>
            <w:r w:rsidRPr="00151502">
              <w:t>2</w:t>
            </w:r>
          </w:p>
        </w:tc>
        <w:tc>
          <w:tcPr>
            <w:tcW w:w="603" w:type="pct"/>
            <w:vAlign w:val="center"/>
          </w:tcPr>
          <w:p w14:paraId="494A3EC3" w14:textId="3A7AA450" w:rsidR="000F47A5" w:rsidRDefault="000F47A5" w:rsidP="000F47A5">
            <w:pPr>
              <w:pStyle w:val="Tabletext"/>
              <w:jc w:val="center"/>
            </w:pPr>
            <w:r w:rsidRPr="00014FD4">
              <w:rPr>
                <w:shd w:val="clear" w:color="auto" w:fill="C6D9F1" w:themeFill="text2" w:themeFillTint="33"/>
              </w:rPr>
              <w:t>Initial: 5</w:t>
            </w:r>
          </w:p>
          <w:p w14:paraId="1242ADFB" w14:textId="40569E73" w:rsidR="000F47A5" w:rsidRPr="00014FD4" w:rsidRDefault="000F47A5" w:rsidP="000F47A5">
            <w:pPr>
              <w:pStyle w:val="Tabletext"/>
              <w:jc w:val="center"/>
              <w:rPr>
                <w:shd w:val="clear" w:color="auto" w:fill="C6D9F1" w:themeFill="text2" w:themeFillTint="33"/>
              </w:rPr>
            </w:pPr>
            <w:r>
              <w:rPr>
                <w:shd w:val="clear" w:color="auto" w:fill="C6D9F1" w:themeFill="text2" w:themeFillTint="33"/>
              </w:rPr>
              <w:t xml:space="preserve">Continuing: </w:t>
            </w:r>
            <w:r w:rsidRPr="00413155">
              <w:rPr>
                <w:shd w:val="clear" w:color="auto" w:fill="C6D9F1" w:themeFill="text2" w:themeFillTint="33"/>
              </w:rPr>
              <w:t>2</w:t>
            </w:r>
          </w:p>
        </w:tc>
        <w:tc>
          <w:tcPr>
            <w:tcW w:w="867" w:type="pct"/>
            <w:vAlign w:val="center"/>
          </w:tcPr>
          <w:p w14:paraId="560972EC" w14:textId="317E244D" w:rsidR="000F47A5" w:rsidRDefault="000F47A5" w:rsidP="000F47A5">
            <w:pPr>
              <w:pStyle w:val="Tabletext"/>
              <w:jc w:val="center"/>
            </w:pPr>
            <w:r w:rsidRPr="000018A5">
              <w:t>$3,908.</w:t>
            </w:r>
            <w:r w:rsidR="003373DF" w:rsidRPr="000018A5">
              <w:t>94</w:t>
            </w:r>
            <w:r w:rsidR="003373DF">
              <w:rPr>
                <w:vertAlign w:val="superscript"/>
              </w:rPr>
              <w:t>1</w:t>
            </w:r>
            <w:r w:rsidR="003373DF" w:rsidRPr="000018A5">
              <w:t xml:space="preserve"> </w:t>
            </w:r>
            <w:r w:rsidRPr="000018A5">
              <w:t>published price</w:t>
            </w:r>
          </w:p>
          <w:p w14:paraId="438ABD12" w14:textId="3C564AC5" w:rsidR="000F47A5" w:rsidRDefault="000F47A5" w:rsidP="000F47A5">
            <w:pPr>
              <w:pStyle w:val="Tabletext"/>
              <w:jc w:val="center"/>
            </w:pPr>
            <w:r>
              <w:t>$</w:t>
            </w:r>
            <w:r w:rsidR="004E39DC" w:rsidRPr="004E39DC">
              <w:rPr>
                <w:color w:val="000000"/>
                <w:spacing w:val="160"/>
                <w:shd w:val="solid" w:color="000000" w:fill="000000"/>
                <w:fitText w:val="246" w:id="-1233430271"/>
                <w14:textFill>
                  <w14:solidFill>
                    <w14:srgbClr w14:val="000000">
                      <w14:alpha w14:val="100000"/>
                    </w14:srgbClr>
                  </w14:solidFill>
                </w14:textFill>
              </w:rPr>
              <w:t>|</w:t>
            </w:r>
            <w:r w:rsidR="004E39DC" w:rsidRPr="004E39DC">
              <w:rPr>
                <w:color w:val="000000"/>
                <w:spacing w:val="1"/>
                <w:shd w:val="solid" w:color="000000" w:fill="000000"/>
                <w:fitText w:val="246" w:id="-1233430271"/>
                <w14:textFill>
                  <w14:solidFill>
                    <w14:srgbClr w14:val="000000">
                      <w14:alpha w14:val="100000"/>
                    </w14:srgbClr>
                  </w14:solidFill>
                </w14:textFill>
              </w:rPr>
              <w:t>|</w:t>
            </w:r>
          </w:p>
          <w:p w14:paraId="23191F3F" w14:textId="3C84469D" w:rsidR="000F47A5" w:rsidRPr="000018A5" w:rsidRDefault="000F47A5" w:rsidP="000F47A5">
            <w:pPr>
              <w:pStyle w:val="Tabletext"/>
              <w:jc w:val="center"/>
            </w:pPr>
            <w:r>
              <w:t>effective price</w:t>
            </w:r>
          </w:p>
        </w:tc>
        <w:tc>
          <w:tcPr>
            <w:tcW w:w="921" w:type="pct"/>
            <w:shd w:val="clear" w:color="auto" w:fill="C6D9F1" w:themeFill="text2" w:themeFillTint="33"/>
            <w:vAlign w:val="center"/>
          </w:tcPr>
          <w:p w14:paraId="15D07C0C" w14:textId="3995BE2A" w:rsidR="000F47A5" w:rsidRPr="00151502" w:rsidRDefault="000F47A5" w:rsidP="000F47A5">
            <w:pPr>
              <w:pStyle w:val="Tabletext"/>
              <w:jc w:val="center"/>
            </w:pPr>
            <w:r w:rsidRPr="00151502">
              <w:t>Bimzelx</w:t>
            </w:r>
            <w:r w:rsidRPr="00151502">
              <w:rPr>
                <w:vertAlign w:val="superscript"/>
              </w:rPr>
              <w:t>®</w:t>
            </w:r>
            <w:r w:rsidRPr="00151502">
              <w:t>, UCB Australia</w:t>
            </w:r>
          </w:p>
        </w:tc>
      </w:tr>
    </w:tbl>
    <w:p w14:paraId="70195544" w14:textId="77777777" w:rsidR="00CF4770" w:rsidRDefault="00E249B1" w:rsidP="00CF4770">
      <w:pPr>
        <w:pStyle w:val="TableFigureFooter"/>
        <w:rPr>
          <w:rStyle w:val="CommentReference"/>
          <w:b w:val="0"/>
          <w:bCs/>
          <w:sz w:val="18"/>
          <w:szCs w:val="18"/>
        </w:rPr>
      </w:pPr>
      <w:r w:rsidRPr="00CF3306">
        <w:rPr>
          <w:rStyle w:val="CommentReference"/>
          <w:b w:val="0"/>
          <w:bCs/>
          <w:sz w:val="18"/>
          <w:szCs w:val="18"/>
          <w:shd w:val="clear" w:color="auto" w:fill="B8CCE4" w:themeFill="accent1" w:themeFillTint="66"/>
        </w:rPr>
        <w:t xml:space="preserve">Blue </w:t>
      </w:r>
      <w:r w:rsidRPr="00CF3306">
        <w:rPr>
          <w:rStyle w:val="CommentReference"/>
          <w:b w:val="0"/>
          <w:bCs/>
          <w:sz w:val="18"/>
          <w:szCs w:val="18"/>
        </w:rPr>
        <w:t xml:space="preserve">shading indicates data previously seen by the PBAC. </w:t>
      </w:r>
    </w:p>
    <w:p w14:paraId="657AD44A" w14:textId="34CFE6E8" w:rsidR="00CF4770" w:rsidRDefault="00CF4770" w:rsidP="00CF4770">
      <w:pPr>
        <w:pStyle w:val="TableFigureFooter"/>
      </w:pPr>
      <w:r w:rsidRPr="00151502">
        <w:t>Source: Table 1-</w:t>
      </w:r>
      <w:r w:rsidR="000F47A5">
        <w:t>9</w:t>
      </w:r>
      <w:r w:rsidRPr="00151502">
        <w:t>, p5</w:t>
      </w:r>
      <w:r w:rsidR="000F47A5">
        <w:t>7</w:t>
      </w:r>
      <w:r w:rsidRPr="00151502">
        <w:t xml:space="preserve"> of the </w:t>
      </w:r>
      <w:r w:rsidR="00C521FB">
        <w:t xml:space="preserve">current </w:t>
      </w:r>
      <w:r w:rsidRPr="00151502">
        <w:t>submission.</w:t>
      </w:r>
    </w:p>
    <w:p w14:paraId="24BA56D8" w14:textId="6FB54C88" w:rsidR="00CF4770" w:rsidRPr="00693823" w:rsidRDefault="003373DF" w:rsidP="00CF4770">
      <w:pPr>
        <w:pStyle w:val="TableFigureFooter"/>
        <w:rPr>
          <w:bCs/>
          <w:szCs w:val="18"/>
        </w:rPr>
      </w:pPr>
      <w:r>
        <w:t>1</w:t>
      </w:r>
      <w:r w:rsidR="00393CE5">
        <w:tab/>
      </w:r>
      <w:r w:rsidR="00CF4770" w:rsidRPr="00693823">
        <w:t xml:space="preserve">The </w:t>
      </w:r>
      <w:r w:rsidR="00C6357A" w:rsidRPr="00693823">
        <w:t>current submission</w:t>
      </w:r>
      <w:r w:rsidR="00CF4770" w:rsidRPr="00693823">
        <w:t xml:space="preserve"> requested the same published AEMP ($3747.66) as the original submission, but a slight change in the pharmacy mark ups resulted in a slightly different published DMPQ.</w:t>
      </w:r>
    </w:p>
    <w:p w14:paraId="49E93E45" w14:textId="206717FB" w:rsidR="00512D97" w:rsidRPr="00693823" w:rsidRDefault="00512D97" w:rsidP="00512D97">
      <w:pPr>
        <w:pStyle w:val="3-BodyText"/>
      </w:pPr>
      <w:r w:rsidRPr="005D05E7">
        <w:t xml:space="preserve">The </w:t>
      </w:r>
      <w:r>
        <w:t xml:space="preserve">current submission </w:t>
      </w:r>
      <w:r w:rsidRPr="005D05E7">
        <w:t>requested a Special Pricing Arrangement, with a published AEMP of $3,747.66 (DPMQ of $3,908.94) and an effective AEMP of $</w:t>
      </w:r>
      <w:r w:rsidR="004E39DC" w:rsidRPr="004E39DC">
        <w:rPr>
          <w:color w:val="000000"/>
          <w:w w:val="24"/>
          <w:shd w:val="solid" w:color="000000" w:fill="000000"/>
          <w:fitText w:val="80" w:id="-1233430270"/>
          <w14:textFill>
            <w14:solidFill>
              <w14:srgbClr w14:val="000000">
                <w14:alpha w14:val="100000"/>
              </w14:srgbClr>
            </w14:solidFill>
          </w14:textFill>
        </w:rPr>
        <w:t xml:space="preserve">|  </w:t>
      </w:r>
      <w:r w:rsidR="004E39DC" w:rsidRPr="004E39DC">
        <w:rPr>
          <w:color w:val="000000"/>
          <w:spacing w:val="1"/>
          <w:w w:val="24"/>
          <w:shd w:val="solid" w:color="000000" w:fill="000000"/>
          <w:fitText w:val="80" w:id="-1233430270"/>
          <w14:textFill>
            <w14:solidFill>
              <w14:srgbClr w14:val="000000">
                <w14:alpha w14:val="100000"/>
              </w14:srgbClr>
            </w14:solidFill>
          </w14:textFill>
        </w:rPr>
        <w:t>|</w:t>
      </w:r>
      <w:r w:rsidRPr="005D05E7">
        <w:t xml:space="preserve"> (DMPQ of $</w:t>
      </w:r>
      <w:r w:rsidR="004E39DC" w:rsidRPr="004E39DC">
        <w:rPr>
          <w:color w:val="000000"/>
          <w:w w:val="24"/>
          <w:shd w:val="solid" w:color="000000" w:fill="000000"/>
          <w:fitText w:val="80" w:id="-1233430269"/>
          <w14:textFill>
            <w14:solidFill>
              <w14:srgbClr w14:val="000000">
                <w14:alpha w14:val="100000"/>
              </w14:srgbClr>
            </w14:solidFill>
          </w14:textFill>
        </w:rPr>
        <w:t xml:space="preserve">|  </w:t>
      </w:r>
      <w:r w:rsidR="004E39DC" w:rsidRPr="004E39DC">
        <w:rPr>
          <w:color w:val="000000"/>
          <w:spacing w:val="1"/>
          <w:w w:val="24"/>
          <w:shd w:val="solid" w:color="000000" w:fill="000000"/>
          <w:fitText w:val="80" w:id="-1233430269"/>
          <w14:textFill>
            <w14:solidFill>
              <w14:srgbClr w14:val="000000">
                <w14:alpha w14:val="100000"/>
              </w14:srgbClr>
            </w14:solidFill>
          </w14:textFill>
        </w:rPr>
        <w:t>|</w:t>
      </w:r>
      <w:r w:rsidRPr="005D05E7">
        <w:t xml:space="preserve">). </w:t>
      </w:r>
    </w:p>
    <w:p w14:paraId="4077F622" w14:textId="1CA9DAFF" w:rsidR="0021347A" w:rsidRPr="005D05E7" w:rsidRDefault="005D05E7" w:rsidP="00F61348">
      <w:pPr>
        <w:pStyle w:val="3-BodyText"/>
        <w:rPr>
          <w:i/>
          <w:iCs/>
        </w:rPr>
      </w:pPr>
      <w:r w:rsidRPr="005D05E7">
        <w:t xml:space="preserve">The </w:t>
      </w:r>
      <w:r w:rsidR="00F61348">
        <w:t xml:space="preserve">current </w:t>
      </w:r>
      <w:r w:rsidRPr="005D05E7">
        <w:t>submission</w:t>
      </w:r>
      <w:r>
        <w:t xml:space="preserve"> referred to restrictions in the March 2022 </w:t>
      </w:r>
      <w:r w:rsidR="00C16E6F">
        <w:t xml:space="preserve">PSD </w:t>
      </w:r>
      <w:r>
        <w:t xml:space="preserve">which were not </w:t>
      </w:r>
      <w:r w:rsidRPr="005D05E7">
        <w:t xml:space="preserve">reproduced for the sake of brevity. </w:t>
      </w:r>
    </w:p>
    <w:p w14:paraId="670E024F" w14:textId="35C246BF" w:rsidR="00312317" w:rsidRPr="00693823" w:rsidRDefault="002226BC" w:rsidP="00312317">
      <w:pPr>
        <w:pStyle w:val="3-BodyText"/>
        <w:rPr>
          <w:iCs/>
        </w:rPr>
      </w:pPr>
      <w:r w:rsidRPr="00006029">
        <w:t xml:space="preserve">The </w:t>
      </w:r>
      <w:r w:rsidR="00C521FB">
        <w:t xml:space="preserve">current </w:t>
      </w:r>
      <w:r w:rsidRPr="00006029">
        <w:t xml:space="preserve">submission stated that the initial treatment period requested is 24 weeks and the maintenance period requested is 24 weeks. </w:t>
      </w:r>
      <w:r w:rsidR="00312317" w:rsidRPr="00693823">
        <w:rPr>
          <w:iCs/>
        </w:rPr>
        <w:t>It was noted that for patients with body weight ≥ 120 kg, more frequent dosing of BKZ after Week 16 may be considered (i.e., dosing every 4 weeks rather than every 8 weeks), requiring 3 additional doses of BKZ during maintenance (i.e., total 6 doses</w:t>
      </w:r>
      <w:r w:rsidR="007E4379" w:rsidRPr="00693823">
        <w:rPr>
          <w:iCs/>
        </w:rPr>
        <w:t xml:space="preserve"> rather than the 3 requested).</w:t>
      </w:r>
    </w:p>
    <w:p w14:paraId="120D0E47" w14:textId="30B5DE71" w:rsidR="00312317" w:rsidRDefault="00312317" w:rsidP="005A07BB">
      <w:pPr>
        <w:pStyle w:val="3-BodyText"/>
        <w:rPr>
          <w:iCs/>
        </w:rPr>
      </w:pPr>
      <w:r w:rsidRPr="00693823">
        <w:rPr>
          <w:iCs/>
        </w:rPr>
        <w:t xml:space="preserve">The </w:t>
      </w:r>
      <w:r w:rsidR="00C521FB" w:rsidRPr="00693823">
        <w:rPr>
          <w:iCs/>
        </w:rPr>
        <w:t xml:space="preserve">current </w:t>
      </w:r>
      <w:r w:rsidRPr="00693823">
        <w:rPr>
          <w:iCs/>
        </w:rPr>
        <w:t>submission acknowledged that the ‘PBAC considered the number of initial repeats should be reduced from 5 to 4, such that the first continuing dose is given in week 24, after the response to treatment has been assessed following the dose in week 16’ (paragraph 7.4, BKZ PSD, March 2022 PBAC meeting), and stated that these amendments had been considered.</w:t>
      </w:r>
      <w:r w:rsidR="003373DF">
        <w:rPr>
          <w:iCs/>
        </w:rPr>
        <w:t xml:space="preserve"> However</w:t>
      </w:r>
      <w:r w:rsidRPr="00693823">
        <w:rPr>
          <w:iCs/>
        </w:rPr>
        <w:t xml:space="preserve">, the requested number of repeats for initial treatment in the </w:t>
      </w:r>
      <w:r w:rsidR="00C6357A" w:rsidRPr="00693823">
        <w:rPr>
          <w:iCs/>
        </w:rPr>
        <w:t>current submission</w:t>
      </w:r>
      <w:r w:rsidRPr="00693823">
        <w:rPr>
          <w:iCs/>
        </w:rPr>
        <w:t xml:space="preserve"> remain unchanged, providing up to 32 weeks of initial treatment with BKZ.</w:t>
      </w:r>
      <w:r w:rsidR="003373DF">
        <w:rPr>
          <w:iCs/>
        </w:rPr>
        <w:t xml:space="preserve"> The PBAC reiterated its previous consideration that the number of initial repeats be reduced to 4. </w:t>
      </w:r>
    </w:p>
    <w:p w14:paraId="4C236FCA" w14:textId="744FF7A2" w:rsidR="003373DF" w:rsidRPr="003373DF" w:rsidRDefault="003373DF" w:rsidP="003373DF">
      <w:pPr>
        <w:pStyle w:val="3-BodyText"/>
        <w:numPr>
          <w:ilvl w:val="0"/>
          <w:numId w:val="0"/>
        </w:numPr>
        <w:ind w:left="510" w:firstLine="170"/>
        <w:rPr>
          <w:i/>
        </w:rPr>
      </w:pPr>
      <w:r w:rsidRPr="003373DF">
        <w:rPr>
          <w:i/>
        </w:rPr>
        <w:t>For more detail on PBAC’s view, see section 7 PBAC outcome.</w:t>
      </w:r>
    </w:p>
    <w:p w14:paraId="7075B85C" w14:textId="62A47B7B" w:rsidR="00B50DB8" w:rsidRPr="00407F2D" w:rsidDel="00195452" w:rsidRDefault="00203181" w:rsidP="004E18E9">
      <w:pPr>
        <w:pStyle w:val="2-SectionHeading"/>
      </w:pPr>
      <w:bookmarkStart w:id="11" w:name="_Toc124838625"/>
      <w:r w:rsidDel="00195452">
        <w:t xml:space="preserve">Population and </w:t>
      </w:r>
      <w:r w:rsidR="008E0D3C" w:rsidDel="00195452">
        <w:t>d</w:t>
      </w:r>
      <w:r w:rsidDel="00195452">
        <w:t>isease</w:t>
      </w:r>
      <w:bookmarkEnd w:id="11"/>
    </w:p>
    <w:p w14:paraId="7BF13FD3" w14:textId="77777777" w:rsidR="00E31617" w:rsidRPr="00795BAB" w:rsidRDefault="008874BE" w:rsidP="00E31617">
      <w:pPr>
        <w:pStyle w:val="3-BodyText"/>
      </w:pPr>
      <w:r w:rsidRPr="00151502">
        <w:rPr>
          <w:lang w:eastAsia="en-US"/>
        </w:rPr>
        <w:t xml:space="preserve">Psoriasis manifests as chronic inflammation of the skin, characterised by disfiguring, scaling and erythematous plaques that may be painful and severely pruritic and may cause significant reductions in quality of life (QoL). </w:t>
      </w:r>
      <w:r w:rsidR="00CE4864" w:rsidRPr="00CE4864">
        <w:rPr>
          <w:szCs w:val="22"/>
          <w:lang w:eastAsia="en-US"/>
        </w:rPr>
        <w:t xml:space="preserve">There are no universally accepted </w:t>
      </w:r>
      <w:r w:rsidR="00CE4864" w:rsidRPr="00CE4864">
        <w:rPr>
          <w:szCs w:val="22"/>
          <w:lang w:eastAsia="en-US"/>
        </w:rPr>
        <w:lastRenderedPageBreak/>
        <w:t xml:space="preserve">definitions of mild, moderate and severe disease, and severity can be measured by several indicators, including the Psoriasis Area Severity Index (PASI), the extent of body surface affected (BSA) and the impact of the condition on patients’ QoL, commonly measured by the </w:t>
      </w:r>
      <w:r w:rsidR="00CE4864" w:rsidRPr="00795BAB">
        <w:rPr>
          <w:szCs w:val="22"/>
          <w:lang w:eastAsia="en-US"/>
        </w:rPr>
        <w:t>Dermatology Life Quality Index (DLQI).</w:t>
      </w:r>
    </w:p>
    <w:p w14:paraId="3EA56C4A" w14:textId="77777777" w:rsidR="00312317" w:rsidRPr="00795BAB" w:rsidRDefault="00E31617" w:rsidP="00E31617">
      <w:pPr>
        <w:pStyle w:val="3-BodyText"/>
      </w:pPr>
      <w:r w:rsidRPr="00795BAB">
        <w:rPr>
          <w:szCs w:val="22"/>
          <w:lang w:eastAsia="en-US"/>
        </w:rPr>
        <w:t xml:space="preserve">The proposed population for BKZ is the same as that for other PBS-listed bDMARDs for this condition: patients with severe CPP who have failed to achieve an adequate response with at least two therapies </w:t>
      </w:r>
      <w:r w:rsidRPr="00795BAB">
        <w:rPr>
          <w:lang w:eastAsia="en-US"/>
        </w:rPr>
        <w:t>including methotrexate, cyclosporine, acitretin, apremilast or phototherapy (either UVB or PUVA)</w:t>
      </w:r>
      <w:r w:rsidRPr="00795BAB">
        <w:rPr>
          <w:szCs w:val="22"/>
          <w:lang w:eastAsia="en-US"/>
        </w:rPr>
        <w:t xml:space="preserve">. </w:t>
      </w:r>
    </w:p>
    <w:p w14:paraId="4B4E7C03" w14:textId="6C6398AA" w:rsidR="00312317" w:rsidRPr="00312317" w:rsidRDefault="00E31617" w:rsidP="004C3BD1">
      <w:pPr>
        <w:pStyle w:val="3-BodyText"/>
        <w:numPr>
          <w:ilvl w:val="0"/>
          <w:numId w:val="18"/>
        </w:numPr>
        <w:ind w:left="1080" w:hanging="360"/>
        <w:rPr>
          <w:lang w:eastAsia="en-US"/>
        </w:rPr>
      </w:pPr>
      <w:r w:rsidRPr="00312317">
        <w:rPr>
          <w:lang w:eastAsia="en-US"/>
        </w:rPr>
        <w:t>For whole body disease, patients must have a PASI score &gt; 15 for an initial course of bDMARD treatment. Continuing treatment is conditional on patients achieving and maintaining a 75% reduction in the PASI score at baseline (i.e.</w:t>
      </w:r>
      <w:r w:rsidR="00D46B15">
        <w:rPr>
          <w:lang w:eastAsia="en-US"/>
        </w:rPr>
        <w:t>,</w:t>
      </w:r>
      <w:r w:rsidRPr="00312317">
        <w:rPr>
          <w:lang w:eastAsia="en-US"/>
        </w:rPr>
        <w:t xml:space="preserve"> PASI 75 response). </w:t>
      </w:r>
    </w:p>
    <w:p w14:paraId="1DBA96A2" w14:textId="72E51128" w:rsidR="00DA3ED0" w:rsidRPr="00006029" w:rsidRDefault="00E31617" w:rsidP="004C3BD1">
      <w:pPr>
        <w:pStyle w:val="3-BodyText"/>
        <w:numPr>
          <w:ilvl w:val="0"/>
          <w:numId w:val="18"/>
        </w:numPr>
        <w:ind w:left="1080" w:hanging="360"/>
      </w:pPr>
      <w:r w:rsidRPr="00312317">
        <w:rPr>
          <w:szCs w:val="22"/>
          <w:lang w:eastAsia="en-US"/>
        </w:rPr>
        <w:t xml:space="preserve">For CPP affecting the face, hand or foot, patients must have </w:t>
      </w:r>
      <w:r w:rsidRPr="00312317">
        <w:t xml:space="preserve">2 of 3 PASI symptom sub-scores for erythema, thickness or scaling rated as ‘severe’ or ‘very severe’, or the skin affected is more than 30% of the face, palm of hand </w:t>
      </w:r>
      <w:r>
        <w:t xml:space="preserve">or sole of foot. Continuing </w:t>
      </w:r>
      <w:r w:rsidRPr="00006029">
        <w:t>treatment is conditional on patients achieving and maintain and adequate response, defined as all 3 PASI sub-scores for erythema, thickness or scaling rated as ‘slight’ or ‘better’, or a 75% reduction in the skin area affected compared to baseline.</w:t>
      </w:r>
    </w:p>
    <w:p w14:paraId="51834915" w14:textId="4B413287" w:rsidR="002E5BE1" w:rsidRPr="00006029" w:rsidRDefault="002E5BE1" w:rsidP="002A4286">
      <w:pPr>
        <w:pStyle w:val="3-BodyText"/>
      </w:pPr>
      <w:r w:rsidRPr="00006029">
        <w:t xml:space="preserve">Consistent with the original submission, the </w:t>
      </w:r>
      <w:r w:rsidR="00C6357A">
        <w:t>current submission</w:t>
      </w:r>
      <w:r w:rsidRPr="00006029">
        <w:t xml:space="preserve"> argued that with the availability of newer treatments, the new ‘gold standard’ should be PASI 90 and claimed that this has been recommended in recent international guidelines. The </w:t>
      </w:r>
      <w:r w:rsidR="00C6357A">
        <w:t>current submission</w:t>
      </w:r>
      <w:r w:rsidRPr="00006029">
        <w:t xml:space="preserve"> also cited literature reporting higher </w:t>
      </w:r>
      <w:r w:rsidR="002A4286">
        <w:t xml:space="preserve">health related </w:t>
      </w:r>
      <w:r w:rsidRPr="00006029">
        <w:t>QoL, improved work productivity, reduced indirect costs and cost savings from reduced use of topical treatments, dose escalation and treatment switching for those who achieve PASI 90 or PASI 100.</w:t>
      </w:r>
    </w:p>
    <w:p w14:paraId="5BAF1269" w14:textId="4F64494B" w:rsidR="002E5BE1" w:rsidRDefault="006166EE" w:rsidP="002A4286">
      <w:pPr>
        <w:pStyle w:val="3-BodyText"/>
      </w:pPr>
      <w:r>
        <w:t>In March 2022, t</w:t>
      </w:r>
      <w:r w:rsidR="002E5BE1" w:rsidRPr="002E5BE1">
        <w:t xml:space="preserve">he </w:t>
      </w:r>
      <w:r>
        <w:t xml:space="preserve">ESC </w:t>
      </w:r>
      <w:r w:rsidR="002E5BE1">
        <w:t xml:space="preserve">considered </w:t>
      </w:r>
      <w:r w:rsidR="002E5BE1" w:rsidRPr="002E5BE1">
        <w:t xml:space="preserve">that whilst it is appropriate for treatment goals to change over time, also considered PASI 75 remained a relevant outcome, particularly in the context of this outcome being the primary outcome considered for previous bDMARD submissions for CPP. Furthermore, the ESC </w:t>
      </w:r>
      <w:r w:rsidR="00D46B15">
        <w:t xml:space="preserve">in March 2022 </w:t>
      </w:r>
      <w:r w:rsidR="002E5BE1" w:rsidRPr="002E5BE1">
        <w:t>noted PASI 75 remained a key clinical outcome when considering whether to continue treatment with a bDMARD</w:t>
      </w:r>
      <w:r>
        <w:t>.</w:t>
      </w:r>
      <w:r w:rsidR="002E5BE1" w:rsidRPr="002E5BE1">
        <w:t xml:space="preserve"> </w:t>
      </w:r>
      <w:r>
        <w:rPr>
          <w:rFonts w:cstheme="minorHAnsi"/>
        </w:rPr>
        <w:t xml:space="preserve">The </w:t>
      </w:r>
      <w:r w:rsidR="002E5BE1" w:rsidRPr="00BD6611">
        <w:rPr>
          <w:rFonts w:cstheme="minorHAnsi"/>
        </w:rPr>
        <w:t>literature suggest</w:t>
      </w:r>
      <w:r>
        <w:rPr>
          <w:rFonts w:cstheme="minorHAnsi"/>
        </w:rPr>
        <w:t xml:space="preserve">ed </w:t>
      </w:r>
      <w:r w:rsidR="002E5BE1" w:rsidRPr="005E1561">
        <w:rPr>
          <w:rFonts w:cstheme="minorHAnsi"/>
        </w:rPr>
        <w:t xml:space="preserve">the </w:t>
      </w:r>
      <w:r w:rsidR="002E5BE1">
        <w:rPr>
          <w:rFonts w:cstheme="minorHAnsi"/>
        </w:rPr>
        <w:t xml:space="preserve">QoL </w:t>
      </w:r>
      <w:r w:rsidR="002E5BE1" w:rsidRPr="005E1561">
        <w:rPr>
          <w:rFonts w:cstheme="minorHAnsi"/>
        </w:rPr>
        <w:t>difference between PASI 75 and PASI 90 may not be clinically significant</w:t>
      </w:r>
      <w:r w:rsidRPr="006166EE">
        <w:t xml:space="preserve"> </w:t>
      </w:r>
      <w:r w:rsidRPr="002E5BE1">
        <w:t>(paragraph</w:t>
      </w:r>
      <w:r>
        <w:t>s</w:t>
      </w:r>
      <w:r w:rsidRPr="002E5BE1">
        <w:t xml:space="preserve"> 6.5,</w:t>
      </w:r>
      <w:r>
        <w:t xml:space="preserve"> 6.6,</w:t>
      </w:r>
      <w:r w:rsidRPr="002E5BE1">
        <w:t xml:space="preserve"> BKZ PSD, March 2022 PBAC meeting).</w:t>
      </w:r>
    </w:p>
    <w:p w14:paraId="765556B5" w14:textId="7B00FD13" w:rsidR="006166EE" w:rsidRDefault="006166EE" w:rsidP="006166EE">
      <w:pPr>
        <w:pStyle w:val="3-BodyText"/>
      </w:pPr>
      <w:r w:rsidRPr="006166EE">
        <w:t xml:space="preserve">The </w:t>
      </w:r>
      <w:r w:rsidR="00C521FB">
        <w:t xml:space="preserve">current </w:t>
      </w:r>
      <w:r w:rsidRPr="006166EE">
        <w:t>submission reiterated that the ultimate goal of therapy is clear skin and presented results from a sponsor-commissioned survey of Australian dermatologists asked about treatment targets (Elbow 2022). Nine of 47 invited dermatologists completed the survey, which indicated that the single most desired outcome is complete clearance and all respondents indicated they aimed for at least PASI 90 response</w:t>
      </w:r>
      <w:r>
        <w:t xml:space="preserve">. </w:t>
      </w:r>
    </w:p>
    <w:p w14:paraId="2D43E40C" w14:textId="77777777" w:rsidR="004C3BD1" w:rsidRDefault="00C6349E" w:rsidP="004C3BD1">
      <w:pPr>
        <w:pStyle w:val="3-BodyText"/>
      </w:pPr>
      <w:r w:rsidRPr="00C6349E">
        <w:lastRenderedPageBreak/>
        <w:t xml:space="preserve">The </w:t>
      </w:r>
      <w:r w:rsidR="00C521FB">
        <w:t xml:space="preserve">current </w:t>
      </w:r>
      <w:r w:rsidRPr="00C6349E">
        <w:t>submission also presented results from three case studies that highlight the ‘life changing’ benefits of achieving complete skin clearance, and emphasised that patients with CPP in high impact areas (scalp, face, genitalia, palms of hands, soles of feet) experience the greatest improvement in quality of life with clear skin given these areas are of most concern to patients.</w:t>
      </w:r>
      <w:r w:rsidR="00EA48D9">
        <w:t xml:space="preserve"> </w:t>
      </w:r>
      <w:r w:rsidR="00EA48D9" w:rsidRPr="00EA48D9">
        <w:t xml:space="preserve">The </w:t>
      </w:r>
      <w:r w:rsidR="00C521FB">
        <w:t xml:space="preserve">current </w:t>
      </w:r>
      <w:r w:rsidR="00EA48D9" w:rsidRPr="00EA48D9">
        <w:t>submission stated that psoriasis affecting the scalp, nails, palms and soles can cause significant physical impairment and negatively impact quality of life, and clearance of disease in these areas is clinically important.</w:t>
      </w:r>
    </w:p>
    <w:p w14:paraId="48AA9D63" w14:textId="11C0D1F8" w:rsidR="004C3BD1" w:rsidRPr="004C3BD1" w:rsidRDefault="004C3BD1" w:rsidP="004C3BD1">
      <w:pPr>
        <w:pStyle w:val="3-BodyText"/>
        <w:numPr>
          <w:ilvl w:val="0"/>
          <w:numId w:val="0"/>
        </w:numPr>
        <w:ind w:left="720"/>
        <w:rPr>
          <w:i/>
          <w:iCs/>
        </w:rPr>
      </w:pPr>
      <w:r w:rsidRPr="004C3BD1">
        <w:rPr>
          <w:i/>
          <w:iCs/>
        </w:rPr>
        <w:t>For more detail on PBAC’s view, see section 7 PBAC outcome.</w:t>
      </w:r>
    </w:p>
    <w:p w14:paraId="51E5AE96" w14:textId="136A63B1" w:rsidR="00B50DB8" w:rsidRPr="0031682F" w:rsidRDefault="00B50DB8" w:rsidP="004E18E9">
      <w:pPr>
        <w:pStyle w:val="2-SectionHeading"/>
      </w:pPr>
      <w:bookmarkStart w:id="12" w:name="_Toc124838626"/>
      <w:r w:rsidRPr="0031682F">
        <w:t>Comparator</w:t>
      </w:r>
      <w:bookmarkEnd w:id="12"/>
    </w:p>
    <w:p w14:paraId="616FC2EF" w14:textId="642FE09F" w:rsidR="00C92590" w:rsidRPr="00C92590" w:rsidRDefault="00C92590" w:rsidP="00C92590">
      <w:pPr>
        <w:pStyle w:val="3-BodyText"/>
        <w:rPr>
          <w:snapToGrid/>
          <w:lang w:val="en-US"/>
        </w:rPr>
      </w:pPr>
      <w:r w:rsidRPr="0031682F">
        <w:t xml:space="preserve">The </w:t>
      </w:r>
      <w:r w:rsidR="00C521FB">
        <w:t xml:space="preserve">current </w:t>
      </w:r>
      <w:r w:rsidRPr="0031682F">
        <w:t xml:space="preserve">submission nominated all current PBS-listed bDMARDs as the main comparators. </w:t>
      </w:r>
    </w:p>
    <w:p w14:paraId="58C0F26A" w14:textId="5208984B" w:rsidR="00B27FA0" w:rsidRDefault="00B27FA0" w:rsidP="00B27FA0">
      <w:pPr>
        <w:pStyle w:val="3-BodyText"/>
        <w:rPr>
          <w:iCs/>
          <w:snapToGrid/>
        </w:rPr>
      </w:pPr>
      <w:r>
        <w:rPr>
          <w:iCs/>
          <w:snapToGrid/>
        </w:rPr>
        <w:t xml:space="preserve">If </w:t>
      </w:r>
      <w:r w:rsidRPr="000B4AC7">
        <w:rPr>
          <w:iCs/>
          <w:snapToGrid/>
        </w:rPr>
        <w:t xml:space="preserve">treatment with BKZ is proposed to be </w:t>
      </w:r>
      <w:r w:rsidR="003373DF">
        <w:rPr>
          <w:iCs/>
          <w:snapToGrid/>
        </w:rPr>
        <w:t xml:space="preserve">substantially </w:t>
      </w:r>
      <w:r w:rsidRPr="000B4AC7">
        <w:rPr>
          <w:iCs/>
          <w:snapToGrid/>
        </w:rPr>
        <w:t>more costly than any of the alternative therapies, the PBAC could only recommend listing BKZ if it is satisfied that BKZ provides, for some patients, a significant improvement in efficacy or reduction of toxicity over the alternative therapies (</w:t>
      </w:r>
      <w:r>
        <w:rPr>
          <w:iCs/>
          <w:snapToGrid/>
        </w:rPr>
        <w:t xml:space="preserve">Section 101(3B) of the </w:t>
      </w:r>
      <w:r>
        <w:rPr>
          <w:i/>
          <w:snapToGrid/>
        </w:rPr>
        <w:t>National Health Act 1953).</w:t>
      </w:r>
      <w:r w:rsidR="008D5565">
        <w:rPr>
          <w:i/>
          <w:snapToGrid/>
        </w:rPr>
        <w:t xml:space="preserve"> </w:t>
      </w:r>
      <w:r w:rsidR="008D5565" w:rsidRPr="008D5565">
        <w:rPr>
          <w:iCs/>
          <w:snapToGrid/>
        </w:rPr>
        <w:t xml:space="preserve">The PBAC noted alternative therapies </w:t>
      </w:r>
      <w:r w:rsidR="008D5565">
        <w:rPr>
          <w:iCs/>
          <w:snapToGrid/>
        </w:rPr>
        <w:t xml:space="preserve">included </w:t>
      </w:r>
      <w:r w:rsidR="008D5565" w:rsidRPr="008D5565">
        <w:rPr>
          <w:iCs/>
          <w:snapToGrid/>
        </w:rPr>
        <w:t>ADA, GUS, IXE, RIS, SEC, UST, TIL, ETN and IFX.</w:t>
      </w:r>
    </w:p>
    <w:p w14:paraId="534DCC1F" w14:textId="77777777" w:rsidR="004C3BD1" w:rsidRDefault="005064D8" w:rsidP="004C3BD1">
      <w:pPr>
        <w:pStyle w:val="3-BodyText"/>
      </w:pPr>
      <w:r w:rsidRPr="007A79BE">
        <w:t>The ESC noted that the mechanism of action and mode of administration of BKZ was not unique and considered the clinical need for additional treatment options for severe CPP was low.</w:t>
      </w:r>
    </w:p>
    <w:p w14:paraId="76EE925B" w14:textId="11505EB4" w:rsidR="004C3BD1" w:rsidRPr="004C3BD1" w:rsidRDefault="004C3BD1" w:rsidP="004C3BD1">
      <w:pPr>
        <w:pStyle w:val="3-BodyText"/>
        <w:numPr>
          <w:ilvl w:val="0"/>
          <w:numId w:val="0"/>
        </w:numPr>
        <w:ind w:left="720"/>
        <w:rPr>
          <w:i/>
          <w:iCs/>
        </w:rPr>
      </w:pPr>
      <w:r w:rsidRPr="004C3BD1">
        <w:rPr>
          <w:i/>
          <w:iCs/>
        </w:rPr>
        <w:t>For more detail on PBAC’s view, see section 7 PBAC outcome.</w:t>
      </w:r>
    </w:p>
    <w:p w14:paraId="5F0F0655" w14:textId="77777777" w:rsidR="004C3BD1" w:rsidRPr="0031682F" w:rsidDel="00195452" w:rsidRDefault="004C3BD1" w:rsidP="004C3BD1">
      <w:pPr>
        <w:pStyle w:val="3-BodyText"/>
        <w:numPr>
          <w:ilvl w:val="0"/>
          <w:numId w:val="0"/>
        </w:numPr>
        <w:ind w:left="720"/>
      </w:pPr>
    </w:p>
    <w:p w14:paraId="7F9C27C8" w14:textId="77777777" w:rsidR="00223D5A" w:rsidRPr="003373DF" w:rsidRDefault="00223D5A" w:rsidP="00223D5A">
      <w:pPr>
        <w:pStyle w:val="2-SectionHeading"/>
      </w:pPr>
      <w:bookmarkStart w:id="13" w:name="_Toc124838627"/>
      <w:bookmarkStart w:id="14" w:name="_Toc22897640"/>
      <w:r w:rsidRPr="003373DF">
        <w:t>Consideration of the evidence</w:t>
      </w:r>
      <w:bookmarkEnd w:id="13"/>
    </w:p>
    <w:p w14:paraId="7C88D03F" w14:textId="77777777" w:rsidR="004F180B" w:rsidRPr="003373DF" w:rsidRDefault="004F180B" w:rsidP="004F180B">
      <w:pPr>
        <w:pStyle w:val="4-SubsectionHeading"/>
      </w:pPr>
      <w:bookmarkStart w:id="15" w:name="_Toc124838628"/>
      <w:r w:rsidRPr="003373DF">
        <w:t>Sponsor hearing</w:t>
      </w:r>
    </w:p>
    <w:p w14:paraId="03C2613B" w14:textId="13CF72BF" w:rsidR="004F180B" w:rsidRPr="003F0D28" w:rsidRDefault="004F180B" w:rsidP="004F180B">
      <w:pPr>
        <w:pStyle w:val="3-BodyText"/>
      </w:pPr>
      <w:r w:rsidRPr="003F0D28">
        <w:rPr>
          <w:bCs/>
        </w:rPr>
        <w:t>The sponsor requested a hearing for this item</w:t>
      </w:r>
      <w:r w:rsidRPr="003F0D28">
        <w:t xml:space="preserve">. </w:t>
      </w:r>
      <w:r w:rsidRPr="003F0D28">
        <w:rPr>
          <w:bCs/>
        </w:rPr>
        <w:t>The clinician</w:t>
      </w:r>
      <w:r w:rsidR="003F0D28" w:rsidRPr="003F0D28">
        <w:rPr>
          <w:bCs/>
        </w:rPr>
        <w:t xml:space="preserve"> reiterated the </w:t>
      </w:r>
      <w:r w:rsidR="003F0D28">
        <w:rPr>
          <w:bCs/>
        </w:rPr>
        <w:t xml:space="preserve">treatment goal for CPP is now </w:t>
      </w:r>
      <w:r w:rsidR="003F0D28" w:rsidRPr="003F0D28">
        <w:rPr>
          <w:bCs/>
        </w:rPr>
        <w:t xml:space="preserve">complete clearance of skin lesions and the importance of the availability of additional safe and effective treatment options. The clinician </w:t>
      </w:r>
      <w:r w:rsidR="003F0D28">
        <w:rPr>
          <w:bCs/>
        </w:rPr>
        <w:t xml:space="preserve">outlined their clinical experience with IFX as a treatment option, noting it is not used commonly because of its low effectiveness and risk of adverse events.  </w:t>
      </w:r>
      <w:r w:rsidR="004A257B">
        <w:rPr>
          <w:bCs/>
        </w:rPr>
        <w:t xml:space="preserve">The clinician described a positive patient experience with BKZ. </w:t>
      </w:r>
      <w:r w:rsidR="003D6E9D">
        <w:rPr>
          <w:bCs/>
        </w:rPr>
        <w:t xml:space="preserve">The clinician noted the adverse events observed with BKZ (notably candida infections) are manageable. </w:t>
      </w:r>
    </w:p>
    <w:p w14:paraId="143D1B5C" w14:textId="77777777" w:rsidR="004F180B" w:rsidRPr="004F180B" w:rsidRDefault="004F180B" w:rsidP="004F180B">
      <w:pPr>
        <w:pStyle w:val="4-SubsectionHeading"/>
      </w:pPr>
      <w:r w:rsidRPr="003373DF">
        <w:t>Consumer comments</w:t>
      </w:r>
    </w:p>
    <w:p w14:paraId="5B6D71A8" w14:textId="7E58CC05" w:rsidR="004F180B" w:rsidRDefault="004F180B" w:rsidP="004F180B">
      <w:pPr>
        <w:pStyle w:val="3-BodyText"/>
      </w:pPr>
      <w:r w:rsidRPr="00836F75">
        <w:rPr>
          <w:bCs/>
        </w:rPr>
        <w:t>The PBAC noted and welcomed the input from individuals (</w:t>
      </w:r>
      <w:r w:rsidR="006422C1">
        <w:rPr>
          <w:bCs/>
        </w:rPr>
        <w:t>9</w:t>
      </w:r>
      <w:r w:rsidRPr="00836F75">
        <w:rPr>
          <w:bCs/>
        </w:rPr>
        <w:t>), health care professionals (</w:t>
      </w:r>
      <w:r w:rsidR="006422C1">
        <w:rPr>
          <w:bCs/>
        </w:rPr>
        <w:t>4</w:t>
      </w:r>
      <w:r w:rsidRPr="00836F75">
        <w:rPr>
          <w:bCs/>
        </w:rPr>
        <w:t>) and organisations (</w:t>
      </w:r>
      <w:r w:rsidR="006422C1">
        <w:rPr>
          <w:bCs/>
        </w:rPr>
        <w:t>3</w:t>
      </w:r>
      <w:r w:rsidRPr="00836F75">
        <w:rPr>
          <w:bCs/>
        </w:rPr>
        <w:t xml:space="preserve">) via the Consumer Comments facility on the PBS website. </w:t>
      </w:r>
      <w:r w:rsidR="006422C1">
        <w:t xml:space="preserve">The comments described </w:t>
      </w:r>
      <w:r w:rsidR="006422C1" w:rsidRPr="006422C1">
        <w:rPr>
          <w:bCs/>
        </w:rPr>
        <w:t xml:space="preserve">the impact of </w:t>
      </w:r>
      <w:r w:rsidR="003373DF">
        <w:rPr>
          <w:bCs/>
        </w:rPr>
        <w:t>CPP</w:t>
      </w:r>
      <w:r w:rsidR="006422C1" w:rsidRPr="006422C1">
        <w:rPr>
          <w:bCs/>
        </w:rPr>
        <w:t xml:space="preserve"> on patients’ physical and mental </w:t>
      </w:r>
      <w:r w:rsidR="006422C1" w:rsidRPr="006422C1">
        <w:rPr>
          <w:bCs/>
        </w:rPr>
        <w:lastRenderedPageBreak/>
        <w:t>health, and the improvements</w:t>
      </w:r>
      <w:r w:rsidR="006422C1">
        <w:rPr>
          <w:bCs/>
        </w:rPr>
        <w:t xml:space="preserve"> BKZ</w:t>
      </w:r>
      <w:r w:rsidR="006422C1" w:rsidRPr="006422C1">
        <w:rPr>
          <w:bCs/>
        </w:rPr>
        <w:t xml:space="preserve"> treatment has on overall quality of life. </w:t>
      </w:r>
      <w:r w:rsidRPr="00836F75">
        <w:rPr>
          <w:bCs/>
        </w:rPr>
        <w:t xml:space="preserve">The comments </w:t>
      </w:r>
      <w:r w:rsidR="006422C1">
        <w:rPr>
          <w:bCs/>
        </w:rPr>
        <w:t xml:space="preserve">from individuals who have used BKZ described it </w:t>
      </w:r>
      <w:r w:rsidR="006422C1" w:rsidRPr="006422C1">
        <w:rPr>
          <w:bCs/>
        </w:rPr>
        <w:t xml:space="preserve">as more efficacious than other treatment options, </w:t>
      </w:r>
      <w:r w:rsidR="006422C1">
        <w:rPr>
          <w:bCs/>
        </w:rPr>
        <w:t xml:space="preserve">with </w:t>
      </w:r>
      <w:r w:rsidR="006422C1" w:rsidRPr="006422C1">
        <w:rPr>
          <w:bCs/>
        </w:rPr>
        <w:t>complete clearance of plaques</w:t>
      </w:r>
      <w:r w:rsidR="006422C1">
        <w:rPr>
          <w:bCs/>
        </w:rPr>
        <w:t xml:space="preserve">, </w:t>
      </w:r>
      <w:r w:rsidR="006422C1" w:rsidRPr="006422C1">
        <w:rPr>
          <w:bCs/>
        </w:rPr>
        <w:t>as well as a reduction of pain, flaking, itchiness, and other associated symptoms.</w:t>
      </w:r>
      <w:r w:rsidR="006422C1" w:rsidRPr="006422C1">
        <w:t xml:space="preserve"> </w:t>
      </w:r>
      <w:r w:rsidR="006422C1">
        <w:t xml:space="preserve">The comments noted that BKZ is well tolerated, easy to administer and the less frequent dosing was an advantage.  </w:t>
      </w:r>
    </w:p>
    <w:p w14:paraId="59AE631E" w14:textId="5015D9E3" w:rsidR="004F180B" w:rsidRDefault="006422C1" w:rsidP="004F180B">
      <w:pPr>
        <w:pStyle w:val="3-BodyText"/>
      </w:pPr>
      <w:r>
        <w:t xml:space="preserve">The PBAC noted input was received from The Australian College of Dermatologists, Psoriasis Australia and Hornsby Dermatology.  </w:t>
      </w:r>
      <w:r w:rsidR="00294BCC">
        <w:t xml:space="preserve">The comments </w:t>
      </w:r>
      <w:r w:rsidR="00A750CB">
        <w:t>described</w:t>
      </w:r>
      <w:r w:rsidR="00294BCC">
        <w:t xml:space="preserve"> the </w:t>
      </w:r>
      <w:r w:rsidR="00A750CB">
        <w:t xml:space="preserve">significant </w:t>
      </w:r>
      <w:r w:rsidR="00294BCC">
        <w:t>impact of chronic plaque psoriasis on patients</w:t>
      </w:r>
      <w:r w:rsidR="00A750CB">
        <w:t>’</w:t>
      </w:r>
      <w:r w:rsidR="00294BCC">
        <w:t xml:space="preserve"> quality of life and emphasised the importance of additional treatment options being available.  </w:t>
      </w:r>
    </w:p>
    <w:p w14:paraId="609C0765" w14:textId="5993521F" w:rsidR="00B60939" w:rsidRPr="00AD53AF" w:rsidRDefault="00B60939" w:rsidP="004F180B">
      <w:pPr>
        <w:pStyle w:val="4-SubsectionHeading"/>
      </w:pPr>
      <w:r w:rsidRPr="00AD53AF">
        <w:t>Clinical trials</w:t>
      </w:r>
      <w:bookmarkEnd w:id="14"/>
      <w:bookmarkEnd w:id="15"/>
    </w:p>
    <w:p w14:paraId="773310F6" w14:textId="63B75572" w:rsidR="00F368F8" w:rsidRPr="00AD53AF" w:rsidRDefault="00747CCF" w:rsidP="002C3D7F">
      <w:pPr>
        <w:pStyle w:val="3-BodyText"/>
        <w:rPr>
          <w:iCs/>
        </w:rPr>
      </w:pPr>
      <w:r w:rsidRPr="00AD53AF">
        <w:rPr>
          <w:iCs/>
        </w:rPr>
        <w:t xml:space="preserve">Compared to the March 2022 submission, the </w:t>
      </w:r>
      <w:r w:rsidR="00D73B27">
        <w:rPr>
          <w:iCs/>
        </w:rPr>
        <w:t xml:space="preserve">evaluation considered the </w:t>
      </w:r>
      <w:r w:rsidRPr="00AD53AF">
        <w:rPr>
          <w:iCs/>
        </w:rPr>
        <w:t xml:space="preserve">key clinical evidence presented in the </w:t>
      </w:r>
      <w:r w:rsidR="00D770C9">
        <w:rPr>
          <w:iCs/>
        </w:rPr>
        <w:t xml:space="preserve">current </w:t>
      </w:r>
      <w:r w:rsidRPr="00AD53AF">
        <w:rPr>
          <w:iCs/>
        </w:rPr>
        <w:t>submission was largely unchanged overall and was primarily based on three</w:t>
      </w:r>
      <w:r w:rsidR="00F368F8" w:rsidRPr="00AD53AF">
        <w:rPr>
          <w:iCs/>
        </w:rPr>
        <w:t xml:space="preserve"> direct RCTs comparing BKZ to ADA, UST and SEC</w:t>
      </w:r>
      <w:r w:rsidR="009079EA">
        <w:rPr>
          <w:iCs/>
        </w:rPr>
        <w:t>,</w:t>
      </w:r>
      <w:r w:rsidRPr="00AD53AF">
        <w:rPr>
          <w:iCs/>
        </w:rPr>
        <w:t xml:space="preserve"> and a Bayesian </w:t>
      </w:r>
      <w:r w:rsidR="00F368F8" w:rsidRPr="00AD53AF">
        <w:rPr>
          <w:iCs/>
        </w:rPr>
        <w:t>network meta-analysis (NMA) comparing BKZ to RIS, IXE, GUS</w:t>
      </w:r>
      <w:r w:rsidR="008A4679" w:rsidRPr="00AD53AF">
        <w:rPr>
          <w:iCs/>
        </w:rPr>
        <w:t>,</w:t>
      </w:r>
      <w:r w:rsidR="00F368F8" w:rsidRPr="00AD53AF">
        <w:rPr>
          <w:iCs/>
        </w:rPr>
        <w:t xml:space="preserve"> TIL</w:t>
      </w:r>
      <w:r w:rsidR="008A4679" w:rsidRPr="00AD53AF">
        <w:rPr>
          <w:iCs/>
        </w:rPr>
        <w:t xml:space="preserve"> and IFX</w:t>
      </w:r>
      <w:r w:rsidR="00F368F8" w:rsidRPr="00AD53AF">
        <w:rPr>
          <w:iCs/>
        </w:rPr>
        <w:t>, referenced as the ‘UCB NMA’</w:t>
      </w:r>
      <w:r w:rsidR="008A4679" w:rsidRPr="00AD53AF">
        <w:rPr>
          <w:iCs/>
        </w:rPr>
        <w:t xml:space="preserve"> (see </w:t>
      </w:r>
      <w:r w:rsidR="008A4679" w:rsidRPr="00AD53AF">
        <w:rPr>
          <w:iCs/>
        </w:rPr>
        <w:fldChar w:fldCharType="begin"/>
      </w:r>
      <w:r w:rsidR="008A4679" w:rsidRPr="00AD53AF">
        <w:rPr>
          <w:iCs/>
        </w:rPr>
        <w:instrText xml:space="preserve"> REF _Ref123812922 </w:instrText>
      </w:r>
      <w:r w:rsidR="008A4679" w:rsidRPr="00AD53AF">
        <w:rPr>
          <w:iCs/>
        </w:rPr>
        <w:fldChar w:fldCharType="separate"/>
      </w:r>
      <w:r w:rsidR="003F1ED3" w:rsidRPr="00151502">
        <w:t xml:space="preserve">Table </w:t>
      </w:r>
      <w:r w:rsidR="003F1ED3">
        <w:rPr>
          <w:noProof/>
        </w:rPr>
        <w:t>2</w:t>
      </w:r>
      <w:r w:rsidR="008A4679" w:rsidRPr="00AD53AF">
        <w:rPr>
          <w:iCs/>
        </w:rPr>
        <w:fldChar w:fldCharType="end"/>
      </w:r>
      <w:r w:rsidR="008A4679" w:rsidRPr="00AD53AF">
        <w:rPr>
          <w:iCs/>
        </w:rPr>
        <w:t>)</w:t>
      </w:r>
      <w:r w:rsidR="00F368F8" w:rsidRPr="00AD53AF">
        <w:rPr>
          <w:iCs/>
        </w:rPr>
        <w:t>.</w:t>
      </w:r>
      <w:bookmarkStart w:id="16" w:name="_Hlk121473386"/>
      <w:r w:rsidR="008A4679" w:rsidRPr="00AD53AF">
        <w:rPr>
          <w:i/>
          <w:iCs/>
        </w:rPr>
        <w:t xml:space="preserve"> </w:t>
      </w:r>
      <w:r w:rsidR="008A4679" w:rsidRPr="00693823">
        <w:t xml:space="preserve">The UCB NMA included data for IFX but </w:t>
      </w:r>
      <w:r w:rsidR="002C3D7F" w:rsidRPr="00693823">
        <w:t xml:space="preserve">the PBAC had noted this </w:t>
      </w:r>
      <w:r w:rsidR="00D73B27">
        <w:t>had</w:t>
      </w:r>
      <w:r w:rsidR="00D73B27" w:rsidRPr="00693823">
        <w:t xml:space="preserve"> </w:t>
      </w:r>
      <w:r w:rsidR="002C3D7F" w:rsidRPr="00693823">
        <w:t xml:space="preserve">not </w:t>
      </w:r>
      <w:r w:rsidR="00D73B27">
        <w:t xml:space="preserve">been </w:t>
      </w:r>
      <w:r w:rsidR="002C3D7F" w:rsidRPr="00693823">
        <w:t xml:space="preserve">presented </w:t>
      </w:r>
      <w:r w:rsidR="00D73B27">
        <w:t xml:space="preserve">in the March 2022 submission </w:t>
      </w:r>
      <w:r w:rsidR="002C3D7F" w:rsidRPr="00693823">
        <w:t xml:space="preserve">(paragraph 7.9, BKZ PSD, March 2022 PBAC meeting). </w:t>
      </w:r>
      <w:r w:rsidR="00745499" w:rsidRPr="00693823">
        <w:t>Th</w:t>
      </w:r>
      <w:r w:rsidR="002C3D7F" w:rsidRPr="00693823">
        <w:t xml:space="preserve">e </w:t>
      </w:r>
      <w:r w:rsidR="00745499" w:rsidRPr="00693823">
        <w:t xml:space="preserve">comparison between BKZ and IFX was presented in the </w:t>
      </w:r>
      <w:r w:rsidR="00D770C9" w:rsidRPr="00693823">
        <w:t xml:space="preserve">current </w:t>
      </w:r>
      <w:r w:rsidR="00745499" w:rsidRPr="00693823">
        <w:t>submission</w:t>
      </w:r>
      <w:r w:rsidR="002C3D7F">
        <w:rPr>
          <w:i/>
          <w:iCs/>
        </w:rPr>
        <w:t>.</w:t>
      </w:r>
    </w:p>
    <w:p w14:paraId="1F7BC0E8" w14:textId="012DA7E7" w:rsidR="007F125F" w:rsidRPr="00693823" w:rsidRDefault="00747CCF" w:rsidP="002C3D7F">
      <w:pPr>
        <w:pStyle w:val="3-BodyText"/>
      </w:pPr>
      <w:r w:rsidRPr="00AD53AF">
        <w:t xml:space="preserve">The results of the </w:t>
      </w:r>
      <w:r w:rsidR="002C3D7F">
        <w:t>indirect treatment comparison (</w:t>
      </w:r>
      <w:r w:rsidRPr="00AD53AF">
        <w:t>ITC</w:t>
      </w:r>
      <w:r w:rsidR="002C3D7F">
        <w:t>)</w:t>
      </w:r>
      <w:r w:rsidRPr="00AD53AF">
        <w:t xml:space="preserve"> presented in the March 2022 submission </w:t>
      </w:r>
      <w:r w:rsidR="00BA74E7">
        <w:t xml:space="preserve">was not </w:t>
      </w:r>
      <w:r w:rsidRPr="00AD53AF">
        <w:t>presented</w:t>
      </w:r>
      <w:r w:rsidR="00BA74E7">
        <w:t xml:space="preserve"> with </w:t>
      </w:r>
      <w:r w:rsidRPr="00AD53AF">
        <w:t xml:space="preserve">the </w:t>
      </w:r>
      <w:r w:rsidR="00D770C9">
        <w:t xml:space="preserve">current </w:t>
      </w:r>
      <w:r w:rsidRPr="00AD53AF">
        <w:t xml:space="preserve">submission instead </w:t>
      </w:r>
      <w:r w:rsidR="00BA74E7">
        <w:t>placing</w:t>
      </w:r>
      <w:r w:rsidRPr="00AD53AF">
        <w:t xml:space="preserve"> greater emphasis on the results of the UCB NMA (published as Armstrong 2022) for comparisons versus RIS, IXE, GUS, TIL and IFX. </w:t>
      </w:r>
      <w:r w:rsidR="008A4679" w:rsidRPr="00AD53AF">
        <w:t xml:space="preserve">For consistency, </w:t>
      </w:r>
      <w:r w:rsidR="002C3D7F">
        <w:t xml:space="preserve">the results of the ITC </w:t>
      </w:r>
      <w:r w:rsidR="00D46B15">
        <w:t>were</w:t>
      </w:r>
      <w:r w:rsidR="008A4679" w:rsidRPr="00AD53AF">
        <w:t xml:space="preserve"> reproduced </w:t>
      </w:r>
      <w:r w:rsidR="00512D97">
        <w:t>below</w:t>
      </w:r>
      <w:r w:rsidR="008A4679" w:rsidRPr="00AD53AF">
        <w:t xml:space="preserve"> including results for the comparison versus IFX.</w:t>
      </w:r>
      <w:r w:rsidR="007F125F" w:rsidRPr="00AD53AF">
        <w:t xml:space="preserve"> </w:t>
      </w:r>
      <w:r w:rsidR="007F125F" w:rsidRPr="00693823">
        <w:t>Data for the bDMARDs included in the ITC (i.e., RIS, IXE, GUS and TIL) were extracted from PBAC Public Summary Documents (PSDs); no independent searches were conducted for these comparators. The PBAC noted the PSDs for these medicines were published between 2016 and 2019 and there may be additional, informative clinical data that was published after this time period (paragraph 6.16, BKZ PSD, March 2022 PBAC meeting).</w:t>
      </w:r>
    </w:p>
    <w:p w14:paraId="3EAA0F01" w14:textId="509773D5" w:rsidR="009B3079" w:rsidRPr="00693823" w:rsidRDefault="00747CCF" w:rsidP="008C582A">
      <w:pPr>
        <w:pStyle w:val="3-BodyText"/>
        <w:keepNext/>
        <w:keepLines/>
      </w:pPr>
      <w:r w:rsidRPr="00693823">
        <w:t xml:space="preserve">New clinical evidence presented in the </w:t>
      </w:r>
      <w:r w:rsidR="0009354C" w:rsidRPr="00693823">
        <w:t xml:space="preserve">current </w:t>
      </w:r>
      <w:r w:rsidRPr="00693823">
        <w:t>submission included:</w:t>
      </w:r>
    </w:p>
    <w:p w14:paraId="1D0E5D40" w14:textId="483A4764" w:rsidR="009B3079" w:rsidRPr="00693823" w:rsidRDefault="009B3079" w:rsidP="008C582A">
      <w:pPr>
        <w:pStyle w:val="3-BodyText"/>
        <w:keepNext/>
        <w:keepLines/>
        <w:numPr>
          <w:ilvl w:val="1"/>
          <w:numId w:val="19"/>
        </w:numPr>
        <w:ind w:left="1134"/>
      </w:pPr>
      <w:r w:rsidRPr="00693823">
        <w:t xml:space="preserve">Results from the updated Cochrane review (Sbidian 2022). The previous version of this review </w:t>
      </w:r>
      <w:r w:rsidR="00C80E26" w:rsidRPr="00693823">
        <w:t>Sbidian</w:t>
      </w:r>
      <w:r w:rsidRPr="00693823">
        <w:t xml:space="preserve"> 2021 was presented in the March 2022 submission but had only included data from one BKZ trial in the NMA (compared to five BKZ trials in Sbidian 2022).</w:t>
      </w:r>
    </w:p>
    <w:p w14:paraId="4B1C2974" w14:textId="1040098A" w:rsidR="009B3079" w:rsidRPr="00693823" w:rsidRDefault="009B3079" w:rsidP="00F8704E">
      <w:pPr>
        <w:pStyle w:val="3-BodyText"/>
        <w:numPr>
          <w:ilvl w:val="1"/>
          <w:numId w:val="19"/>
        </w:numPr>
        <w:ind w:left="1134"/>
      </w:pPr>
      <w:r w:rsidRPr="00693823">
        <w:t xml:space="preserve">Results from a ‘long-term’ NMA conducted by Armstrong 2022a, comparing PASI response at Week 48 to 56 for patients treated with BKZ and some of the nominated comparators (ADA, </w:t>
      </w:r>
      <w:r w:rsidR="00011DAD">
        <w:t xml:space="preserve">ETN, </w:t>
      </w:r>
      <w:r w:rsidRPr="00693823">
        <w:t>UST, SEC, IXE, GUS, RIS).</w:t>
      </w:r>
    </w:p>
    <w:p w14:paraId="126F32BE" w14:textId="7A38859A" w:rsidR="009B3079" w:rsidRPr="00693823" w:rsidRDefault="009B3079" w:rsidP="00F8704E">
      <w:pPr>
        <w:pStyle w:val="3-BodyText"/>
        <w:numPr>
          <w:ilvl w:val="1"/>
          <w:numId w:val="19"/>
        </w:numPr>
        <w:ind w:left="1134"/>
      </w:pPr>
      <w:r w:rsidRPr="00693823">
        <w:t xml:space="preserve">Longer-term follow-up data for BKZ to three years, for patients enrolled in BE SURE and BE RADIANT who received treatment in an open label extension study. </w:t>
      </w:r>
      <w:r w:rsidRPr="00693823">
        <w:lastRenderedPageBreak/>
        <w:t>The data was sourced from three conference posters (Thaci 2022, Lebwohl 2022,</w:t>
      </w:r>
      <w:r w:rsidR="00D46B15" w:rsidRPr="00693823">
        <w:t xml:space="preserve"> and</w:t>
      </w:r>
      <w:r w:rsidRPr="00693823">
        <w:t xml:space="preserve"> Kokolakis 2022).</w:t>
      </w:r>
    </w:p>
    <w:p w14:paraId="5E1DF76E" w14:textId="157FF3B9" w:rsidR="009B3079" w:rsidRPr="00693823" w:rsidRDefault="009B3079" w:rsidP="00F8704E">
      <w:pPr>
        <w:pStyle w:val="3-BodyText"/>
        <w:numPr>
          <w:ilvl w:val="1"/>
          <w:numId w:val="19"/>
        </w:numPr>
        <w:ind w:left="1134"/>
      </w:pPr>
      <w:r w:rsidRPr="00693823">
        <w:t>Clinical data for patients with CPP in one of three high impact areas (i.e.</w:t>
      </w:r>
      <w:r w:rsidR="00D46B15" w:rsidRPr="00693823">
        <w:t>,</w:t>
      </w:r>
      <w:r w:rsidRPr="00693823">
        <w:t xml:space="preserve"> scalp, nail and palmoplantar). The post hoc analyses reported the proportion of patients with ‘complete clearance’ of the high impact area over time for patients enrolled in BE VIVID, BE SURE, BE RADI</w:t>
      </w:r>
      <w:r w:rsidR="00E2686B">
        <w:t>A</w:t>
      </w:r>
      <w:r w:rsidRPr="00693823">
        <w:t>NT and received treatment in an open label extension study. The data was sourced from two conference posters (Warren 2022, Merola 2022)</w:t>
      </w:r>
    </w:p>
    <w:bookmarkEnd w:id="16"/>
    <w:p w14:paraId="710911E0" w14:textId="4E0B3960" w:rsidR="00267131" w:rsidRPr="00AD53AF" w:rsidRDefault="00267131" w:rsidP="00A24AFC">
      <w:pPr>
        <w:pStyle w:val="3-BodyText"/>
      </w:pPr>
      <w:r w:rsidRPr="00AD53AF">
        <w:rPr>
          <w:snapToGrid/>
          <w:lang w:val="en-US"/>
        </w:rPr>
        <w:t>Details of the</w:t>
      </w:r>
      <w:r w:rsidR="009D64DB" w:rsidRPr="00AD53AF">
        <w:rPr>
          <w:snapToGrid/>
          <w:lang w:val="en-US"/>
        </w:rPr>
        <w:t xml:space="preserve"> full list of</w:t>
      </w:r>
      <w:r w:rsidRPr="00AD53AF">
        <w:rPr>
          <w:snapToGrid/>
          <w:lang w:val="en-US"/>
        </w:rPr>
        <w:t xml:space="preserve"> </w:t>
      </w:r>
      <w:r w:rsidRPr="00AD53AF">
        <w:rPr>
          <w:snapToGrid/>
        </w:rPr>
        <w:t xml:space="preserve">trials </w:t>
      </w:r>
      <w:r w:rsidR="009D64DB" w:rsidRPr="00AD53AF">
        <w:rPr>
          <w:snapToGrid/>
        </w:rPr>
        <w:t xml:space="preserve">and reports </w:t>
      </w:r>
      <w:r w:rsidRPr="00AD53AF">
        <w:rPr>
          <w:snapToGrid/>
        </w:rPr>
        <w:t xml:space="preserve">presented in the </w:t>
      </w:r>
      <w:r w:rsidR="0009354C">
        <w:rPr>
          <w:snapToGrid/>
        </w:rPr>
        <w:t xml:space="preserve">current </w:t>
      </w:r>
      <w:r w:rsidRPr="00AD53AF">
        <w:rPr>
          <w:snapToGrid/>
        </w:rPr>
        <w:t>submission</w:t>
      </w:r>
      <w:r w:rsidR="00947F85" w:rsidRPr="00AD53AF">
        <w:rPr>
          <w:snapToGrid/>
        </w:rPr>
        <w:t xml:space="preserve"> are provided in</w:t>
      </w:r>
      <w:r w:rsidR="00A24AFC" w:rsidRPr="00AD53AF">
        <w:rPr>
          <w:snapToGrid/>
        </w:rPr>
        <w:t xml:space="preserve"> </w:t>
      </w:r>
      <w:r w:rsidR="00A24AFC" w:rsidRPr="00AD53AF">
        <w:rPr>
          <w:snapToGrid/>
        </w:rPr>
        <w:fldChar w:fldCharType="begin"/>
      </w:r>
      <w:r w:rsidR="00A24AFC" w:rsidRPr="00AD53AF">
        <w:rPr>
          <w:snapToGrid/>
        </w:rPr>
        <w:instrText xml:space="preserve"> REF _Ref123812922 \h </w:instrText>
      </w:r>
      <w:r w:rsidR="00A24AFC" w:rsidRPr="00AD53AF">
        <w:rPr>
          <w:snapToGrid/>
        </w:rPr>
      </w:r>
      <w:r w:rsidR="00A24AFC" w:rsidRPr="00AD53AF">
        <w:rPr>
          <w:snapToGrid/>
        </w:rPr>
        <w:fldChar w:fldCharType="separate"/>
      </w:r>
      <w:r w:rsidR="003F1ED3" w:rsidRPr="00151502">
        <w:t xml:space="preserve">Table </w:t>
      </w:r>
      <w:r w:rsidR="003F1ED3">
        <w:rPr>
          <w:noProof/>
        </w:rPr>
        <w:t>2</w:t>
      </w:r>
      <w:r w:rsidR="00A24AFC" w:rsidRPr="00AD53AF">
        <w:rPr>
          <w:snapToGrid/>
        </w:rPr>
        <w:fldChar w:fldCharType="end"/>
      </w:r>
      <w:r w:rsidRPr="00AD53AF">
        <w:rPr>
          <w:snapToGrid/>
        </w:rPr>
        <w:t xml:space="preserve">. </w:t>
      </w:r>
    </w:p>
    <w:p w14:paraId="03FFA6E7" w14:textId="278198A5" w:rsidR="00267131" w:rsidRPr="00151502" w:rsidRDefault="00267131" w:rsidP="004C3BD1">
      <w:pPr>
        <w:pStyle w:val="TableFigureHeading"/>
        <w:keepLines/>
        <w:rPr>
          <w:rStyle w:val="CommentReference"/>
          <w:b/>
          <w:szCs w:val="24"/>
        </w:rPr>
      </w:pPr>
      <w:bookmarkStart w:id="17" w:name="_Ref123812922"/>
      <w:bookmarkStart w:id="18" w:name="_Ref123812877"/>
      <w:r w:rsidRPr="00151502">
        <w:t xml:space="preserve">Table </w:t>
      </w:r>
      <w:fldSimple w:instr=" SEQ Table \* ARABIC ">
        <w:r w:rsidR="003F1ED3">
          <w:rPr>
            <w:noProof/>
          </w:rPr>
          <w:t>2</w:t>
        </w:r>
      </w:fldSimple>
      <w:bookmarkEnd w:id="17"/>
      <w:r w:rsidRPr="00151502">
        <w:t xml:space="preserve">: </w:t>
      </w:r>
      <w:r w:rsidRPr="00151502">
        <w:rPr>
          <w:rStyle w:val="CommentReference"/>
          <w:b/>
          <w:szCs w:val="24"/>
        </w:rPr>
        <w:t xml:space="preserve">Trials and associated reports presented in the </w:t>
      </w:r>
      <w:r w:rsidR="0009354C">
        <w:rPr>
          <w:rStyle w:val="CommentReference"/>
          <w:b/>
          <w:szCs w:val="24"/>
        </w:rPr>
        <w:t xml:space="preserve">current </w:t>
      </w:r>
      <w:r w:rsidRPr="00151502">
        <w:rPr>
          <w:rStyle w:val="CommentReference"/>
          <w:b/>
          <w:szCs w:val="24"/>
        </w:rPr>
        <w:t>submission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267131" w:rsidRPr="00151502" w14:paraId="1B0F0022" w14:textId="77777777" w:rsidTr="002A4286">
        <w:trPr>
          <w:tblHeader/>
        </w:trPr>
        <w:tc>
          <w:tcPr>
            <w:tcW w:w="796" w:type="pct"/>
            <w:vAlign w:val="center"/>
          </w:tcPr>
          <w:p w14:paraId="01B2AE62" w14:textId="77777777" w:rsidR="00267131" w:rsidRPr="00151502" w:rsidRDefault="00267131" w:rsidP="004C3BD1">
            <w:pPr>
              <w:pStyle w:val="In-tableHeading"/>
              <w:keepLines/>
              <w:widowControl w:val="0"/>
              <w:rPr>
                <w:lang w:val="en-AU"/>
              </w:rPr>
            </w:pPr>
            <w:r w:rsidRPr="00151502">
              <w:rPr>
                <w:lang w:val="en-AU"/>
              </w:rPr>
              <w:t>Trial ID</w:t>
            </w:r>
          </w:p>
        </w:tc>
        <w:tc>
          <w:tcPr>
            <w:tcW w:w="3027" w:type="pct"/>
            <w:vAlign w:val="center"/>
          </w:tcPr>
          <w:p w14:paraId="3ED89D80" w14:textId="77777777" w:rsidR="00267131" w:rsidRPr="00151502" w:rsidRDefault="00267131" w:rsidP="004C3BD1">
            <w:pPr>
              <w:pStyle w:val="In-tableHeading"/>
              <w:keepLines/>
              <w:widowControl w:val="0"/>
              <w:rPr>
                <w:lang w:val="en-AU"/>
              </w:rPr>
            </w:pPr>
            <w:r w:rsidRPr="00151502">
              <w:rPr>
                <w:lang w:val="en-AU"/>
              </w:rPr>
              <w:t>Protocol title/ Publication title</w:t>
            </w:r>
          </w:p>
        </w:tc>
        <w:tc>
          <w:tcPr>
            <w:tcW w:w="1177" w:type="pct"/>
            <w:vAlign w:val="center"/>
          </w:tcPr>
          <w:p w14:paraId="171EFE50" w14:textId="77777777" w:rsidR="00267131" w:rsidRPr="00151502" w:rsidRDefault="00267131" w:rsidP="004C3BD1">
            <w:pPr>
              <w:pStyle w:val="In-tableHeading"/>
              <w:keepLines/>
              <w:widowControl w:val="0"/>
              <w:rPr>
                <w:lang w:val="en-AU"/>
              </w:rPr>
            </w:pPr>
            <w:r w:rsidRPr="00151502">
              <w:rPr>
                <w:lang w:val="en-AU"/>
              </w:rPr>
              <w:t>Publication citation</w:t>
            </w:r>
          </w:p>
        </w:tc>
      </w:tr>
      <w:tr w:rsidR="00267131" w:rsidRPr="00151502" w14:paraId="1368CA99" w14:textId="77777777" w:rsidTr="002A4286">
        <w:tc>
          <w:tcPr>
            <w:tcW w:w="796" w:type="pct"/>
            <w:vMerge w:val="restart"/>
            <w:shd w:val="clear" w:color="auto" w:fill="C6D9F1" w:themeFill="text2" w:themeFillTint="33"/>
            <w:vAlign w:val="center"/>
          </w:tcPr>
          <w:p w14:paraId="2984CD41" w14:textId="77777777" w:rsidR="00267131" w:rsidRPr="00151502" w:rsidRDefault="00267131" w:rsidP="004C3BD1">
            <w:pPr>
              <w:pStyle w:val="TableText0"/>
              <w:keepLines/>
              <w:widowControl w:val="0"/>
            </w:pPr>
            <w:r w:rsidRPr="00151502">
              <w:t>BE READY</w:t>
            </w:r>
          </w:p>
        </w:tc>
        <w:tc>
          <w:tcPr>
            <w:tcW w:w="3027" w:type="pct"/>
            <w:tcBorders>
              <w:bottom w:val="nil"/>
            </w:tcBorders>
            <w:shd w:val="clear" w:color="auto" w:fill="C6D9F1" w:themeFill="text2" w:themeFillTint="33"/>
            <w:vAlign w:val="center"/>
          </w:tcPr>
          <w:p w14:paraId="66C2F33A" w14:textId="77777777" w:rsidR="00267131" w:rsidRPr="00151502" w:rsidRDefault="00267131" w:rsidP="004C3BD1">
            <w:pPr>
              <w:pStyle w:val="TableText0"/>
              <w:keepLines/>
              <w:widowControl w:val="0"/>
              <w:rPr>
                <w:szCs w:val="18"/>
              </w:rPr>
            </w:pPr>
            <w:r w:rsidRPr="00151502">
              <w:rPr>
                <w:szCs w:val="18"/>
              </w:rPr>
              <w:t>Bimekizumab efficacy and safety in moderate to severe plaque psoriasis (BE READY): a multicentre, double-blind, placebo-controlled, randomised withdrawal phase 3 trial.</w:t>
            </w:r>
          </w:p>
        </w:tc>
        <w:tc>
          <w:tcPr>
            <w:tcW w:w="1177" w:type="pct"/>
            <w:tcBorders>
              <w:bottom w:val="nil"/>
            </w:tcBorders>
            <w:shd w:val="clear" w:color="auto" w:fill="C6D9F1" w:themeFill="text2" w:themeFillTint="33"/>
            <w:vAlign w:val="center"/>
          </w:tcPr>
          <w:p w14:paraId="5FF9F63F" w14:textId="77777777" w:rsidR="00267131" w:rsidRPr="00151502" w:rsidRDefault="00267131" w:rsidP="004C3BD1">
            <w:pPr>
              <w:pStyle w:val="TableText0"/>
              <w:keepLines/>
              <w:widowControl w:val="0"/>
            </w:pPr>
            <w:r w:rsidRPr="00151502">
              <w:t>September 2020</w:t>
            </w:r>
          </w:p>
        </w:tc>
      </w:tr>
      <w:tr w:rsidR="00267131" w:rsidRPr="00151502" w14:paraId="2CE52756" w14:textId="77777777" w:rsidTr="002A4286">
        <w:tc>
          <w:tcPr>
            <w:tcW w:w="796" w:type="pct"/>
            <w:vMerge/>
            <w:shd w:val="clear" w:color="auto" w:fill="C6D9F1" w:themeFill="text2" w:themeFillTint="33"/>
            <w:vAlign w:val="center"/>
          </w:tcPr>
          <w:p w14:paraId="3630FECA"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10AB4F7F"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171572E3" w14:textId="77777777" w:rsidR="00267131" w:rsidRPr="00151502" w:rsidRDefault="00267131" w:rsidP="004C3BD1">
            <w:pPr>
              <w:pStyle w:val="TableText0"/>
              <w:keepLines/>
              <w:widowControl w:val="0"/>
              <w:rPr>
                <w:szCs w:val="18"/>
              </w:rPr>
            </w:pPr>
          </w:p>
        </w:tc>
      </w:tr>
      <w:tr w:rsidR="00267131" w:rsidRPr="00151502" w14:paraId="23EC6DE4" w14:textId="77777777" w:rsidTr="002A4286">
        <w:tc>
          <w:tcPr>
            <w:tcW w:w="796" w:type="pct"/>
            <w:vMerge/>
            <w:tcBorders>
              <w:bottom w:val="nil"/>
            </w:tcBorders>
            <w:shd w:val="clear" w:color="auto" w:fill="C6D9F1" w:themeFill="text2" w:themeFillTint="33"/>
            <w:vAlign w:val="center"/>
          </w:tcPr>
          <w:p w14:paraId="6E22E2E9"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4B67E839" w14:textId="77777777" w:rsidR="00267131" w:rsidRPr="00151502" w:rsidRDefault="00267131" w:rsidP="004C3BD1">
            <w:pPr>
              <w:pStyle w:val="TableText0"/>
              <w:keepLines/>
              <w:widowControl w:val="0"/>
              <w:rPr>
                <w:szCs w:val="18"/>
              </w:rPr>
            </w:pPr>
            <w:r w:rsidRPr="00151502">
              <w:rPr>
                <w:szCs w:val="18"/>
              </w:rPr>
              <w:t xml:space="preserve">Gordon KB, Foley P, Krueger JG, Pinter A, Reich K, Vender R, et al. Bimekizumab efficacy and safety in moderate to severe plaque psoriasis (BE READY): a multicentre, double-blind, placebo-controlled, randomised withdrawal phase 3 trial. </w:t>
            </w:r>
          </w:p>
        </w:tc>
        <w:tc>
          <w:tcPr>
            <w:tcW w:w="1177" w:type="pct"/>
            <w:tcBorders>
              <w:top w:val="nil"/>
              <w:bottom w:val="nil"/>
            </w:tcBorders>
            <w:shd w:val="clear" w:color="auto" w:fill="C6D9F1" w:themeFill="text2" w:themeFillTint="33"/>
            <w:vAlign w:val="center"/>
          </w:tcPr>
          <w:p w14:paraId="6C44BBFB" w14:textId="77777777" w:rsidR="00267131" w:rsidRPr="00151502" w:rsidRDefault="00267131" w:rsidP="004C3BD1">
            <w:pPr>
              <w:pStyle w:val="TableText0"/>
              <w:keepLines/>
              <w:widowControl w:val="0"/>
              <w:rPr>
                <w:i/>
                <w:szCs w:val="18"/>
              </w:rPr>
            </w:pPr>
            <w:r w:rsidRPr="00151502">
              <w:t>Lancet 2021; 397: 475</w:t>
            </w:r>
            <w:r w:rsidRPr="00151502">
              <w:rPr>
                <w:rFonts w:ascii="Cambria Math" w:hAnsi="Cambria Math" w:cs="Cambria Math"/>
              </w:rPr>
              <w:t>‐</w:t>
            </w:r>
            <w:r w:rsidRPr="00151502">
              <w:t>486</w:t>
            </w:r>
          </w:p>
        </w:tc>
      </w:tr>
      <w:tr w:rsidR="00267131" w:rsidRPr="00151502" w14:paraId="1D185958" w14:textId="77777777" w:rsidTr="002A4286">
        <w:tc>
          <w:tcPr>
            <w:tcW w:w="796" w:type="pct"/>
            <w:vMerge w:val="restart"/>
            <w:shd w:val="clear" w:color="auto" w:fill="C6D9F1" w:themeFill="text2" w:themeFillTint="33"/>
            <w:vAlign w:val="center"/>
          </w:tcPr>
          <w:p w14:paraId="40409846" w14:textId="77777777" w:rsidR="00267131" w:rsidRPr="00151502" w:rsidRDefault="00267131" w:rsidP="004C3BD1">
            <w:pPr>
              <w:pStyle w:val="TableText0"/>
              <w:keepLines/>
              <w:widowControl w:val="0"/>
            </w:pPr>
            <w:r w:rsidRPr="00151502">
              <w:t>BE SURE</w:t>
            </w:r>
          </w:p>
        </w:tc>
        <w:tc>
          <w:tcPr>
            <w:tcW w:w="3027" w:type="pct"/>
            <w:tcBorders>
              <w:bottom w:val="nil"/>
            </w:tcBorders>
            <w:shd w:val="clear" w:color="auto" w:fill="C6D9F1" w:themeFill="text2" w:themeFillTint="33"/>
            <w:vAlign w:val="center"/>
          </w:tcPr>
          <w:p w14:paraId="091E841C" w14:textId="77777777" w:rsidR="00267131" w:rsidRPr="00151502" w:rsidRDefault="00267131" w:rsidP="004C3BD1">
            <w:pPr>
              <w:pStyle w:val="TableText0"/>
              <w:keepLines/>
              <w:widowControl w:val="0"/>
            </w:pPr>
            <w:r w:rsidRPr="00151502">
              <w:rPr>
                <w:szCs w:val="18"/>
              </w:rPr>
              <w:t>Bimekizumab versus adalimumab efficacy and safety in moderate to severe plaque psoriasis (BE SURE): a multicentre, double-blind, randomised withdrawal phase 3 trial.</w:t>
            </w:r>
          </w:p>
        </w:tc>
        <w:tc>
          <w:tcPr>
            <w:tcW w:w="1177" w:type="pct"/>
            <w:tcBorders>
              <w:bottom w:val="nil"/>
            </w:tcBorders>
            <w:shd w:val="clear" w:color="auto" w:fill="C6D9F1" w:themeFill="text2" w:themeFillTint="33"/>
            <w:vAlign w:val="center"/>
          </w:tcPr>
          <w:p w14:paraId="72BECF01" w14:textId="77777777" w:rsidR="00267131" w:rsidRPr="00151502" w:rsidRDefault="00267131" w:rsidP="004C3BD1">
            <w:pPr>
              <w:pStyle w:val="TableText0"/>
              <w:keepLines/>
              <w:widowControl w:val="0"/>
            </w:pPr>
            <w:r w:rsidRPr="00151502">
              <w:t>September 2020</w:t>
            </w:r>
          </w:p>
        </w:tc>
      </w:tr>
      <w:tr w:rsidR="00267131" w:rsidRPr="00151502" w14:paraId="2BFC3EF9" w14:textId="77777777" w:rsidTr="002A4286">
        <w:tc>
          <w:tcPr>
            <w:tcW w:w="796" w:type="pct"/>
            <w:vMerge/>
            <w:shd w:val="clear" w:color="auto" w:fill="C6D9F1" w:themeFill="text2" w:themeFillTint="33"/>
            <w:vAlign w:val="center"/>
          </w:tcPr>
          <w:p w14:paraId="4A2841BC"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056EAF0E"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023E52D4" w14:textId="77777777" w:rsidR="00267131" w:rsidRPr="00151502" w:rsidRDefault="00267131" w:rsidP="004C3BD1">
            <w:pPr>
              <w:pStyle w:val="TableText0"/>
              <w:keepLines/>
              <w:widowControl w:val="0"/>
              <w:rPr>
                <w:i/>
              </w:rPr>
            </w:pPr>
          </w:p>
        </w:tc>
      </w:tr>
      <w:tr w:rsidR="00267131" w:rsidRPr="00151502" w14:paraId="6DB0BBA7" w14:textId="77777777" w:rsidTr="002A4286">
        <w:tc>
          <w:tcPr>
            <w:tcW w:w="796" w:type="pct"/>
            <w:vMerge/>
            <w:tcBorders>
              <w:bottom w:val="nil"/>
            </w:tcBorders>
            <w:shd w:val="clear" w:color="auto" w:fill="C6D9F1" w:themeFill="text2" w:themeFillTint="33"/>
            <w:vAlign w:val="center"/>
          </w:tcPr>
          <w:p w14:paraId="07089388"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6F106DF1" w14:textId="77777777" w:rsidR="00267131" w:rsidRPr="00151502" w:rsidRDefault="00267131" w:rsidP="004C3BD1">
            <w:pPr>
              <w:pStyle w:val="TableText0"/>
              <w:keepLines/>
              <w:widowControl w:val="0"/>
              <w:rPr>
                <w:szCs w:val="18"/>
              </w:rPr>
            </w:pPr>
            <w:r w:rsidRPr="00151502">
              <w:rPr>
                <w:szCs w:val="18"/>
              </w:rPr>
              <w:t xml:space="preserve">Warren, R. B. B., A. Bagel, J. Papp, K. A. Yamauchi, P. Armstrong, A. Langley, et al. Bimekizumab versus Adalimumab in Plaque Psoriasis. </w:t>
            </w:r>
          </w:p>
        </w:tc>
        <w:tc>
          <w:tcPr>
            <w:tcW w:w="1177" w:type="pct"/>
            <w:tcBorders>
              <w:top w:val="nil"/>
              <w:bottom w:val="nil"/>
            </w:tcBorders>
            <w:shd w:val="clear" w:color="auto" w:fill="C6D9F1" w:themeFill="text2" w:themeFillTint="33"/>
            <w:vAlign w:val="center"/>
          </w:tcPr>
          <w:p w14:paraId="6456B6D3" w14:textId="77777777" w:rsidR="00267131" w:rsidRPr="00151502" w:rsidRDefault="00267131" w:rsidP="004C3BD1">
            <w:pPr>
              <w:pStyle w:val="TableText0"/>
              <w:keepLines/>
              <w:widowControl w:val="0"/>
            </w:pPr>
            <w:r w:rsidRPr="00151502">
              <w:t>NEJM 2021; 385: 130-141</w:t>
            </w:r>
          </w:p>
        </w:tc>
      </w:tr>
      <w:tr w:rsidR="00267131" w:rsidRPr="00151502" w14:paraId="4CF9F85E" w14:textId="77777777" w:rsidTr="002A4286">
        <w:tc>
          <w:tcPr>
            <w:tcW w:w="796" w:type="pct"/>
            <w:vMerge w:val="restart"/>
            <w:shd w:val="clear" w:color="auto" w:fill="C6D9F1" w:themeFill="text2" w:themeFillTint="33"/>
            <w:vAlign w:val="center"/>
          </w:tcPr>
          <w:p w14:paraId="301BF14D" w14:textId="77777777" w:rsidR="00267131" w:rsidRPr="00151502" w:rsidRDefault="00267131" w:rsidP="004C3BD1">
            <w:pPr>
              <w:pStyle w:val="TableText0"/>
              <w:keepLines/>
              <w:widowControl w:val="0"/>
            </w:pPr>
            <w:r w:rsidRPr="00151502">
              <w:t>BE VIVID</w:t>
            </w:r>
          </w:p>
        </w:tc>
        <w:tc>
          <w:tcPr>
            <w:tcW w:w="3027" w:type="pct"/>
            <w:tcBorders>
              <w:bottom w:val="nil"/>
            </w:tcBorders>
            <w:shd w:val="clear" w:color="auto" w:fill="C6D9F1" w:themeFill="text2" w:themeFillTint="33"/>
            <w:vAlign w:val="center"/>
          </w:tcPr>
          <w:p w14:paraId="3B04E5B9" w14:textId="77777777" w:rsidR="00267131" w:rsidRPr="00151502" w:rsidRDefault="00267131" w:rsidP="004C3BD1">
            <w:pPr>
              <w:pStyle w:val="TableText0"/>
              <w:keepLines/>
              <w:widowControl w:val="0"/>
            </w:pPr>
            <w:r w:rsidRPr="00151502">
              <w:t>Bimekizumab versus ustekinumab and placebo efficacy and safety in moderate to severe plaque psoriasis (BE VIVID): a multicentre, double-blind, placebo-controlled, randomised withdrawal phase 3 trial.</w:t>
            </w:r>
          </w:p>
        </w:tc>
        <w:tc>
          <w:tcPr>
            <w:tcW w:w="1177" w:type="pct"/>
            <w:tcBorders>
              <w:bottom w:val="nil"/>
            </w:tcBorders>
            <w:shd w:val="clear" w:color="auto" w:fill="C6D9F1" w:themeFill="text2" w:themeFillTint="33"/>
            <w:vAlign w:val="center"/>
          </w:tcPr>
          <w:p w14:paraId="45EDC060" w14:textId="77777777" w:rsidR="00267131" w:rsidRPr="00151502" w:rsidRDefault="00267131" w:rsidP="004C3BD1">
            <w:pPr>
              <w:pStyle w:val="TableText0"/>
              <w:keepLines/>
              <w:widowControl w:val="0"/>
            </w:pPr>
            <w:r w:rsidRPr="00151502">
              <w:t>August 2020</w:t>
            </w:r>
          </w:p>
        </w:tc>
      </w:tr>
      <w:tr w:rsidR="00267131" w:rsidRPr="00151502" w14:paraId="270875DA" w14:textId="77777777" w:rsidTr="002A4286">
        <w:tc>
          <w:tcPr>
            <w:tcW w:w="796" w:type="pct"/>
            <w:vMerge/>
            <w:shd w:val="clear" w:color="auto" w:fill="C6D9F1" w:themeFill="text2" w:themeFillTint="33"/>
            <w:vAlign w:val="center"/>
          </w:tcPr>
          <w:p w14:paraId="2CBA11A8"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794415E5"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4408F76A" w14:textId="77777777" w:rsidR="00267131" w:rsidRPr="00151502" w:rsidRDefault="00267131" w:rsidP="004C3BD1">
            <w:pPr>
              <w:pStyle w:val="TableText0"/>
              <w:keepLines/>
              <w:widowControl w:val="0"/>
            </w:pPr>
          </w:p>
        </w:tc>
      </w:tr>
      <w:tr w:rsidR="00267131" w:rsidRPr="00151502" w14:paraId="5151B9FA" w14:textId="77777777" w:rsidTr="002A4286">
        <w:tc>
          <w:tcPr>
            <w:tcW w:w="796" w:type="pct"/>
            <w:vMerge/>
            <w:tcBorders>
              <w:bottom w:val="single" w:sz="4" w:space="0" w:color="auto"/>
            </w:tcBorders>
            <w:shd w:val="clear" w:color="auto" w:fill="C6D9F1" w:themeFill="text2" w:themeFillTint="33"/>
            <w:vAlign w:val="center"/>
          </w:tcPr>
          <w:p w14:paraId="0A9DE598" w14:textId="77777777" w:rsidR="00267131" w:rsidRPr="00151502" w:rsidRDefault="00267131" w:rsidP="004C3BD1">
            <w:pPr>
              <w:pStyle w:val="TableText0"/>
              <w:keepLines/>
              <w:widowControl w:val="0"/>
            </w:pPr>
          </w:p>
        </w:tc>
        <w:tc>
          <w:tcPr>
            <w:tcW w:w="3027" w:type="pct"/>
            <w:tcBorders>
              <w:top w:val="nil"/>
              <w:bottom w:val="single" w:sz="4" w:space="0" w:color="auto"/>
            </w:tcBorders>
            <w:shd w:val="clear" w:color="auto" w:fill="C6D9F1" w:themeFill="text2" w:themeFillTint="33"/>
            <w:vAlign w:val="center"/>
          </w:tcPr>
          <w:p w14:paraId="667DB0F0" w14:textId="77777777" w:rsidR="00267131" w:rsidRPr="00151502" w:rsidRDefault="00267131" w:rsidP="004C3BD1">
            <w:pPr>
              <w:pStyle w:val="TableText0"/>
              <w:keepLines/>
              <w:widowControl w:val="0"/>
              <w:rPr>
                <w:szCs w:val="18"/>
              </w:rPr>
            </w:pPr>
            <w:r w:rsidRPr="00151502">
              <w:rPr>
                <w:szCs w:val="18"/>
              </w:rPr>
              <w:t>Reich K, Papp KA, Blauvelt A, Langley RG, Armstrong A, Warren RB, et al. Bimekizumab versus ustekinumab for the treatment of moderate to severe plaque psoriasis (BE VIVID): efficacy and safety from a 52-week, multicentre, double-blind, active comparator and placebo controlled phase 3 trial.</w:t>
            </w:r>
          </w:p>
        </w:tc>
        <w:tc>
          <w:tcPr>
            <w:tcW w:w="1177" w:type="pct"/>
            <w:tcBorders>
              <w:top w:val="nil"/>
              <w:bottom w:val="single" w:sz="4" w:space="0" w:color="auto"/>
            </w:tcBorders>
            <w:shd w:val="clear" w:color="auto" w:fill="C6D9F1" w:themeFill="text2" w:themeFillTint="33"/>
            <w:vAlign w:val="center"/>
          </w:tcPr>
          <w:p w14:paraId="7EF9D448" w14:textId="77777777" w:rsidR="00267131" w:rsidRPr="00151502" w:rsidRDefault="00267131" w:rsidP="004C3BD1">
            <w:pPr>
              <w:pStyle w:val="TableText0"/>
              <w:keepLines/>
              <w:widowControl w:val="0"/>
              <w:rPr>
                <w:iCs/>
                <w:szCs w:val="18"/>
              </w:rPr>
            </w:pPr>
            <w:r w:rsidRPr="00151502">
              <w:rPr>
                <w:iCs/>
                <w:szCs w:val="18"/>
              </w:rPr>
              <w:t>Lancet. 2021; 397:487-498</w:t>
            </w:r>
          </w:p>
        </w:tc>
      </w:tr>
      <w:tr w:rsidR="008C582A" w:rsidRPr="00151502" w14:paraId="000C47A6" w14:textId="77777777" w:rsidTr="00543FB2">
        <w:tc>
          <w:tcPr>
            <w:tcW w:w="796" w:type="pct"/>
            <w:vMerge w:val="restart"/>
            <w:tcBorders>
              <w:top w:val="single" w:sz="4" w:space="0" w:color="auto"/>
            </w:tcBorders>
            <w:shd w:val="clear" w:color="auto" w:fill="C6D9F1" w:themeFill="text2" w:themeFillTint="33"/>
            <w:vAlign w:val="center"/>
          </w:tcPr>
          <w:p w14:paraId="47589458" w14:textId="77777777" w:rsidR="008C582A" w:rsidRPr="00151502" w:rsidRDefault="008C582A" w:rsidP="002A4286">
            <w:pPr>
              <w:pStyle w:val="TableText0"/>
              <w:keepNext w:val="0"/>
              <w:keepLines/>
              <w:widowControl w:val="0"/>
            </w:pPr>
            <w:r w:rsidRPr="00151502">
              <w:t>BE RADIANT</w:t>
            </w:r>
          </w:p>
        </w:tc>
        <w:tc>
          <w:tcPr>
            <w:tcW w:w="3027" w:type="pct"/>
            <w:vMerge w:val="restart"/>
            <w:tcBorders>
              <w:top w:val="single" w:sz="4" w:space="0" w:color="auto"/>
            </w:tcBorders>
            <w:shd w:val="clear" w:color="auto" w:fill="C6D9F1" w:themeFill="text2" w:themeFillTint="33"/>
            <w:vAlign w:val="center"/>
          </w:tcPr>
          <w:p w14:paraId="2C3FDCB8" w14:textId="77777777" w:rsidR="008C582A" w:rsidRPr="00151502" w:rsidRDefault="008C582A" w:rsidP="008C582A">
            <w:pPr>
              <w:pStyle w:val="TableText0"/>
              <w:keepNext w:val="0"/>
              <w:keepLines/>
              <w:widowControl w:val="0"/>
              <w:spacing w:after="180"/>
              <w:rPr>
                <w:szCs w:val="18"/>
              </w:rPr>
            </w:pPr>
            <w:r w:rsidRPr="00151502">
              <w:rPr>
                <w:szCs w:val="18"/>
              </w:rPr>
              <w:t>Bimekizumab versus secukinumab efficacy and safety in moderate to severe plaque psoriasis (BE RADIANT): a multicentre, double-blind, placebo-controlled, randomised withdrawal phase 3 trial.</w:t>
            </w:r>
          </w:p>
        </w:tc>
        <w:tc>
          <w:tcPr>
            <w:tcW w:w="1177" w:type="pct"/>
            <w:tcBorders>
              <w:top w:val="single" w:sz="4" w:space="0" w:color="auto"/>
              <w:bottom w:val="nil"/>
            </w:tcBorders>
            <w:shd w:val="clear" w:color="auto" w:fill="C6D9F1" w:themeFill="text2" w:themeFillTint="33"/>
            <w:vAlign w:val="center"/>
          </w:tcPr>
          <w:p w14:paraId="29035623" w14:textId="77777777" w:rsidR="008C582A" w:rsidRPr="00151502" w:rsidRDefault="008C582A" w:rsidP="002A4286">
            <w:pPr>
              <w:pStyle w:val="TableText0"/>
              <w:keepNext w:val="0"/>
              <w:keepLines/>
              <w:widowControl w:val="0"/>
              <w:rPr>
                <w:iCs/>
                <w:szCs w:val="18"/>
              </w:rPr>
            </w:pPr>
            <w:r w:rsidRPr="00151502">
              <w:rPr>
                <w:iCs/>
                <w:szCs w:val="18"/>
              </w:rPr>
              <w:t>October 2020</w:t>
            </w:r>
          </w:p>
        </w:tc>
      </w:tr>
      <w:tr w:rsidR="008C582A" w:rsidRPr="00151502" w14:paraId="65039866" w14:textId="77777777" w:rsidTr="00543FB2">
        <w:tc>
          <w:tcPr>
            <w:tcW w:w="796" w:type="pct"/>
            <w:vMerge/>
            <w:shd w:val="clear" w:color="auto" w:fill="C6D9F1" w:themeFill="text2" w:themeFillTint="33"/>
            <w:vAlign w:val="center"/>
          </w:tcPr>
          <w:p w14:paraId="722550FE" w14:textId="77777777" w:rsidR="008C582A" w:rsidRPr="00151502" w:rsidRDefault="008C582A" w:rsidP="002A4286">
            <w:pPr>
              <w:pStyle w:val="TableText0"/>
              <w:keepNext w:val="0"/>
              <w:keepLines/>
              <w:widowControl w:val="0"/>
            </w:pPr>
          </w:p>
        </w:tc>
        <w:tc>
          <w:tcPr>
            <w:tcW w:w="3027" w:type="pct"/>
            <w:vMerge/>
            <w:tcBorders>
              <w:bottom w:val="nil"/>
            </w:tcBorders>
            <w:shd w:val="clear" w:color="auto" w:fill="C6D9F1" w:themeFill="text2" w:themeFillTint="33"/>
            <w:vAlign w:val="center"/>
          </w:tcPr>
          <w:p w14:paraId="1CA10821" w14:textId="77777777" w:rsidR="008C582A" w:rsidRPr="00151502" w:rsidRDefault="008C582A" w:rsidP="002A4286">
            <w:pPr>
              <w:pStyle w:val="TableText0"/>
              <w:keepNext w:val="0"/>
              <w:keepLines/>
              <w:widowControl w:val="0"/>
              <w:rPr>
                <w:szCs w:val="18"/>
              </w:rPr>
            </w:pPr>
          </w:p>
        </w:tc>
        <w:tc>
          <w:tcPr>
            <w:tcW w:w="1177" w:type="pct"/>
            <w:tcBorders>
              <w:top w:val="nil"/>
              <w:bottom w:val="nil"/>
            </w:tcBorders>
            <w:shd w:val="clear" w:color="auto" w:fill="C6D9F1" w:themeFill="text2" w:themeFillTint="33"/>
            <w:vAlign w:val="center"/>
          </w:tcPr>
          <w:p w14:paraId="68C191CF" w14:textId="77777777" w:rsidR="008C582A" w:rsidRPr="00151502" w:rsidRDefault="008C582A" w:rsidP="002A4286">
            <w:pPr>
              <w:pStyle w:val="TableText0"/>
              <w:keepNext w:val="0"/>
              <w:keepLines/>
              <w:widowControl w:val="0"/>
              <w:rPr>
                <w:i/>
                <w:szCs w:val="18"/>
              </w:rPr>
            </w:pPr>
          </w:p>
        </w:tc>
      </w:tr>
      <w:tr w:rsidR="00267131" w:rsidRPr="00151502" w14:paraId="417C78BF" w14:textId="77777777" w:rsidTr="002A4286">
        <w:tc>
          <w:tcPr>
            <w:tcW w:w="796" w:type="pct"/>
            <w:vMerge/>
            <w:tcBorders>
              <w:bottom w:val="single" w:sz="4" w:space="0" w:color="auto"/>
            </w:tcBorders>
            <w:shd w:val="clear" w:color="auto" w:fill="C6D9F1" w:themeFill="text2" w:themeFillTint="33"/>
            <w:vAlign w:val="center"/>
          </w:tcPr>
          <w:p w14:paraId="55FA77F7" w14:textId="77777777" w:rsidR="00267131" w:rsidRPr="00151502" w:rsidRDefault="00267131" w:rsidP="002A4286">
            <w:pPr>
              <w:pStyle w:val="TableText0"/>
              <w:keepNext w:val="0"/>
              <w:keepLines/>
              <w:widowControl w:val="0"/>
            </w:pPr>
          </w:p>
        </w:tc>
        <w:tc>
          <w:tcPr>
            <w:tcW w:w="3027" w:type="pct"/>
            <w:tcBorders>
              <w:top w:val="nil"/>
              <w:bottom w:val="single" w:sz="4" w:space="0" w:color="auto"/>
            </w:tcBorders>
            <w:shd w:val="clear" w:color="auto" w:fill="C6D9F1" w:themeFill="text2" w:themeFillTint="33"/>
            <w:vAlign w:val="center"/>
          </w:tcPr>
          <w:p w14:paraId="04D922B0" w14:textId="77777777" w:rsidR="00267131" w:rsidRPr="00151502" w:rsidRDefault="00267131" w:rsidP="002A4286">
            <w:pPr>
              <w:pStyle w:val="TableText0"/>
              <w:keepNext w:val="0"/>
              <w:keepLines/>
              <w:widowControl w:val="0"/>
              <w:rPr>
                <w:szCs w:val="18"/>
              </w:rPr>
            </w:pPr>
            <w:r w:rsidRPr="00693371">
              <w:rPr>
                <w:szCs w:val="18"/>
                <w:lang w:val="de-DE"/>
              </w:rPr>
              <w:t xml:space="preserve">Reich K, Warren RB, Lebwohl M, Gooderham M, Strober B, Langley RG, et al. </w:t>
            </w:r>
            <w:r w:rsidRPr="00151502">
              <w:rPr>
                <w:szCs w:val="18"/>
              </w:rPr>
              <w:t>Bimekizumab versus Secukinumab in Plaque Psoriasis.</w:t>
            </w:r>
          </w:p>
        </w:tc>
        <w:tc>
          <w:tcPr>
            <w:tcW w:w="1177" w:type="pct"/>
            <w:tcBorders>
              <w:top w:val="nil"/>
              <w:bottom w:val="single" w:sz="4" w:space="0" w:color="auto"/>
            </w:tcBorders>
            <w:shd w:val="clear" w:color="auto" w:fill="C6D9F1" w:themeFill="text2" w:themeFillTint="33"/>
            <w:vAlign w:val="center"/>
          </w:tcPr>
          <w:p w14:paraId="19147941" w14:textId="77777777" w:rsidR="00267131" w:rsidRPr="00151502" w:rsidRDefault="00267131" w:rsidP="002A4286">
            <w:pPr>
              <w:pStyle w:val="TableText0"/>
              <w:keepNext w:val="0"/>
              <w:keepLines/>
              <w:widowControl w:val="0"/>
              <w:rPr>
                <w:iCs/>
                <w:szCs w:val="18"/>
              </w:rPr>
            </w:pPr>
            <w:r w:rsidRPr="00151502">
              <w:rPr>
                <w:iCs/>
                <w:szCs w:val="18"/>
              </w:rPr>
              <w:t>NEJM 2021; 385:142-152</w:t>
            </w:r>
          </w:p>
        </w:tc>
      </w:tr>
      <w:tr w:rsidR="00267131" w:rsidRPr="00724B4E" w14:paraId="0CC8636F" w14:textId="77777777" w:rsidTr="002A4286">
        <w:tc>
          <w:tcPr>
            <w:tcW w:w="796" w:type="pct"/>
            <w:tcBorders>
              <w:top w:val="single" w:sz="4" w:space="0" w:color="auto"/>
              <w:bottom w:val="single" w:sz="4" w:space="0" w:color="auto"/>
            </w:tcBorders>
            <w:shd w:val="clear" w:color="auto" w:fill="C6D9F1" w:themeFill="text2" w:themeFillTint="33"/>
            <w:vAlign w:val="center"/>
          </w:tcPr>
          <w:p w14:paraId="5F3111D3" w14:textId="77777777" w:rsidR="00267131" w:rsidRPr="00151502" w:rsidRDefault="00267131" w:rsidP="002A4286">
            <w:pPr>
              <w:pStyle w:val="TableText0"/>
              <w:keepNext w:val="0"/>
              <w:keepLines/>
              <w:widowControl w:val="0"/>
            </w:pPr>
            <w:r w:rsidRPr="00151502">
              <w:t>BE ABLE 1</w:t>
            </w:r>
          </w:p>
        </w:tc>
        <w:tc>
          <w:tcPr>
            <w:tcW w:w="3027" w:type="pct"/>
            <w:tcBorders>
              <w:top w:val="single" w:sz="4" w:space="0" w:color="auto"/>
              <w:bottom w:val="single" w:sz="4" w:space="0" w:color="auto"/>
            </w:tcBorders>
            <w:shd w:val="clear" w:color="auto" w:fill="C6D9F1" w:themeFill="text2" w:themeFillTint="33"/>
            <w:vAlign w:val="center"/>
          </w:tcPr>
          <w:p w14:paraId="7885AEB4" w14:textId="77777777" w:rsidR="00267131" w:rsidRPr="00151502" w:rsidRDefault="00267131" w:rsidP="002A4286">
            <w:pPr>
              <w:pStyle w:val="TableText0"/>
              <w:keepNext w:val="0"/>
              <w:keepLines/>
              <w:widowControl w:val="0"/>
              <w:rPr>
                <w:szCs w:val="18"/>
              </w:rPr>
            </w:pPr>
            <w:r w:rsidRPr="00151502">
              <w:rPr>
                <w:szCs w:val="18"/>
              </w:rPr>
              <w:t>Papp KA, Merola JF, Gottlieb AB, Griffiths CEM, Cross N, Peterson L, et al. Dual neutralization of both interleukin 17A and interleukin 17F with bimekizumab in patients with psoriasis: Results from BE ABLE 1, a 12-week randomized, double-blinded, placebo-controlled phase 2b trial.</w:t>
            </w:r>
          </w:p>
        </w:tc>
        <w:tc>
          <w:tcPr>
            <w:tcW w:w="1177" w:type="pct"/>
            <w:tcBorders>
              <w:top w:val="single" w:sz="4" w:space="0" w:color="auto"/>
              <w:bottom w:val="single" w:sz="4" w:space="0" w:color="auto"/>
            </w:tcBorders>
            <w:shd w:val="clear" w:color="auto" w:fill="C6D9F1" w:themeFill="text2" w:themeFillTint="33"/>
            <w:vAlign w:val="center"/>
          </w:tcPr>
          <w:p w14:paraId="3B8C348A" w14:textId="77777777" w:rsidR="00267131" w:rsidRPr="00693371" w:rsidRDefault="00267131" w:rsidP="002A4286">
            <w:pPr>
              <w:pStyle w:val="TableText0"/>
              <w:keepNext w:val="0"/>
              <w:keepLines/>
              <w:widowControl w:val="0"/>
              <w:rPr>
                <w:iCs/>
                <w:szCs w:val="18"/>
                <w:lang w:val="pt-PT"/>
              </w:rPr>
            </w:pPr>
            <w:r w:rsidRPr="00693371">
              <w:rPr>
                <w:iCs/>
                <w:szCs w:val="18"/>
                <w:lang w:val="pt-PT"/>
              </w:rPr>
              <w:t>J Am Acad Dermatol. 2018;79: 277-286.e10</w:t>
            </w:r>
          </w:p>
        </w:tc>
      </w:tr>
      <w:tr w:rsidR="00267131" w:rsidRPr="00151502" w14:paraId="13689BCB" w14:textId="77777777" w:rsidTr="002A4286">
        <w:tc>
          <w:tcPr>
            <w:tcW w:w="796" w:type="pct"/>
            <w:tcBorders>
              <w:top w:val="single" w:sz="4" w:space="0" w:color="auto"/>
              <w:bottom w:val="single" w:sz="4" w:space="0" w:color="auto"/>
            </w:tcBorders>
            <w:shd w:val="clear" w:color="auto" w:fill="C6D9F1" w:themeFill="text2" w:themeFillTint="33"/>
            <w:vAlign w:val="center"/>
          </w:tcPr>
          <w:p w14:paraId="7E9B4FDE" w14:textId="77777777" w:rsidR="00267131" w:rsidRPr="00151502" w:rsidRDefault="00267131" w:rsidP="002A4286">
            <w:pPr>
              <w:pStyle w:val="TableText0"/>
              <w:keepNext w:val="0"/>
              <w:keepLines/>
              <w:widowControl w:val="0"/>
            </w:pPr>
            <w:r w:rsidRPr="00151502">
              <w:t>BE ABLE 2</w:t>
            </w:r>
          </w:p>
        </w:tc>
        <w:tc>
          <w:tcPr>
            <w:tcW w:w="3027" w:type="pct"/>
            <w:tcBorders>
              <w:top w:val="single" w:sz="4" w:space="0" w:color="auto"/>
              <w:bottom w:val="single" w:sz="4" w:space="0" w:color="auto"/>
            </w:tcBorders>
            <w:shd w:val="clear" w:color="auto" w:fill="C6D9F1" w:themeFill="text2" w:themeFillTint="33"/>
            <w:vAlign w:val="center"/>
          </w:tcPr>
          <w:p w14:paraId="275400D8" w14:textId="77777777" w:rsidR="00267131" w:rsidRPr="00151502" w:rsidRDefault="00267131" w:rsidP="002A4286">
            <w:pPr>
              <w:pStyle w:val="TableText0"/>
              <w:keepNext w:val="0"/>
              <w:keepLines/>
              <w:widowControl w:val="0"/>
              <w:rPr>
                <w:szCs w:val="18"/>
              </w:rPr>
            </w:pPr>
            <w:r w:rsidRPr="00151502">
              <w:rPr>
                <w:szCs w:val="18"/>
              </w:rPr>
              <w:t>Blauvelt A, Papp KA, Merola JF, Gottlieb AB, Cross N, Madden C, et al. Bimekizumab for patients with moderate to severe plaque psoriasis: 60-week results from BE ABLE 2, a randomized, double-blinded, placebo-controlled, phase 2b extension study.</w:t>
            </w:r>
          </w:p>
        </w:tc>
        <w:tc>
          <w:tcPr>
            <w:tcW w:w="1177" w:type="pct"/>
            <w:tcBorders>
              <w:top w:val="single" w:sz="4" w:space="0" w:color="auto"/>
              <w:bottom w:val="single" w:sz="4" w:space="0" w:color="auto"/>
            </w:tcBorders>
            <w:shd w:val="clear" w:color="auto" w:fill="C6D9F1" w:themeFill="text2" w:themeFillTint="33"/>
            <w:vAlign w:val="center"/>
          </w:tcPr>
          <w:p w14:paraId="5CB1286C" w14:textId="77777777" w:rsidR="00267131" w:rsidRPr="00151502" w:rsidRDefault="00267131" w:rsidP="002A4286">
            <w:pPr>
              <w:pStyle w:val="TableText0"/>
              <w:keepNext w:val="0"/>
              <w:keepLines/>
              <w:widowControl w:val="0"/>
              <w:rPr>
                <w:iCs/>
                <w:szCs w:val="18"/>
              </w:rPr>
            </w:pPr>
            <w:r w:rsidRPr="00151502">
              <w:rPr>
                <w:iCs/>
                <w:szCs w:val="18"/>
              </w:rPr>
              <w:t>Am Acad Dermatol. 2020; 83:1367-1374.</w:t>
            </w:r>
          </w:p>
        </w:tc>
      </w:tr>
      <w:tr w:rsidR="00267131" w:rsidRPr="00151502" w14:paraId="32C9B20D" w14:textId="77777777" w:rsidTr="002A4286">
        <w:tc>
          <w:tcPr>
            <w:tcW w:w="796" w:type="pct"/>
            <w:tcBorders>
              <w:top w:val="single" w:sz="4" w:space="0" w:color="auto"/>
              <w:bottom w:val="single" w:sz="4" w:space="0" w:color="auto"/>
            </w:tcBorders>
            <w:shd w:val="clear" w:color="auto" w:fill="C6D9F1" w:themeFill="text2" w:themeFillTint="33"/>
            <w:vAlign w:val="center"/>
          </w:tcPr>
          <w:p w14:paraId="2F2D6515" w14:textId="77777777" w:rsidR="00267131" w:rsidRPr="00151502" w:rsidRDefault="00267131" w:rsidP="002A4286">
            <w:pPr>
              <w:pStyle w:val="TableText0"/>
              <w:keepNext w:val="0"/>
              <w:keepLines/>
              <w:widowControl w:val="0"/>
            </w:pPr>
            <w:r w:rsidRPr="00151502">
              <w:lastRenderedPageBreak/>
              <w:t>BE BRIGHT</w:t>
            </w:r>
          </w:p>
        </w:tc>
        <w:tc>
          <w:tcPr>
            <w:tcW w:w="3027" w:type="pct"/>
            <w:tcBorders>
              <w:top w:val="single" w:sz="4" w:space="0" w:color="auto"/>
              <w:bottom w:val="single" w:sz="4" w:space="0" w:color="auto"/>
            </w:tcBorders>
            <w:shd w:val="clear" w:color="auto" w:fill="C6D9F1" w:themeFill="text2" w:themeFillTint="33"/>
            <w:vAlign w:val="center"/>
          </w:tcPr>
          <w:p w14:paraId="7B8BA227" w14:textId="77777777" w:rsidR="00267131" w:rsidRPr="00151502" w:rsidRDefault="00267131" w:rsidP="002A4286">
            <w:pPr>
              <w:pStyle w:val="TableText0"/>
              <w:keepNext w:val="0"/>
              <w:keepLines/>
              <w:widowControl w:val="0"/>
              <w:rPr>
                <w:szCs w:val="18"/>
              </w:rPr>
            </w:pPr>
            <w:r w:rsidRPr="00151502">
              <w:rPr>
                <w:szCs w:val="18"/>
              </w:rPr>
              <w:t>Bimekizumab extension study BE BRIGHT of efficacy and safety in moderate to severe plaque psoriasis</w:t>
            </w:r>
          </w:p>
        </w:tc>
        <w:tc>
          <w:tcPr>
            <w:tcW w:w="1177" w:type="pct"/>
            <w:tcBorders>
              <w:top w:val="single" w:sz="4" w:space="0" w:color="auto"/>
              <w:bottom w:val="single" w:sz="4" w:space="0" w:color="auto"/>
            </w:tcBorders>
            <w:shd w:val="clear" w:color="auto" w:fill="C6D9F1" w:themeFill="text2" w:themeFillTint="33"/>
            <w:vAlign w:val="center"/>
          </w:tcPr>
          <w:p w14:paraId="36D8B5F8" w14:textId="77777777" w:rsidR="00267131" w:rsidRPr="00151502" w:rsidRDefault="00267131" w:rsidP="002A4286">
            <w:pPr>
              <w:pStyle w:val="TableText0"/>
              <w:keepNext w:val="0"/>
              <w:keepLines/>
              <w:widowControl w:val="0"/>
              <w:rPr>
                <w:iCs/>
                <w:szCs w:val="18"/>
              </w:rPr>
            </w:pPr>
            <w:r w:rsidRPr="00151502">
              <w:rPr>
                <w:iCs/>
                <w:szCs w:val="18"/>
              </w:rPr>
              <w:t>December 2020</w:t>
            </w:r>
          </w:p>
        </w:tc>
      </w:tr>
      <w:tr w:rsidR="00267131" w:rsidRPr="001F0440" w14:paraId="38A56314" w14:textId="77777777" w:rsidTr="002A4286">
        <w:tc>
          <w:tcPr>
            <w:tcW w:w="5000" w:type="pct"/>
            <w:gridSpan w:val="3"/>
            <w:tcBorders>
              <w:top w:val="single" w:sz="4" w:space="0" w:color="auto"/>
              <w:bottom w:val="single" w:sz="4" w:space="0" w:color="auto"/>
            </w:tcBorders>
            <w:shd w:val="clear" w:color="auto" w:fill="auto"/>
            <w:vAlign w:val="center"/>
          </w:tcPr>
          <w:p w14:paraId="7EC07715" w14:textId="77777777" w:rsidR="00267131" w:rsidRPr="001F0440" w:rsidRDefault="00267131" w:rsidP="002A4286">
            <w:pPr>
              <w:pStyle w:val="TableText0"/>
              <w:keepNext w:val="0"/>
              <w:keepLines/>
              <w:widowControl w:val="0"/>
              <w:rPr>
                <w:iCs/>
                <w:szCs w:val="18"/>
              </w:rPr>
            </w:pPr>
            <w:r>
              <w:rPr>
                <w:b/>
                <w:bCs w:val="0"/>
              </w:rPr>
              <w:t>EADV 2022 conference posters</w:t>
            </w:r>
          </w:p>
        </w:tc>
      </w:tr>
      <w:tr w:rsidR="00267131" w:rsidRPr="001F0440" w14:paraId="30939CDE" w14:textId="77777777" w:rsidTr="002A4286">
        <w:tc>
          <w:tcPr>
            <w:tcW w:w="796" w:type="pct"/>
            <w:tcBorders>
              <w:top w:val="single" w:sz="4" w:space="0" w:color="auto"/>
              <w:bottom w:val="single" w:sz="4" w:space="0" w:color="auto"/>
            </w:tcBorders>
            <w:shd w:val="clear" w:color="auto" w:fill="auto"/>
            <w:vAlign w:val="center"/>
          </w:tcPr>
          <w:p w14:paraId="0490B527" w14:textId="77777777" w:rsidR="00646D6A" w:rsidRDefault="00646D6A" w:rsidP="002A4286">
            <w:pPr>
              <w:pStyle w:val="TableText0"/>
              <w:keepNext w:val="0"/>
              <w:keepLines/>
              <w:widowControl w:val="0"/>
            </w:pPr>
            <w:r>
              <w:t xml:space="preserve">Thaci 2022 </w:t>
            </w:r>
          </w:p>
          <w:p w14:paraId="3BD6D93F" w14:textId="3C68339C" w:rsidR="00267131" w:rsidRPr="000A613A" w:rsidRDefault="00646D6A" w:rsidP="002A4286">
            <w:pPr>
              <w:pStyle w:val="TableText0"/>
              <w:keepNext w:val="0"/>
              <w:keepLines/>
              <w:widowControl w:val="0"/>
            </w:pPr>
            <w:r>
              <w:t>(</w:t>
            </w:r>
            <w:r w:rsidR="00267131" w:rsidRPr="000A613A">
              <w:t>BE SURE</w:t>
            </w:r>
            <w:r w:rsidR="00267131">
              <w:t xml:space="preserve"> / BE BRIGHT</w:t>
            </w:r>
            <w:r>
              <w:t>)</w:t>
            </w:r>
          </w:p>
        </w:tc>
        <w:tc>
          <w:tcPr>
            <w:tcW w:w="3027" w:type="pct"/>
            <w:tcBorders>
              <w:top w:val="single" w:sz="4" w:space="0" w:color="auto"/>
              <w:bottom w:val="single" w:sz="4" w:space="0" w:color="auto"/>
            </w:tcBorders>
            <w:shd w:val="clear" w:color="auto" w:fill="auto"/>
            <w:vAlign w:val="center"/>
          </w:tcPr>
          <w:p w14:paraId="3C591DB4" w14:textId="77777777" w:rsidR="00267131" w:rsidRDefault="00267131" w:rsidP="002A4286">
            <w:pPr>
              <w:pStyle w:val="TableText0"/>
              <w:keepNext w:val="0"/>
              <w:keepLines/>
              <w:widowControl w:val="0"/>
              <w:rPr>
                <w:szCs w:val="18"/>
              </w:rPr>
            </w:pPr>
            <w:r w:rsidRPr="00B44513">
              <w:rPr>
                <w:szCs w:val="18"/>
                <w:lang w:val="fr-FR"/>
              </w:rPr>
              <w:t xml:space="preserve">Thaci D, Vender R, de Rie M, et al. </w:t>
            </w:r>
            <w:r>
              <w:rPr>
                <w:szCs w:val="18"/>
              </w:rPr>
              <w:t>Bimekizumab efficacy and safety through three years in patients with moderate to severe plaque psoriasis: Long-term results from the BE SURE randomised controlled trial and the BE BRIGHT open-label extension</w:t>
            </w:r>
          </w:p>
        </w:tc>
        <w:tc>
          <w:tcPr>
            <w:tcW w:w="1177" w:type="pct"/>
            <w:tcBorders>
              <w:top w:val="single" w:sz="4" w:space="0" w:color="auto"/>
              <w:bottom w:val="single" w:sz="4" w:space="0" w:color="auto"/>
            </w:tcBorders>
            <w:shd w:val="clear" w:color="auto" w:fill="auto"/>
            <w:vAlign w:val="center"/>
          </w:tcPr>
          <w:p w14:paraId="41D557BC"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32BFFD3E" w14:textId="77777777" w:rsidTr="002A4286">
        <w:tc>
          <w:tcPr>
            <w:tcW w:w="796" w:type="pct"/>
            <w:tcBorders>
              <w:top w:val="single" w:sz="4" w:space="0" w:color="auto"/>
            </w:tcBorders>
            <w:shd w:val="clear" w:color="auto" w:fill="auto"/>
            <w:vAlign w:val="center"/>
          </w:tcPr>
          <w:p w14:paraId="716E1951" w14:textId="77777777" w:rsidR="00646D6A" w:rsidRDefault="00646D6A" w:rsidP="002A4286">
            <w:pPr>
              <w:pStyle w:val="TableText0"/>
              <w:keepNext w:val="0"/>
              <w:keepLines/>
              <w:widowControl w:val="0"/>
            </w:pPr>
            <w:r>
              <w:t xml:space="preserve">Lebwohl 2022 </w:t>
            </w:r>
          </w:p>
          <w:p w14:paraId="29F5B4C3" w14:textId="2EB40520" w:rsidR="00267131" w:rsidRPr="009411A8" w:rsidRDefault="00646D6A" w:rsidP="002A4286">
            <w:pPr>
              <w:pStyle w:val="TableText0"/>
              <w:keepNext w:val="0"/>
              <w:keepLines/>
              <w:widowControl w:val="0"/>
            </w:pPr>
            <w:r>
              <w:t>(</w:t>
            </w:r>
            <w:r w:rsidR="00267131" w:rsidRPr="009411A8">
              <w:t>BE RADIANT</w:t>
            </w:r>
            <w:r>
              <w:t>)</w:t>
            </w:r>
          </w:p>
        </w:tc>
        <w:tc>
          <w:tcPr>
            <w:tcW w:w="3027" w:type="pct"/>
            <w:tcBorders>
              <w:top w:val="single" w:sz="4" w:space="0" w:color="auto"/>
              <w:bottom w:val="single" w:sz="4" w:space="0" w:color="auto"/>
            </w:tcBorders>
            <w:shd w:val="clear" w:color="auto" w:fill="auto"/>
            <w:vAlign w:val="center"/>
          </w:tcPr>
          <w:p w14:paraId="52245496" w14:textId="77777777" w:rsidR="00267131" w:rsidRPr="009411A8" w:rsidRDefault="00267131" w:rsidP="002A4286">
            <w:pPr>
              <w:pStyle w:val="TableText0"/>
              <w:keepNext w:val="0"/>
              <w:keepLines/>
              <w:widowControl w:val="0"/>
              <w:rPr>
                <w:szCs w:val="18"/>
              </w:rPr>
            </w:pPr>
            <w:r w:rsidRPr="00B44513">
              <w:rPr>
                <w:szCs w:val="18"/>
                <w:lang w:val="de-DE"/>
              </w:rPr>
              <w:t xml:space="preserve">Lebwohl M, Brunner PM, Soung J et al. </w:t>
            </w:r>
            <w:r>
              <w:rPr>
                <w:szCs w:val="18"/>
              </w:rPr>
              <w:t>Bimekizumab versus secukinumab in plaque psoriasis: Cumulative clinical and health-related quality of life benefit through 2 years of the BE RADIANT phase 3b trial and open-label extension.</w:t>
            </w:r>
          </w:p>
        </w:tc>
        <w:tc>
          <w:tcPr>
            <w:tcW w:w="1177" w:type="pct"/>
            <w:tcBorders>
              <w:top w:val="single" w:sz="4" w:space="0" w:color="auto"/>
              <w:bottom w:val="single" w:sz="4" w:space="0" w:color="auto"/>
            </w:tcBorders>
            <w:shd w:val="clear" w:color="auto" w:fill="auto"/>
            <w:vAlign w:val="center"/>
          </w:tcPr>
          <w:p w14:paraId="56CDDDBA"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05478F5" w14:textId="77777777" w:rsidTr="002A4286">
        <w:tc>
          <w:tcPr>
            <w:tcW w:w="796" w:type="pct"/>
            <w:tcBorders>
              <w:bottom w:val="single" w:sz="4" w:space="0" w:color="auto"/>
            </w:tcBorders>
            <w:shd w:val="clear" w:color="auto" w:fill="auto"/>
            <w:vAlign w:val="center"/>
          </w:tcPr>
          <w:p w14:paraId="0A62F0BE" w14:textId="560AE0B7" w:rsidR="00267131" w:rsidRPr="00A271BB" w:rsidRDefault="00646D6A" w:rsidP="002A4286">
            <w:pPr>
              <w:pStyle w:val="TableText0"/>
              <w:keepNext w:val="0"/>
              <w:keepLines/>
              <w:widowControl w:val="0"/>
              <w:rPr>
                <w:b/>
                <w:bCs w:val="0"/>
              </w:rPr>
            </w:pPr>
            <w:r w:rsidRPr="00646D6A">
              <w:t>Kokolakis 2022 (BE RADIANT</w:t>
            </w:r>
            <w:r>
              <w:rPr>
                <w:b/>
                <w:bCs w:val="0"/>
              </w:rPr>
              <w:t>)</w:t>
            </w:r>
          </w:p>
        </w:tc>
        <w:tc>
          <w:tcPr>
            <w:tcW w:w="3027" w:type="pct"/>
            <w:tcBorders>
              <w:top w:val="single" w:sz="4" w:space="0" w:color="auto"/>
              <w:bottom w:val="single" w:sz="4" w:space="0" w:color="auto"/>
            </w:tcBorders>
            <w:shd w:val="clear" w:color="auto" w:fill="auto"/>
            <w:vAlign w:val="center"/>
          </w:tcPr>
          <w:p w14:paraId="10BA6BDD" w14:textId="77777777" w:rsidR="00267131" w:rsidRDefault="00267131" w:rsidP="002A4286">
            <w:pPr>
              <w:pStyle w:val="TableText0"/>
              <w:keepNext w:val="0"/>
              <w:keepLines/>
              <w:widowControl w:val="0"/>
              <w:rPr>
                <w:szCs w:val="18"/>
              </w:rPr>
            </w:pPr>
            <w:r>
              <w:rPr>
                <w:szCs w:val="18"/>
              </w:rPr>
              <w:t>Kokolakis G, Langley RG, Gottlieb AB et al. Bimekizumab efficacy through 96 weeks in patients with moderate to severe plaque psoriasis: Patient-reported outcomes from the BE RADIANT phase 3b trial.</w:t>
            </w:r>
          </w:p>
        </w:tc>
        <w:tc>
          <w:tcPr>
            <w:tcW w:w="1177" w:type="pct"/>
            <w:tcBorders>
              <w:top w:val="single" w:sz="4" w:space="0" w:color="auto"/>
              <w:bottom w:val="single" w:sz="4" w:space="0" w:color="auto"/>
            </w:tcBorders>
            <w:shd w:val="clear" w:color="auto" w:fill="auto"/>
            <w:vAlign w:val="center"/>
          </w:tcPr>
          <w:p w14:paraId="5AC8B1A9"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574BF068" w14:textId="77777777" w:rsidTr="002A4286">
        <w:tc>
          <w:tcPr>
            <w:tcW w:w="796" w:type="pct"/>
            <w:tcBorders>
              <w:top w:val="single" w:sz="4" w:space="0" w:color="auto"/>
              <w:bottom w:val="single" w:sz="4" w:space="0" w:color="auto"/>
            </w:tcBorders>
            <w:shd w:val="clear" w:color="auto" w:fill="auto"/>
            <w:vAlign w:val="center"/>
          </w:tcPr>
          <w:p w14:paraId="6E5EDEA4" w14:textId="77777777" w:rsidR="00646D6A" w:rsidRDefault="00646D6A" w:rsidP="002A4286">
            <w:pPr>
              <w:pStyle w:val="TableText0"/>
              <w:keepNext w:val="0"/>
              <w:keepLines/>
              <w:widowControl w:val="0"/>
            </w:pPr>
            <w:r>
              <w:t xml:space="preserve">Warren 2022 </w:t>
            </w:r>
          </w:p>
          <w:p w14:paraId="23B143AB" w14:textId="1AB1E112" w:rsidR="00267131" w:rsidRPr="003E2BFE" w:rsidRDefault="00646D6A" w:rsidP="002A4286">
            <w:pPr>
              <w:pStyle w:val="TableText0"/>
              <w:keepNext w:val="0"/>
              <w:keepLines/>
              <w:widowControl w:val="0"/>
            </w:pPr>
            <w:r>
              <w:t>(</w:t>
            </w:r>
            <w:r w:rsidR="00267131" w:rsidRPr="003E2BFE">
              <w:t>BE SURE/BE BRIGHT; BE VIVID/BE BRIGHT; BE RADIANT</w:t>
            </w:r>
            <w:r>
              <w:t>)</w:t>
            </w:r>
          </w:p>
        </w:tc>
        <w:tc>
          <w:tcPr>
            <w:tcW w:w="3027" w:type="pct"/>
            <w:tcBorders>
              <w:top w:val="single" w:sz="4" w:space="0" w:color="auto"/>
              <w:bottom w:val="single" w:sz="4" w:space="0" w:color="auto"/>
            </w:tcBorders>
            <w:shd w:val="clear" w:color="auto" w:fill="auto"/>
            <w:vAlign w:val="center"/>
          </w:tcPr>
          <w:p w14:paraId="627DC9D7" w14:textId="77777777" w:rsidR="00267131" w:rsidRDefault="00267131" w:rsidP="002A4286">
            <w:pPr>
              <w:pStyle w:val="TableText0"/>
              <w:keepNext w:val="0"/>
              <w:keepLines/>
              <w:widowControl w:val="0"/>
              <w:rPr>
                <w:szCs w:val="18"/>
              </w:rPr>
            </w:pPr>
            <w:r>
              <w:rPr>
                <w:szCs w:val="18"/>
              </w:rPr>
              <w:t>Warren RB, Strober B, Pinter A et al. Bimekizumab efficacy over two years in patients with moderate to severe plaque psoriasis with scalp and nail involvement who switched from adalimumab, ustekinumab, or secukinumab: Results from the BE SURE, BE VIVID, BE BRIGHT, and BE RADIANT phase 3/3b trials</w:t>
            </w:r>
          </w:p>
        </w:tc>
        <w:tc>
          <w:tcPr>
            <w:tcW w:w="1177" w:type="pct"/>
            <w:tcBorders>
              <w:top w:val="single" w:sz="4" w:space="0" w:color="auto"/>
              <w:bottom w:val="single" w:sz="4" w:space="0" w:color="auto"/>
            </w:tcBorders>
            <w:shd w:val="clear" w:color="auto" w:fill="auto"/>
            <w:vAlign w:val="center"/>
          </w:tcPr>
          <w:p w14:paraId="0EB52B54"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EFF0198" w14:textId="77777777" w:rsidTr="002A4286">
        <w:tc>
          <w:tcPr>
            <w:tcW w:w="796" w:type="pct"/>
            <w:tcBorders>
              <w:top w:val="single" w:sz="4" w:space="0" w:color="auto"/>
              <w:bottom w:val="single" w:sz="4" w:space="0" w:color="auto"/>
            </w:tcBorders>
            <w:shd w:val="clear" w:color="auto" w:fill="auto"/>
            <w:vAlign w:val="center"/>
          </w:tcPr>
          <w:p w14:paraId="5365562E" w14:textId="77777777" w:rsidR="00646D6A" w:rsidRDefault="00646D6A" w:rsidP="002A4286">
            <w:pPr>
              <w:pStyle w:val="TableText0"/>
              <w:keepNext w:val="0"/>
              <w:keepLines/>
              <w:widowControl w:val="0"/>
            </w:pPr>
            <w:r>
              <w:t xml:space="preserve">Merola 2022 </w:t>
            </w:r>
          </w:p>
          <w:p w14:paraId="1752BD25" w14:textId="72E68775" w:rsidR="00267131" w:rsidRPr="00DC0C5C" w:rsidRDefault="00646D6A" w:rsidP="002A4286">
            <w:pPr>
              <w:pStyle w:val="TableText0"/>
              <w:keepNext w:val="0"/>
              <w:keepLines/>
              <w:widowControl w:val="0"/>
            </w:pPr>
            <w:r>
              <w:t>(</w:t>
            </w:r>
            <w:r w:rsidR="00267131" w:rsidRPr="00DC0C5C">
              <w:t>BE SURE/BE BRIGHT; BE RADIANT</w:t>
            </w:r>
            <w:r>
              <w:t>)</w:t>
            </w:r>
          </w:p>
        </w:tc>
        <w:tc>
          <w:tcPr>
            <w:tcW w:w="3027" w:type="pct"/>
            <w:tcBorders>
              <w:top w:val="single" w:sz="4" w:space="0" w:color="auto"/>
              <w:bottom w:val="single" w:sz="4" w:space="0" w:color="auto"/>
            </w:tcBorders>
            <w:shd w:val="clear" w:color="auto" w:fill="auto"/>
            <w:vAlign w:val="center"/>
          </w:tcPr>
          <w:p w14:paraId="5C2EF57A" w14:textId="77777777" w:rsidR="00267131" w:rsidRDefault="00267131" w:rsidP="002A4286">
            <w:pPr>
              <w:pStyle w:val="TableText0"/>
              <w:keepNext w:val="0"/>
              <w:keepLines/>
              <w:widowControl w:val="0"/>
              <w:rPr>
                <w:szCs w:val="18"/>
              </w:rPr>
            </w:pPr>
            <w:r w:rsidRPr="00B44513">
              <w:rPr>
                <w:szCs w:val="18"/>
                <w:lang w:val="it-IT"/>
              </w:rPr>
              <w:t xml:space="preserve">Merola JF, Gottlieb AB, Morita A et al. </w:t>
            </w:r>
            <w:r>
              <w:rPr>
                <w:szCs w:val="18"/>
              </w:rPr>
              <w:t>Bimekizumab efficacy in high-impact areas for patients with moderate to severe plaque psoriasis: Pooled results through two years from the BE SURE and BE RADIAT phase 3 trials.</w:t>
            </w:r>
          </w:p>
        </w:tc>
        <w:tc>
          <w:tcPr>
            <w:tcW w:w="1177" w:type="pct"/>
            <w:tcBorders>
              <w:top w:val="single" w:sz="4" w:space="0" w:color="auto"/>
              <w:bottom w:val="single" w:sz="4" w:space="0" w:color="auto"/>
            </w:tcBorders>
            <w:shd w:val="clear" w:color="auto" w:fill="auto"/>
            <w:vAlign w:val="center"/>
          </w:tcPr>
          <w:p w14:paraId="108C3CA3"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C87786A" w14:textId="77777777" w:rsidTr="002A4286">
        <w:tc>
          <w:tcPr>
            <w:tcW w:w="5000" w:type="pct"/>
            <w:gridSpan w:val="3"/>
            <w:tcBorders>
              <w:top w:val="single" w:sz="4" w:space="0" w:color="auto"/>
              <w:bottom w:val="single" w:sz="4" w:space="0" w:color="auto"/>
            </w:tcBorders>
            <w:shd w:val="clear" w:color="auto" w:fill="auto"/>
            <w:vAlign w:val="center"/>
          </w:tcPr>
          <w:p w14:paraId="47ED0FE4" w14:textId="77777777" w:rsidR="00267131" w:rsidRPr="001F0440" w:rsidRDefault="00267131" w:rsidP="002A4286">
            <w:pPr>
              <w:pStyle w:val="TableText0"/>
              <w:keepNext w:val="0"/>
              <w:keepLines/>
              <w:widowControl w:val="0"/>
              <w:rPr>
                <w:iCs/>
                <w:szCs w:val="18"/>
              </w:rPr>
            </w:pPr>
            <w:r w:rsidRPr="00A271BB">
              <w:rPr>
                <w:b/>
                <w:bCs w:val="0"/>
              </w:rPr>
              <w:t>Network meta-analyses</w:t>
            </w:r>
          </w:p>
        </w:tc>
      </w:tr>
      <w:tr w:rsidR="00267131" w:rsidRPr="00151502" w14:paraId="513B3824" w14:textId="77777777" w:rsidTr="002A4286">
        <w:tc>
          <w:tcPr>
            <w:tcW w:w="796" w:type="pct"/>
            <w:tcBorders>
              <w:top w:val="single" w:sz="4" w:space="0" w:color="auto"/>
              <w:bottom w:val="single" w:sz="4" w:space="0" w:color="auto"/>
            </w:tcBorders>
            <w:shd w:val="clear" w:color="auto" w:fill="C6D9F1" w:themeFill="text2" w:themeFillTint="33"/>
            <w:vAlign w:val="center"/>
          </w:tcPr>
          <w:p w14:paraId="24236B80" w14:textId="3599E6BF" w:rsidR="00267131" w:rsidRPr="00151502" w:rsidRDefault="00267131" w:rsidP="002A4286">
            <w:pPr>
              <w:pStyle w:val="TableText0"/>
              <w:keepNext w:val="0"/>
              <w:keepLines/>
              <w:widowControl w:val="0"/>
            </w:pPr>
            <w:r>
              <w:t>Armstrong 2022</w:t>
            </w:r>
            <w:r w:rsidR="008A4679">
              <w:t xml:space="preserve"> (UCB NMA)</w:t>
            </w:r>
          </w:p>
        </w:tc>
        <w:tc>
          <w:tcPr>
            <w:tcW w:w="3027" w:type="pct"/>
            <w:tcBorders>
              <w:top w:val="single" w:sz="4" w:space="0" w:color="auto"/>
              <w:bottom w:val="single" w:sz="4" w:space="0" w:color="auto"/>
            </w:tcBorders>
            <w:shd w:val="clear" w:color="auto" w:fill="C6D9F1" w:themeFill="text2" w:themeFillTint="33"/>
            <w:vAlign w:val="center"/>
          </w:tcPr>
          <w:p w14:paraId="7DDFE40A" w14:textId="77777777" w:rsidR="00267131" w:rsidRPr="00151502" w:rsidRDefault="00267131" w:rsidP="002A4286">
            <w:pPr>
              <w:pStyle w:val="TableText0"/>
              <w:keepNext w:val="0"/>
              <w:keepLines/>
              <w:widowControl w:val="0"/>
              <w:rPr>
                <w:szCs w:val="18"/>
              </w:rPr>
            </w:pPr>
            <w:r w:rsidRPr="00B44513">
              <w:rPr>
                <w:szCs w:val="18"/>
                <w:lang w:val="it-IT"/>
              </w:rPr>
              <w:t xml:space="preserve">Armstrong A, Fahrbach K, Leonardi C, et al. </w:t>
            </w:r>
            <w:r>
              <w:rPr>
                <w:szCs w:val="18"/>
              </w:rPr>
              <w:t>Efficacy of bimekizumab and other biologics in moderate to severe plaque psoriasis: A systematic literature review and a network meta-analysis.</w:t>
            </w:r>
          </w:p>
        </w:tc>
        <w:tc>
          <w:tcPr>
            <w:tcW w:w="1177" w:type="pct"/>
            <w:tcBorders>
              <w:top w:val="single" w:sz="4" w:space="0" w:color="auto"/>
              <w:bottom w:val="single" w:sz="4" w:space="0" w:color="auto"/>
            </w:tcBorders>
            <w:shd w:val="clear" w:color="auto" w:fill="C6D9F1" w:themeFill="text2" w:themeFillTint="33"/>
            <w:vAlign w:val="center"/>
          </w:tcPr>
          <w:p w14:paraId="113C4BF9" w14:textId="77777777" w:rsidR="00267131" w:rsidRPr="00151502" w:rsidRDefault="00267131" w:rsidP="002A4286">
            <w:pPr>
              <w:pStyle w:val="TableText0"/>
              <w:keepNext w:val="0"/>
              <w:keepLines/>
              <w:widowControl w:val="0"/>
              <w:rPr>
                <w:iCs/>
                <w:szCs w:val="18"/>
              </w:rPr>
            </w:pPr>
            <w:r w:rsidRPr="009B5974">
              <w:rPr>
                <w:i/>
                <w:szCs w:val="18"/>
              </w:rPr>
              <w:t>Dermatol. Ther</w:t>
            </w:r>
            <w:r>
              <w:rPr>
                <w:iCs/>
                <w:szCs w:val="18"/>
              </w:rPr>
              <w:t xml:space="preserve">. </w:t>
            </w:r>
            <w:r w:rsidRPr="001F0440">
              <w:rPr>
                <w:iCs/>
                <w:szCs w:val="18"/>
              </w:rPr>
              <w:t>202</w:t>
            </w:r>
            <w:r>
              <w:rPr>
                <w:iCs/>
                <w:szCs w:val="18"/>
              </w:rPr>
              <w:t>2</w:t>
            </w:r>
            <w:r w:rsidRPr="001F0440">
              <w:rPr>
                <w:iCs/>
                <w:szCs w:val="18"/>
              </w:rPr>
              <w:t xml:space="preserve">; </w:t>
            </w:r>
            <w:r>
              <w:rPr>
                <w:iCs/>
                <w:szCs w:val="18"/>
              </w:rPr>
              <w:t>12</w:t>
            </w:r>
            <w:r w:rsidRPr="001F0440">
              <w:rPr>
                <w:iCs/>
                <w:szCs w:val="18"/>
              </w:rPr>
              <w:t>:1</w:t>
            </w:r>
            <w:r>
              <w:rPr>
                <w:iCs/>
                <w:szCs w:val="18"/>
              </w:rPr>
              <w:t>77</w:t>
            </w:r>
            <w:r w:rsidRPr="001F0440">
              <w:rPr>
                <w:iCs/>
                <w:szCs w:val="18"/>
              </w:rPr>
              <w:t>7-1</w:t>
            </w:r>
            <w:r>
              <w:rPr>
                <w:iCs/>
                <w:szCs w:val="18"/>
              </w:rPr>
              <w:t>792</w:t>
            </w:r>
            <w:r w:rsidRPr="001F0440">
              <w:rPr>
                <w:iCs/>
                <w:szCs w:val="18"/>
              </w:rPr>
              <w:t>.</w:t>
            </w:r>
          </w:p>
        </w:tc>
      </w:tr>
      <w:tr w:rsidR="00267131" w:rsidRPr="005C2C57" w14:paraId="4C8AF7AF" w14:textId="77777777" w:rsidTr="002A4286">
        <w:tc>
          <w:tcPr>
            <w:tcW w:w="796" w:type="pct"/>
            <w:tcBorders>
              <w:top w:val="single" w:sz="4" w:space="0" w:color="auto"/>
              <w:bottom w:val="single" w:sz="4" w:space="0" w:color="auto"/>
            </w:tcBorders>
            <w:vAlign w:val="center"/>
          </w:tcPr>
          <w:p w14:paraId="67E5AF1E" w14:textId="77777777" w:rsidR="00267131" w:rsidRPr="00151502" w:rsidRDefault="00267131" w:rsidP="002A4286">
            <w:pPr>
              <w:pStyle w:val="TableText0"/>
              <w:keepNext w:val="0"/>
              <w:keepLines/>
              <w:widowControl w:val="0"/>
            </w:pPr>
            <w:r>
              <w:t>Sbidian 2022</w:t>
            </w:r>
          </w:p>
        </w:tc>
        <w:tc>
          <w:tcPr>
            <w:tcW w:w="3027" w:type="pct"/>
            <w:tcBorders>
              <w:top w:val="single" w:sz="4" w:space="0" w:color="auto"/>
              <w:bottom w:val="single" w:sz="4" w:space="0" w:color="auto"/>
            </w:tcBorders>
            <w:vAlign w:val="center"/>
          </w:tcPr>
          <w:p w14:paraId="717BFD45" w14:textId="77777777" w:rsidR="00267131" w:rsidRPr="00151502" w:rsidRDefault="00267131" w:rsidP="002A4286">
            <w:pPr>
              <w:pStyle w:val="TableText0"/>
              <w:keepNext w:val="0"/>
              <w:keepLines/>
              <w:widowControl w:val="0"/>
              <w:rPr>
                <w:szCs w:val="18"/>
              </w:rPr>
            </w:pPr>
            <w:r w:rsidRPr="00B44513">
              <w:rPr>
                <w:szCs w:val="18"/>
                <w:lang w:val="it-IT"/>
              </w:rPr>
              <w:t xml:space="preserve">Sbidian E, Chaimani A, Garcia-Doval I, et al. </w:t>
            </w:r>
            <w:r>
              <w:rPr>
                <w:szCs w:val="18"/>
              </w:rPr>
              <w:t>Systemic pharmacological treatments for chronic plaque psoriasis: a network meta-analysis (Review)</w:t>
            </w:r>
          </w:p>
        </w:tc>
        <w:tc>
          <w:tcPr>
            <w:tcW w:w="1177" w:type="pct"/>
            <w:tcBorders>
              <w:top w:val="single" w:sz="4" w:space="0" w:color="auto"/>
              <w:bottom w:val="single" w:sz="4" w:space="0" w:color="auto"/>
            </w:tcBorders>
            <w:vAlign w:val="center"/>
          </w:tcPr>
          <w:p w14:paraId="3CB02512" w14:textId="77777777" w:rsidR="00267131" w:rsidRPr="005C2C57" w:rsidRDefault="00267131" w:rsidP="002A4286">
            <w:pPr>
              <w:pStyle w:val="TableText0"/>
              <w:keepNext w:val="0"/>
              <w:keepLines/>
              <w:widowControl w:val="0"/>
              <w:rPr>
                <w:iCs/>
                <w:szCs w:val="18"/>
              </w:rPr>
            </w:pPr>
            <w:r w:rsidRPr="005C2C57">
              <w:rPr>
                <w:i/>
                <w:szCs w:val="18"/>
              </w:rPr>
              <w:t>Cochrane Database of Systematic Reviews</w:t>
            </w:r>
            <w:r w:rsidRPr="005C2C57">
              <w:rPr>
                <w:iCs/>
                <w:szCs w:val="18"/>
              </w:rPr>
              <w:t xml:space="preserve"> 2022; 5: </w:t>
            </w:r>
            <w:r w:rsidRPr="005C2C57">
              <w:rPr>
                <w:rFonts w:cstheme="minorHAnsi"/>
                <w:szCs w:val="20"/>
              </w:rPr>
              <w:t>1465-1858.</w:t>
            </w:r>
          </w:p>
        </w:tc>
      </w:tr>
      <w:tr w:rsidR="00267131" w:rsidRPr="00151502" w14:paraId="069F41D9" w14:textId="77777777" w:rsidTr="002A4286">
        <w:tc>
          <w:tcPr>
            <w:tcW w:w="796" w:type="pct"/>
            <w:tcBorders>
              <w:top w:val="single" w:sz="4" w:space="0" w:color="auto"/>
              <w:bottom w:val="single" w:sz="4" w:space="0" w:color="auto"/>
            </w:tcBorders>
            <w:vAlign w:val="center"/>
          </w:tcPr>
          <w:p w14:paraId="0A4CCDBE" w14:textId="77777777" w:rsidR="00267131" w:rsidRPr="00151502" w:rsidRDefault="00267131" w:rsidP="002A4286">
            <w:pPr>
              <w:pStyle w:val="TableText0"/>
              <w:keepNext w:val="0"/>
              <w:keepLines/>
              <w:widowControl w:val="0"/>
            </w:pPr>
            <w:r>
              <w:t>Armstrong 2022a</w:t>
            </w:r>
          </w:p>
        </w:tc>
        <w:tc>
          <w:tcPr>
            <w:tcW w:w="3027" w:type="pct"/>
            <w:tcBorders>
              <w:top w:val="single" w:sz="4" w:space="0" w:color="auto"/>
              <w:bottom w:val="single" w:sz="4" w:space="0" w:color="auto"/>
            </w:tcBorders>
            <w:vAlign w:val="center"/>
          </w:tcPr>
          <w:p w14:paraId="3F7DAB58" w14:textId="77777777" w:rsidR="00267131" w:rsidRPr="00151502" w:rsidRDefault="00267131" w:rsidP="002A4286">
            <w:pPr>
              <w:pStyle w:val="TableText0"/>
              <w:keepNext w:val="0"/>
              <w:keepLines/>
              <w:widowControl w:val="0"/>
              <w:rPr>
                <w:szCs w:val="18"/>
              </w:rPr>
            </w:pPr>
            <w:r>
              <w:rPr>
                <w:szCs w:val="18"/>
              </w:rPr>
              <w:t>Armstrong AW, Soliman AM, Betts KA, et al. Long-term benefit-risk profiles of treatments for moderate-to-severe plaque psoriasis: A network meta-analysis.</w:t>
            </w:r>
          </w:p>
        </w:tc>
        <w:tc>
          <w:tcPr>
            <w:tcW w:w="1177" w:type="pct"/>
            <w:tcBorders>
              <w:top w:val="single" w:sz="4" w:space="0" w:color="auto"/>
              <w:bottom w:val="single" w:sz="4" w:space="0" w:color="auto"/>
            </w:tcBorders>
            <w:vAlign w:val="center"/>
          </w:tcPr>
          <w:p w14:paraId="53232715" w14:textId="77777777" w:rsidR="00267131" w:rsidRPr="00151502" w:rsidRDefault="00267131" w:rsidP="002A4286">
            <w:pPr>
              <w:pStyle w:val="TableText0"/>
              <w:keepNext w:val="0"/>
              <w:keepLines/>
              <w:widowControl w:val="0"/>
              <w:rPr>
                <w:iCs/>
                <w:szCs w:val="18"/>
              </w:rPr>
            </w:pPr>
            <w:r w:rsidRPr="009B5974">
              <w:rPr>
                <w:i/>
                <w:szCs w:val="18"/>
              </w:rPr>
              <w:t>Dermatol. Ther</w:t>
            </w:r>
            <w:r>
              <w:rPr>
                <w:iCs/>
                <w:szCs w:val="18"/>
              </w:rPr>
              <w:t xml:space="preserve">. </w:t>
            </w:r>
            <w:r w:rsidRPr="001F0440">
              <w:rPr>
                <w:iCs/>
                <w:szCs w:val="18"/>
              </w:rPr>
              <w:t>202</w:t>
            </w:r>
            <w:r>
              <w:rPr>
                <w:iCs/>
                <w:szCs w:val="18"/>
              </w:rPr>
              <w:t>2</w:t>
            </w:r>
            <w:r w:rsidRPr="001F0440">
              <w:rPr>
                <w:iCs/>
                <w:szCs w:val="18"/>
              </w:rPr>
              <w:t xml:space="preserve">; </w:t>
            </w:r>
            <w:r>
              <w:rPr>
                <w:iCs/>
                <w:szCs w:val="18"/>
              </w:rPr>
              <w:t>12</w:t>
            </w:r>
            <w:r w:rsidRPr="001F0440">
              <w:rPr>
                <w:iCs/>
                <w:szCs w:val="18"/>
              </w:rPr>
              <w:t>:1</w:t>
            </w:r>
            <w:r>
              <w:rPr>
                <w:iCs/>
                <w:szCs w:val="18"/>
              </w:rPr>
              <w:t>67-184</w:t>
            </w:r>
            <w:r w:rsidRPr="001F0440">
              <w:rPr>
                <w:iCs/>
                <w:szCs w:val="18"/>
              </w:rPr>
              <w:t>.</w:t>
            </w:r>
          </w:p>
        </w:tc>
      </w:tr>
    </w:tbl>
    <w:p w14:paraId="26ADE6EB" w14:textId="77777777" w:rsidR="00267131" w:rsidRPr="009E5134" w:rsidRDefault="00267131" w:rsidP="00267131">
      <w:pPr>
        <w:pStyle w:val="TableFigureFooter"/>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shading indicates data previously seen by the PBAC.</w:t>
      </w:r>
    </w:p>
    <w:p w14:paraId="78808AFA" w14:textId="662497D6" w:rsidR="00267131" w:rsidRPr="007E15A7" w:rsidRDefault="00267131" w:rsidP="00267131">
      <w:pPr>
        <w:pStyle w:val="TableFigureFooter"/>
        <w:keepNext/>
        <w:keepLines/>
      </w:pPr>
      <w:r>
        <w:t>Source: Table 2-6, pp72-73</w:t>
      </w:r>
      <w:r w:rsidRPr="00151502">
        <w:t xml:space="preserve"> of the </w:t>
      </w:r>
      <w:r w:rsidR="00C6357A">
        <w:t>current submission</w:t>
      </w:r>
      <w:r w:rsidRPr="00151502">
        <w:t>.</w:t>
      </w:r>
    </w:p>
    <w:p w14:paraId="1E15E52B" w14:textId="31F01BA2" w:rsidR="00267131" w:rsidRPr="00151502" w:rsidRDefault="00267131" w:rsidP="00267131">
      <w:pPr>
        <w:pStyle w:val="3-BodyText"/>
        <w:rPr>
          <w:i/>
          <w:iCs/>
        </w:rPr>
      </w:pPr>
      <w:r w:rsidRPr="00151502">
        <w:t xml:space="preserve">All </w:t>
      </w:r>
      <w:r w:rsidR="007F125F">
        <w:t xml:space="preserve">BKZ </w:t>
      </w:r>
      <w:r w:rsidRPr="00151502">
        <w:t xml:space="preserve">trials were </w:t>
      </w:r>
      <w:r w:rsidR="00FA70FF">
        <w:t>p</w:t>
      </w:r>
      <w:r w:rsidRPr="00151502">
        <w:t xml:space="preserve">hase 3, multicentre, active comparator or placebo (PBO) controlled, double-blind RCTs, except for the two open label (OL) extension studies (BE ABLE2 and BE BRIGHT), and the </w:t>
      </w:r>
      <w:r w:rsidR="00FA70FF">
        <w:t>p</w:t>
      </w:r>
      <w:r w:rsidRPr="00151502">
        <w:t>hase 2 dose-escalation trial (BE ABLE1). Only data from patients receiving the relevant dose of BKZ 320 mg from BE ABLE1 were presented and included in the analysis</w:t>
      </w:r>
      <w:r w:rsidRPr="00151502">
        <w:rPr>
          <w:i/>
          <w:iCs/>
        </w:rPr>
        <w:t xml:space="preserve">. </w:t>
      </w:r>
      <w:r w:rsidRPr="00693823">
        <w:t>This was appropriate</w:t>
      </w:r>
      <w:r w:rsidRPr="00151502">
        <w:rPr>
          <w:i/>
          <w:iCs/>
        </w:rPr>
        <w:t>.</w:t>
      </w:r>
    </w:p>
    <w:p w14:paraId="699ED827" w14:textId="43D4D072" w:rsidR="00385FA7" w:rsidRPr="00385FA7" w:rsidRDefault="00267131" w:rsidP="00385FA7">
      <w:pPr>
        <w:pStyle w:val="3-BodyText"/>
      </w:pPr>
      <w:r w:rsidRPr="00385FA7">
        <w:t>Overall, the risk of bias in the controlled phase of th</w:t>
      </w:r>
      <w:r w:rsidR="000B6461" w:rsidRPr="00385FA7">
        <w:t>e trials was considered low</w:t>
      </w:r>
      <w:r w:rsidRPr="00385FA7">
        <w:t xml:space="preserve">. As most of the trials allowed patients to switch treatment beyond the initial active comparator/placebo-controlled phase (12/16 weeks), outcomes from subsequent periods would be subject to bias. However, appropriately, trial outcomes were assessed at the end of the placebo-controlled periods. </w:t>
      </w:r>
      <w:r w:rsidRPr="00151502">
        <w:t xml:space="preserve">Baseline disease characteristics were generally well balanced across the BKZ trials and reflective of a population with moderate to severe CPP. </w:t>
      </w:r>
    </w:p>
    <w:p w14:paraId="2DB5CB30" w14:textId="58DC4C1D" w:rsidR="00776C83" w:rsidRPr="00AD53AF" w:rsidRDefault="00646F1E" w:rsidP="00776C83">
      <w:pPr>
        <w:pStyle w:val="3-BodyText"/>
        <w:rPr>
          <w:rFonts w:cstheme="minorHAnsi"/>
          <w:i/>
          <w:iCs/>
        </w:rPr>
      </w:pPr>
      <w:r w:rsidRPr="00713AEF">
        <w:lastRenderedPageBreak/>
        <w:t xml:space="preserve">The UCB NMA (now published as Armstrong 2022) included data from 86 RCTs (including 34,476 patients); reasons for excluding </w:t>
      </w:r>
      <w:r w:rsidRPr="007F125F">
        <w:t>data from an additional 4 trials were not explicitly reported</w:t>
      </w:r>
      <w:r w:rsidR="007F125F" w:rsidRPr="007F125F">
        <w:t>.</w:t>
      </w:r>
      <w:r w:rsidRPr="007F125F">
        <w:t xml:space="preserve"> The</w:t>
      </w:r>
      <w:r w:rsidRPr="00713AEF">
        <w:t xml:space="preserve"> literature search and selection criteria identified English language peer-reviewed publications of RCTs to July 2020 comparing biologic or non-biologic treatments at approved EMA doses for adults with moderate to severe plaque psoriasis and reported short-term PASI response outcomes (Week 10 to 16). RCTs that focused primarily on treatment of psoriatic arthritis were excluded. </w:t>
      </w:r>
      <w:r w:rsidRPr="007F125F">
        <w:rPr>
          <w:iCs/>
        </w:rPr>
        <w:t xml:space="preserve">Most of the trials in the UCB NMA were considered </w:t>
      </w:r>
      <w:r w:rsidR="00E2686B">
        <w:rPr>
          <w:iCs/>
        </w:rPr>
        <w:t>to have a</w:t>
      </w:r>
      <w:r w:rsidRPr="007F125F">
        <w:rPr>
          <w:iCs/>
        </w:rPr>
        <w:t xml:space="preserve"> low risk of bias. The NMA report indicated there was a high degree of heterogeneity across the included trials, particularly with respect to disease duration, exposure to prior biologic treatment, phototherapy, or non-biologic treatments</w:t>
      </w:r>
      <w:r w:rsidR="00D73B27">
        <w:rPr>
          <w:iCs/>
        </w:rPr>
        <w:t>.</w:t>
      </w:r>
      <w:r w:rsidR="008F3A01">
        <w:rPr>
          <w:iCs/>
        </w:rPr>
        <w:t xml:space="preserve"> </w:t>
      </w:r>
      <w:r w:rsidR="00776C83" w:rsidRPr="00693823">
        <w:rPr>
          <w:iCs/>
        </w:rPr>
        <w:t xml:space="preserve">The </w:t>
      </w:r>
      <w:r w:rsidR="0009354C" w:rsidRPr="00693823">
        <w:rPr>
          <w:iCs/>
        </w:rPr>
        <w:t xml:space="preserve">current </w:t>
      </w:r>
      <w:r w:rsidR="00776C83" w:rsidRPr="00693823">
        <w:rPr>
          <w:iCs/>
        </w:rPr>
        <w:t>submission argued that the UCB NMA was the most appropriate NMA to inform decision making but provided no clear rationale to support this statement</w:t>
      </w:r>
      <w:r w:rsidR="007A7D91" w:rsidRPr="00693823">
        <w:rPr>
          <w:iCs/>
        </w:rPr>
        <w:t xml:space="preserve"> (other than the analysis was no</w:t>
      </w:r>
      <w:r w:rsidR="00F318FE" w:rsidRPr="00693823">
        <w:rPr>
          <w:iCs/>
        </w:rPr>
        <w:t>w</w:t>
      </w:r>
      <w:r w:rsidR="007A7D91" w:rsidRPr="00693823">
        <w:rPr>
          <w:iCs/>
        </w:rPr>
        <w:t xml:space="preserve"> published in a peer reviewed journal)</w:t>
      </w:r>
      <w:r w:rsidR="00776C83" w:rsidRPr="00693823">
        <w:rPr>
          <w:iCs/>
        </w:rPr>
        <w:t>.</w:t>
      </w:r>
    </w:p>
    <w:p w14:paraId="5A59208C" w14:textId="3925F3C0" w:rsidR="00FB7CB4" w:rsidRPr="00693823" w:rsidRDefault="00646F1E" w:rsidP="00F318FE">
      <w:pPr>
        <w:pStyle w:val="3-BodyText"/>
        <w:rPr>
          <w:rFonts w:cstheme="minorHAnsi"/>
        </w:rPr>
      </w:pPr>
      <w:r w:rsidRPr="008C0350">
        <w:t>The updated Cochrane review (Sbidian 2022)</w:t>
      </w:r>
      <w:r>
        <w:t xml:space="preserve"> </w:t>
      </w:r>
      <w:r w:rsidR="001D3508">
        <w:t xml:space="preserve">presented results of a NMA using a frequentist framework </w:t>
      </w:r>
      <w:r>
        <w:t>includ</w:t>
      </w:r>
      <w:r w:rsidR="001D3508">
        <w:t xml:space="preserve">ing </w:t>
      </w:r>
      <w:r>
        <w:t>data from 167 studies (58,912 patients). The literature search and selection criteria identified published and unpublished RCTs (irrespective of language) to October 2021 comparing biologic and non-biologic treatments for adults with moderate to severe plaque psoriasis and reported clinical response outcomes following induction treatment (Week 8 to 24). One half of the included RCTs (87) had a low risk of bias, one third (57) had a high risk of bias and one sixth (23) had unclear risk of bias. The main analysis included all treatments and doses but sensitivity analyses were conducted that included only approved treatments and doses, RCTs with low risk of bias and short-term outcomes.</w:t>
      </w:r>
      <w:r w:rsidR="00FB7CB4">
        <w:t xml:space="preserve"> </w:t>
      </w:r>
      <w:r w:rsidR="00FB7CB4" w:rsidRPr="00693823">
        <w:rPr>
          <w:rFonts w:cstheme="minorHAnsi"/>
        </w:rPr>
        <w:t xml:space="preserve">Although the updated Cochrane review included data from a total of 167 trials, the analysis of PASI response was based on fewer trials (for example, PASI 90 response </w:t>
      </w:r>
      <w:r w:rsidR="00F318FE" w:rsidRPr="00693823">
        <w:rPr>
          <w:rFonts w:cstheme="minorHAnsi"/>
        </w:rPr>
        <w:t xml:space="preserve">appeared to be </w:t>
      </w:r>
      <w:r w:rsidR="00FB7CB4" w:rsidRPr="00693823">
        <w:rPr>
          <w:rFonts w:cstheme="minorHAnsi"/>
        </w:rPr>
        <w:t>based on data from 114 trials).</w:t>
      </w:r>
    </w:p>
    <w:p w14:paraId="48542C35" w14:textId="64BCA99F" w:rsidR="00713AEF" w:rsidRPr="00693823" w:rsidRDefault="00646F1E" w:rsidP="00713AEF">
      <w:pPr>
        <w:pStyle w:val="3-BodyText"/>
      </w:pPr>
      <w:r w:rsidRPr="00144939">
        <w:t xml:space="preserve">The </w:t>
      </w:r>
      <w:r>
        <w:t>long-term Bayesian NMA</w:t>
      </w:r>
      <w:r w:rsidRPr="00144939">
        <w:t xml:space="preserve"> </w:t>
      </w:r>
      <w:r w:rsidR="007F125F">
        <w:t xml:space="preserve">(Armstrong 2022a) included data from 14 studies </w:t>
      </w:r>
      <w:r w:rsidRPr="00144939">
        <w:t>comparing BKZ to several comparators for treatment response following induction and maintenance therapy (Weeks 48 to 56)</w:t>
      </w:r>
      <w:r w:rsidR="007F125F">
        <w:t>.</w:t>
      </w:r>
      <w:r>
        <w:t xml:space="preserve"> </w:t>
      </w:r>
      <w:r w:rsidR="001D3508" w:rsidRPr="001D3508">
        <w:t xml:space="preserve">Armstrong 2022a conducted a fixed effects Bayesian probit NMA to jointly model PASI 75, PASI 90 and PASI 100 response, and fixed effects Bayesian logit NMAs to model safety outcomes. </w:t>
      </w:r>
      <w:r w:rsidRPr="001D3508">
        <w:t>The</w:t>
      </w:r>
      <w:r>
        <w:t xml:space="preserve"> literature search and selection criteria identified publications of RCTs to May 2021 comparing </w:t>
      </w:r>
      <w:r w:rsidR="007F125F">
        <w:t>bDMARDs</w:t>
      </w:r>
      <w:r>
        <w:t xml:space="preserve"> at approved doses for adults with moderate-to-severe plaque psoriasis and reported PASI efficacy outcomes by the end of the maintenance period (48-56 weeks from baseline). </w:t>
      </w:r>
      <w:r w:rsidRPr="00354CF7">
        <w:t>RCTs in which cross-over occurred before weeks 48-56, or RCTs which were re-randomi</w:t>
      </w:r>
      <w:r w:rsidR="007F125F">
        <w:t>s</w:t>
      </w:r>
      <w:r w:rsidRPr="00354CF7">
        <w:t xml:space="preserve">ed based on induction phase efficacy, were excluded. </w:t>
      </w:r>
      <w:r w:rsidRPr="00693823">
        <w:t>This NMA did not include all relevant comparators i.e.</w:t>
      </w:r>
      <w:r w:rsidR="007F125F" w:rsidRPr="00693823">
        <w:t>,</w:t>
      </w:r>
      <w:r w:rsidRPr="00693823">
        <w:t xml:space="preserve"> trials of ADA</w:t>
      </w:r>
      <w:r w:rsidR="00D73B27">
        <w:t>, IFX</w:t>
      </w:r>
      <w:r w:rsidRPr="00693823">
        <w:t xml:space="preserve"> and TIL were not included. A risk of bias assessment did not appear to be conducted for this NMA.</w:t>
      </w:r>
      <w:r w:rsidR="001D3508" w:rsidRPr="00693823">
        <w:t xml:space="preserve"> </w:t>
      </w:r>
    </w:p>
    <w:p w14:paraId="0FA27619" w14:textId="1F3C06A4" w:rsidR="00A45AA7" w:rsidRPr="00693823" w:rsidRDefault="00646F1E" w:rsidP="000232B8">
      <w:pPr>
        <w:pStyle w:val="3-BodyText"/>
      </w:pPr>
      <w:r w:rsidRPr="00693823">
        <w:t xml:space="preserve">The </w:t>
      </w:r>
      <w:r w:rsidR="0009354C" w:rsidRPr="00693823">
        <w:t xml:space="preserve">current </w:t>
      </w:r>
      <w:r w:rsidRPr="00693823">
        <w:t>submission did not provide any meaningful methodological comparison between the U</w:t>
      </w:r>
      <w:r w:rsidR="00F07F49" w:rsidRPr="00693823">
        <w:t>CB</w:t>
      </w:r>
      <w:r w:rsidRPr="00693823">
        <w:t xml:space="preserve"> NMA (Armstrong 2022) and the </w:t>
      </w:r>
      <w:r w:rsidR="00754442" w:rsidRPr="00693823">
        <w:t xml:space="preserve">updated </w:t>
      </w:r>
      <w:r w:rsidRPr="00693823">
        <w:t xml:space="preserve">Cochrane NMA (Sbidian 2022). Overall, the UCB NMA included a subset of RCTs included in the Cochrane </w:t>
      </w:r>
      <w:r w:rsidRPr="00693823">
        <w:lastRenderedPageBreak/>
        <w:t>review due to the narrower selection criteria (e.g.</w:t>
      </w:r>
      <w:r w:rsidR="0006744D" w:rsidRPr="00693823">
        <w:t>,</w:t>
      </w:r>
      <w:r w:rsidRPr="00693823">
        <w:t xml:space="preserve"> exclusion of unapproved treatments/doses, without PASI response outcomes, unpublished RCTs, non-English publications) and earlier search date. </w:t>
      </w:r>
      <w:r w:rsidR="006439F6" w:rsidRPr="00693823">
        <w:t>For the PASI 90 outcome, the Cochrane review included data from approximately 10 additional trials compared to the UCB NMA investigating non-biologics only or unapproved bDMARDs (e.g.</w:t>
      </w:r>
      <w:r w:rsidR="00AC6AED" w:rsidRPr="00693823">
        <w:t>,</w:t>
      </w:r>
      <w:r w:rsidR="006439F6" w:rsidRPr="00693823">
        <w:t xml:space="preserve"> sonelokimab, netakimab). Although </w:t>
      </w:r>
      <w:r w:rsidR="000232B8" w:rsidRPr="00693823">
        <w:t>the Cochrane review did not report which trials were included in the various sensitivity analyses</w:t>
      </w:r>
      <w:r w:rsidR="006439F6" w:rsidRPr="00693823">
        <w:t>, there would likely be much more consistency in terms of included evidence between the UCB NMA and several of the sensitivity analyses conducted in the Cochrane review (e.g.</w:t>
      </w:r>
      <w:r w:rsidR="00AC6AED" w:rsidRPr="00693823">
        <w:t>,</w:t>
      </w:r>
      <w:r w:rsidR="006439F6" w:rsidRPr="00693823">
        <w:t xml:space="preserve"> approved treatments/doses only, RCTs with low risk of bias).</w:t>
      </w:r>
    </w:p>
    <w:p w14:paraId="4A4FE085" w14:textId="1C5613CC" w:rsidR="00B60939" w:rsidRPr="00C9624D" w:rsidRDefault="00B60939" w:rsidP="00EC5836">
      <w:pPr>
        <w:pStyle w:val="4-SubsectionHeading"/>
      </w:pPr>
      <w:bookmarkStart w:id="19" w:name="_Toc22897641"/>
      <w:bookmarkStart w:id="20" w:name="_Toc124838629"/>
      <w:r w:rsidRPr="00C9624D">
        <w:t>Comparative effectiveness</w:t>
      </w:r>
      <w:bookmarkEnd w:id="19"/>
      <w:bookmarkEnd w:id="20"/>
    </w:p>
    <w:p w14:paraId="64FE4829" w14:textId="05E8E48F" w:rsidR="00EA48D9" w:rsidRPr="00EA48D9" w:rsidRDefault="00EA48D9" w:rsidP="00EA48D9">
      <w:pPr>
        <w:pStyle w:val="3-BodyText"/>
        <w:numPr>
          <w:ilvl w:val="0"/>
          <w:numId w:val="0"/>
        </w:numPr>
        <w:ind w:left="720" w:hanging="720"/>
        <w:outlineLvl w:val="3"/>
        <w:rPr>
          <w:u w:val="single"/>
        </w:rPr>
      </w:pPr>
      <w:r w:rsidRPr="00EA48D9">
        <w:rPr>
          <w:u w:val="single"/>
        </w:rPr>
        <w:t>Short term response</w:t>
      </w:r>
    </w:p>
    <w:p w14:paraId="22F86B28" w14:textId="316F33D6" w:rsidR="003B1FFC" w:rsidRPr="00BC5E51" w:rsidRDefault="003B1FFC" w:rsidP="00B95989">
      <w:pPr>
        <w:pStyle w:val="3-BodyText"/>
      </w:pPr>
      <w:r w:rsidRPr="00151502">
        <w:t>The PBAC had previously based recommendations for listing of biologics for the treatment of severe CPP on the proportion of patients</w:t>
      </w:r>
      <w:r w:rsidR="0006744D">
        <w:t>:</w:t>
      </w:r>
      <w:r w:rsidRPr="00151502">
        <w:t xml:space="preserve"> i) achieving and ii) maintaining a PASI 75 response (≥ 75% improvement from baseline in the Psoriasis Area and Severity Index score). This </w:t>
      </w:r>
      <w:r w:rsidR="0006744D">
        <w:t>was</w:t>
      </w:r>
      <w:r w:rsidRPr="00151502">
        <w:t xml:space="preserve"> also consistent with the PBS eligibility criteria for continued treatment with biologics. </w:t>
      </w:r>
      <w:r w:rsidR="00BC5E51" w:rsidRPr="00151502">
        <w:t xml:space="preserve">The </w:t>
      </w:r>
      <w:r w:rsidR="00F4570A">
        <w:t>main</w:t>
      </w:r>
      <w:r w:rsidR="00BC5E51" w:rsidRPr="00151502">
        <w:t xml:space="preserve"> outcome </w:t>
      </w:r>
      <w:r w:rsidR="00E505F3">
        <w:t xml:space="preserve">presented </w:t>
      </w:r>
      <w:r w:rsidR="00BC5E51" w:rsidRPr="00151502">
        <w:t xml:space="preserve">in the </w:t>
      </w:r>
      <w:r w:rsidR="000B7AE0">
        <w:t xml:space="preserve">current </w:t>
      </w:r>
      <w:r w:rsidR="00BC5E51">
        <w:t>submission was PASI 90</w:t>
      </w:r>
      <w:r w:rsidR="00BC5E51" w:rsidRPr="00151502">
        <w:t xml:space="preserve">. </w:t>
      </w:r>
      <w:r w:rsidR="00521C39" w:rsidRPr="00693823">
        <w:t xml:space="preserve">Results of PASI 75 are also presented </w:t>
      </w:r>
      <w:r w:rsidR="009849E7">
        <w:t>herein</w:t>
      </w:r>
      <w:r w:rsidR="00521C39" w:rsidRPr="00693823">
        <w:t>.</w:t>
      </w:r>
    </w:p>
    <w:p w14:paraId="354E5CBA" w14:textId="62A02A03" w:rsidR="001243A7" w:rsidRPr="00326EAF" w:rsidRDefault="00C26C3C" w:rsidP="00C26C3C">
      <w:pPr>
        <w:pStyle w:val="3-BodyText"/>
        <w:rPr>
          <w:rFonts w:ascii="Arial Narrow" w:hAnsi="Arial Narrow"/>
          <w:b/>
          <w:bCs/>
          <w:sz w:val="20"/>
          <w:szCs w:val="20"/>
        </w:rPr>
      </w:pPr>
      <w:r w:rsidRPr="00693823">
        <w:rPr>
          <w:rFonts w:cstheme="minorHAnsi"/>
          <w:iCs/>
        </w:rPr>
        <w:fldChar w:fldCharType="begin"/>
      </w:r>
      <w:r w:rsidRPr="00693823">
        <w:rPr>
          <w:rFonts w:cstheme="minorHAnsi"/>
          <w:iCs/>
        </w:rPr>
        <w:instrText xml:space="preserve"> REF _Ref123899377 \h </w:instrText>
      </w:r>
      <w:r w:rsidR="00B23F60" w:rsidRPr="00693823">
        <w:rPr>
          <w:rFonts w:cstheme="minorHAnsi"/>
          <w:iCs/>
        </w:rPr>
        <w:instrText xml:space="preserve"> \* MERGEFORMAT </w:instrText>
      </w:r>
      <w:r w:rsidRPr="00693823">
        <w:rPr>
          <w:rFonts w:cstheme="minorHAnsi"/>
          <w:iCs/>
        </w:rPr>
      </w:r>
      <w:r w:rsidRPr="00693823">
        <w:rPr>
          <w:rFonts w:cstheme="minorHAnsi"/>
          <w:iCs/>
        </w:rPr>
        <w:fldChar w:fldCharType="separate"/>
      </w:r>
      <w:r w:rsidR="003F1ED3" w:rsidRPr="003F1ED3">
        <w:rPr>
          <w:iCs/>
        </w:rPr>
        <w:t xml:space="preserve">Table </w:t>
      </w:r>
      <w:r w:rsidR="003F1ED3" w:rsidRPr="003F1ED3">
        <w:rPr>
          <w:iCs/>
          <w:noProof/>
        </w:rPr>
        <w:t>3</w:t>
      </w:r>
      <w:r w:rsidRPr="00693823">
        <w:rPr>
          <w:rFonts w:cstheme="minorHAnsi"/>
          <w:iCs/>
        </w:rPr>
        <w:fldChar w:fldCharType="end"/>
      </w:r>
      <w:r w:rsidRPr="00693823">
        <w:rPr>
          <w:rFonts w:cstheme="minorHAnsi"/>
          <w:iCs/>
        </w:rPr>
        <w:t xml:space="preserve"> </w:t>
      </w:r>
      <w:r w:rsidR="005F6E20" w:rsidRPr="00693823">
        <w:rPr>
          <w:rFonts w:cstheme="minorHAnsi"/>
          <w:iCs/>
        </w:rPr>
        <w:t>presents the estimated treatment effects in terms of relative risk (95%CI) for BKZ versus the nominated comparators in terms of PASI 75 and PASI 90 response at Week 10-16, by different statistical approach</w:t>
      </w:r>
      <w:r w:rsidR="005F6E20" w:rsidRPr="005F6E20">
        <w:rPr>
          <w:rFonts w:cstheme="minorHAnsi"/>
          <w:i/>
        </w:rPr>
        <w:t xml:space="preserve">. </w:t>
      </w:r>
      <w:r w:rsidR="005F6E20" w:rsidRPr="005F6E20">
        <w:rPr>
          <w:rFonts w:cstheme="minorHAnsi"/>
          <w:iCs/>
        </w:rPr>
        <w:t xml:space="preserve">The </w:t>
      </w:r>
      <w:r w:rsidR="00BC5E51" w:rsidRPr="005F6E20">
        <w:rPr>
          <w:iCs/>
        </w:rPr>
        <w:t xml:space="preserve">results </w:t>
      </w:r>
      <w:r w:rsidR="005F6E20" w:rsidRPr="005F6E20">
        <w:rPr>
          <w:iCs/>
        </w:rPr>
        <w:t xml:space="preserve">were </w:t>
      </w:r>
      <w:r w:rsidR="00BC5E51" w:rsidRPr="005F6E20">
        <w:rPr>
          <w:iCs/>
        </w:rPr>
        <w:t>prior to crossover or where the originally assigned treatment was maintained; this was appropriate as crossover would introduce significant bias to the trial results.</w:t>
      </w:r>
    </w:p>
    <w:p w14:paraId="1A0B5BB3" w14:textId="09727FDE" w:rsidR="001102F5" w:rsidRPr="009849E7" w:rsidRDefault="00226953" w:rsidP="005727F3">
      <w:pPr>
        <w:pStyle w:val="Caption"/>
        <w:rPr>
          <w:rFonts w:cstheme="minorHAnsi"/>
          <w:b w:val="0"/>
          <w:bCs w:val="0"/>
          <w:szCs w:val="20"/>
        </w:rPr>
      </w:pPr>
      <w:bookmarkStart w:id="21" w:name="_Ref123899377"/>
      <w:bookmarkStart w:id="22" w:name="_Ref123829847"/>
      <w:r>
        <w:lastRenderedPageBreak/>
        <w:t xml:space="preserve">Table </w:t>
      </w:r>
      <w:fldSimple w:instr=" SEQ Table \* ARABIC ">
        <w:r w:rsidR="003F1ED3">
          <w:rPr>
            <w:noProof/>
          </w:rPr>
          <w:t>3</w:t>
        </w:r>
      </w:fldSimple>
      <w:bookmarkEnd w:id="21"/>
      <w:r w:rsidR="001102F5" w:rsidRPr="009849E7">
        <w:rPr>
          <w:szCs w:val="20"/>
        </w:rPr>
        <w:t>: Estimated treatment effects (relative risk, 95%CI) for BKZ versus the nominated comparators in terms of PASI 75 and PASI 90 response at Week 10-16, by different statistical approach</w:t>
      </w:r>
      <w:bookmarkEnd w:id="22"/>
    </w:p>
    <w:tbl>
      <w:tblPr>
        <w:tblStyle w:val="CMATableTemplate4"/>
        <w:tblW w:w="5000" w:type="pct"/>
        <w:tblLayout w:type="fixed"/>
        <w:tblCellMar>
          <w:left w:w="28" w:type="dxa"/>
          <w:right w:w="28" w:type="dxa"/>
        </w:tblCellMar>
        <w:tblLook w:val="0020" w:firstRow="1" w:lastRow="0" w:firstColumn="0" w:lastColumn="0" w:noHBand="0" w:noVBand="0"/>
      </w:tblPr>
      <w:tblGrid>
        <w:gridCol w:w="1319"/>
        <w:gridCol w:w="1282"/>
        <w:gridCol w:w="1282"/>
        <w:gridCol w:w="1284"/>
        <w:gridCol w:w="1282"/>
        <w:gridCol w:w="1282"/>
        <w:gridCol w:w="1286"/>
      </w:tblGrid>
      <w:tr w:rsidR="001102F5" w:rsidRPr="009849E7" w14:paraId="59659E29" w14:textId="77777777" w:rsidTr="0002685D">
        <w:trPr>
          <w:tblHeader/>
        </w:trPr>
        <w:tc>
          <w:tcPr>
            <w:tcW w:w="731" w:type="pct"/>
            <w:shd w:val="clear" w:color="auto" w:fill="auto"/>
            <w:vAlign w:val="center"/>
          </w:tcPr>
          <w:p w14:paraId="40C9A6E3" w14:textId="77777777" w:rsidR="001102F5" w:rsidRPr="009849E7" w:rsidRDefault="001102F5" w:rsidP="005727F3">
            <w:pPr>
              <w:pStyle w:val="TableText0"/>
              <w:keepLines/>
              <w:widowControl w:val="0"/>
              <w:rPr>
                <w:b/>
                <w:bCs w:val="0"/>
                <w:sz w:val="18"/>
                <w:szCs w:val="18"/>
              </w:rPr>
            </w:pPr>
          </w:p>
        </w:tc>
        <w:tc>
          <w:tcPr>
            <w:tcW w:w="2134" w:type="pct"/>
            <w:gridSpan w:val="3"/>
          </w:tcPr>
          <w:p w14:paraId="13142989"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PASI 75</w:t>
            </w:r>
          </w:p>
        </w:tc>
        <w:tc>
          <w:tcPr>
            <w:tcW w:w="2135" w:type="pct"/>
            <w:gridSpan w:val="3"/>
            <w:shd w:val="clear" w:color="auto" w:fill="auto"/>
            <w:vAlign w:val="center"/>
          </w:tcPr>
          <w:p w14:paraId="078A22CC"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PASI 90</w:t>
            </w:r>
          </w:p>
        </w:tc>
      </w:tr>
      <w:tr w:rsidR="001102F5" w:rsidRPr="009849E7" w14:paraId="3BE16358" w14:textId="77777777" w:rsidTr="0002685D">
        <w:trPr>
          <w:tblHeader/>
        </w:trPr>
        <w:tc>
          <w:tcPr>
            <w:tcW w:w="731" w:type="pct"/>
            <w:shd w:val="clear" w:color="auto" w:fill="auto"/>
            <w:vAlign w:val="center"/>
          </w:tcPr>
          <w:p w14:paraId="2A71719F" w14:textId="77777777" w:rsidR="001102F5" w:rsidRPr="009849E7" w:rsidRDefault="001102F5" w:rsidP="005727F3">
            <w:pPr>
              <w:pStyle w:val="TableText0"/>
              <w:keepLines/>
              <w:widowControl w:val="0"/>
              <w:rPr>
                <w:b/>
                <w:bCs w:val="0"/>
                <w:sz w:val="18"/>
                <w:szCs w:val="18"/>
              </w:rPr>
            </w:pPr>
            <w:r w:rsidRPr="009849E7">
              <w:rPr>
                <w:b/>
                <w:bCs w:val="0"/>
                <w:sz w:val="18"/>
                <w:szCs w:val="18"/>
              </w:rPr>
              <w:t>Treatment</w:t>
            </w:r>
          </w:p>
        </w:tc>
        <w:tc>
          <w:tcPr>
            <w:tcW w:w="711" w:type="pct"/>
            <w:shd w:val="clear" w:color="auto" w:fill="C6D9F1" w:themeFill="text2" w:themeFillTint="33"/>
            <w:vAlign w:val="center"/>
          </w:tcPr>
          <w:p w14:paraId="5D20BBB9" w14:textId="51F46EFF" w:rsidR="001102F5" w:rsidRPr="009849E7" w:rsidRDefault="001102F5" w:rsidP="005727F3">
            <w:pPr>
              <w:pStyle w:val="TableText0"/>
              <w:keepLines/>
              <w:widowControl w:val="0"/>
              <w:jc w:val="center"/>
              <w:rPr>
                <w:b/>
                <w:bCs w:val="0"/>
                <w:sz w:val="18"/>
                <w:szCs w:val="18"/>
              </w:rPr>
            </w:pPr>
            <w:r w:rsidRPr="009849E7">
              <w:rPr>
                <w:b/>
                <w:bCs w:val="0"/>
                <w:sz w:val="18"/>
                <w:szCs w:val="18"/>
              </w:rPr>
              <w:t>Direct or indirect evidence</w:t>
            </w:r>
            <w:r w:rsidR="00142974" w:rsidRPr="00142974">
              <w:rPr>
                <w:b/>
                <w:bCs w:val="0"/>
                <w:sz w:val="18"/>
                <w:szCs w:val="18"/>
                <w:vertAlign w:val="superscript"/>
              </w:rPr>
              <w:t>f</w:t>
            </w:r>
          </w:p>
        </w:tc>
        <w:tc>
          <w:tcPr>
            <w:tcW w:w="711" w:type="pct"/>
            <w:shd w:val="clear" w:color="auto" w:fill="C6D9F1" w:themeFill="text2" w:themeFillTint="33"/>
          </w:tcPr>
          <w:p w14:paraId="4BCE95AD" w14:textId="74094703" w:rsidR="001102F5" w:rsidRPr="009849E7" w:rsidRDefault="001102F5" w:rsidP="005727F3">
            <w:pPr>
              <w:pStyle w:val="TableText0"/>
              <w:keepLines/>
              <w:widowControl w:val="0"/>
              <w:jc w:val="center"/>
              <w:rPr>
                <w:b/>
                <w:bCs w:val="0"/>
                <w:sz w:val="18"/>
                <w:szCs w:val="18"/>
              </w:rPr>
            </w:pPr>
            <w:r w:rsidRPr="009849E7">
              <w:rPr>
                <w:b/>
                <w:bCs w:val="0"/>
                <w:sz w:val="18"/>
                <w:szCs w:val="18"/>
              </w:rPr>
              <w:t>UCB NMA</w:t>
            </w:r>
            <w:r w:rsidR="00142974" w:rsidRPr="00142974">
              <w:rPr>
                <w:b/>
                <w:bCs w:val="0"/>
                <w:sz w:val="18"/>
                <w:szCs w:val="18"/>
                <w:vertAlign w:val="superscript"/>
              </w:rPr>
              <w:t>f</w:t>
            </w:r>
            <w:r w:rsidR="00142974" w:rsidRPr="009849E7">
              <w:rPr>
                <w:b/>
                <w:bCs w:val="0"/>
                <w:sz w:val="18"/>
                <w:szCs w:val="18"/>
              </w:rPr>
              <w:t xml:space="preserve"> </w:t>
            </w:r>
            <w:r w:rsidRPr="009849E7">
              <w:rPr>
                <w:b/>
                <w:bCs w:val="0"/>
                <w:sz w:val="18"/>
                <w:szCs w:val="18"/>
              </w:rPr>
              <w:t>(Armstrong 2022)</w:t>
            </w:r>
          </w:p>
        </w:tc>
        <w:tc>
          <w:tcPr>
            <w:tcW w:w="712" w:type="pct"/>
          </w:tcPr>
          <w:p w14:paraId="4F50F626"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Cochrane NMA (Sbidian 2022)</w:t>
            </w:r>
          </w:p>
        </w:tc>
        <w:tc>
          <w:tcPr>
            <w:tcW w:w="711" w:type="pct"/>
            <w:shd w:val="clear" w:color="auto" w:fill="C6D9F1" w:themeFill="text2" w:themeFillTint="33"/>
            <w:vAlign w:val="center"/>
          </w:tcPr>
          <w:p w14:paraId="6FFFE3A6" w14:textId="22F62EC9" w:rsidR="001102F5" w:rsidRPr="009849E7" w:rsidRDefault="001102F5" w:rsidP="005727F3">
            <w:pPr>
              <w:pStyle w:val="TableText0"/>
              <w:keepLines/>
              <w:widowControl w:val="0"/>
              <w:jc w:val="center"/>
              <w:rPr>
                <w:b/>
                <w:bCs w:val="0"/>
                <w:sz w:val="18"/>
                <w:szCs w:val="18"/>
              </w:rPr>
            </w:pPr>
            <w:r w:rsidRPr="009849E7">
              <w:rPr>
                <w:b/>
                <w:bCs w:val="0"/>
                <w:sz w:val="18"/>
                <w:szCs w:val="18"/>
              </w:rPr>
              <w:t>Direct / indirect evidence</w:t>
            </w:r>
            <w:r w:rsidR="00142974" w:rsidRPr="00142974">
              <w:rPr>
                <w:b/>
                <w:bCs w:val="0"/>
                <w:sz w:val="18"/>
                <w:szCs w:val="18"/>
                <w:vertAlign w:val="superscript"/>
              </w:rPr>
              <w:t>f</w:t>
            </w:r>
          </w:p>
        </w:tc>
        <w:tc>
          <w:tcPr>
            <w:tcW w:w="711" w:type="pct"/>
            <w:shd w:val="clear" w:color="auto" w:fill="C6D9F1" w:themeFill="text2" w:themeFillTint="33"/>
          </w:tcPr>
          <w:p w14:paraId="46CD3AF6" w14:textId="5B2E3564" w:rsidR="001102F5" w:rsidRPr="009849E7" w:rsidRDefault="001102F5" w:rsidP="005727F3">
            <w:pPr>
              <w:pStyle w:val="TableText0"/>
              <w:keepLines/>
              <w:widowControl w:val="0"/>
              <w:jc w:val="center"/>
              <w:rPr>
                <w:b/>
                <w:bCs w:val="0"/>
                <w:sz w:val="18"/>
                <w:szCs w:val="18"/>
              </w:rPr>
            </w:pPr>
            <w:r w:rsidRPr="009849E7">
              <w:rPr>
                <w:b/>
                <w:bCs w:val="0"/>
                <w:sz w:val="18"/>
                <w:szCs w:val="18"/>
              </w:rPr>
              <w:t>UCB NMA</w:t>
            </w:r>
            <w:r w:rsidR="00142974" w:rsidRPr="00142974">
              <w:rPr>
                <w:b/>
                <w:bCs w:val="0"/>
                <w:sz w:val="18"/>
                <w:szCs w:val="18"/>
                <w:vertAlign w:val="superscript"/>
              </w:rPr>
              <w:t>f</w:t>
            </w:r>
            <w:r w:rsidR="00142974" w:rsidRPr="009849E7">
              <w:rPr>
                <w:b/>
                <w:bCs w:val="0"/>
                <w:sz w:val="18"/>
                <w:szCs w:val="18"/>
              </w:rPr>
              <w:t xml:space="preserve"> </w:t>
            </w:r>
            <w:r w:rsidRPr="009849E7">
              <w:rPr>
                <w:b/>
                <w:bCs w:val="0"/>
                <w:sz w:val="18"/>
                <w:szCs w:val="18"/>
              </w:rPr>
              <w:t>(Armstrong 2022)</w:t>
            </w:r>
          </w:p>
        </w:tc>
        <w:tc>
          <w:tcPr>
            <w:tcW w:w="713" w:type="pct"/>
            <w:shd w:val="clear" w:color="auto" w:fill="auto"/>
          </w:tcPr>
          <w:p w14:paraId="4A5BB95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Cochrane NMA (Sbidian 2022)</w:t>
            </w:r>
          </w:p>
        </w:tc>
      </w:tr>
      <w:tr w:rsidR="001102F5" w:rsidRPr="009849E7" w14:paraId="16A626A7" w14:textId="77777777" w:rsidTr="0002685D">
        <w:trPr>
          <w:trHeight w:val="53"/>
        </w:trPr>
        <w:tc>
          <w:tcPr>
            <w:tcW w:w="5000" w:type="pct"/>
            <w:gridSpan w:val="7"/>
          </w:tcPr>
          <w:p w14:paraId="50ACF7AA" w14:textId="77777777" w:rsidR="001102F5" w:rsidRPr="009849E7" w:rsidRDefault="001102F5" w:rsidP="005727F3">
            <w:pPr>
              <w:pStyle w:val="TableText0"/>
              <w:keepLines/>
              <w:widowControl w:val="0"/>
              <w:rPr>
                <w:sz w:val="18"/>
                <w:szCs w:val="18"/>
              </w:rPr>
            </w:pPr>
            <w:r w:rsidRPr="009849E7">
              <w:rPr>
                <w:b/>
                <w:bCs w:val="0"/>
                <w:sz w:val="18"/>
                <w:szCs w:val="18"/>
              </w:rPr>
              <w:t>BKZ vs comparators</w:t>
            </w:r>
          </w:p>
        </w:tc>
      </w:tr>
      <w:tr w:rsidR="001102F5" w:rsidRPr="009849E7" w14:paraId="0DFA3728" w14:textId="77777777" w:rsidTr="0002685D">
        <w:trPr>
          <w:trHeight w:val="53"/>
        </w:trPr>
        <w:tc>
          <w:tcPr>
            <w:tcW w:w="731" w:type="pct"/>
            <w:shd w:val="clear" w:color="auto" w:fill="auto"/>
            <w:vAlign w:val="center"/>
          </w:tcPr>
          <w:p w14:paraId="7F258BBD" w14:textId="77777777" w:rsidR="001102F5" w:rsidRPr="009849E7" w:rsidRDefault="001102F5" w:rsidP="005727F3">
            <w:pPr>
              <w:pStyle w:val="TableText0"/>
              <w:keepLines/>
              <w:widowControl w:val="0"/>
              <w:rPr>
                <w:b/>
                <w:bCs w:val="0"/>
                <w:sz w:val="18"/>
                <w:szCs w:val="18"/>
              </w:rPr>
            </w:pPr>
            <w:r w:rsidRPr="009849E7">
              <w:rPr>
                <w:b/>
                <w:bCs w:val="0"/>
                <w:sz w:val="18"/>
                <w:szCs w:val="18"/>
              </w:rPr>
              <w:t>RIS</w:t>
            </w:r>
          </w:p>
        </w:tc>
        <w:tc>
          <w:tcPr>
            <w:tcW w:w="711" w:type="pct"/>
            <w:shd w:val="clear" w:color="auto" w:fill="C6D9F1" w:themeFill="text2" w:themeFillTint="33"/>
            <w:vAlign w:val="center"/>
          </w:tcPr>
          <w:p w14:paraId="5E6EBEE7"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99E9DD3" w14:textId="77777777" w:rsidR="001102F5" w:rsidRPr="009849E7" w:rsidRDefault="001102F5" w:rsidP="005727F3">
            <w:pPr>
              <w:pStyle w:val="TableText0"/>
              <w:keepLines/>
              <w:widowControl w:val="0"/>
              <w:jc w:val="center"/>
              <w:rPr>
                <w:sz w:val="18"/>
                <w:szCs w:val="18"/>
              </w:rPr>
            </w:pPr>
            <w:r w:rsidRPr="009849E7">
              <w:rPr>
                <w:sz w:val="18"/>
                <w:szCs w:val="18"/>
              </w:rPr>
              <w:t>1.87 (0.83, 4.18)</w:t>
            </w:r>
          </w:p>
        </w:tc>
        <w:tc>
          <w:tcPr>
            <w:tcW w:w="711" w:type="pct"/>
            <w:shd w:val="clear" w:color="auto" w:fill="C6D9F1" w:themeFill="text2" w:themeFillTint="33"/>
            <w:vAlign w:val="center"/>
          </w:tcPr>
          <w:p w14:paraId="351995CC" w14:textId="77777777" w:rsidR="001102F5" w:rsidRPr="009849E7" w:rsidRDefault="001102F5" w:rsidP="005727F3">
            <w:pPr>
              <w:pStyle w:val="TableText0"/>
              <w:keepLines/>
              <w:widowControl w:val="0"/>
              <w:jc w:val="center"/>
              <w:rPr>
                <w:sz w:val="18"/>
                <w:szCs w:val="18"/>
              </w:rPr>
            </w:pPr>
            <w:r w:rsidRPr="009849E7">
              <w:rPr>
                <w:sz w:val="18"/>
                <w:szCs w:val="18"/>
              </w:rPr>
              <w:t>1.03 (0.98, 1.07)</w:t>
            </w:r>
          </w:p>
        </w:tc>
        <w:tc>
          <w:tcPr>
            <w:tcW w:w="712" w:type="pct"/>
            <w:vAlign w:val="center"/>
          </w:tcPr>
          <w:p w14:paraId="31948D66" w14:textId="77777777" w:rsidR="001102F5" w:rsidRPr="009849E7" w:rsidRDefault="001102F5" w:rsidP="005727F3">
            <w:pPr>
              <w:pStyle w:val="TableText0"/>
              <w:keepLines/>
              <w:widowControl w:val="0"/>
              <w:jc w:val="center"/>
              <w:rPr>
                <w:sz w:val="18"/>
                <w:szCs w:val="18"/>
              </w:rPr>
            </w:pPr>
            <w:r w:rsidRPr="009849E7">
              <w:rPr>
                <w:sz w:val="18"/>
                <w:szCs w:val="18"/>
              </w:rPr>
              <w:t>1.00 (0.89,1.11)</w:t>
            </w:r>
            <w:r w:rsidRPr="009849E7">
              <w:rPr>
                <w:sz w:val="18"/>
                <w:szCs w:val="18"/>
                <w:vertAlign w:val="superscript"/>
              </w:rPr>
              <w:t>a</w:t>
            </w:r>
          </w:p>
        </w:tc>
        <w:tc>
          <w:tcPr>
            <w:tcW w:w="711" w:type="pct"/>
            <w:shd w:val="clear" w:color="auto" w:fill="C6D9F1" w:themeFill="text2" w:themeFillTint="33"/>
            <w:vAlign w:val="center"/>
          </w:tcPr>
          <w:p w14:paraId="2B01572D"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6D7A1A02" w14:textId="77777777" w:rsidR="001102F5" w:rsidRPr="009849E7" w:rsidRDefault="001102F5" w:rsidP="005727F3">
            <w:pPr>
              <w:pStyle w:val="TableText0"/>
              <w:keepLines/>
              <w:widowControl w:val="0"/>
              <w:jc w:val="center"/>
              <w:rPr>
                <w:sz w:val="18"/>
                <w:szCs w:val="18"/>
              </w:rPr>
            </w:pPr>
            <w:r w:rsidRPr="009849E7">
              <w:rPr>
                <w:sz w:val="18"/>
                <w:szCs w:val="18"/>
              </w:rPr>
              <w:t>1.50 (0.39, 5.76)</w:t>
            </w:r>
          </w:p>
        </w:tc>
        <w:tc>
          <w:tcPr>
            <w:tcW w:w="711" w:type="pct"/>
            <w:shd w:val="clear" w:color="auto" w:fill="C6D9F1" w:themeFill="text2" w:themeFillTint="33"/>
            <w:vAlign w:val="center"/>
          </w:tcPr>
          <w:p w14:paraId="0044B59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1.15 (1.06, 1.24)</w:t>
            </w:r>
          </w:p>
        </w:tc>
        <w:tc>
          <w:tcPr>
            <w:tcW w:w="713" w:type="pct"/>
            <w:shd w:val="clear" w:color="auto" w:fill="auto"/>
            <w:vAlign w:val="center"/>
          </w:tcPr>
          <w:p w14:paraId="66F63272" w14:textId="77777777" w:rsidR="001102F5" w:rsidRPr="009849E7" w:rsidRDefault="001102F5" w:rsidP="005727F3">
            <w:pPr>
              <w:pStyle w:val="TableText0"/>
              <w:keepLines/>
              <w:widowControl w:val="0"/>
              <w:jc w:val="center"/>
              <w:rPr>
                <w:sz w:val="18"/>
                <w:szCs w:val="18"/>
              </w:rPr>
            </w:pPr>
            <w:r w:rsidRPr="009849E7">
              <w:rPr>
                <w:sz w:val="18"/>
                <w:szCs w:val="18"/>
              </w:rPr>
              <w:t>1.05 (0.95, 1.17)</w:t>
            </w:r>
          </w:p>
        </w:tc>
      </w:tr>
      <w:tr w:rsidR="001102F5" w:rsidRPr="009849E7" w14:paraId="700A7E95" w14:textId="77777777" w:rsidTr="0002685D">
        <w:trPr>
          <w:trHeight w:val="53"/>
        </w:trPr>
        <w:tc>
          <w:tcPr>
            <w:tcW w:w="731" w:type="pct"/>
            <w:shd w:val="clear" w:color="auto" w:fill="auto"/>
            <w:vAlign w:val="center"/>
          </w:tcPr>
          <w:p w14:paraId="53229F12" w14:textId="77777777" w:rsidR="001102F5" w:rsidRPr="009849E7" w:rsidRDefault="001102F5" w:rsidP="005727F3">
            <w:pPr>
              <w:pStyle w:val="TableText0"/>
              <w:keepLines/>
              <w:widowControl w:val="0"/>
              <w:rPr>
                <w:b/>
                <w:bCs w:val="0"/>
                <w:sz w:val="18"/>
                <w:szCs w:val="18"/>
              </w:rPr>
            </w:pPr>
            <w:r w:rsidRPr="009849E7">
              <w:rPr>
                <w:b/>
                <w:bCs w:val="0"/>
                <w:sz w:val="18"/>
                <w:szCs w:val="18"/>
              </w:rPr>
              <w:t>IXE</w:t>
            </w:r>
          </w:p>
        </w:tc>
        <w:tc>
          <w:tcPr>
            <w:tcW w:w="711" w:type="pct"/>
            <w:shd w:val="clear" w:color="auto" w:fill="C6D9F1" w:themeFill="text2" w:themeFillTint="33"/>
            <w:vAlign w:val="center"/>
          </w:tcPr>
          <w:p w14:paraId="723D4F73"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351DEDC8" w14:textId="77777777" w:rsidR="001102F5" w:rsidRPr="009849E7" w:rsidRDefault="001102F5" w:rsidP="005727F3">
            <w:pPr>
              <w:pStyle w:val="TableText0"/>
              <w:keepLines/>
              <w:widowControl w:val="0"/>
              <w:jc w:val="center"/>
              <w:rPr>
                <w:sz w:val="18"/>
                <w:szCs w:val="18"/>
              </w:rPr>
            </w:pPr>
            <w:r w:rsidRPr="009849E7">
              <w:rPr>
                <w:sz w:val="18"/>
                <w:szCs w:val="18"/>
              </w:rPr>
              <w:t>0.91 (0.37, 2.24)</w:t>
            </w:r>
          </w:p>
        </w:tc>
        <w:tc>
          <w:tcPr>
            <w:tcW w:w="711" w:type="pct"/>
            <w:shd w:val="clear" w:color="auto" w:fill="C6D9F1" w:themeFill="text2" w:themeFillTint="33"/>
            <w:vAlign w:val="center"/>
          </w:tcPr>
          <w:p w14:paraId="5837E700" w14:textId="77777777" w:rsidR="001102F5" w:rsidRPr="009849E7" w:rsidRDefault="001102F5" w:rsidP="005727F3">
            <w:pPr>
              <w:pStyle w:val="TableText0"/>
              <w:keepLines/>
              <w:widowControl w:val="0"/>
              <w:jc w:val="center"/>
              <w:rPr>
                <w:sz w:val="18"/>
                <w:szCs w:val="18"/>
              </w:rPr>
            </w:pPr>
            <w:r w:rsidRPr="009849E7">
              <w:rPr>
                <w:sz w:val="18"/>
                <w:szCs w:val="18"/>
              </w:rPr>
              <w:t>1.04 (0.99, 1.08)</w:t>
            </w:r>
          </w:p>
        </w:tc>
        <w:tc>
          <w:tcPr>
            <w:tcW w:w="712" w:type="pct"/>
            <w:vAlign w:val="center"/>
          </w:tcPr>
          <w:p w14:paraId="73A5C091" w14:textId="77777777" w:rsidR="001102F5" w:rsidRPr="009849E7" w:rsidRDefault="001102F5" w:rsidP="005727F3">
            <w:pPr>
              <w:pStyle w:val="TableText0"/>
              <w:keepLines/>
              <w:widowControl w:val="0"/>
              <w:jc w:val="center"/>
              <w:rPr>
                <w:sz w:val="18"/>
                <w:szCs w:val="18"/>
              </w:rPr>
            </w:pPr>
            <w:r w:rsidRPr="009849E7">
              <w:rPr>
                <w:sz w:val="18"/>
                <w:szCs w:val="18"/>
              </w:rPr>
              <w:t>0.99 (0.86, 1.12)</w:t>
            </w:r>
            <w:r w:rsidRPr="009849E7">
              <w:rPr>
                <w:sz w:val="18"/>
                <w:szCs w:val="18"/>
                <w:vertAlign w:val="superscript"/>
              </w:rPr>
              <w:t>b</w:t>
            </w:r>
          </w:p>
        </w:tc>
        <w:tc>
          <w:tcPr>
            <w:tcW w:w="711" w:type="pct"/>
            <w:shd w:val="clear" w:color="auto" w:fill="C6D9F1" w:themeFill="text2" w:themeFillTint="33"/>
            <w:vAlign w:val="center"/>
          </w:tcPr>
          <w:p w14:paraId="38D96526"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070A40FE" w14:textId="77777777" w:rsidR="001102F5" w:rsidRPr="009849E7" w:rsidRDefault="001102F5" w:rsidP="005727F3">
            <w:pPr>
              <w:pStyle w:val="TableText0"/>
              <w:keepLines/>
              <w:widowControl w:val="0"/>
              <w:jc w:val="center"/>
              <w:rPr>
                <w:sz w:val="18"/>
                <w:szCs w:val="18"/>
              </w:rPr>
            </w:pPr>
            <w:r w:rsidRPr="009849E7">
              <w:rPr>
                <w:sz w:val="18"/>
                <w:szCs w:val="18"/>
              </w:rPr>
              <w:t>0.47 (0.07, 3.04)</w:t>
            </w:r>
          </w:p>
        </w:tc>
        <w:tc>
          <w:tcPr>
            <w:tcW w:w="711" w:type="pct"/>
            <w:shd w:val="clear" w:color="auto" w:fill="C6D9F1" w:themeFill="text2" w:themeFillTint="33"/>
            <w:vAlign w:val="center"/>
          </w:tcPr>
          <w:p w14:paraId="2F6C101D"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1.19 (1.09, 1.30)</w:t>
            </w:r>
          </w:p>
        </w:tc>
        <w:tc>
          <w:tcPr>
            <w:tcW w:w="713" w:type="pct"/>
            <w:shd w:val="clear" w:color="auto" w:fill="auto"/>
            <w:vAlign w:val="center"/>
          </w:tcPr>
          <w:p w14:paraId="5FB2F915" w14:textId="77777777" w:rsidR="001102F5" w:rsidRPr="009849E7" w:rsidRDefault="001102F5" w:rsidP="005727F3">
            <w:pPr>
              <w:pStyle w:val="TableText0"/>
              <w:keepLines/>
              <w:widowControl w:val="0"/>
              <w:jc w:val="center"/>
              <w:rPr>
                <w:sz w:val="18"/>
                <w:szCs w:val="18"/>
              </w:rPr>
            </w:pPr>
            <w:r w:rsidRPr="009849E7">
              <w:rPr>
                <w:sz w:val="18"/>
                <w:szCs w:val="18"/>
              </w:rPr>
              <w:t>1.00 (0.91, 1.11)</w:t>
            </w:r>
          </w:p>
        </w:tc>
      </w:tr>
      <w:tr w:rsidR="001102F5" w:rsidRPr="009849E7" w14:paraId="712BCDAE" w14:textId="77777777" w:rsidTr="0002685D">
        <w:tc>
          <w:tcPr>
            <w:tcW w:w="731" w:type="pct"/>
            <w:shd w:val="clear" w:color="auto" w:fill="auto"/>
            <w:vAlign w:val="center"/>
          </w:tcPr>
          <w:p w14:paraId="5DA6FFCE" w14:textId="77777777" w:rsidR="001102F5" w:rsidRPr="009849E7" w:rsidRDefault="001102F5" w:rsidP="005727F3">
            <w:pPr>
              <w:pStyle w:val="TableText0"/>
              <w:keepLines/>
              <w:widowControl w:val="0"/>
              <w:rPr>
                <w:b/>
                <w:bCs w:val="0"/>
                <w:sz w:val="18"/>
                <w:szCs w:val="18"/>
              </w:rPr>
            </w:pPr>
            <w:r w:rsidRPr="009849E7">
              <w:rPr>
                <w:b/>
                <w:bCs w:val="0"/>
                <w:sz w:val="18"/>
                <w:szCs w:val="18"/>
              </w:rPr>
              <w:t>GUS</w:t>
            </w:r>
          </w:p>
        </w:tc>
        <w:tc>
          <w:tcPr>
            <w:tcW w:w="711" w:type="pct"/>
            <w:shd w:val="clear" w:color="auto" w:fill="C6D9F1" w:themeFill="text2" w:themeFillTint="33"/>
            <w:vAlign w:val="center"/>
          </w:tcPr>
          <w:p w14:paraId="6AB06E68"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0D886D31" w14:textId="77777777" w:rsidR="001102F5" w:rsidRPr="009849E7" w:rsidRDefault="001102F5" w:rsidP="005727F3">
            <w:pPr>
              <w:pStyle w:val="TableText0"/>
              <w:keepLines/>
              <w:widowControl w:val="0"/>
              <w:jc w:val="center"/>
              <w:rPr>
                <w:sz w:val="18"/>
                <w:szCs w:val="18"/>
              </w:rPr>
            </w:pPr>
            <w:r w:rsidRPr="009849E7">
              <w:rPr>
                <w:sz w:val="18"/>
                <w:szCs w:val="18"/>
              </w:rPr>
              <w:t>1.48 (0.68, 3.19)</w:t>
            </w:r>
          </w:p>
        </w:tc>
        <w:tc>
          <w:tcPr>
            <w:tcW w:w="711" w:type="pct"/>
            <w:shd w:val="clear" w:color="auto" w:fill="C6D9F1" w:themeFill="text2" w:themeFillTint="33"/>
            <w:vAlign w:val="center"/>
          </w:tcPr>
          <w:p w14:paraId="45D1A95F" w14:textId="77777777" w:rsidR="001102F5" w:rsidRPr="009849E7" w:rsidRDefault="001102F5" w:rsidP="005727F3">
            <w:pPr>
              <w:pStyle w:val="TableText0"/>
              <w:keepLines/>
              <w:widowControl w:val="0"/>
              <w:jc w:val="center"/>
              <w:rPr>
                <w:sz w:val="18"/>
                <w:szCs w:val="18"/>
              </w:rPr>
            </w:pPr>
            <w:r w:rsidRPr="009849E7">
              <w:rPr>
                <w:b/>
                <w:bCs w:val="0"/>
                <w:sz w:val="18"/>
                <w:szCs w:val="18"/>
              </w:rPr>
              <w:t>1.07 (1.02, 1.12)</w:t>
            </w:r>
          </w:p>
        </w:tc>
        <w:tc>
          <w:tcPr>
            <w:tcW w:w="712" w:type="pct"/>
            <w:vAlign w:val="center"/>
          </w:tcPr>
          <w:p w14:paraId="175B80AC" w14:textId="77777777" w:rsidR="001102F5" w:rsidRPr="009849E7" w:rsidRDefault="001102F5" w:rsidP="005727F3">
            <w:pPr>
              <w:pStyle w:val="TableText0"/>
              <w:keepLines/>
              <w:widowControl w:val="0"/>
              <w:jc w:val="center"/>
              <w:rPr>
                <w:sz w:val="18"/>
                <w:szCs w:val="18"/>
              </w:rPr>
            </w:pPr>
            <w:r w:rsidRPr="009849E7">
              <w:rPr>
                <w:sz w:val="18"/>
                <w:szCs w:val="18"/>
              </w:rPr>
              <w:t>1.09 (0.97, 1.22)</w:t>
            </w:r>
          </w:p>
        </w:tc>
        <w:tc>
          <w:tcPr>
            <w:tcW w:w="711" w:type="pct"/>
            <w:shd w:val="clear" w:color="auto" w:fill="C6D9F1" w:themeFill="text2" w:themeFillTint="33"/>
            <w:vAlign w:val="center"/>
          </w:tcPr>
          <w:p w14:paraId="2C641430"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166736C7" w14:textId="77777777" w:rsidR="001102F5" w:rsidRPr="009849E7" w:rsidRDefault="001102F5" w:rsidP="005727F3">
            <w:pPr>
              <w:pStyle w:val="TableText0"/>
              <w:keepLines/>
              <w:widowControl w:val="0"/>
              <w:jc w:val="center"/>
              <w:rPr>
                <w:sz w:val="18"/>
                <w:szCs w:val="18"/>
              </w:rPr>
            </w:pPr>
            <w:r w:rsidRPr="009849E7">
              <w:rPr>
                <w:sz w:val="18"/>
                <w:szCs w:val="18"/>
              </w:rPr>
              <w:t>1.11 (0.33, 3.76)</w:t>
            </w:r>
          </w:p>
        </w:tc>
        <w:tc>
          <w:tcPr>
            <w:tcW w:w="711" w:type="pct"/>
            <w:shd w:val="clear" w:color="auto" w:fill="C6D9F1" w:themeFill="text2" w:themeFillTint="33"/>
            <w:vAlign w:val="center"/>
          </w:tcPr>
          <w:p w14:paraId="10AD32C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1.25 (1.14, 1.37)</w:t>
            </w:r>
          </w:p>
        </w:tc>
        <w:tc>
          <w:tcPr>
            <w:tcW w:w="713" w:type="pct"/>
            <w:shd w:val="clear" w:color="auto" w:fill="auto"/>
            <w:vAlign w:val="center"/>
          </w:tcPr>
          <w:p w14:paraId="5F80F45F" w14:textId="77777777" w:rsidR="001102F5" w:rsidRPr="009849E7" w:rsidRDefault="001102F5" w:rsidP="005727F3">
            <w:pPr>
              <w:pStyle w:val="TableText0"/>
              <w:keepLines/>
              <w:widowControl w:val="0"/>
              <w:jc w:val="center"/>
              <w:rPr>
                <w:sz w:val="18"/>
                <w:szCs w:val="18"/>
              </w:rPr>
            </w:pPr>
            <w:r w:rsidRPr="009849E7">
              <w:rPr>
                <w:b/>
                <w:bCs w:val="0"/>
                <w:sz w:val="18"/>
                <w:szCs w:val="18"/>
              </w:rPr>
              <w:t>1.26 (1.16, 1.36)</w:t>
            </w:r>
          </w:p>
        </w:tc>
      </w:tr>
      <w:tr w:rsidR="001102F5" w:rsidRPr="009849E7" w14:paraId="46A5DB56" w14:textId="77777777" w:rsidTr="0002685D">
        <w:tc>
          <w:tcPr>
            <w:tcW w:w="731" w:type="pct"/>
            <w:shd w:val="clear" w:color="auto" w:fill="auto"/>
            <w:vAlign w:val="center"/>
          </w:tcPr>
          <w:p w14:paraId="387E7F00" w14:textId="77777777" w:rsidR="001102F5" w:rsidRPr="009849E7" w:rsidRDefault="001102F5" w:rsidP="005727F3">
            <w:pPr>
              <w:pStyle w:val="TableText0"/>
              <w:keepLines/>
              <w:widowControl w:val="0"/>
              <w:rPr>
                <w:b/>
                <w:bCs w:val="0"/>
                <w:sz w:val="18"/>
                <w:szCs w:val="18"/>
              </w:rPr>
            </w:pPr>
            <w:r w:rsidRPr="009849E7">
              <w:rPr>
                <w:b/>
                <w:bCs w:val="0"/>
                <w:sz w:val="18"/>
                <w:szCs w:val="18"/>
              </w:rPr>
              <w:t>IFX</w:t>
            </w:r>
          </w:p>
        </w:tc>
        <w:tc>
          <w:tcPr>
            <w:tcW w:w="711" w:type="pct"/>
            <w:shd w:val="clear" w:color="auto" w:fill="auto"/>
            <w:vAlign w:val="center"/>
          </w:tcPr>
          <w:p w14:paraId="67DB0754"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8B503AC" w14:textId="77777777" w:rsidR="001102F5" w:rsidRPr="009849E7" w:rsidRDefault="001102F5" w:rsidP="005727F3">
            <w:pPr>
              <w:pStyle w:val="TableText0"/>
              <w:keepLines/>
              <w:widowControl w:val="0"/>
              <w:jc w:val="center"/>
              <w:rPr>
                <w:sz w:val="18"/>
                <w:szCs w:val="18"/>
              </w:rPr>
            </w:pPr>
            <w:r w:rsidRPr="009849E7">
              <w:rPr>
                <w:sz w:val="18"/>
                <w:szCs w:val="18"/>
              </w:rPr>
              <w:t>0.96 (0.34, 2.72)</w:t>
            </w:r>
          </w:p>
        </w:tc>
        <w:tc>
          <w:tcPr>
            <w:tcW w:w="711" w:type="pct"/>
            <w:vAlign w:val="center"/>
          </w:tcPr>
          <w:p w14:paraId="335AB560"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1.16 (1.09, 1.24)</w:t>
            </w:r>
          </w:p>
        </w:tc>
        <w:tc>
          <w:tcPr>
            <w:tcW w:w="712" w:type="pct"/>
            <w:vAlign w:val="center"/>
          </w:tcPr>
          <w:p w14:paraId="39ED0030" w14:textId="77777777" w:rsidR="001102F5" w:rsidRPr="009849E7" w:rsidRDefault="001102F5" w:rsidP="005727F3">
            <w:pPr>
              <w:pStyle w:val="TableText0"/>
              <w:keepLines/>
              <w:widowControl w:val="0"/>
              <w:jc w:val="center"/>
              <w:rPr>
                <w:sz w:val="18"/>
                <w:szCs w:val="18"/>
              </w:rPr>
            </w:pPr>
            <w:r w:rsidRPr="009849E7">
              <w:rPr>
                <w:sz w:val="18"/>
                <w:szCs w:val="18"/>
              </w:rPr>
              <w:t>0.76 (0.50, 1.16)</w:t>
            </w:r>
            <w:r w:rsidRPr="009849E7">
              <w:rPr>
                <w:sz w:val="18"/>
                <w:szCs w:val="18"/>
                <w:vertAlign w:val="superscript"/>
              </w:rPr>
              <w:t>c</w:t>
            </w:r>
          </w:p>
        </w:tc>
        <w:tc>
          <w:tcPr>
            <w:tcW w:w="711" w:type="pct"/>
            <w:shd w:val="clear" w:color="auto" w:fill="auto"/>
            <w:vAlign w:val="center"/>
          </w:tcPr>
          <w:p w14:paraId="542D02E2"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DD482F3" w14:textId="77777777" w:rsidR="001102F5" w:rsidRPr="009849E7" w:rsidRDefault="001102F5" w:rsidP="005727F3">
            <w:pPr>
              <w:pStyle w:val="TableText0"/>
              <w:keepLines/>
              <w:widowControl w:val="0"/>
              <w:jc w:val="center"/>
              <w:rPr>
                <w:sz w:val="18"/>
                <w:szCs w:val="18"/>
              </w:rPr>
            </w:pPr>
            <w:r w:rsidRPr="009849E7">
              <w:rPr>
                <w:sz w:val="18"/>
                <w:szCs w:val="18"/>
              </w:rPr>
              <w:t>1.09 (0.29, 4.15)</w:t>
            </w:r>
          </w:p>
        </w:tc>
        <w:tc>
          <w:tcPr>
            <w:tcW w:w="711" w:type="pct"/>
            <w:shd w:val="clear" w:color="auto" w:fill="auto"/>
            <w:vAlign w:val="center"/>
          </w:tcPr>
          <w:p w14:paraId="3CB07EDE"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1.55 (1.38, 1.75)</w:t>
            </w:r>
          </w:p>
        </w:tc>
        <w:tc>
          <w:tcPr>
            <w:tcW w:w="713" w:type="pct"/>
            <w:shd w:val="clear" w:color="auto" w:fill="auto"/>
            <w:vAlign w:val="center"/>
          </w:tcPr>
          <w:p w14:paraId="59FFD547" w14:textId="77777777" w:rsidR="001102F5" w:rsidRPr="009849E7" w:rsidRDefault="001102F5" w:rsidP="005727F3">
            <w:pPr>
              <w:pStyle w:val="TableText0"/>
              <w:keepLines/>
              <w:widowControl w:val="0"/>
              <w:jc w:val="center"/>
              <w:rPr>
                <w:sz w:val="18"/>
                <w:szCs w:val="18"/>
              </w:rPr>
            </w:pPr>
            <w:r w:rsidRPr="009849E7">
              <w:rPr>
                <w:sz w:val="18"/>
                <w:szCs w:val="18"/>
              </w:rPr>
              <w:t>0.60 (0.25, 1.47)</w:t>
            </w:r>
            <w:r w:rsidRPr="009849E7">
              <w:rPr>
                <w:sz w:val="18"/>
                <w:szCs w:val="18"/>
                <w:vertAlign w:val="superscript"/>
              </w:rPr>
              <w:t>d</w:t>
            </w:r>
          </w:p>
        </w:tc>
      </w:tr>
      <w:tr w:rsidR="001102F5" w:rsidRPr="009849E7" w14:paraId="0A5C1504" w14:textId="77777777" w:rsidTr="0002685D">
        <w:tc>
          <w:tcPr>
            <w:tcW w:w="731" w:type="pct"/>
            <w:shd w:val="clear" w:color="auto" w:fill="auto"/>
            <w:vAlign w:val="center"/>
          </w:tcPr>
          <w:p w14:paraId="63DC4436" w14:textId="77777777" w:rsidR="001102F5" w:rsidRPr="009849E7" w:rsidRDefault="001102F5" w:rsidP="005727F3">
            <w:pPr>
              <w:pStyle w:val="TableText0"/>
              <w:keepLines/>
              <w:widowControl w:val="0"/>
              <w:rPr>
                <w:b/>
                <w:bCs w:val="0"/>
                <w:sz w:val="18"/>
                <w:szCs w:val="18"/>
              </w:rPr>
            </w:pPr>
            <w:r w:rsidRPr="009849E7">
              <w:rPr>
                <w:b/>
                <w:bCs w:val="0"/>
                <w:sz w:val="18"/>
                <w:szCs w:val="18"/>
              </w:rPr>
              <w:t>TIL (100)</w:t>
            </w:r>
          </w:p>
        </w:tc>
        <w:tc>
          <w:tcPr>
            <w:tcW w:w="711" w:type="pct"/>
            <w:shd w:val="clear" w:color="auto" w:fill="C6D9F1" w:themeFill="text2" w:themeFillTint="33"/>
            <w:vAlign w:val="center"/>
          </w:tcPr>
          <w:p w14:paraId="1431C0E2"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3C15BD7" w14:textId="77777777" w:rsidR="001102F5" w:rsidRPr="009849E7" w:rsidRDefault="001102F5" w:rsidP="005727F3">
            <w:pPr>
              <w:pStyle w:val="TableText0"/>
              <w:keepLines/>
              <w:widowControl w:val="0"/>
              <w:jc w:val="center"/>
              <w:rPr>
                <w:sz w:val="18"/>
                <w:szCs w:val="18"/>
              </w:rPr>
            </w:pPr>
            <w:r w:rsidRPr="009849E7">
              <w:rPr>
                <w:sz w:val="18"/>
                <w:szCs w:val="18"/>
              </w:rPr>
              <w:t>1.62 (0.73, 3.61)</w:t>
            </w:r>
          </w:p>
        </w:tc>
        <w:tc>
          <w:tcPr>
            <w:tcW w:w="711" w:type="pct"/>
            <w:shd w:val="clear" w:color="auto" w:fill="C6D9F1" w:themeFill="text2" w:themeFillTint="33"/>
            <w:vAlign w:val="center"/>
          </w:tcPr>
          <w:p w14:paraId="3BED3AB8"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1.46 (1.31, 1.66)</w:t>
            </w:r>
          </w:p>
        </w:tc>
        <w:tc>
          <w:tcPr>
            <w:tcW w:w="712" w:type="pct"/>
            <w:vAlign w:val="center"/>
          </w:tcPr>
          <w:p w14:paraId="16F2891A" w14:textId="77777777" w:rsidR="001102F5" w:rsidRPr="009849E7" w:rsidRDefault="001102F5" w:rsidP="005727F3">
            <w:pPr>
              <w:pStyle w:val="TableText0"/>
              <w:keepLines/>
              <w:widowControl w:val="0"/>
              <w:jc w:val="center"/>
              <w:rPr>
                <w:sz w:val="18"/>
                <w:szCs w:val="18"/>
              </w:rPr>
            </w:pPr>
            <w:r w:rsidRPr="009849E7">
              <w:rPr>
                <w:b/>
                <w:bCs w:val="0"/>
                <w:sz w:val="18"/>
                <w:szCs w:val="18"/>
              </w:rPr>
              <w:t>1.27 (1.04, 1.55)</w:t>
            </w:r>
          </w:p>
        </w:tc>
        <w:tc>
          <w:tcPr>
            <w:tcW w:w="711" w:type="pct"/>
            <w:shd w:val="clear" w:color="auto" w:fill="C6D9F1" w:themeFill="text2" w:themeFillTint="33"/>
            <w:vAlign w:val="center"/>
          </w:tcPr>
          <w:p w14:paraId="71825F44"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318DB614" w14:textId="77777777" w:rsidR="001102F5" w:rsidRPr="009849E7" w:rsidRDefault="001102F5" w:rsidP="005727F3">
            <w:pPr>
              <w:pStyle w:val="TableText0"/>
              <w:keepLines/>
              <w:widowControl w:val="0"/>
              <w:jc w:val="center"/>
              <w:rPr>
                <w:sz w:val="18"/>
                <w:szCs w:val="18"/>
              </w:rPr>
            </w:pPr>
            <w:r w:rsidRPr="009849E7">
              <w:rPr>
                <w:sz w:val="18"/>
                <w:szCs w:val="18"/>
              </w:rPr>
              <w:t>1.72 (0.47, 6.33)</w:t>
            </w:r>
          </w:p>
        </w:tc>
        <w:tc>
          <w:tcPr>
            <w:tcW w:w="711" w:type="pct"/>
            <w:shd w:val="clear" w:color="auto" w:fill="C6D9F1" w:themeFill="text2" w:themeFillTint="33"/>
            <w:vAlign w:val="center"/>
          </w:tcPr>
          <w:p w14:paraId="248EF934"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2.24 (1.86, 2.76)</w:t>
            </w:r>
          </w:p>
        </w:tc>
        <w:tc>
          <w:tcPr>
            <w:tcW w:w="713" w:type="pct"/>
            <w:shd w:val="clear" w:color="auto" w:fill="auto"/>
            <w:vAlign w:val="center"/>
          </w:tcPr>
          <w:p w14:paraId="1BFB14DD" w14:textId="593F318C" w:rsidR="001102F5" w:rsidRPr="009849E7" w:rsidRDefault="001102F5" w:rsidP="005727F3">
            <w:pPr>
              <w:pStyle w:val="TableText0"/>
              <w:keepLines/>
              <w:widowControl w:val="0"/>
              <w:jc w:val="center"/>
              <w:rPr>
                <w:b/>
                <w:bCs w:val="0"/>
                <w:sz w:val="18"/>
                <w:szCs w:val="18"/>
              </w:rPr>
            </w:pPr>
            <w:r w:rsidRPr="009849E7">
              <w:rPr>
                <w:b/>
                <w:bCs w:val="0"/>
                <w:sz w:val="18"/>
                <w:szCs w:val="18"/>
              </w:rPr>
              <w:t>1.63 (1.26, 2.10</w:t>
            </w:r>
            <w:r w:rsidR="00142974" w:rsidRPr="00142974">
              <w:rPr>
                <w:b/>
                <w:bCs w:val="0"/>
                <w:sz w:val="18"/>
                <w:szCs w:val="18"/>
                <w:vertAlign w:val="superscript"/>
              </w:rPr>
              <w:t>e</w:t>
            </w:r>
          </w:p>
        </w:tc>
      </w:tr>
      <w:tr w:rsidR="001102F5" w:rsidRPr="009849E7" w14:paraId="163D19AA" w14:textId="77777777" w:rsidTr="0002685D">
        <w:tc>
          <w:tcPr>
            <w:tcW w:w="731" w:type="pct"/>
            <w:shd w:val="clear" w:color="auto" w:fill="auto"/>
            <w:vAlign w:val="center"/>
          </w:tcPr>
          <w:p w14:paraId="099EECCF" w14:textId="77777777" w:rsidR="001102F5" w:rsidRPr="009849E7" w:rsidRDefault="001102F5" w:rsidP="005727F3">
            <w:pPr>
              <w:pStyle w:val="TableText0"/>
              <w:keepLines/>
              <w:widowControl w:val="0"/>
              <w:rPr>
                <w:b/>
                <w:bCs w:val="0"/>
                <w:sz w:val="18"/>
                <w:szCs w:val="18"/>
              </w:rPr>
            </w:pPr>
            <w:r w:rsidRPr="009849E7">
              <w:rPr>
                <w:b/>
                <w:bCs w:val="0"/>
                <w:sz w:val="18"/>
                <w:szCs w:val="18"/>
              </w:rPr>
              <w:t>ADA</w:t>
            </w:r>
          </w:p>
        </w:tc>
        <w:tc>
          <w:tcPr>
            <w:tcW w:w="711" w:type="pct"/>
            <w:shd w:val="clear" w:color="auto" w:fill="C6D9F1" w:themeFill="text2" w:themeFillTint="33"/>
            <w:vAlign w:val="center"/>
          </w:tcPr>
          <w:p w14:paraId="30EF7713"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6DB7DE6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1.34 (1.20, 1.49)</w:t>
            </w:r>
          </w:p>
        </w:tc>
        <w:tc>
          <w:tcPr>
            <w:tcW w:w="711" w:type="pct"/>
            <w:shd w:val="clear" w:color="auto" w:fill="C6D9F1" w:themeFill="text2" w:themeFillTint="33"/>
            <w:vAlign w:val="center"/>
          </w:tcPr>
          <w:p w14:paraId="41DB1E35"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1.32 (1.24, 1.40)</w:t>
            </w:r>
          </w:p>
        </w:tc>
        <w:tc>
          <w:tcPr>
            <w:tcW w:w="712" w:type="pct"/>
            <w:vAlign w:val="center"/>
          </w:tcPr>
          <w:p w14:paraId="0E22B18C" w14:textId="77777777" w:rsidR="001102F5" w:rsidRPr="009849E7" w:rsidRDefault="001102F5" w:rsidP="005727F3">
            <w:pPr>
              <w:pStyle w:val="TableText0"/>
              <w:keepLines/>
              <w:widowControl w:val="0"/>
              <w:jc w:val="center"/>
              <w:rPr>
                <w:sz w:val="18"/>
                <w:szCs w:val="18"/>
              </w:rPr>
            </w:pPr>
            <w:r w:rsidRPr="009849E7">
              <w:rPr>
                <w:b/>
                <w:bCs w:val="0"/>
                <w:sz w:val="18"/>
                <w:szCs w:val="18"/>
              </w:rPr>
              <w:t>1.33 (1.20, 1.48)</w:t>
            </w:r>
          </w:p>
        </w:tc>
        <w:tc>
          <w:tcPr>
            <w:tcW w:w="711" w:type="pct"/>
            <w:shd w:val="clear" w:color="auto" w:fill="C6D9F1" w:themeFill="text2" w:themeFillTint="33"/>
            <w:vAlign w:val="center"/>
          </w:tcPr>
          <w:p w14:paraId="6401F69D"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3A5ECC10" w14:textId="77777777" w:rsidR="001102F5" w:rsidRPr="009849E7" w:rsidRDefault="001102F5" w:rsidP="005727F3">
            <w:pPr>
              <w:pStyle w:val="TableText0"/>
              <w:keepLines/>
              <w:widowControl w:val="0"/>
              <w:jc w:val="center"/>
              <w:rPr>
                <w:sz w:val="18"/>
                <w:szCs w:val="18"/>
              </w:rPr>
            </w:pPr>
            <w:r w:rsidRPr="009849E7">
              <w:rPr>
                <w:b/>
                <w:bCs w:val="0"/>
                <w:sz w:val="18"/>
                <w:szCs w:val="18"/>
              </w:rPr>
              <w:t>1.83 (1.54, 2.17)</w:t>
            </w:r>
          </w:p>
        </w:tc>
        <w:tc>
          <w:tcPr>
            <w:tcW w:w="711" w:type="pct"/>
            <w:shd w:val="clear" w:color="auto" w:fill="C6D9F1" w:themeFill="text2" w:themeFillTint="33"/>
            <w:vAlign w:val="center"/>
          </w:tcPr>
          <w:p w14:paraId="61C75249"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1.85 (1.67, 2.06)</w:t>
            </w:r>
          </w:p>
        </w:tc>
        <w:tc>
          <w:tcPr>
            <w:tcW w:w="713" w:type="pct"/>
            <w:shd w:val="clear" w:color="auto" w:fill="auto"/>
            <w:vAlign w:val="center"/>
          </w:tcPr>
          <w:p w14:paraId="36AC978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1.75 (1.59, 1.91)</w:t>
            </w:r>
          </w:p>
        </w:tc>
      </w:tr>
      <w:tr w:rsidR="001102F5" w:rsidRPr="009849E7" w14:paraId="28EC3EF2" w14:textId="77777777" w:rsidTr="0002685D">
        <w:tc>
          <w:tcPr>
            <w:tcW w:w="731" w:type="pct"/>
            <w:shd w:val="clear" w:color="auto" w:fill="auto"/>
            <w:vAlign w:val="center"/>
          </w:tcPr>
          <w:p w14:paraId="410E5484" w14:textId="77777777" w:rsidR="001102F5" w:rsidRPr="009849E7" w:rsidRDefault="001102F5" w:rsidP="005727F3">
            <w:pPr>
              <w:pStyle w:val="TableText0"/>
              <w:keepLines/>
              <w:widowControl w:val="0"/>
              <w:rPr>
                <w:b/>
                <w:bCs w:val="0"/>
                <w:sz w:val="18"/>
                <w:szCs w:val="18"/>
              </w:rPr>
            </w:pPr>
            <w:r w:rsidRPr="009849E7">
              <w:rPr>
                <w:b/>
                <w:bCs w:val="0"/>
                <w:sz w:val="18"/>
                <w:szCs w:val="18"/>
              </w:rPr>
              <w:t xml:space="preserve">UST </w:t>
            </w:r>
          </w:p>
          <w:p w14:paraId="5DCD29E9" w14:textId="77777777" w:rsidR="001102F5" w:rsidRPr="009849E7" w:rsidRDefault="001102F5" w:rsidP="005727F3">
            <w:pPr>
              <w:pStyle w:val="TableText0"/>
              <w:keepLines/>
              <w:widowControl w:val="0"/>
              <w:rPr>
                <w:b/>
                <w:bCs w:val="0"/>
                <w:sz w:val="18"/>
                <w:szCs w:val="18"/>
              </w:rPr>
            </w:pPr>
            <w:r w:rsidRPr="009849E7">
              <w:rPr>
                <w:b/>
                <w:bCs w:val="0"/>
                <w:sz w:val="18"/>
                <w:szCs w:val="18"/>
              </w:rPr>
              <w:t>(45 or 90)</w:t>
            </w:r>
          </w:p>
        </w:tc>
        <w:tc>
          <w:tcPr>
            <w:tcW w:w="711" w:type="pct"/>
            <w:shd w:val="clear" w:color="auto" w:fill="C6D9F1" w:themeFill="text2" w:themeFillTint="33"/>
            <w:vAlign w:val="center"/>
          </w:tcPr>
          <w:p w14:paraId="22CDC74F"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4B63D83F"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1.26 (1.14, 1.39)</w:t>
            </w:r>
          </w:p>
        </w:tc>
        <w:tc>
          <w:tcPr>
            <w:tcW w:w="711" w:type="pct"/>
            <w:shd w:val="clear" w:color="auto" w:fill="C6D9F1" w:themeFill="text2" w:themeFillTint="33"/>
            <w:vAlign w:val="center"/>
          </w:tcPr>
          <w:p w14:paraId="506BCBB7"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1.29 (1.22, 1.37)</w:t>
            </w:r>
          </w:p>
        </w:tc>
        <w:tc>
          <w:tcPr>
            <w:tcW w:w="712" w:type="pct"/>
            <w:vAlign w:val="center"/>
          </w:tcPr>
          <w:p w14:paraId="52731BB9" w14:textId="77777777" w:rsidR="001102F5" w:rsidRPr="009849E7" w:rsidRDefault="001102F5" w:rsidP="005727F3">
            <w:pPr>
              <w:pStyle w:val="TableText0"/>
              <w:keepLines/>
              <w:widowControl w:val="0"/>
              <w:jc w:val="center"/>
              <w:rPr>
                <w:sz w:val="18"/>
                <w:szCs w:val="18"/>
              </w:rPr>
            </w:pPr>
            <w:r w:rsidRPr="009849E7">
              <w:rPr>
                <w:b/>
                <w:bCs w:val="0"/>
                <w:sz w:val="18"/>
                <w:szCs w:val="18"/>
              </w:rPr>
              <w:t>1.21 (1.10, 1.32)</w:t>
            </w:r>
          </w:p>
        </w:tc>
        <w:tc>
          <w:tcPr>
            <w:tcW w:w="711" w:type="pct"/>
            <w:shd w:val="clear" w:color="auto" w:fill="C6D9F1" w:themeFill="text2" w:themeFillTint="33"/>
            <w:vAlign w:val="center"/>
          </w:tcPr>
          <w:p w14:paraId="24FB65CB"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5B7CF190" w14:textId="77777777" w:rsidR="001102F5" w:rsidRPr="009849E7" w:rsidRDefault="001102F5" w:rsidP="005727F3">
            <w:pPr>
              <w:pStyle w:val="TableText0"/>
              <w:keepLines/>
              <w:widowControl w:val="0"/>
              <w:jc w:val="center"/>
              <w:rPr>
                <w:sz w:val="18"/>
                <w:szCs w:val="18"/>
              </w:rPr>
            </w:pPr>
            <w:r w:rsidRPr="009849E7">
              <w:rPr>
                <w:b/>
                <w:bCs w:val="0"/>
                <w:sz w:val="18"/>
                <w:szCs w:val="18"/>
              </w:rPr>
              <w:t>1.71 (1.46, 2.01)</w:t>
            </w:r>
          </w:p>
        </w:tc>
        <w:tc>
          <w:tcPr>
            <w:tcW w:w="711" w:type="pct"/>
            <w:shd w:val="clear" w:color="auto" w:fill="C6D9F1" w:themeFill="text2" w:themeFillTint="33"/>
            <w:vAlign w:val="center"/>
          </w:tcPr>
          <w:p w14:paraId="634C12D4"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1.86 (1.68, 2.06)</w:t>
            </w:r>
          </w:p>
        </w:tc>
        <w:tc>
          <w:tcPr>
            <w:tcW w:w="713" w:type="pct"/>
            <w:shd w:val="clear" w:color="auto" w:fill="auto"/>
            <w:vAlign w:val="center"/>
          </w:tcPr>
          <w:p w14:paraId="787B2FF8"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1.60 (1.48,1.73)</w:t>
            </w:r>
          </w:p>
        </w:tc>
      </w:tr>
      <w:tr w:rsidR="001102F5" w:rsidRPr="009849E7" w14:paraId="36822BEA" w14:textId="77777777" w:rsidTr="0002685D">
        <w:tc>
          <w:tcPr>
            <w:tcW w:w="731" w:type="pct"/>
            <w:shd w:val="clear" w:color="auto" w:fill="auto"/>
            <w:vAlign w:val="center"/>
          </w:tcPr>
          <w:p w14:paraId="0A379B84" w14:textId="77777777" w:rsidR="001102F5" w:rsidRPr="009849E7" w:rsidRDefault="001102F5" w:rsidP="005727F3">
            <w:pPr>
              <w:pStyle w:val="TableText0"/>
              <w:keepLines/>
              <w:widowControl w:val="0"/>
              <w:rPr>
                <w:b/>
                <w:bCs w:val="0"/>
                <w:sz w:val="18"/>
                <w:szCs w:val="18"/>
              </w:rPr>
            </w:pPr>
            <w:r w:rsidRPr="009849E7">
              <w:rPr>
                <w:b/>
                <w:bCs w:val="0"/>
                <w:sz w:val="18"/>
                <w:szCs w:val="18"/>
              </w:rPr>
              <w:t>SEC</w:t>
            </w:r>
          </w:p>
        </w:tc>
        <w:tc>
          <w:tcPr>
            <w:tcW w:w="711" w:type="pct"/>
            <w:shd w:val="clear" w:color="auto" w:fill="C6D9F1" w:themeFill="text2" w:themeFillTint="33"/>
            <w:vAlign w:val="center"/>
          </w:tcPr>
          <w:p w14:paraId="1255C304"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7F271C6F" w14:textId="77777777" w:rsidR="001102F5" w:rsidRPr="009849E7" w:rsidRDefault="001102F5" w:rsidP="005727F3">
            <w:pPr>
              <w:pStyle w:val="TableText0"/>
              <w:keepLines/>
              <w:widowControl w:val="0"/>
              <w:jc w:val="center"/>
              <w:rPr>
                <w:sz w:val="18"/>
                <w:szCs w:val="18"/>
              </w:rPr>
            </w:pPr>
            <w:r w:rsidRPr="009849E7">
              <w:rPr>
                <w:sz w:val="18"/>
                <w:szCs w:val="18"/>
              </w:rPr>
              <w:t>1.02 (0.98, 1.07)</w:t>
            </w:r>
          </w:p>
        </w:tc>
        <w:tc>
          <w:tcPr>
            <w:tcW w:w="711" w:type="pct"/>
            <w:shd w:val="clear" w:color="auto" w:fill="C6D9F1" w:themeFill="text2" w:themeFillTint="33"/>
            <w:vAlign w:val="center"/>
          </w:tcPr>
          <w:p w14:paraId="1A7AC01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1.10 (1.06, 1.15)</w:t>
            </w:r>
          </w:p>
        </w:tc>
        <w:tc>
          <w:tcPr>
            <w:tcW w:w="712" w:type="pct"/>
            <w:vAlign w:val="center"/>
          </w:tcPr>
          <w:p w14:paraId="72271BD2" w14:textId="77777777" w:rsidR="001102F5" w:rsidRPr="009849E7" w:rsidRDefault="001102F5" w:rsidP="005727F3">
            <w:pPr>
              <w:pStyle w:val="TableText0"/>
              <w:keepLines/>
              <w:widowControl w:val="0"/>
              <w:jc w:val="center"/>
              <w:rPr>
                <w:sz w:val="18"/>
                <w:szCs w:val="18"/>
              </w:rPr>
            </w:pPr>
            <w:r w:rsidRPr="009849E7">
              <w:rPr>
                <w:sz w:val="18"/>
                <w:szCs w:val="18"/>
              </w:rPr>
              <w:t>1.05 (0.97, 1.15)</w:t>
            </w:r>
          </w:p>
        </w:tc>
        <w:tc>
          <w:tcPr>
            <w:tcW w:w="711" w:type="pct"/>
            <w:shd w:val="clear" w:color="auto" w:fill="C6D9F1" w:themeFill="text2" w:themeFillTint="33"/>
            <w:vAlign w:val="center"/>
          </w:tcPr>
          <w:p w14:paraId="61634AB6"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39361909" w14:textId="77777777" w:rsidR="001102F5" w:rsidRPr="009849E7" w:rsidRDefault="001102F5" w:rsidP="005727F3">
            <w:pPr>
              <w:pStyle w:val="TableText0"/>
              <w:keepLines/>
              <w:widowControl w:val="0"/>
              <w:jc w:val="center"/>
              <w:rPr>
                <w:sz w:val="18"/>
                <w:szCs w:val="18"/>
              </w:rPr>
            </w:pPr>
            <w:r w:rsidRPr="009849E7">
              <w:rPr>
                <w:b/>
                <w:bCs w:val="0"/>
                <w:sz w:val="18"/>
                <w:szCs w:val="18"/>
              </w:rPr>
              <w:t>1.15 (1.07, 1.24)</w:t>
            </w:r>
          </w:p>
        </w:tc>
        <w:tc>
          <w:tcPr>
            <w:tcW w:w="711" w:type="pct"/>
            <w:shd w:val="clear" w:color="auto" w:fill="C6D9F1" w:themeFill="text2" w:themeFillTint="33"/>
            <w:vAlign w:val="center"/>
          </w:tcPr>
          <w:p w14:paraId="6B6B3DD7"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1.32 (1.22, 1.44)</w:t>
            </w:r>
          </w:p>
        </w:tc>
        <w:tc>
          <w:tcPr>
            <w:tcW w:w="713" w:type="pct"/>
            <w:shd w:val="clear" w:color="auto" w:fill="auto"/>
            <w:vAlign w:val="center"/>
          </w:tcPr>
          <w:p w14:paraId="0C305D9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1.15 (1.08,1.23)</w:t>
            </w:r>
          </w:p>
        </w:tc>
      </w:tr>
      <w:tr w:rsidR="00025593" w:rsidRPr="009849E7" w14:paraId="211300CD" w14:textId="77777777" w:rsidTr="0002685D">
        <w:tc>
          <w:tcPr>
            <w:tcW w:w="731" w:type="pct"/>
            <w:shd w:val="clear" w:color="auto" w:fill="auto"/>
            <w:vAlign w:val="center"/>
          </w:tcPr>
          <w:p w14:paraId="07642ADA" w14:textId="2179A694" w:rsidR="00025593" w:rsidRPr="009849E7" w:rsidRDefault="00025593" w:rsidP="005727F3">
            <w:pPr>
              <w:pStyle w:val="TableText0"/>
              <w:keepLines/>
              <w:widowControl w:val="0"/>
              <w:rPr>
                <w:b/>
                <w:bCs w:val="0"/>
                <w:sz w:val="18"/>
                <w:szCs w:val="18"/>
              </w:rPr>
            </w:pPr>
            <w:r>
              <w:rPr>
                <w:b/>
                <w:bCs w:val="0"/>
                <w:sz w:val="18"/>
                <w:szCs w:val="18"/>
              </w:rPr>
              <w:t>ETN</w:t>
            </w:r>
          </w:p>
        </w:tc>
        <w:tc>
          <w:tcPr>
            <w:tcW w:w="711" w:type="pct"/>
            <w:tcBorders>
              <w:top w:val="single" w:sz="4" w:space="0" w:color="auto"/>
              <w:left w:val="single" w:sz="4" w:space="0" w:color="auto"/>
              <w:bottom w:val="single" w:sz="4" w:space="0" w:color="auto"/>
              <w:right w:val="single" w:sz="4" w:space="0" w:color="auto"/>
            </w:tcBorders>
            <w:vAlign w:val="center"/>
          </w:tcPr>
          <w:p w14:paraId="28CC901D" w14:textId="0AD9CEF1" w:rsidR="00025593" w:rsidRPr="00025593" w:rsidRDefault="00025593" w:rsidP="005727F3">
            <w:pPr>
              <w:pStyle w:val="TableText0"/>
              <w:keepLines/>
              <w:widowControl w:val="0"/>
              <w:jc w:val="center"/>
              <w:rPr>
                <w:sz w:val="18"/>
                <w:szCs w:val="18"/>
              </w:rPr>
            </w:pPr>
            <w:r w:rsidRPr="00025593">
              <w:rPr>
                <w:sz w:val="18"/>
                <w:szCs w:val="18"/>
              </w:rPr>
              <w:t>NA</w:t>
            </w:r>
          </w:p>
        </w:tc>
        <w:tc>
          <w:tcPr>
            <w:tcW w:w="711" w:type="pct"/>
            <w:tcBorders>
              <w:top w:val="single" w:sz="4" w:space="0" w:color="auto"/>
              <w:left w:val="single" w:sz="4" w:space="0" w:color="auto"/>
              <w:bottom w:val="single" w:sz="4" w:space="0" w:color="auto"/>
              <w:right w:val="single" w:sz="4" w:space="0" w:color="auto"/>
            </w:tcBorders>
            <w:vAlign w:val="center"/>
          </w:tcPr>
          <w:p w14:paraId="4AC174BD" w14:textId="685C9ACE" w:rsidR="00025593" w:rsidRPr="00025593" w:rsidRDefault="00025593" w:rsidP="005727F3">
            <w:pPr>
              <w:pStyle w:val="TableText0"/>
              <w:keepLines/>
              <w:widowControl w:val="0"/>
              <w:jc w:val="center"/>
              <w:rPr>
                <w:b/>
                <w:bCs w:val="0"/>
                <w:sz w:val="18"/>
                <w:szCs w:val="18"/>
              </w:rPr>
            </w:pPr>
            <w:r w:rsidRPr="00025593">
              <w:rPr>
                <w:b/>
                <w:bCs w:val="0"/>
                <w:sz w:val="18"/>
                <w:szCs w:val="18"/>
              </w:rPr>
              <w:t>1.81 (1.67, 1.96</w:t>
            </w:r>
            <w:r w:rsidR="00142974" w:rsidRPr="00025593">
              <w:rPr>
                <w:b/>
                <w:bCs w:val="0"/>
                <w:sz w:val="18"/>
                <w:szCs w:val="18"/>
              </w:rPr>
              <w:t>)</w:t>
            </w:r>
            <w:r w:rsidR="00142974" w:rsidRPr="00142974">
              <w:rPr>
                <w:b/>
                <w:bCs w:val="0"/>
                <w:sz w:val="18"/>
                <w:szCs w:val="18"/>
                <w:vertAlign w:val="superscript"/>
              </w:rPr>
              <w:t>g</w:t>
            </w:r>
          </w:p>
        </w:tc>
        <w:tc>
          <w:tcPr>
            <w:tcW w:w="712" w:type="pct"/>
            <w:tcBorders>
              <w:top w:val="single" w:sz="4" w:space="0" w:color="auto"/>
              <w:left w:val="single" w:sz="4" w:space="0" w:color="auto"/>
              <w:bottom w:val="single" w:sz="4" w:space="0" w:color="auto"/>
              <w:right w:val="single" w:sz="4" w:space="0" w:color="auto"/>
            </w:tcBorders>
            <w:vAlign w:val="center"/>
          </w:tcPr>
          <w:p w14:paraId="7AA84615" w14:textId="3CE040A0" w:rsidR="00025593" w:rsidRPr="00025593" w:rsidRDefault="00025593" w:rsidP="005727F3">
            <w:pPr>
              <w:pStyle w:val="TableText0"/>
              <w:keepLines/>
              <w:widowControl w:val="0"/>
              <w:jc w:val="center"/>
              <w:rPr>
                <w:sz w:val="18"/>
                <w:szCs w:val="18"/>
              </w:rPr>
            </w:pPr>
            <w:r w:rsidRPr="00025593">
              <w:rPr>
                <w:b/>
                <w:bCs w:val="0"/>
                <w:sz w:val="18"/>
                <w:szCs w:val="18"/>
              </w:rPr>
              <w:t>1.69 (1.49, 1.90)</w:t>
            </w:r>
          </w:p>
        </w:tc>
        <w:tc>
          <w:tcPr>
            <w:tcW w:w="711" w:type="pct"/>
            <w:tcBorders>
              <w:top w:val="single" w:sz="4" w:space="0" w:color="auto"/>
              <w:left w:val="single" w:sz="4" w:space="0" w:color="auto"/>
              <w:bottom w:val="single" w:sz="4" w:space="0" w:color="auto"/>
              <w:right w:val="single" w:sz="4" w:space="0" w:color="auto"/>
            </w:tcBorders>
            <w:vAlign w:val="center"/>
          </w:tcPr>
          <w:p w14:paraId="24958226" w14:textId="021BFE2A" w:rsidR="00025593" w:rsidRPr="00025593" w:rsidRDefault="00025593" w:rsidP="005727F3">
            <w:pPr>
              <w:pStyle w:val="TableText0"/>
              <w:keepLines/>
              <w:widowControl w:val="0"/>
              <w:jc w:val="center"/>
              <w:rPr>
                <w:sz w:val="18"/>
                <w:szCs w:val="18"/>
              </w:rPr>
            </w:pPr>
            <w:r w:rsidRPr="00025593">
              <w:rPr>
                <w:sz w:val="18"/>
                <w:szCs w:val="18"/>
              </w:rPr>
              <w:t>NA</w:t>
            </w:r>
          </w:p>
        </w:tc>
        <w:tc>
          <w:tcPr>
            <w:tcW w:w="711" w:type="pct"/>
            <w:tcBorders>
              <w:top w:val="single" w:sz="4" w:space="0" w:color="auto"/>
              <w:left w:val="single" w:sz="4" w:space="0" w:color="auto"/>
              <w:bottom w:val="single" w:sz="4" w:space="0" w:color="auto"/>
              <w:right w:val="single" w:sz="4" w:space="0" w:color="auto"/>
            </w:tcBorders>
            <w:vAlign w:val="center"/>
          </w:tcPr>
          <w:p w14:paraId="16AEC2A6" w14:textId="43ABAD99" w:rsidR="00025593" w:rsidRPr="00025593" w:rsidRDefault="00025593" w:rsidP="005727F3">
            <w:pPr>
              <w:pStyle w:val="TableText0"/>
              <w:keepLines/>
              <w:widowControl w:val="0"/>
              <w:jc w:val="center"/>
              <w:rPr>
                <w:b/>
                <w:bCs w:val="0"/>
                <w:sz w:val="18"/>
                <w:szCs w:val="18"/>
              </w:rPr>
            </w:pPr>
            <w:r w:rsidRPr="00025593">
              <w:rPr>
                <w:b/>
                <w:bCs w:val="0"/>
                <w:sz w:val="18"/>
                <w:szCs w:val="18"/>
              </w:rPr>
              <w:t>3.58 (3.13, 4.10</w:t>
            </w:r>
            <w:r w:rsidR="00142974" w:rsidRPr="00025593">
              <w:rPr>
                <w:b/>
                <w:bCs w:val="0"/>
                <w:sz w:val="18"/>
                <w:szCs w:val="18"/>
              </w:rPr>
              <w:t>)</w:t>
            </w:r>
            <w:r w:rsidR="00142974" w:rsidRPr="00142974">
              <w:rPr>
                <w:b/>
                <w:bCs w:val="0"/>
                <w:sz w:val="18"/>
                <w:szCs w:val="18"/>
                <w:vertAlign w:val="superscript"/>
              </w:rPr>
              <w:t>g</w:t>
            </w:r>
          </w:p>
        </w:tc>
        <w:tc>
          <w:tcPr>
            <w:tcW w:w="713" w:type="pct"/>
            <w:tcBorders>
              <w:top w:val="single" w:sz="4" w:space="0" w:color="auto"/>
              <w:left w:val="single" w:sz="4" w:space="0" w:color="auto"/>
              <w:bottom w:val="single" w:sz="4" w:space="0" w:color="auto"/>
              <w:right w:val="single" w:sz="4" w:space="0" w:color="auto"/>
            </w:tcBorders>
            <w:vAlign w:val="center"/>
          </w:tcPr>
          <w:p w14:paraId="496E21C9" w14:textId="16DC36A1" w:rsidR="00025593" w:rsidRPr="00025593" w:rsidRDefault="00025593" w:rsidP="005727F3">
            <w:pPr>
              <w:pStyle w:val="TableText0"/>
              <w:keepLines/>
              <w:widowControl w:val="0"/>
              <w:jc w:val="center"/>
              <w:rPr>
                <w:b/>
                <w:bCs w:val="0"/>
                <w:sz w:val="18"/>
                <w:szCs w:val="18"/>
              </w:rPr>
            </w:pPr>
            <w:r w:rsidRPr="00025593">
              <w:rPr>
                <w:b/>
                <w:bCs w:val="0"/>
                <w:sz w:val="18"/>
                <w:szCs w:val="18"/>
              </w:rPr>
              <w:t>2.84 (2.50, 3.22)</w:t>
            </w:r>
          </w:p>
        </w:tc>
      </w:tr>
    </w:tbl>
    <w:p w14:paraId="455CC32E" w14:textId="77777777" w:rsidR="006054D0" w:rsidRPr="009E5134" w:rsidRDefault="006054D0" w:rsidP="005727F3">
      <w:pPr>
        <w:pStyle w:val="TableFigureFooter"/>
        <w:keepNext/>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shading indicates data previously seen by the PBAC.</w:t>
      </w:r>
    </w:p>
    <w:p w14:paraId="749E3D25" w14:textId="5CD77E0B" w:rsidR="001243A7" w:rsidRPr="00693823" w:rsidRDefault="001102F5" w:rsidP="001102F5">
      <w:pPr>
        <w:rPr>
          <w:rFonts w:ascii="Arial Narrow" w:hAnsi="Arial Narrow" w:cstheme="minorHAnsi"/>
          <w:sz w:val="18"/>
          <w:szCs w:val="18"/>
        </w:rPr>
      </w:pPr>
      <w:r w:rsidRPr="006B757D">
        <w:rPr>
          <w:rFonts w:ascii="Arial Narrow" w:hAnsi="Arial Narrow" w:cstheme="minorHAnsi"/>
          <w:i/>
          <w:iCs/>
          <w:sz w:val="18"/>
          <w:szCs w:val="18"/>
        </w:rPr>
        <w:t xml:space="preserve">Source: </w:t>
      </w:r>
      <w:r w:rsidRPr="00693823">
        <w:rPr>
          <w:rFonts w:ascii="Arial Narrow" w:hAnsi="Arial Narrow" w:cstheme="minorHAnsi"/>
          <w:sz w:val="18"/>
          <w:szCs w:val="18"/>
        </w:rPr>
        <w:t>constructed during the evaluation from data in Tables 2.5-6.1-2, Tables A2.5-6.1-2 in Attachment 2, Figure S2</w:t>
      </w:r>
      <w:r w:rsidR="007A444D" w:rsidRPr="00693823">
        <w:rPr>
          <w:rFonts w:ascii="Arial Narrow" w:hAnsi="Arial Narrow" w:cstheme="minorHAnsi"/>
          <w:sz w:val="18"/>
          <w:szCs w:val="18"/>
        </w:rPr>
        <w:t>(a) and (b)</w:t>
      </w:r>
      <w:r w:rsidRPr="00693823">
        <w:rPr>
          <w:rFonts w:ascii="Arial Narrow" w:hAnsi="Arial Narrow" w:cstheme="minorHAnsi"/>
          <w:sz w:val="18"/>
          <w:szCs w:val="18"/>
        </w:rPr>
        <w:t>, p39 Armstrong 202</w:t>
      </w:r>
      <w:r w:rsidR="00B27D7F" w:rsidRPr="00693823">
        <w:rPr>
          <w:rFonts w:ascii="Arial Narrow" w:hAnsi="Arial Narrow" w:cstheme="minorHAnsi"/>
          <w:sz w:val="18"/>
          <w:szCs w:val="18"/>
        </w:rPr>
        <w:t xml:space="preserve">2 ESM, Table 2-18, p97 of the current </w:t>
      </w:r>
      <w:r w:rsidRPr="00693823">
        <w:rPr>
          <w:rFonts w:ascii="Arial Narrow" w:hAnsi="Arial Narrow" w:cstheme="minorHAnsi"/>
          <w:sz w:val="18"/>
          <w:szCs w:val="18"/>
        </w:rPr>
        <w:t>submission</w:t>
      </w:r>
      <w:r w:rsidR="000A02B9" w:rsidRPr="00693823">
        <w:rPr>
          <w:rFonts w:ascii="Arial Narrow" w:hAnsi="Arial Narrow" w:cstheme="minorHAnsi"/>
          <w:sz w:val="18"/>
          <w:szCs w:val="18"/>
        </w:rPr>
        <w:t>.</w:t>
      </w:r>
    </w:p>
    <w:p w14:paraId="10A099E6" w14:textId="526105C6" w:rsidR="001102F5" w:rsidRPr="006B757D" w:rsidRDefault="001102F5" w:rsidP="001102F5">
      <w:pPr>
        <w:rPr>
          <w:rFonts w:ascii="Arial Narrow" w:hAnsi="Arial Narrow" w:cstheme="minorHAnsi"/>
          <w:i/>
          <w:iCs/>
          <w:sz w:val="18"/>
          <w:szCs w:val="18"/>
        </w:rPr>
      </w:pPr>
      <w:r w:rsidRPr="00693823">
        <w:rPr>
          <w:rFonts w:ascii="Arial Narrow" w:hAnsi="Arial Narrow" w:cstheme="minorHAnsi"/>
          <w:sz w:val="18"/>
          <w:szCs w:val="18"/>
        </w:rPr>
        <w:t xml:space="preserve">BKZ = bimekizumab; GUS = guselkumab; IFX = infliximab; IXE = ixekizumab; RIS = risankizumab; TIL = tildrakizumab; ITC = indirect treatment comparison; </w:t>
      </w:r>
      <w:r w:rsidR="00025593">
        <w:rPr>
          <w:rFonts w:ascii="Arial Narrow" w:hAnsi="Arial Narrow" w:cstheme="minorHAnsi"/>
          <w:sz w:val="18"/>
          <w:szCs w:val="18"/>
        </w:rPr>
        <w:t xml:space="preserve">NA = not available; </w:t>
      </w:r>
      <w:r w:rsidRPr="00693823">
        <w:rPr>
          <w:rFonts w:ascii="Arial Narrow" w:hAnsi="Arial Narrow" w:cstheme="minorHAnsi"/>
          <w:sz w:val="18"/>
          <w:szCs w:val="18"/>
        </w:rPr>
        <w:t>NMA = network meta-analysis</w:t>
      </w:r>
      <w:r w:rsidRPr="006B757D">
        <w:rPr>
          <w:rFonts w:ascii="Arial Narrow" w:hAnsi="Arial Narrow" w:cstheme="minorHAnsi"/>
          <w:i/>
          <w:iCs/>
          <w:sz w:val="18"/>
          <w:szCs w:val="18"/>
        </w:rPr>
        <w:t>.</w:t>
      </w:r>
    </w:p>
    <w:p w14:paraId="7C3CC8F2" w14:textId="77777777" w:rsidR="001102F5" w:rsidRPr="00693823" w:rsidRDefault="001102F5" w:rsidP="001102F5">
      <w:pPr>
        <w:rPr>
          <w:rFonts w:ascii="Arial Narrow" w:hAnsi="Arial Narrow" w:cstheme="minorHAnsi"/>
          <w:sz w:val="18"/>
          <w:szCs w:val="18"/>
        </w:rPr>
      </w:pPr>
      <w:r w:rsidRPr="006B757D">
        <w:rPr>
          <w:rFonts w:ascii="Arial Narrow" w:hAnsi="Arial Narrow" w:cstheme="minorHAnsi"/>
          <w:i/>
          <w:iCs/>
          <w:sz w:val="18"/>
          <w:szCs w:val="18"/>
        </w:rPr>
        <w:t>a</w:t>
      </w:r>
      <w:r w:rsidRPr="006B757D">
        <w:rPr>
          <w:rFonts w:ascii="Arial Narrow" w:hAnsi="Arial Narrow" w:cstheme="minorHAnsi"/>
          <w:i/>
          <w:iCs/>
          <w:sz w:val="18"/>
          <w:szCs w:val="18"/>
        </w:rPr>
        <w:tab/>
      </w:r>
      <w:r w:rsidRPr="00693823">
        <w:rPr>
          <w:rFonts w:ascii="Arial Narrow" w:hAnsi="Arial Narrow" w:cstheme="minorHAnsi"/>
          <w:sz w:val="18"/>
          <w:szCs w:val="18"/>
        </w:rPr>
        <w:t>reported in publication as RISvBKZ: 1.00 (0.90, 1.12)</w:t>
      </w:r>
    </w:p>
    <w:p w14:paraId="42F5D530"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b</w:t>
      </w:r>
      <w:r w:rsidRPr="00693823">
        <w:rPr>
          <w:rFonts w:ascii="Arial Narrow" w:hAnsi="Arial Narrow" w:cstheme="minorHAnsi"/>
          <w:sz w:val="18"/>
          <w:szCs w:val="18"/>
        </w:rPr>
        <w:tab/>
        <w:t>reported in publication as IXEvBKZ: 1.01 (0.89,1.16)</w:t>
      </w:r>
    </w:p>
    <w:p w14:paraId="6C007437"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c</w:t>
      </w:r>
      <w:r w:rsidRPr="00693823">
        <w:rPr>
          <w:rFonts w:ascii="Arial Narrow" w:hAnsi="Arial Narrow" w:cstheme="minorHAnsi"/>
          <w:sz w:val="18"/>
          <w:szCs w:val="18"/>
        </w:rPr>
        <w:tab/>
        <w:t>reported in publication as IFXvBKZ: 1.32 (0.86, 2.01)</w:t>
      </w:r>
    </w:p>
    <w:p w14:paraId="687763C1"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d</w:t>
      </w:r>
      <w:r w:rsidRPr="00693823">
        <w:rPr>
          <w:rFonts w:ascii="Arial Narrow" w:hAnsi="Arial Narrow" w:cstheme="minorHAnsi"/>
          <w:sz w:val="18"/>
          <w:szCs w:val="18"/>
        </w:rPr>
        <w:tab/>
        <w:t>reported in publication as IFXvBKZ: 1.66 (0.68, 4.03)</w:t>
      </w:r>
    </w:p>
    <w:p w14:paraId="473AD408" w14:textId="2C2F9B7A" w:rsidR="001102F5" w:rsidRPr="00693823" w:rsidRDefault="00142974" w:rsidP="001243A7">
      <w:pPr>
        <w:rPr>
          <w:rFonts w:ascii="Arial Narrow" w:hAnsi="Arial Narrow" w:cstheme="minorHAnsi"/>
          <w:sz w:val="18"/>
          <w:szCs w:val="18"/>
        </w:rPr>
      </w:pPr>
      <w:r>
        <w:rPr>
          <w:rFonts w:ascii="Arial Narrow" w:hAnsi="Arial Narrow" w:cstheme="minorHAnsi"/>
          <w:sz w:val="18"/>
          <w:szCs w:val="18"/>
        </w:rPr>
        <w:t>e</w:t>
      </w:r>
      <w:r w:rsidR="001102F5" w:rsidRPr="00693823">
        <w:rPr>
          <w:rFonts w:ascii="Arial Narrow" w:hAnsi="Arial Narrow" w:cstheme="minorHAnsi"/>
          <w:sz w:val="18"/>
          <w:szCs w:val="18"/>
        </w:rPr>
        <w:tab/>
        <w:t>appears to be TIL any dose (results from Papp 2015 included all TIL doses of 5 mg, 25 mg, 100 mg and 200 mg)</w:t>
      </w:r>
    </w:p>
    <w:p w14:paraId="1DC360AC" w14:textId="396C6971" w:rsidR="00D73B27" w:rsidRDefault="00142974" w:rsidP="00AF4C7E">
      <w:pPr>
        <w:rPr>
          <w:rFonts w:ascii="Arial Narrow" w:hAnsi="Arial Narrow" w:cstheme="minorHAnsi"/>
          <w:i/>
          <w:iCs/>
          <w:sz w:val="18"/>
          <w:szCs w:val="18"/>
        </w:rPr>
      </w:pPr>
      <w:r>
        <w:rPr>
          <w:rFonts w:ascii="Arial Narrow" w:hAnsi="Arial Narrow" w:cstheme="minorHAnsi"/>
          <w:sz w:val="18"/>
          <w:szCs w:val="18"/>
        </w:rPr>
        <w:t>f</w:t>
      </w:r>
      <w:r w:rsidR="001243A7" w:rsidRPr="00693823">
        <w:rPr>
          <w:rFonts w:ascii="Arial Narrow" w:hAnsi="Arial Narrow" w:cstheme="minorHAnsi"/>
          <w:sz w:val="18"/>
          <w:szCs w:val="18"/>
        </w:rPr>
        <w:tab/>
        <w:t>re-expressed as a relative risk versus BKZ for this commentary to be consistent with results across different sources</w:t>
      </w:r>
      <w:r w:rsidR="007A444D" w:rsidRPr="00693823">
        <w:rPr>
          <w:rFonts w:ascii="Arial Narrow" w:hAnsi="Arial Narrow" w:cstheme="minorHAnsi"/>
          <w:sz w:val="18"/>
          <w:szCs w:val="18"/>
        </w:rPr>
        <w:t xml:space="preserve"> (results reported in Figure S2 of Armstrong 2022)</w:t>
      </w:r>
      <w:r w:rsidR="001243A7" w:rsidRPr="00693823">
        <w:rPr>
          <w:rFonts w:ascii="Arial Narrow" w:hAnsi="Arial Narrow" w:cstheme="minorHAnsi"/>
          <w:sz w:val="18"/>
          <w:szCs w:val="18"/>
        </w:rPr>
        <w:t>.</w:t>
      </w:r>
      <w:r w:rsidR="00025593">
        <w:rPr>
          <w:rFonts w:ascii="Arial Narrow" w:hAnsi="Arial Narrow" w:cstheme="minorHAnsi"/>
          <w:i/>
          <w:iCs/>
          <w:sz w:val="18"/>
          <w:szCs w:val="18"/>
        </w:rPr>
        <w:tab/>
      </w:r>
    </w:p>
    <w:p w14:paraId="0F987A01" w14:textId="75A02F3F" w:rsidR="00025593" w:rsidRDefault="00142974" w:rsidP="00025593">
      <w:pPr>
        <w:spacing w:after="120"/>
        <w:rPr>
          <w:rFonts w:asciiTheme="minorHAnsi" w:hAnsiTheme="minorHAnsi"/>
          <w:snapToGrid w:val="0"/>
        </w:rPr>
      </w:pPr>
      <w:r>
        <w:rPr>
          <w:rFonts w:ascii="Arial Narrow" w:hAnsi="Arial Narrow" w:cstheme="minorHAnsi"/>
          <w:i/>
          <w:iCs/>
          <w:sz w:val="18"/>
          <w:szCs w:val="18"/>
        </w:rPr>
        <w:t>g</w:t>
      </w:r>
      <w:r w:rsidR="00AF4C7E">
        <w:rPr>
          <w:rFonts w:ascii="Arial Narrow" w:hAnsi="Arial Narrow" w:cstheme="minorHAnsi"/>
          <w:i/>
          <w:iCs/>
          <w:sz w:val="18"/>
          <w:szCs w:val="18"/>
        </w:rPr>
        <w:t xml:space="preserve"> </w:t>
      </w:r>
      <w:r w:rsidR="00025593" w:rsidRPr="00025593">
        <w:rPr>
          <w:rFonts w:ascii="Arial Narrow" w:hAnsi="Arial Narrow" w:cstheme="minorHAnsi"/>
          <w:sz w:val="18"/>
          <w:szCs w:val="18"/>
        </w:rPr>
        <w:t>Reported results are for ETN 50 mg sc only weekly regimen. Note dose for ETN is either 50mg once weekly or 25mg twice weekly, results were separately reported for these dosage regimens in the UCB NMA but were pooled in the Cochrane NMA.</w:t>
      </w:r>
    </w:p>
    <w:p w14:paraId="27E7202B" w14:textId="5A49169E" w:rsidR="00A931AA" w:rsidRPr="00693823" w:rsidRDefault="006054D0" w:rsidP="00025593">
      <w:pPr>
        <w:pStyle w:val="3-BodyText"/>
      </w:pPr>
      <w:r>
        <w:t xml:space="preserve">The UCB NMA </w:t>
      </w:r>
      <w:r w:rsidR="00A931AA">
        <w:t xml:space="preserve">(multinominal model) found </w:t>
      </w:r>
      <w:r>
        <w:t xml:space="preserve">BKZ was statistically </w:t>
      </w:r>
      <w:r w:rsidR="00A931AA">
        <w:t>superior to all comparators for PASI 90 and for most comparators for PASI 75 except for RIS and IXE</w:t>
      </w:r>
      <w:r>
        <w:t>.</w:t>
      </w:r>
      <w:r w:rsidR="00A931AA">
        <w:t xml:space="preserve"> In contrast, the updated Cochrane review (Sbidian 2022) found</w:t>
      </w:r>
      <w:r w:rsidR="00A931AA" w:rsidRPr="00D52B97">
        <w:t xml:space="preserve"> </w:t>
      </w:r>
      <w:r w:rsidR="00D52B97">
        <w:t xml:space="preserve">BKZ was statistically superior to </w:t>
      </w:r>
      <w:r w:rsidR="00D52B97" w:rsidRPr="00D52B97">
        <w:t>ADA, TIL, UST, GUS</w:t>
      </w:r>
      <w:r w:rsidR="00025593">
        <w:t>, ETN</w:t>
      </w:r>
      <w:r w:rsidR="00D52B97" w:rsidRPr="00D52B97">
        <w:t xml:space="preserve"> and SEC </w:t>
      </w:r>
      <w:r w:rsidR="00D52B97">
        <w:t xml:space="preserve">for PASI 90 </w:t>
      </w:r>
      <w:r w:rsidR="00A94751">
        <w:t>and statistically superior to ADA, TIL</w:t>
      </w:r>
      <w:r w:rsidR="00025593">
        <w:t xml:space="preserve">, </w:t>
      </w:r>
      <w:r w:rsidR="00A94751">
        <w:t xml:space="preserve">UST </w:t>
      </w:r>
      <w:r w:rsidR="00025593">
        <w:t xml:space="preserve">and ETN </w:t>
      </w:r>
      <w:r w:rsidR="00A94751">
        <w:t>for PASI 75. The Cochrane review found no difference between BKZ and RIS, IXE and IFX for PASI 90 or PASI 75 and no difference versus GUS and SEC for PASI 75 despite a difference for PASI 90</w:t>
      </w:r>
      <w:r w:rsidR="00A931AA" w:rsidRPr="00A04EE7">
        <w:rPr>
          <w:i/>
          <w:iCs/>
        </w:rPr>
        <w:t>.</w:t>
      </w:r>
      <w:r w:rsidR="00A94751">
        <w:rPr>
          <w:i/>
          <w:iCs/>
        </w:rPr>
        <w:t xml:space="preserve"> </w:t>
      </w:r>
      <w:r w:rsidR="00052353" w:rsidRPr="00693823">
        <w:t>Overall, the findings of the main analysis in the updated Cochrane review were robust across the different sensitivities presented by the authors.</w:t>
      </w:r>
    </w:p>
    <w:p w14:paraId="26D1E0FC" w14:textId="146F7A18" w:rsidR="00DB73C5" w:rsidRPr="00693823" w:rsidRDefault="00ED00B3" w:rsidP="00DB73C5">
      <w:pPr>
        <w:pStyle w:val="3-BodyText"/>
      </w:pPr>
      <w:bookmarkStart w:id="23" w:name="_Ref130198894"/>
      <w:bookmarkStart w:id="24" w:name="_Ref130386800"/>
      <w:r w:rsidRPr="00693823">
        <w:t>For the direct and indirect comparisons, t</w:t>
      </w:r>
      <w:r w:rsidR="00DB73C5" w:rsidRPr="00693823">
        <w:t xml:space="preserve">he head-to-head trials showed statistically superior effectiveness of BKZ against ADA, UST and SEC for PASI 90 and against ADA and UST for PASI 75. </w:t>
      </w:r>
      <w:r w:rsidRPr="00693823">
        <w:t xml:space="preserve">For the </w:t>
      </w:r>
      <w:r w:rsidR="00DB73C5" w:rsidRPr="00693823">
        <w:t>ITCs, the interpretation of the results varied depending on the risk statistic</w:t>
      </w:r>
      <w:r w:rsidRPr="00693823">
        <w:t xml:space="preserve">, for PASI 90 </w:t>
      </w:r>
      <w:r w:rsidR="00DB73C5" w:rsidRPr="00693823">
        <w:t xml:space="preserve">although BKZ was statistically superior to RIS, IXE, GUS and TIL using the RD statistic, the differences versus </w:t>
      </w:r>
      <w:r w:rsidRPr="00693823">
        <w:t>these bDMARDs were no longer significant using the relative risk statistic (and only significant versus TIL on the odds ratio statistic). For PASI 75</w:t>
      </w:r>
      <w:r w:rsidR="00AC6AED" w:rsidRPr="00693823">
        <w:t>,</w:t>
      </w:r>
      <w:r w:rsidRPr="00693823">
        <w:t xml:space="preserve"> although BKZ was statistically superior to </w:t>
      </w:r>
      <w:r w:rsidR="00DB73C5" w:rsidRPr="00693823">
        <w:t>RIS</w:t>
      </w:r>
      <w:r w:rsidRPr="00693823">
        <w:t xml:space="preserve"> and TIL on </w:t>
      </w:r>
      <w:r w:rsidRPr="00693823">
        <w:lastRenderedPageBreak/>
        <w:t xml:space="preserve">the OR and RD statistics, there were no significant differences versus any comparators on the RR statistic. </w:t>
      </w:r>
      <w:r w:rsidR="00686FAF">
        <w:t xml:space="preserve">The PBAC noted the previous conclusion that BKZ was superior to TIL was based on the odds ratio statistic but there was no significant difference based on the relative risk statistic presented in </w:t>
      </w:r>
      <w:r w:rsidR="00686FAF">
        <w:fldChar w:fldCharType="begin"/>
      </w:r>
      <w:r w:rsidR="00686FAF">
        <w:instrText xml:space="preserve"> REF _Ref123899377 \h </w:instrText>
      </w:r>
      <w:r w:rsidR="00686FAF">
        <w:fldChar w:fldCharType="separate"/>
      </w:r>
      <w:r w:rsidR="003F1ED3">
        <w:t xml:space="preserve">Table </w:t>
      </w:r>
      <w:r w:rsidR="003F1ED3">
        <w:rPr>
          <w:noProof/>
        </w:rPr>
        <w:t>3</w:t>
      </w:r>
      <w:r w:rsidR="00686FAF">
        <w:fldChar w:fldCharType="end"/>
      </w:r>
      <w:r w:rsidR="00686FAF">
        <w:t>.</w:t>
      </w:r>
      <w:r w:rsidR="00025593">
        <w:t>The PBAC noted no direct or indirect comparison was conducted versus ETN</w:t>
      </w:r>
      <w:r w:rsidR="002D2DBB">
        <w:t xml:space="preserve">; however, it was included in </w:t>
      </w:r>
      <w:r w:rsidR="00E32168">
        <w:t xml:space="preserve">all three </w:t>
      </w:r>
      <w:r w:rsidR="002D2DBB">
        <w:t>NMAs</w:t>
      </w:r>
      <w:r w:rsidR="00025593">
        <w:t>.</w:t>
      </w:r>
      <w:bookmarkEnd w:id="23"/>
      <w:r w:rsidR="00025593">
        <w:t xml:space="preserve"> </w:t>
      </w:r>
      <w:r w:rsidR="00E32168">
        <w:t>The PBAC recalled the post market review of biologic medicines for CPP found ETN to have one of the lowest response rates (Figure 1, PMR PSD, April 2018 PBAC meeting).</w:t>
      </w:r>
      <w:bookmarkEnd w:id="24"/>
      <w:r w:rsidR="00E32168">
        <w:t xml:space="preserve"> </w:t>
      </w:r>
    </w:p>
    <w:p w14:paraId="79C73376" w14:textId="3CA9144D" w:rsidR="00ED00B3" w:rsidRPr="0055624C" w:rsidRDefault="00ED00B3" w:rsidP="00052353">
      <w:pPr>
        <w:pStyle w:val="3-BodyText"/>
      </w:pPr>
      <w:r>
        <w:t>As illustrated in</w:t>
      </w:r>
      <w:r w:rsidR="00196DF0">
        <w:t xml:space="preserve"> </w:t>
      </w:r>
      <w:r w:rsidR="00196DF0">
        <w:fldChar w:fldCharType="begin"/>
      </w:r>
      <w:r w:rsidR="00196DF0">
        <w:instrText xml:space="preserve"> REF _Ref123899377 \h </w:instrText>
      </w:r>
      <w:r w:rsidR="00196DF0">
        <w:fldChar w:fldCharType="separate"/>
      </w:r>
      <w:r w:rsidR="003F1ED3">
        <w:t xml:space="preserve">Table </w:t>
      </w:r>
      <w:r w:rsidR="003F1ED3">
        <w:rPr>
          <w:noProof/>
        </w:rPr>
        <w:t>3</w:t>
      </w:r>
      <w:r w:rsidR="00196DF0">
        <w:fldChar w:fldCharType="end"/>
      </w:r>
      <w:r w:rsidR="000C1DD8">
        <w:t>,</w:t>
      </w:r>
      <w:r>
        <w:t xml:space="preserve"> the results </w:t>
      </w:r>
      <w:r w:rsidR="0050572D">
        <w:t>for BKZ versus each comparator varied across the comparisons. For example, t</w:t>
      </w:r>
      <w:r w:rsidRPr="00815A43">
        <w:t xml:space="preserve">he UCB </w:t>
      </w:r>
      <w:r w:rsidRPr="009849E7">
        <w:t>NMA found that BKZ was significantly better than IFX for PASI 75 and PASI 90 response</w:t>
      </w:r>
      <w:r w:rsidR="0050572D">
        <w:t xml:space="preserve"> whereas </w:t>
      </w:r>
      <w:r w:rsidR="0050572D" w:rsidRPr="0055624C">
        <w:t xml:space="preserve">the updated Cochrane review (Sbidian 2022) found IFX to be one of the most effective bDMARDs available. The PBAC noted </w:t>
      </w:r>
      <w:r w:rsidRPr="0055624C">
        <w:t xml:space="preserve">IFX </w:t>
      </w:r>
      <w:r w:rsidR="0050572D" w:rsidRPr="0055624C">
        <w:t xml:space="preserve">to be </w:t>
      </w:r>
      <w:r w:rsidRPr="0055624C">
        <w:t>one of the more effective treatments for severe CPP</w:t>
      </w:r>
      <w:r w:rsidR="0050572D" w:rsidRPr="0055624C">
        <w:t xml:space="preserve">; </w:t>
      </w:r>
      <w:r w:rsidRPr="0055624C">
        <w:t>the post market review undertaken in 2018</w:t>
      </w:r>
      <w:r w:rsidR="0050572D" w:rsidRPr="0055624C">
        <w:t xml:space="preserve"> also found that</w:t>
      </w:r>
      <w:r w:rsidRPr="0055624C">
        <w:t xml:space="preserve"> IXE and IFX were generally more effective than other PBS-listed bDMARDs (paragraph</w:t>
      </w:r>
      <w:r w:rsidR="0050572D" w:rsidRPr="0055624C">
        <w:t>s 7.1 and</w:t>
      </w:r>
      <w:r w:rsidRPr="0055624C">
        <w:t xml:space="preserve"> 7.9, BKZ PSD, March 2022 PBAC </w:t>
      </w:r>
      <w:r w:rsidR="00810148" w:rsidRPr="0055624C">
        <w:t>m</w:t>
      </w:r>
      <w:r w:rsidRPr="0055624C">
        <w:t xml:space="preserve">eeting). </w:t>
      </w:r>
    </w:p>
    <w:p w14:paraId="7BA01375" w14:textId="75F8E925" w:rsidR="00EA48D9" w:rsidRDefault="0050572D" w:rsidP="00D02C0B">
      <w:pPr>
        <w:pStyle w:val="3-BodyText"/>
      </w:pPr>
      <w:r w:rsidRPr="0055624C">
        <w:t>Compared to the Cochrane review presented in the March 2022 submission (Sbidian 2021), t</w:t>
      </w:r>
      <w:r w:rsidR="00ED00B3" w:rsidRPr="0055624C">
        <w:t xml:space="preserve">he addition of new BKZ trials in the updated review </w:t>
      </w:r>
      <w:r w:rsidRPr="0055624C">
        <w:t xml:space="preserve">(Sbidian 2022) </w:t>
      </w:r>
      <w:r w:rsidR="00ED00B3" w:rsidRPr="0055624C">
        <w:t>substantially tightened the estimated treatment effects for comparisons versus BKZ and several estimates reached statistical significance in favour of BKZ. Although the authors had identified seven biologics as being superior to other treatments for PASI 90 in Sbidian 2021 (BKZ, IFX, IXE, RIS, GUS, SEC and brodalumab), the updated review in 2022 narrow</w:t>
      </w:r>
      <w:r w:rsidR="00D02C0B" w:rsidRPr="0055624C">
        <w:t>ed</w:t>
      </w:r>
      <w:r w:rsidR="00ED00B3" w:rsidRPr="0055624C">
        <w:t xml:space="preserve"> that list down to four biologics with high degree of certainty (BKZ, IFX, IXE and RIS).</w:t>
      </w:r>
    </w:p>
    <w:p w14:paraId="29EAE0DD" w14:textId="31825F29" w:rsidR="00B24E1E" w:rsidRPr="00025593" w:rsidRDefault="00B24E1E" w:rsidP="00D02C0B">
      <w:pPr>
        <w:pStyle w:val="3-BodyText"/>
      </w:pPr>
      <w:r w:rsidRPr="00025593">
        <w:t xml:space="preserve">The </w:t>
      </w:r>
      <w:r w:rsidR="00C16E6F">
        <w:t>Pre-Sub-Committee Response</w:t>
      </w:r>
      <w:r w:rsidR="00C16E6F" w:rsidRPr="00025593">
        <w:t xml:space="preserve"> </w:t>
      </w:r>
      <w:r w:rsidR="00C16E6F">
        <w:t>(</w:t>
      </w:r>
      <w:r w:rsidRPr="00025593">
        <w:t>PSCR</w:t>
      </w:r>
      <w:r w:rsidR="00C16E6F">
        <w:t>)</w:t>
      </w:r>
      <w:r w:rsidRPr="00025593">
        <w:t xml:space="preserve"> stated the Cochrane NMA is not the most suitable source of evidence for decision making in this situation as for all PBS listed molecules, “different dose groups were grouped together in one arm’”. For example, infliximab 10 mg/kg is included which is inappropriate in an Australian context where 5 mg/kg is the recommended dose in CPP.</w:t>
      </w:r>
      <w:r w:rsidR="00AE6151" w:rsidRPr="00025593">
        <w:t xml:space="preserve"> The ESC noted only one study included infliximab at a dose of 10 mg/kg and it contributed </w:t>
      </w:r>
      <w:r w:rsidR="00C83A50" w:rsidRPr="00025593">
        <w:t xml:space="preserve">results for </w:t>
      </w:r>
      <w:r w:rsidR="00AE6151" w:rsidRPr="00025593">
        <w:t>the PASI 75 outcome, not the PASI 90 outcome.  Additionally, the ESC noted the findings of the Cochrane NMA were robust across a number of sensitivity analyses, includ</w:t>
      </w:r>
      <w:r w:rsidR="00AF4C7E">
        <w:t>ing</w:t>
      </w:r>
      <w:r w:rsidR="00AE6151" w:rsidRPr="00025593">
        <w:t xml:space="preserve"> the analysis that excluded unapproved doses of all treatments.</w:t>
      </w:r>
    </w:p>
    <w:p w14:paraId="5CB1BD82" w14:textId="3F506FB2" w:rsidR="00F627A9" w:rsidRDefault="00C055A4" w:rsidP="00CB4FE4">
      <w:pPr>
        <w:pStyle w:val="3-BodyText"/>
      </w:pPr>
      <w:r w:rsidRPr="00F627A9">
        <w:t xml:space="preserve">The PSCR </w:t>
      </w:r>
      <w:r w:rsidR="008C318C">
        <w:t>acknowledged the</w:t>
      </w:r>
      <w:r w:rsidR="008C318C" w:rsidRPr="008C318C">
        <w:t xml:space="preserve"> Cochrane review found no difference between BKZ and RIS, IXE and IFX for PASI 90</w:t>
      </w:r>
      <w:r w:rsidR="008C318C">
        <w:t xml:space="preserve"> but noted</w:t>
      </w:r>
      <w:r w:rsidR="008C318C" w:rsidRPr="008C318C">
        <w:t xml:space="preserve"> when both efficacy (PASI 90) and acceptability (SAEs) were combined together in a bivariate ranking plot</w:t>
      </w:r>
      <w:r w:rsidR="008C318C">
        <w:t xml:space="preserve"> (</w:t>
      </w:r>
      <w:r w:rsidR="008C318C">
        <w:fldChar w:fldCharType="begin"/>
      </w:r>
      <w:r w:rsidR="008C318C">
        <w:instrText xml:space="preserve"> REF _Ref127790613 \h  \* MERGEFORMAT </w:instrText>
      </w:r>
      <w:r w:rsidR="008C318C">
        <w:fldChar w:fldCharType="separate"/>
      </w:r>
      <w:r w:rsidR="003F1ED3" w:rsidRPr="00011DAD">
        <w:t xml:space="preserve">Figure </w:t>
      </w:r>
      <w:r w:rsidR="003F1ED3">
        <w:t>1</w:t>
      </w:r>
      <w:r w:rsidR="008C318C">
        <w:fldChar w:fldCharType="end"/>
      </w:r>
      <w:r w:rsidR="008C318C">
        <w:t>)</w:t>
      </w:r>
      <w:r w:rsidR="008C318C" w:rsidRPr="008C318C">
        <w:t>, BKZ was considered the optimal treatment for chronic CPP (highest performance = best efficacy + best acceptability), appearing in the upper right corner of the plot</w:t>
      </w:r>
      <w:r w:rsidR="008C318C">
        <w:t xml:space="preserve">. The PSCR contends this figure supports BZK having a superior safety profile to IXE and IFX.  The ESC noted </w:t>
      </w:r>
      <w:r w:rsidR="00CE4EBF">
        <w:t>t</w:t>
      </w:r>
      <w:r w:rsidR="00CE4EBF" w:rsidRPr="00CE4EBF">
        <w:t xml:space="preserve">he authors of the Cochrane review </w:t>
      </w:r>
      <w:r w:rsidR="00CE4EBF">
        <w:t xml:space="preserve">stated </w:t>
      </w:r>
      <w:r w:rsidR="00CE4EBF" w:rsidRPr="00CE4EBF">
        <w:t>that the analysis of safety outcomes was based on a very low number of events with low- to moderate-certainty for all the comparisons, and the findings should be interpreted with caution.</w:t>
      </w:r>
      <w:r w:rsidR="008C318C">
        <w:t xml:space="preserve"> </w:t>
      </w:r>
      <w:r w:rsidR="00CE4EBF" w:rsidRPr="00CE4EBF">
        <w:t xml:space="preserve">The ESC noted in the longer term NMA (Armstrong 2022a) BKZ had (one of) the </w:t>
      </w:r>
      <w:r w:rsidR="00CE4EBF" w:rsidRPr="00512D97">
        <w:t xml:space="preserve">lowest </w:t>
      </w:r>
      <w:r w:rsidR="00512D97" w:rsidRPr="00512D97">
        <w:t xml:space="preserve">surface </w:t>
      </w:r>
      <w:r w:rsidR="00512D97" w:rsidRPr="00512D97">
        <w:lastRenderedPageBreak/>
        <w:t xml:space="preserve">under the cumulative ranking curves </w:t>
      </w:r>
      <w:r w:rsidR="00512D97">
        <w:t>(</w:t>
      </w:r>
      <w:r w:rsidR="00CE4EBF" w:rsidRPr="00CE4EBF">
        <w:t>SUCRA</w:t>
      </w:r>
      <w:r w:rsidR="00512D97">
        <w:t>)</w:t>
      </w:r>
      <w:r w:rsidR="00CE4EBF" w:rsidRPr="00CE4EBF">
        <w:t xml:space="preserve"> for safety outcomes</w:t>
      </w:r>
      <w:r w:rsidR="00952AEE">
        <w:t xml:space="preserve"> (s</w:t>
      </w:r>
      <w:r w:rsidR="00952AEE" w:rsidRPr="00952AEE">
        <w:t xml:space="preserve">ee </w:t>
      </w:r>
      <w:r w:rsidR="00952AEE" w:rsidRPr="00952AEE">
        <w:fldChar w:fldCharType="begin"/>
      </w:r>
      <w:r w:rsidR="00952AEE" w:rsidRPr="00952AEE">
        <w:instrText xml:space="preserve"> REF _Ref123830482 \h  \* MERGEFORMAT </w:instrText>
      </w:r>
      <w:r w:rsidR="00952AEE" w:rsidRPr="00952AEE">
        <w:fldChar w:fldCharType="separate"/>
      </w:r>
      <w:r w:rsidR="003F1ED3">
        <w:t xml:space="preserve">Figure </w:t>
      </w:r>
      <w:r w:rsidR="003F1ED3">
        <w:rPr>
          <w:noProof/>
        </w:rPr>
        <w:t>2</w:t>
      </w:r>
      <w:r w:rsidR="00952AEE" w:rsidRPr="00952AEE">
        <w:fldChar w:fldCharType="end"/>
      </w:r>
      <w:r w:rsidR="00952AEE">
        <w:t>)</w:t>
      </w:r>
      <w:r w:rsidR="00CE4EBF" w:rsidRPr="00CE4EBF">
        <w:t>, thus a claim of superior safety was not supported</w:t>
      </w:r>
      <w:r w:rsidR="00CE4EBF">
        <w:t>.</w:t>
      </w:r>
    </w:p>
    <w:p w14:paraId="29C00EED" w14:textId="1BA14523" w:rsidR="00F627A9" w:rsidRPr="00011DAD" w:rsidRDefault="008C318C" w:rsidP="008C318C">
      <w:pPr>
        <w:pStyle w:val="Caption"/>
      </w:pPr>
      <w:bookmarkStart w:id="25" w:name="_Ref127790613"/>
      <w:r w:rsidRPr="00011DAD">
        <w:t xml:space="preserve">Figure </w:t>
      </w:r>
      <w:fldSimple w:instr=" SEQ Figure \* ARABIC ">
        <w:r w:rsidR="003F1ED3">
          <w:rPr>
            <w:noProof/>
          </w:rPr>
          <w:t>1</w:t>
        </w:r>
      </w:fldSimple>
      <w:bookmarkEnd w:id="25"/>
      <w:r w:rsidRPr="00011DAD">
        <w:rPr>
          <w:b w:val="0"/>
          <w:bCs w:val="0"/>
          <w:szCs w:val="20"/>
        </w:rPr>
        <w:t xml:space="preserve">: </w:t>
      </w:r>
      <w:r w:rsidR="00F627A9" w:rsidRPr="00011DAD">
        <w:rPr>
          <w:snapToGrid w:val="0"/>
          <w:szCs w:val="20"/>
        </w:rPr>
        <w:t xml:space="preserve">Ranking plot representing simultaneously the efficacy (x axis, PASI 90) and the acceptability (y axis, serious adverse events) of all the interventions (drug levels) </w:t>
      </w:r>
    </w:p>
    <w:p w14:paraId="480966C0" w14:textId="77777777" w:rsidR="00F627A9" w:rsidRDefault="00F627A9" w:rsidP="00F627A9">
      <w:pPr>
        <w:pStyle w:val="3-BodyText"/>
        <w:numPr>
          <w:ilvl w:val="0"/>
          <w:numId w:val="0"/>
        </w:numPr>
      </w:pPr>
      <w:r w:rsidRPr="00C055A4">
        <w:rPr>
          <w:rFonts w:ascii="Calibri" w:eastAsia="Calibri" w:hAnsi="Calibri" w:cs="Times New Roman"/>
          <w:noProof/>
          <w:snapToGrid/>
          <w:sz w:val="22"/>
          <w:szCs w:val="22"/>
        </w:rPr>
        <w:drawing>
          <wp:inline distT="0" distB="0" distL="0" distR="0" wp14:anchorId="3F7FF78E" wp14:editId="1C61937F">
            <wp:extent cx="4500438" cy="3293380"/>
            <wp:effectExtent l="0" t="0" r="0" b="2540"/>
            <wp:docPr id="1" name="Picture 1" descr="Figure 1: Ranking plot representing simultaneously the efficacy (x axis, PASI 90) and the acceptability (y axis, serious adverse events) of all the interventions (drug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Ranking plot representing simultaneously the efficacy (x axis, PASI 90) and the acceptability (y axis, serious adverse events) of all the interventions (drug levels) "/>
                    <pic:cNvPicPr/>
                  </pic:nvPicPr>
                  <pic:blipFill>
                    <a:blip r:embed="rId8" cstate="screen">
                      <a:extLst>
                        <a:ext uri="{28A0092B-C50C-407E-A947-70E740481C1C}">
                          <a14:useLocalDpi xmlns:a14="http://schemas.microsoft.com/office/drawing/2010/main"/>
                        </a:ext>
                      </a:extLst>
                    </a:blip>
                    <a:stretch>
                      <a:fillRect/>
                    </a:stretch>
                  </pic:blipFill>
                  <pic:spPr>
                    <a:xfrm>
                      <a:off x="0" y="0"/>
                      <a:ext cx="4573380" cy="3346758"/>
                    </a:xfrm>
                    <a:prstGeom prst="rect">
                      <a:avLst/>
                    </a:prstGeom>
                  </pic:spPr>
                </pic:pic>
              </a:graphicData>
            </a:graphic>
          </wp:inline>
        </w:drawing>
      </w:r>
    </w:p>
    <w:p w14:paraId="39D66B8E" w14:textId="4657A751" w:rsidR="00512D97" w:rsidRPr="004C3BD1" w:rsidRDefault="00512D97" w:rsidP="00AA559B">
      <w:pPr>
        <w:pStyle w:val="3-BodyText"/>
        <w:numPr>
          <w:ilvl w:val="0"/>
          <w:numId w:val="0"/>
        </w:numPr>
        <w:ind w:left="720" w:hanging="720"/>
        <w:rPr>
          <w:rFonts w:ascii="Arial Narrow" w:hAnsi="Arial Narrow"/>
          <w:sz w:val="18"/>
          <w:szCs w:val="18"/>
          <w:u w:val="single"/>
        </w:rPr>
      </w:pPr>
      <w:r w:rsidRPr="004C3BD1">
        <w:rPr>
          <w:rFonts w:ascii="Arial Narrow" w:hAnsi="Arial Narrow"/>
          <w:sz w:val="18"/>
          <w:szCs w:val="18"/>
        </w:rPr>
        <w:t>Source: Sbidian et al 2022</w:t>
      </w:r>
    </w:p>
    <w:p w14:paraId="62FD6FD0" w14:textId="68C3C7D7" w:rsidR="00EA48D9" w:rsidRPr="00EA48D9" w:rsidRDefault="00EA48D9" w:rsidP="004C3BD1">
      <w:pPr>
        <w:pStyle w:val="3-BodyText"/>
        <w:keepNext/>
        <w:numPr>
          <w:ilvl w:val="0"/>
          <w:numId w:val="0"/>
        </w:numPr>
        <w:ind w:left="720" w:hanging="720"/>
        <w:outlineLvl w:val="3"/>
        <w:rPr>
          <w:u w:val="single"/>
        </w:rPr>
      </w:pPr>
      <w:r>
        <w:rPr>
          <w:u w:val="single"/>
        </w:rPr>
        <w:t>Longer</w:t>
      </w:r>
      <w:r w:rsidRPr="00EA48D9">
        <w:rPr>
          <w:u w:val="single"/>
        </w:rPr>
        <w:t xml:space="preserve"> term response</w:t>
      </w:r>
    </w:p>
    <w:p w14:paraId="295C44C1" w14:textId="545E4165" w:rsidR="001D3508" w:rsidRPr="00936BA4" w:rsidRDefault="0050572D" w:rsidP="004C3BD1">
      <w:pPr>
        <w:pStyle w:val="3-BodyText"/>
        <w:keepNext/>
      </w:pPr>
      <w:r w:rsidRPr="00936BA4">
        <w:fldChar w:fldCharType="begin"/>
      </w:r>
      <w:r w:rsidRPr="00936BA4">
        <w:instrText xml:space="preserve"> REF _Ref123830482 \h </w:instrText>
      </w:r>
      <w:r w:rsidR="00936BA4" w:rsidRPr="00936BA4">
        <w:instrText xml:space="preserve"> \* MERGEFORMAT </w:instrText>
      </w:r>
      <w:r w:rsidRPr="00936BA4">
        <w:fldChar w:fldCharType="separate"/>
      </w:r>
      <w:r w:rsidR="003F1ED3">
        <w:t xml:space="preserve">Figure </w:t>
      </w:r>
      <w:r w:rsidR="003F1ED3">
        <w:rPr>
          <w:noProof/>
        </w:rPr>
        <w:t>2</w:t>
      </w:r>
      <w:r w:rsidRPr="00936BA4">
        <w:fldChar w:fldCharType="end"/>
      </w:r>
      <w:r w:rsidRPr="00936BA4">
        <w:t xml:space="preserve"> </w:t>
      </w:r>
      <w:r w:rsidR="001D3508" w:rsidRPr="00936BA4">
        <w:t>presents the results of the l</w:t>
      </w:r>
      <w:r w:rsidRPr="00936BA4">
        <w:t xml:space="preserve">ong-term </w:t>
      </w:r>
      <w:r w:rsidR="001D3508" w:rsidRPr="00936BA4">
        <w:t xml:space="preserve">NMA from </w:t>
      </w:r>
      <w:r w:rsidRPr="00936BA4">
        <w:t>Armstrong 2022a</w:t>
      </w:r>
      <w:r w:rsidR="001D3508" w:rsidRPr="00936BA4">
        <w:t xml:space="preserve"> illustrated as bi-dimensional plots of SUCRA values for PASI response and safety outcomes to assess benefit-risk profiles of each treatment.</w:t>
      </w:r>
      <w:r w:rsidR="00936BA4" w:rsidRPr="00936BA4">
        <w:t xml:space="preserve"> Treatments with better efficacy and better safety appear in the top righ</w:t>
      </w:r>
      <w:r w:rsidR="004C3BD1">
        <w:t>t-</w:t>
      </w:r>
      <w:r w:rsidR="00936BA4" w:rsidRPr="00936BA4">
        <w:t xml:space="preserve">hand corner of the figure. </w:t>
      </w:r>
      <w:r w:rsidR="001D3508" w:rsidRPr="00936BA4">
        <w:t>The analysis found RIS and BKZ had the highest long-term PASI response rates and RIS had the lowest long-</w:t>
      </w:r>
      <w:r w:rsidR="001D3508" w:rsidRPr="00936BA4">
        <w:lastRenderedPageBreak/>
        <w:t>term</w:t>
      </w:r>
      <w:r w:rsidR="00936BA4">
        <w:t xml:space="preserve"> adverse event </w:t>
      </w:r>
      <w:r w:rsidR="001D3508" w:rsidRPr="00936BA4">
        <w:t xml:space="preserve">rates. Overall, </w:t>
      </w:r>
      <w:r w:rsidR="00BA74E7" w:rsidRPr="00011DAD">
        <w:t>the submission stated</w:t>
      </w:r>
      <w:r w:rsidR="00BA74E7">
        <w:t xml:space="preserve"> </w:t>
      </w:r>
      <w:r w:rsidR="001D3508" w:rsidRPr="00936BA4">
        <w:t>RIS was associated with the most favourable long-term benefit-risk profile</w:t>
      </w:r>
      <w:r w:rsidR="00936BA4">
        <w:t xml:space="preserve"> (top right of figure)</w:t>
      </w:r>
      <w:r w:rsidR="001D3508" w:rsidRPr="00936BA4">
        <w:t>.</w:t>
      </w:r>
    </w:p>
    <w:p w14:paraId="43E3635C" w14:textId="6FA9D9B9" w:rsidR="004D0225" w:rsidRDefault="004D0225" w:rsidP="004D0225">
      <w:pPr>
        <w:pStyle w:val="Caption"/>
      </w:pPr>
      <w:bookmarkStart w:id="26" w:name="_Ref123830482"/>
      <w:bookmarkStart w:id="27" w:name="_Ref123830477"/>
      <w:r>
        <w:t xml:space="preserve">Figure </w:t>
      </w:r>
      <w:fldSimple w:instr=" SEQ Figure \* ARABIC ">
        <w:r w:rsidR="003F1ED3">
          <w:rPr>
            <w:noProof/>
          </w:rPr>
          <w:t>2</w:t>
        </w:r>
      </w:fldSimple>
      <w:bookmarkEnd w:id="26"/>
      <w:r w:rsidR="0035773A">
        <w:rPr>
          <w:noProof/>
        </w:rPr>
        <w:t>:</w:t>
      </w:r>
      <w:r w:rsidRPr="00CC4A13">
        <w:t xml:space="preserve"> Long-term</w:t>
      </w:r>
      <w:r>
        <w:t xml:space="preserve"> benefit-risk profiles: </w:t>
      </w:r>
      <w:r w:rsidRPr="006D7566">
        <w:rPr>
          <w:u w:val="single"/>
        </w:rPr>
        <w:t>Armstrong 2022a</w:t>
      </w:r>
      <w:r>
        <w:t>.</w:t>
      </w:r>
      <w:bookmarkEnd w:id="27"/>
      <w:r>
        <w:t xml:space="preserve"> </w:t>
      </w:r>
    </w:p>
    <w:p w14:paraId="0567AA86" w14:textId="4271A028" w:rsidR="004D0225" w:rsidRDefault="004D0225" w:rsidP="004D0225">
      <w:pPr>
        <w:pStyle w:val="Caption"/>
      </w:pPr>
      <w:r>
        <w:t xml:space="preserve">SUCRA for PASI 75/90/100 responses versus a. SUCRA for any AE. b. SUCRA for any SAE. </w:t>
      </w:r>
    </w:p>
    <w:p w14:paraId="6D7ABFEB" w14:textId="487A5ED2" w:rsidR="004D0225" w:rsidRDefault="004D0225" w:rsidP="001102F5">
      <w:r w:rsidRPr="004D0225">
        <w:rPr>
          <w:noProof/>
        </w:rPr>
        <w:drawing>
          <wp:inline distT="0" distB="0" distL="0" distR="0" wp14:anchorId="19947AE7" wp14:editId="6245AFE6">
            <wp:extent cx="5732145" cy="2683510"/>
            <wp:effectExtent l="0" t="0" r="1905" b="2540"/>
            <wp:docPr id="353" name="Picture 353" descr="Figure 2: Long-term benefit-risk profiles: Armstrong 2022a. &#10;SUCRA for PASI 75/90/100 responses versus a. SUCRA for any AE. b. SUCRA for any SA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Figure 2: Long-term benefit-risk profiles: Armstrong 2022a. &#10;SUCRA for PASI 75/90/100 responses versus a. SUCRA for any AE. b. SUCRA for any SAE. "/>
                    <pic:cNvPicPr/>
                  </pic:nvPicPr>
                  <pic:blipFill>
                    <a:blip r:embed="rId9" cstate="screen">
                      <a:extLst>
                        <a:ext uri="{28A0092B-C50C-407E-A947-70E740481C1C}">
                          <a14:useLocalDpi xmlns:a14="http://schemas.microsoft.com/office/drawing/2010/main"/>
                        </a:ext>
                      </a:extLst>
                    </a:blip>
                    <a:stretch>
                      <a:fillRect/>
                    </a:stretch>
                  </pic:blipFill>
                  <pic:spPr>
                    <a:xfrm>
                      <a:off x="0" y="0"/>
                      <a:ext cx="5732145" cy="2683510"/>
                    </a:xfrm>
                    <a:prstGeom prst="rect">
                      <a:avLst/>
                    </a:prstGeom>
                  </pic:spPr>
                </pic:pic>
              </a:graphicData>
            </a:graphic>
          </wp:inline>
        </w:drawing>
      </w:r>
    </w:p>
    <w:p w14:paraId="09331747" w14:textId="6BB8E9F7" w:rsidR="004D0225" w:rsidRPr="00C44527" w:rsidRDefault="004D0225" w:rsidP="004D0225">
      <w:pPr>
        <w:rPr>
          <w:rFonts w:ascii="Arial Narrow" w:hAnsi="Arial Narrow"/>
          <w:sz w:val="18"/>
          <w:szCs w:val="18"/>
        </w:rPr>
      </w:pPr>
      <w:r w:rsidRPr="00C44527">
        <w:rPr>
          <w:rFonts w:ascii="Arial Narrow" w:hAnsi="Arial Narrow"/>
          <w:sz w:val="18"/>
          <w:szCs w:val="18"/>
        </w:rPr>
        <w:t>Source: Figure 3 of Armstrong 2022a publication.</w:t>
      </w:r>
    </w:p>
    <w:p w14:paraId="0810C6BA" w14:textId="20359DA4" w:rsidR="004D0225" w:rsidRDefault="004D0225" w:rsidP="002E3296">
      <w:pPr>
        <w:spacing w:after="120"/>
        <w:rPr>
          <w:rFonts w:ascii="Arial Narrow" w:hAnsi="Arial Narrow"/>
          <w:sz w:val="18"/>
          <w:szCs w:val="18"/>
        </w:rPr>
      </w:pPr>
      <w:r w:rsidRPr="004D0B89">
        <w:rPr>
          <w:rFonts w:ascii="Arial Narrow" w:hAnsi="Arial Narrow"/>
          <w:sz w:val="18"/>
          <w:szCs w:val="18"/>
        </w:rPr>
        <w:t>SUCRA = surface under the cumulative ranking curves; ADA = adalimumab; BKZ = bimekizumab; GUS = guselkumab; IXE = ixekizumab; RIS = Risankizumab; SEC = secukinumab; UST = ustekinumab; QxW = every x weeks.</w:t>
      </w:r>
    </w:p>
    <w:p w14:paraId="33FE0A88" w14:textId="29A79627" w:rsidR="00D02C0B" w:rsidRPr="00F74EB8" w:rsidRDefault="00D02C0B" w:rsidP="00A83E71">
      <w:pPr>
        <w:pStyle w:val="3-BodyText"/>
      </w:pPr>
      <w:r w:rsidRPr="00D02C0B">
        <w:t>Results of pairwise comparison between</w:t>
      </w:r>
      <w:r>
        <w:t xml:space="preserve"> active treatments in </w:t>
      </w:r>
      <w:r w:rsidRPr="00674E01">
        <w:t>Armstrong 2022a</w:t>
      </w:r>
      <w:r>
        <w:t xml:space="preserve"> found </w:t>
      </w:r>
      <w:r w:rsidRPr="00674E01">
        <w:t xml:space="preserve">no statistically significant </w:t>
      </w:r>
      <w:r w:rsidRPr="00A83E71">
        <w:t>differences in terms of PASI 75 and PASI 90 between BKZ ‘Q4W’ versus RIS or GUS, or between BKZ ‘Q4W</w:t>
      </w:r>
      <w:r>
        <w:t xml:space="preserve"> then Q8W’ versus RIS, GUS or IXE</w:t>
      </w:r>
      <w:r w:rsidR="00B24E1E">
        <w:t xml:space="preserve"> (</w:t>
      </w:r>
      <w:r w:rsidR="00B24E1E" w:rsidRPr="003A1AB3">
        <w:fldChar w:fldCharType="begin"/>
      </w:r>
      <w:r w:rsidR="00B24E1E" w:rsidRPr="003A1AB3">
        <w:instrText xml:space="preserve"> REF _Ref127787654 \h  \* MERGEFORMAT </w:instrText>
      </w:r>
      <w:r w:rsidR="00B24E1E" w:rsidRPr="003A1AB3">
        <w:fldChar w:fldCharType="separate"/>
      </w:r>
      <w:r w:rsidR="003F1ED3" w:rsidRPr="003F1ED3">
        <w:t>Table 4</w:t>
      </w:r>
      <w:r w:rsidR="00B24E1E" w:rsidRPr="003A1AB3">
        <w:fldChar w:fldCharType="end"/>
      </w:r>
      <w:r w:rsidR="00B24E1E" w:rsidRPr="003A1AB3">
        <w:t>)</w:t>
      </w:r>
      <w:r w:rsidRPr="003A1AB3">
        <w:t>.</w:t>
      </w:r>
      <w:r w:rsidRPr="00674E01">
        <w:t xml:space="preserve"> There was </w:t>
      </w:r>
      <w:r>
        <w:t xml:space="preserve">also </w:t>
      </w:r>
      <w:r w:rsidRPr="00674E01">
        <w:t>no statistically significant difference between the two BKZ dose regimens (BKZ Q4W versus BKZ Q4W then Q8W).</w:t>
      </w:r>
      <w:r w:rsidR="00A83E71">
        <w:t xml:space="preserve"> </w:t>
      </w:r>
      <w:r w:rsidR="00A83E71" w:rsidRPr="0055624C">
        <w:t>Given the recommended dose for patients weighing &lt;120 kg is BKZ Q4W to Week 16 then Q8W thereafter, the pairwise comparisons versus BKZ Q4W then Q8W are more relevant for the majority of patients</w:t>
      </w:r>
      <w:r w:rsidR="00A83E71">
        <w:rPr>
          <w:i/>
          <w:iCs/>
        </w:rPr>
        <w:t>.</w:t>
      </w:r>
      <w:r w:rsidR="00F74EB8">
        <w:rPr>
          <w:i/>
          <w:iCs/>
        </w:rPr>
        <w:t xml:space="preserve"> </w:t>
      </w:r>
      <w:r w:rsidR="00F74EB8" w:rsidRPr="00F74EB8">
        <w:t xml:space="preserve">The PBAC noted TIL and IFX were not included in the long term NMA. </w:t>
      </w:r>
    </w:p>
    <w:p w14:paraId="10958E98" w14:textId="155CB94D" w:rsidR="00B24E1E" w:rsidRPr="00011DAD" w:rsidRDefault="00B24E1E" w:rsidP="004C3BD1">
      <w:pPr>
        <w:keepNext/>
        <w:rPr>
          <w:rFonts w:ascii="Arial Narrow" w:hAnsi="Arial Narrow"/>
          <w:b/>
          <w:bCs/>
          <w:sz w:val="20"/>
          <w:szCs w:val="20"/>
        </w:rPr>
      </w:pPr>
      <w:bookmarkStart w:id="28" w:name="_Ref127787654"/>
      <w:r w:rsidRPr="00011DAD">
        <w:rPr>
          <w:rFonts w:ascii="Arial Narrow" w:hAnsi="Arial Narrow"/>
          <w:b/>
          <w:bCs/>
          <w:sz w:val="20"/>
          <w:szCs w:val="20"/>
        </w:rPr>
        <w:t xml:space="preserve">Table </w:t>
      </w:r>
      <w:r w:rsidRPr="00011DAD">
        <w:rPr>
          <w:rFonts w:ascii="Arial Narrow" w:hAnsi="Arial Narrow"/>
          <w:b/>
          <w:bCs/>
          <w:sz w:val="20"/>
          <w:szCs w:val="20"/>
        </w:rPr>
        <w:fldChar w:fldCharType="begin"/>
      </w:r>
      <w:r w:rsidRPr="00011DAD">
        <w:rPr>
          <w:rFonts w:ascii="Arial Narrow" w:hAnsi="Arial Narrow"/>
          <w:b/>
          <w:bCs/>
          <w:sz w:val="20"/>
          <w:szCs w:val="20"/>
        </w:rPr>
        <w:instrText xml:space="preserve"> SEQ Table \* ARABIC </w:instrText>
      </w:r>
      <w:r w:rsidRPr="00011DAD">
        <w:rPr>
          <w:rFonts w:ascii="Arial Narrow" w:hAnsi="Arial Narrow"/>
          <w:b/>
          <w:bCs/>
          <w:sz w:val="20"/>
          <w:szCs w:val="20"/>
        </w:rPr>
        <w:fldChar w:fldCharType="separate"/>
      </w:r>
      <w:r w:rsidR="003F1ED3">
        <w:rPr>
          <w:rFonts w:ascii="Arial Narrow" w:hAnsi="Arial Narrow"/>
          <w:b/>
          <w:bCs/>
          <w:noProof/>
          <w:sz w:val="20"/>
          <w:szCs w:val="20"/>
        </w:rPr>
        <w:t>4</w:t>
      </w:r>
      <w:r w:rsidRPr="00011DAD">
        <w:rPr>
          <w:rFonts w:ascii="Arial Narrow" w:hAnsi="Arial Narrow"/>
          <w:b/>
          <w:bCs/>
          <w:sz w:val="20"/>
          <w:szCs w:val="20"/>
        </w:rPr>
        <w:fldChar w:fldCharType="end"/>
      </w:r>
      <w:bookmarkEnd w:id="28"/>
      <w:r w:rsidRPr="00011DAD">
        <w:rPr>
          <w:rFonts w:ascii="Arial Narrow" w:hAnsi="Arial Narrow"/>
          <w:b/>
          <w:bCs/>
          <w:sz w:val="20"/>
          <w:szCs w:val="20"/>
        </w:rPr>
        <w:t xml:space="preserve">: Pairwise odds ratio of achieving PASI 75 and PASI 90 (Week 48 to 56), posterior median (95% CrI) </w:t>
      </w:r>
    </w:p>
    <w:tbl>
      <w:tblPr>
        <w:tblStyle w:val="TableGrid"/>
        <w:tblW w:w="0" w:type="auto"/>
        <w:tblCellMar>
          <w:left w:w="28" w:type="dxa"/>
          <w:right w:w="28" w:type="dxa"/>
        </w:tblCellMar>
        <w:tblLook w:val="04A0" w:firstRow="1" w:lastRow="0" w:firstColumn="1" w:lastColumn="0" w:noHBand="0" w:noVBand="1"/>
      </w:tblPr>
      <w:tblGrid>
        <w:gridCol w:w="1867"/>
        <w:gridCol w:w="1787"/>
        <w:gridCol w:w="1788"/>
        <w:gridCol w:w="1787"/>
        <w:gridCol w:w="1788"/>
      </w:tblGrid>
      <w:tr w:rsidR="00B24E1E" w:rsidRPr="00011DAD" w14:paraId="6F751561" w14:textId="77777777" w:rsidTr="006E74A4">
        <w:tc>
          <w:tcPr>
            <w:tcW w:w="1867" w:type="dxa"/>
            <w:vMerge w:val="restart"/>
            <w:vAlign w:val="center"/>
          </w:tcPr>
          <w:p w14:paraId="548C18F0" w14:textId="77777777" w:rsidR="00B24E1E" w:rsidRPr="00011DAD" w:rsidRDefault="00B24E1E" w:rsidP="004C3BD1">
            <w:pPr>
              <w:keepNext/>
              <w:jc w:val="left"/>
              <w:rPr>
                <w:rFonts w:ascii="Arial Narrow" w:hAnsi="Arial Narrow"/>
                <w:sz w:val="20"/>
                <w:szCs w:val="20"/>
              </w:rPr>
            </w:pPr>
            <w:r w:rsidRPr="00011DAD">
              <w:rPr>
                <w:rFonts w:ascii="Arial Narrow" w:hAnsi="Arial Narrow"/>
                <w:sz w:val="20"/>
                <w:szCs w:val="20"/>
              </w:rPr>
              <w:t>BKZ versus</w:t>
            </w:r>
          </w:p>
        </w:tc>
        <w:tc>
          <w:tcPr>
            <w:tcW w:w="3575" w:type="dxa"/>
            <w:gridSpan w:val="2"/>
            <w:vAlign w:val="center"/>
          </w:tcPr>
          <w:p w14:paraId="1DA5801D"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BKZ Q4W</w:t>
            </w:r>
          </w:p>
        </w:tc>
        <w:tc>
          <w:tcPr>
            <w:tcW w:w="3575" w:type="dxa"/>
            <w:gridSpan w:val="2"/>
            <w:vAlign w:val="center"/>
          </w:tcPr>
          <w:p w14:paraId="7130929A"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BKZ Q4W then Q8W</w:t>
            </w:r>
          </w:p>
        </w:tc>
      </w:tr>
      <w:tr w:rsidR="00B24E1E" w:rsidRPr="00011DAD" w14:paraId="02C37504" w14:textId="77777777" w:rsidTr="006E74A4">
        <w:tc>
          <w:tcPr>
            <w:tcW w:w="1867" w:type="dxa"/>
            <w:vMerge/>
          </w:tcPr>
          <w:p w14:paraId="79C218C1" w14:textId="77777777" w:rsidR="00B24E1E" w:rsidRPr="00011DAD" w:rsidRDefault="00B24E1E" w:rsidP="004C3BD1">
            <w:pPr>
              <w:keepNext/>
              <w:rPr>
                <w:rFonts w:ascii="Arial Narrow" w:hAnsi="Arial Narrow"/>
                <w:sz w:val="20"/>
                <w:szCs w:val="20"/>
              </w:rPr>
            </w:pPr>
          </w:p>
        </w:tc>
        <w:tc>
          <w:tcPr>
            <w:tcW w:w="1787" w:type="dxa"/>
            <w:vAlign w:val="center"/>
          </w:tcPr>
          <w:p w14:paraId="263CA15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75</w:t>
            </w:r>
          </w:p>
        </w:tc>
        <w:tc>
          <w:tcPr>
            <w:tcW w:w="1788" w:type="dxa"/>
            <w:vAlign w:val="center"/>
          </w:tcPr>
          <w:p w14:paraId="7F058E58"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90</w:t>
            </w:r>
          </w:p>
        </w:tc>
        <w:tc>
          <w:tcPr>
            <w:tcW w:w="1787" w:type="dxa"/>
            <w:vAlign w:val="center"/>
          </w:tcPr>
          <w:p w14:paraId="1332B1B8"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75</w:t>
            </w:r>
          </w:p>
        </w:tc>
        <w:tc>
          <w:tcPr>
            <w:tcW w:w="1788" w:type="dxa"/>
            <w:vAlign w:val="center"/>
          </w:tcPr>
          <w:p w14:paraId="1AD89B1D"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90</w:t>
            </w:r>
          </w:p>
        </w:tc>
      </w:tr>
      <w:tr w:rsidR="00B24E1E" w:rsidRPr="00011DAD" w14:paraId="210CFF63" w14:textId="77777777" w:rsidTr="006E74A4">
        <w:tc>
          <w:tcPr>
            <w:tcW w:w="1867" w:type="dxa"/>
          </w:tcPr>
          <w:p w14:paraId="1F6CC6E3"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RIS</w:t>
            </w:r>
          </w:p>
        </w:tc>
        <w:tc>
          <w:tcPr>
            <w:tcW w:w="1787" w:type="dxa"/>
            <w:vAlign w:val="center"/>
          </w:tcPr>
          <w:p w14:paraId="2B16C14B"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0.75 (0.49, 1.13) </w:t>
            </w:r>
          </w:p>
        </w:tc>
        <w:tc>
          <w:tcPr>
            <w:tcW w:w="1788" w:type="dxa"/>
            <w:vAlign w:val="center"/>
          </w:tcPr>
          <w:p w14:paraId="23022806"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0.77 (0.53, 1.12)</w:t>
            </w:r>
          </w:p>
        </w:tc>
        <w:tc>
          <w:tcPr>
            <w:tcW w:w="1787" w:type="dxa"/>
            <w:vAlign w:val="center"/>
          </w:tcPr>
          <w:p w14:paraId="24C6367D"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0.66 (0.42, 1.04) </w:t>
            </w:r>
          </w:p>
        </w:tc>
        <w:tc>
          <w:tcPr>
            <w:tcW w:w="1788" w:type="dxa"/>
            <w:vAlign w:val="center"/>
          </w:tcPr>
          <w:p w14:paraId="632517C0"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0.69 (0.46, 1.04)</w:t>
            </w:r>
          </w:p>
        </w:tc>
      </w:tr>
      <w:tr w:rsidR="00B24E1E" w:rsidRPr="00011DAD" w14:paraId="3B553AE1" w14:textId="77777777" w:rsidTr="006E74A4">
        <w:tc>
          <w:tcPr>
            <w:tcW w:w="1867" w:type="dxa"/>
          </w:tcPr>
          <w:p w14:paraId="0AAE3C41"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GUS</w:t>
            </w:r>
          </w:p>
        </w:tc>
        <w:tc>
          <w:tcPr>
            <w:tcW w:w="1787" w:type="dxa"/>
            <w:vAlign w:val="center"/>
          </w:tcPr>
          <w:p w14:paraId="594A416F"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1.31 (0.87, 1.96) </w:t>
            </w:r>
          </w:p>
        </w:tc>
        <w:tc>
          <w:tcPr>
            <w:tcW w:w="1788" w:type="dxa"/>
            <w:vAlign w:val="center"/>
          </w:tcPr>
          <w:p w14:paraId="10BD2588"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1.27 (0.88, 1.83)</w:t>
            </w:r>
          </w:p>
        </w:tc>
        <w:tc>
          <w:tcPr>
            <w:tcW w:w="1787" w:type="dxa"/>
            <w:vAlign w:val="center"/>
          </w:tcPr>
          <w:p w14:paraId="43557C97"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1.15 (0.75, 1.78) </w:t>
            </w:r>
          </w:p>
        </w:tc>
        <w:tc>
          <w:tcPr>
            <w:tcW w:w="1788" w:type="dxa"/>
            <w:vAlign w:val="center"/>
          </w:tcPr>
          <w:p w14:paraId="419990CF"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1.14 0.77, 1.68)</w:t>
            </w:r>
          </w:p>
        </w:tc>
      </w:tr>
      <w:tr w:rsidR="00B24E1E" w:rsidRPr="00011DAD" w14:paraId="0C5D58A1" w14:textId="77777777" w:rsidTr="006E74A4">
        <w:tc>
          <w:tcPr>
            <w:tcW w:w="1867" w:type="dxa"/>
          </w:tcPr>
          <w:p w14:paraId="4FC08FDF"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IXE</w:t>
            </w:r>
          </w:p>
        </w:tc>
        <w:tc>
          <w:tcPr>
            <w:tcW w:w="1787" w:type="dxa"/>
            <w:vAlign w:val="center"/>
          </w:tcPr>
          <w:p w14:paraId="295C387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1.79 (1.02, 3.09)</w:t>
            </w:r>
          </w:p>
        </w:tc>
        <w:tc>
          <w:tcPr>
            <w:tcW w:w="1788" w:type="dxa"/>
            <w:vAlign w:val="center"/>
          </w:tcPr>
          <w:p w14:paraId="51EE76D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1.69 (1.01, 2.79)</w:t>
            </w:r>
          </w:p>
        </w:tc>
        <w:tc>
          <w:tcPr>
            <w:tcW w:w="1787" w:type="dxa"/>
            <w:vAlign w:val="center"/>
          </w:tcPr>
          <w:p w14:paraId="4451A82A"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1.57 (0.87, 2.82) </w:t>
            </w:r>
          </w:p>
        </w:tc>
        <w:tc>
          <w:tcPr>
            <w:tcW w:w="1788" w:type="dxa"/>
            <w:vAlign w:val="center"/>
          </w:tcPr>
          <w:p w14:paraId="0BAD247C"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1.51 (0.88, 2.57)</w:t>
            </w:r>
          </w:p>
        </w:tc>
      </w:tr>
      <w:tr w:rsidR="00B24E1E" w:rsidRPr="00011DAD" w14:paraId="18D13981" w14:textId="77777777" w:rsidTr="006E74A4">
        <w:tc>
          <w:tcPr>
            <w:tcW w:w="1867" w:type="dxa"/>
          </w:tcPr>
          <w:p w14:paraId="741DD913"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SEC</w:t>
            </w:r>
          </w:p>
        </w:tc>
        <w:tc>
          <w:tcPr>
            <w:tcW w:w="1787" w:type="dxa"/>
            <w:vAlign w:val="center"/>
          </w:tcPr>
          <w:p w14:paraId="381D9DC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2.39 (1.78, 3.26)</w:t>
            </w:r>
          </w:p>
        </w:tc>
        <w:tc>
          <w:tcPr>
            <w:tcW w:w="1788" w:type="dxa"/>
            <w:vAlign w:val="center"/>
          </w:tcPr>
          <w:p w14:paraId="633A6FBF"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2.21 (1.69, 2.92)</w:t>
            </w:r>
          </w:p>
        </w:tc>
        <w:tc>
          <w:tcPr>
            <w:tcW w:w="1787" w:type="dxa"/>
            <w:vAlign w:val="center"/>
          </w:tcPr>
          <w:p w14:paraId="53DDE2C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2.10 (1.51, 2.98)</w:t>
            </w:r>
          </w:p>
        </w:tc>
        <w:tc>
          <w:tcPr>
            <w:tcW w:w="1788" w:type="dxa"/>
            <w:vAlign w:val="center"/>
          </w:tcPr>
          <w:p w14:paraId="0251D7D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1.97 (1.46, 2.69)</w:t>
            </w:r>
          </w:p>
        </w:tc>
      </w:tr>
      <w:tr w:rsidR="00B24E1E" w:rsidRPr="00011DAD" w14:paraId="6F1F9C54" w14:textId="77777777" w:rsidTr="006E74A4">
        <w:tc>
          <w:tcPr>
            <w:tcW w:w="1867" w:type="dxa"/>
          </w:tcPr>
          <w:p w14:paraId="2D97D5C5"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UST</w:t>
            </w:r>
          </w:p>
        </w:tc>
        <w:tc>
          <w:tcPr>
            <w:tcW w:w="1787" w:type="dxa"/>
            <w:vAlign w:val="center"/>
          </w:tcPr>
          <w:p w14:paraId="34F0B11F"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3.93 (2.90, 5.40)</w:t>
            </w:r>
          </w:p>
        </w:tc>
        <w:tc>
          <w:tcPr>
            <w:tcW w:w="1788" w:type="dxa"/>
            <w:vAlign w:val="center"/>
          </w:tcPr>
          <w:p w14:paraId="10C7C1D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3.54 (2.70, 4.70)</w:t>
            </w:r>
          </w:p>
        </w:tc>
        <w:tc>
          <w:tcPr>
            <w:tcW w:w="1787" w:type="dxa"/>
            <w:vAlign w:val="center"/>
          </w:tcPr>
          <w:p w14:paraId="5A6404D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3.46 (2.42, 5.03)</w:t>
            </w:r>
          </w:p>
        </w:tc>
        <w:tc>
          <w:tcPr>
            <w:tcW w:w="1788" w:type="dxa"/>
            <w:vAlign w:val="center"/>
          </w:tcPr>
          <w:p w14:paraId="4A1A544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3.15 (2.28, 4.41)</w:t>
            </w:r>
          </w:p>
        </w:tc>
      </w:tr>
      <w:tr w:rsidR="00B24E1E" w:rsidRPr="00011DAD" w14:paraId="001BAEFB" w14:textId="77777777" w:rsidTr="006E74A4">
        <w:tc>
          <w:tcPr>
            <w:tcW w:w="1867" w:type="dxa"/>
          </w:tcPr>
          <w:p w14:paraId="2ABD2460"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ADA</w:t>
            </w:r>
          </w:p>
        </w:tc>
        <w:tc>
          <w:tcPr>
            <w:tcW w:w="1787" w:type="dxa"/>
            <w:vAlign w:val="center"/>
          </w:tcPr>
          <w:p w14:paraId="3529330B"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4.69 (2.93, 7.51)</w:t>
            </w:r>
          </w:p>
        </w:tc>
        <w:tc>
          <w:tcPr>
            <w:tcW w:w="1788" w:type="dxa"/>
            <w:vAlign w:val="center"/>
          </w:tcPr>
          <w:p w14:paraId="0898015E"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4.20 (2.70, 6.56)</w:t>
            </w:r>
          </w:p>
        </w:tc>
        <w:tc>
          <w:tcPr>
            <w:tcW w:w="1787" w:type="dxa"/>
            <w:vAlign w:val="center"/>
          </w:tcPr>
          <w:p w14:paraId="4A793ADB"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4.13 (2.53, 6.79)</w:t>
            </w:r>
          </w:p>
        </w:tc>
        <w:tc>
          <w:tcPr>
            <w:tcW w:w="1788" w:type="dxa"/>
            <w:vAlign w:val="center"/>
          </w:tcPr>
          <w:p w14:paraId="27D3B6E1"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3.75 (2.37, 5.98)</w:t>
            </w:r>
          </w:p>
        </w:tc>
      </w:tr>
      <w:tr w:rsidR="00B24E1E" w:rsidRPr="00011DAD" w14:paraId="75A99364" w14:textId="77777777" w:rsidTr="006E74A4">
        <w:tc>
          <w:tcPr>
            <w:tcW w:w="1867" w:type="dxa"/>
          </w:tcPr>
          <w:p w14:paraId="41149379"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ETN</w:t>
            </w:r>
          </w:p>
        </w:tc>
        <w:tc>
          <w:tcPr>
            <w:tcW w:w="1787" w:type="dxa"/>
            <w:vAlign w:val="center"/>
          </w:tcPr>
          <w:p w14:paraId="4D6A5CF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 xml:space="preserve">8.14 (5.44, 12.26) </w:t>
            </w:r>
          </w:p>
        </w:tc>
        <w:tc>
          <w:tcPr>
            <w:tcW w:w="1788" w:type="dxa"/>
            <w:vAlign w:val="center"/>
          </w:tcPr>
          <w:p w14:paraId="047CD64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7.26 (4.94, 10.74)</w:t>
            </w:r>
          </w:p>
        </w:tc>
        <w:tc>
          <w:tcPr>
            <w:tcW w:w="1787" w:type="dxa"/>
            <w:vAlign w:val="center"/>
          </w:tcPr>
          <w:p w14:paraId="44345EBE"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 xml:space="preserve">7.17 (4.66, 11.13) </w:t>
            </w:r>
          </w:p>
        </w:tc>
        <w:tc>
          <w:tcPr>
            <w:tcW w:w="1788" w:type="dxa"/>
            <w:vAlign w:val="center"/>
          </w:tcPr>
          <w:p w14:paraId="282384C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6.47 (4.31, 9.82)</w:t>
            </w:r>
          </w:p>
        </w:tc>
      </w:tr>
    </w:tbl>
    <w:p w14:paraId="05886003" w14:textId="77777777" w:rsidR="00B24E1E" w:rsidRPr="00011DAD" w:rsidRDefault="00B24E1E" w:rsidP="00B24E1E">
      <w:pPr>
        <w:rPr>
          <w:rFonts w:ascii="Arial Narrow" w:hAnsi="Arial Narrow"/>
          <w:sz w:val="18"/>
          <w:szCs w:val="18"/>
        </w:rPr>
      </w:pPr>
      <w:r w:rsidRPr="00011DAD">
        <w:rPr>
          <w:rFonts w:ascii="Arial Narrow" w:hAnsi="Arial Narrow"/>
          <w:sz w:val="18"/>
          <w:szCs w:val="18"/>
        </w:rPr>
        <w:t>Source: Table 2 and Supplemental Table 2 of Armstrong et al 2022a publication.</w:t>
      </w:r>
    </w:p>
    <w:p w14:paraId="7DC91738" w14:textId="7ABC5036" w:rsidR="00B24E1E" w:rsidRPr="00011DAD" w:rsidRDefault="00B24E1E" w:rsidP="00B24E1E">
      <w:pPr>
        <w:pStyle w:val="3-BodyText"/>
        <w:numPr>
          <w:ilvl w:val="0"/>
          <w:numId w:val="0"/>
        </w:numPr>
      </w:pPr>
      <w:r w:rsidRPr="00011DAD">
        <w:rPr>
          <w:rFonts w:ascii="Arial Narrow" w:hAnsi="Arial Narrow"/>
          <w:sz w:val="18"/>
          <w:szCs w:val="18"/>
        </w:rPr>
        <w:t>CrI = credible interval; ADA = adalimumab; BKZ = bimekizumab; GUS = guselkumab; IXE = ixekizumab; RIS = Risankizumab; SEC = secukinumab; UST = ustekinumab; QxW = every x weeks.</w:t>
      </w:r>
    </w:p>
    <w:p w14:paraId="3FE3C3DE" w14:textId="24D8A757" w:rsidR="00CD5510" w:rsidRDefault="00936BA4" w:rsidP="00A64472">
      <w:pPr>
        <w:pStyle w:val="3-BodyText"/>
      </w:pPr>
      <w:r>
        <w:fldChar w:fldCharType="begin"/>
      </w:r>
      <w:r>
        <w:instrText xml:space="preserve"> REF _Ref123831296 \h </w:instrText>
      </w:r>
      <w:r>
        <w:fldChar w:fldCharType="separate"/>
      </w:r>
      <w:r w:rsidR="003F1ED3">
        <w:t xml:space="preserve">Figure </w:t>
      </w:r>
      <w:r w:rsidR="003F1ED3">
        <w:rPr>
          <w:noProof/>
        </w:rPr>
        <w:t>3</w:t>
      </w:r>
      <w:r>
        <w:fldChar w:fldCharType="end"/>
      </w:r>
      <w:r>
        <w:t xml:space="preserve"> presents new long-term efficacy data (proportion with PASI 90, PASI 100 and DLQI 0/1 response) for patients enrolled in BE SURE who continued treatment in the open-label extension trial BE BRIGHT</w:t>
      </w:r>
      <w:r w:rsidR="00F33464">
        <w:t xml:space="preserve"> (</w:t>
      </w:r>
      <w:r>
        <w:t>Thaci</w:t>
      </w:r>
      <w:r w:rsidR="0054009F">
        <w:t xml:space="preserve"> </w:t>
      </w:r>
      <w:r>
        <w:t>2022</w:t>
      </w:r>
      <w:r w:rsidR="00F33464">
        <w:t>)</w:t>
      </w:r>
      <w:r>
        <w:t>.</w:t>
      </w:r>
      <w:r w:rsidR="00A64472">
        <w:t xml:space="preserve"> T</w:t>
      </w:r>
      <w:r>
        <w:t xml:space="preserve">he results showed that patients </w:t>
      </w:r>
      <w:r>
        <w:lastRenderedPageBreak/>
        <w:t>treated with BKZ (irrespective of the dosing frequency) maintained high levels of treatment response over three years of treatment. Among ADA-randomised patients, there was an increase in proportion meeting the response criteria when patients switched to BKZ after Week 24.</w:t>
      </w:r>
    </w:p>
    <w:p w14:paraId="4075C4C8" w14:textId="07697A1E" w:rsidR="00CD5510" w:rsidRDefault="00CD5510" w:rsidP="00CD5510">
      <w:pPr>
        <w:pStyle w:val="Caption"/>
      </w:pPr>
      <w:bookmarkStart w:id="29" w:name="_Ref123831296"/>
      <w:r>
        <w:t xml:space="preserve">Figure </w:t>
      </w:r>
      <w:fldSimple w:instr=" SEQ Figure \* ARABIC ">
        <w:r w:rsidR="003F1ED3">
          <w:rPr>
            <w:noProof/>
          </w:rPr>
          <w:t>3</w:t>
        </w:r>
      </w:fldSimple>
      <w:bookmarkEnd w:id="29"/>
      <w:r w:rsidRPr="00D343CC">
        <w:t>:</w:t>
      </w:r>
      <w:r w:rsidRPr="00F41B93">
        <w:t xml:space="preserve"> Efficacy responses by randomized treatment group through Week 152</w:t>
      </w:r>
      <w:r>
        <w:t xml:space="preserve"> in BE SURE / BE BRIGHT</w:t>
      </w:r>
    </w:p>
    <w:p w14:paraId="010AF138" w14:textId="77777777" w:rsidR="00CD5510" w:rsidRDefault="00CD5510" w:rsidP="00CD5510">
      <w:r w:rsidRPr="002711C1">
        <w:rPr>
          <w:rFonts w:asciiTheme="minorHAnsi" w:hAnsiTheme="minorHAnsi" w:cstheme="minorHAnsi"/>
          <w:noProof/>
        </w:rPr>
        <w:drawing>
          <wp:inline distT="0" distB="0" distL="0" distR="0" wp14:anchorId="5FC00BB3" wp14:editId="6B1D3C9A">
            <wp:extent cx="3357562" cy="5355894"/>
            <wp:effectExtent l="19050" t="0" r="0" b="0"/>
            <wp:docPr id="572" name="Picture 572" descr="Figure 3: Efficacy responses by randomized treatment group through Week 152 in BE SURE / BE B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572" descr="Figure 3: Efficacy responses by randomized treatment group through Week 152 in BE SURE / BE BRIGHT"/>
                    <pic:cNvPicPr/>
                  </pic:nvPicPr>
                  <pic:blipFill>
                    <a:blip r:embed="rId10" cstate="email">
                      <a:lum contrast="10000"/>
                      <a:extLst>
                        <a:ext uri="{28A0092B-C50C-407E-A947-70E740481C1C}">
                          <a14:useLocalDpi xmlns:a14="http://schemas.microsoft.com/office/drawing/2010/main"/>
                        </a:ext>
                      </a:extLst>
                    </a:blip>
                    <a:stretch>
                      <a:fillRect/>
                    </a:stretch>
                  </pic:blipFill>
                  <pic:spPr>
                    <a:xfrm>
                      <a:off x="0" y="0"/>
                      <a:ext cx="3359191" cy="5358493"/>
                    </a:xfrm>
                    <a:prstGeom prst="rect">
                      <a:avLst/>
                    </a:prstGeom>
                  </pic:spPr>
                </pic:pic>
              </a:graphicData>
            </a:graphic>
          </wp:inline>
        </w:drawing>
      </w:r>
    </w:p>
    <w:p w14:paraId="1BD4AC8A" w14:textId="6B9DEDFD" w:rsidR="00CD5510" w:rsidRDefault="00CD5510" w:rsidP="00CD5510">
      <w:pPr>
        <w:pStyle w:val="FooterTableFigure"/>
      </w:pPr>
      <w:r w:rsidRPr="00543BE6">
        <w:t xml:space="preserve">Source: </w:t>
      </w:r>
      <w:r>
        <w:t>Figure 2-12</w:t>
      </w:r>
      <w:r w:rsidRPr="00543BE6">
        <w:t xml:space="preserve">, </w:t>
      </w:r>
      <w:r>
        <w:t>p104</w:t>
      </w:r>
      <w:r w:rsidR="000A02B9">
        <w:t xml:space="preserve"> of the current </w:t>
      </w:r>
      <w:r w:rsidRPr="00543BE6">
        <w:t>submission.</w:t>
      </w:r>
    </w:p>
    <w:p w14:paraId="48EBF0A4" w14:textId="6F274EF9" w:rsidR="00CD5510" w:rsidRDefault="00CD5510" w:rsidP="00CD5510">
      <w:pPr>
        <w:pStyle w:val="FooterTableFigure"/>
      </w:pPr>
      <w:r>
        <w:t>: ADA = adalimumab; BKZ = bimekizumab; DLQI = Dermatology Life Quality Index; Q4W = every 4 weeks; Q8W = every 8 weeks.</w:t>
      </w:r>
    </w:p>
    <w:p w14:paraId="1E7BA600" w14:textId="77777777" w:rsidR="00CD5510" w:rsidRPr="00042621" w:rsidRDefault="00CD5510" w:rsidP="00CD5510">
      <w:pPr>
        <w:pStyle w:val="FooterTableFigure"/>
      </w:pPr>
      <w:r w:rsidRPr="00042621">
        <w:t>BKZ Q4W regimen: Baseline N = 158, Week 56 N = 140, Week 104 N =129 Week 152 N = 123.</w:t>
      </w:r>
    </w:p>
    <w:p w14:paraId="089C04B4" w14:textId="77777777" w:rsidR="00CD5510" w:rsidRPr="00042621" w:rsidRDefault="00CD5510" w:rsidP="00CD5510">
      <w:pPr>
        <w:pStyle w:val="FooterTableFigure"/>
      </w:pPr>
      <w:r w:rsidRPr="00042621">
        <w:t>BKZ Q4W/Q8W regimen: Baseline N =161, Week 56 N = 143, Week 104 N = 126; Week 152 N = 115.</w:t>
      </w:r>
    </w:p>
    <w:p w14:paraId="646D116E" w14:textId="77777777" w:rsidR="00CD5510" w:rsidRPr="00042621" w:rsidRDefault="00CD5510" w:rsidP="00CD5510">
      <w:pPr>
        <w:pStyle w:val="FooterTableFigure"/>
      </w:pPr>
      <w:r w:rsidRPr="00042621">
        <w:t>ADA/BKZ Q4W/Q8W regimen: Baseline N = 159, Week 56 N =133, Week 104 N = 123; Week 152 N = 114.</w:t>
      </w:r>
    </w:p>
    <w:p w14:paraId="1AD6129D" w14:textId="390EFEF3" w:rsidR="00A64472" w:rsidRDefault="00A64472" w:rsidP="00A64472">
      <w:pPr>
        <w:pStyle w:val="3-BodyText"/>
      </w:pPr>
      <w:r>
        <w:fldChar w:fldCharType="begin"/>
      </w:r>
      <w:r>
        <w:instrText xml:space="preserve"> REF _Ref123831908 \h </w:instrText>
      </w:r>
      <w:r>
        <w:fldChar w:fldCharType="separate"/>
      </w:r>
      <w:r w:rsidR="003F1ED3">
        <w:t xml:space="preserve">Figure </w:t>
      </w:r>
      <w:r w:rsidR="003F1ED3">
        <w:rPr>
          <w:noProof/>
        </w:rPr>
        <w:t>4</w:t>
      </w:r>
      <w:r>
        <w:fldChar w:fldCharType="end"/>
      </w:r>
      <w:r>
        <w:t xml:space="preserve"> and </w:t>
      </w:r>
      <w:r>
        <w:fldChar w:fldCharType="begin"/>
      </w:r>
      <w:r>
        <w:instrText xml:space="preserve"> REF _Ref123832056 \h </w:instrText>
      </w:r>
      <w:r>
        <w:fldChar w:fldCharType="separate"/>
      </w:r>
      <w:r w:rsidR="003F1ED3">
        <w:t xml:space="preserve">Figure </w:t>
      </w:r>
      <w:r w:rsidR="003F1ED3">
        <w:rPr>
          <w:noProof/>
        </w:rPr>
        <w:t>5</w:t>
      </w:r>
      <w:r>
        <w:fldChar w:fldCharType="end"/>
      </w:r>
      <w:r>
        <w:t xml:space="preserve"> presents new long-term efficacy data from the BE RADIANT open label extension study, reported by Lebwohl 2022 and Kokolakis 2022 respectively.</w:t>
      </w:r>
    </w:p>
    <w:p w14:paraId="1A9E9878" w14:textId="159EE3E6" w:rsidR="00CD5510" w:rsidRPr="00CD5510" w:rsidRDefault="00CD5510" w:rsidP="00CD5510">
      <w:pPr>
        <w:pStyle w:val="Caption"/>
      </w:pPr>
      <w:bookmarkStart w:id="30" w:name="_Ref123831908"/>
      <w:r>
        <w:lastRenderedPageBreak/>
        <w:t xml:space="preserve">Figure </w:t>
      </w:r>
      <w:fldSimple w:instr=" SEQ Figure \* ARABIC ">
        <w:r w:rsidR="003F1ED3">
          <w:rPr>
            <w:noProof/>
          </w:rPr>
          <w:t>4</w:t>
        </w:r>
      </w:fldSimple>
      <w:bookmarkEnd w:id="30"/>
      <w:r w:rsidRPr="003A786D">
        <w:t>: Total AUC and cumulative benefit through 48 weeks and 96 weeks for clinical and HRQoL outcomes</w:t>
      </w:r>
      <w:r>
        <w:t xml:space="preserve"> in BE RADIANT,</w:t>
      </w:r>
      <w:r w:rsidRPr="003A786D">
        <w:t xml:space="preserve"> mNRI</w:t>
      </w:r>
      <w:r>
        <w:t>^</w:t>
      </w:r>
    </w:p>
    <w:p w14:paraId="514BE0C6" w14:textId="77777777" w:rsidR="00CD5510" w:rsidRDefault="00CD5510" w:rsidP="00CD5510">
      <w:r w:rsidRPr="006A6076">
        <w:rPr>
          <w:noProof/>
        </w:rPr>
        <w:drawing>
          <wp:inline distT="0" distB="0" distL="0" distR="0" wp14:anchorId="3D00249A" wp14:editId="724E2EE2">
            <wp:extent cx="5732145" cy="1204529"/>
            <wp:effectExtent l="0" t="0" r="1905" b="0"/>
            <wp:docPr id="573" name="Picture 573" descr="Figure 4: Total AUC and cumulative benefit through 48 weeks and 96 weeks for clinical and HRQoL outcomes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573" descr="Figure 4: Total AUC and cumulative benefit through 48 weeks and 96 weeks for clinical and HRQoL outcomes in BE RADIANT, mNRI^"/>
                    <pic:cNvPicPr/>
                  </pic:nvPicPr>
                  <pic:blipFill>
                    <a:blip r:embed="rId11" cstate="screen">
                      <a:extLst>
                        <a:ext uri="{28A0092B-C50C-407E-A947-70E740481C1C}">
                          <a14:useLocalDpi xmlns:a14="http://schemas.microsoft.com/office/drawing/2010/main"/>
                        </a:ext>
                      </a:extLst>
                    </a:blip>
                    <a:stretch>
                      <a:fillRect/>
                    </a:stretch>
                  </pic:blipFill>
                  <pic:spPr>
                    <a:xfrm>
                      <a:off x="0" y="0"/>
                      <a:ext cx="5732145" cy="1204529"/>
                    </a:xfrm>
                    <a:prstGeom prst="rect">
                      <a:avLst/>
                    </a:prstGeom>
                  </pic:spPr>
                </pic:pic>
              </a:graphicData>
            </a:graphic>
          </wp:inline>
        </w:drawing>
      </w:r>
    </w:p>
    <w:p w14:paraId="66FAFA12" w14:textId="2FACFE8F" w:rsidR="00CD5510" w:rsidRDefault="00CD5510" w:rsidP="00CD5510">
      <w:pPr>
        <w:pStyle w:val="FooterTableFigure"/>
        <w:spacing w:before="120"/>
      </w:pPr>
      <w:r w:rsidRPr="00543BE6">
        <w:t xml:space="preserve">Source: </w:t>
      </w:r>
      <w:r>
        <w:t>Figure 2-13</w:t>
      </w:r>
      <w:r w:rsidRPr="00543BE6">
        <w:t xml:space="preserve">, </w:t>
      </w:r>
      <w:r>
        <w:t>p106</w:t>
      </w:r>
      <w:r w:rsidRPr="00543BE6">
        <w:t xml:space="preserve"> of</w:t>
      </w:r>
      <w:r w:rsidR="000A02B9">
        <w:t xml:space="preserve"> the current </w:t>
      </w:r>
      <w:r w:rsidRPr="00543BE6">
        <w:t>submission.</w:t>
      </w:r>
    </w:p>
    <w:p w14:paraId="45588531" w14:textId="10B07916" w:rsidR="00CD5510" w:rsidRDefault="00CD5510" w:rsidP="00CD5510">
      <w:pPr>
        <w:pStyle w:val="FooterTableFigure"/>
      </w:pPr>
      <w:r>
        <w:t>AUC = area under the curve; BKZ = bimeki</w:t>
      </w:r>
      <w:r w:rsidR="00115B4B">
        <w:t>z</w:t>
      </w:r>
      <w:r>
        <w:t>umab; DLQI = Dermatology Life Quality Index; HRQoL = health-related quality of life; SEC = secukinumab; mNRI=modified non-responder imputation</w:t>
      </w:r>
    </w:p>
    <w:p w14:paraId="6FFA7DEB" w14:textId="77777777" w:rsidR="00CD5510" w:rsidRDefault="00CD5510" w:rsidP="00CD5510">
      <w:pPr>
        <w:pStyle w:val="FooterTableFigure"/>
        <w:ind w:left="165" w:hanging="165"/>
      </w:pPr>
      <w:r>
        <w:t>^</w:t>
      </w:r>
      <w:r>
        <w:tab/>
        <w:t>patients who discontinued due to lack of efficacy were considered non-responders at subsequent timepoints; multiple imputation was used for all other missing data.</w:t>
      </w:r>
    </w:p>
    <w:p w14:paraId="77BD8765" w14:textId="77777777" w:rsidR="00CD5510" w:rsidRPr="00543BE6" w:rsidRDefault="00CD5510" w:rsidP="00CD5510">
      <w:pPr>
        <w:pStyle w:val="FooterTableFigure"/>
        <w:ind w:left="165" w:hanging="165"/>
      </w:pPr>
      <w:r>
        <w:t>BKZ N (baseline) = 373; SEC N (baseline) = 370</w:t>
      </w:r>
    </w:p>
    <w:p w14:paraId="18DC6CE6" w14:textId="5827A700" w:rsidR="00A64472" w:rsidRPr="003024D8" w:rsidRDefault="00A64472" w:rsidP="00A64472">
      <w:pPr>
        <w:pStyle w:val="Caption"/>
        <w:rPr>
          <w:i/>
          <w:iCs/>
        </w:rPr>
      </w:pPr>
      <w:bookmarkStart w:id="31" w:name="_Ref123832056"/>
      <w:r>
        <w:t xml:space="preserve">Figure </w:t>
      </w:r>
      <w:fldSimple w:instr=" SEQ Figure \* ARABIC ">
        <w:r w:rsidR="003F1ED3">
          <w:rPr>
            <w:noProof/>
          </w:rPr>
          <w:t>5</w:t>
        </w:r>
      </w:fldSimple>
      <w:bookmarkEnd w:id="31"/>
      <w:r>
        <w:t>:</w:t>
      </w:r>
      <w:r w:rsidRPr="003A786D">
        <w:t xml:space="preserve"> </w:t>
      </w:r>
      <w:r>
        <w:t>Percentage of patients with no symptoms in the itching, skin pain and scaling items on the P-SIM (score 0), and no effect of skin disease on patients life in the DLQI (score 0/1) in BE RADIANT, mNRI^</w:t>
      </w:r>
    </w:p>
    <w:p w14:paraId="5B4A618F" w14:textId="77777777" w:rsidR="00A64472" w:rsidRDefault="00A64472" w:rsidP="00A64472">
      <w:pPr>
        <w:rPr>
          <w:b/>
          <w:bCs/>
        </w:rPr>
      </w:pPr>
      <w:r>
        <w:rPr>
          <w:noProof/>
        </w:rPr>
        <w:drawing>
          <wp:inline distT="0" distB="0" distL="0" distR="0" wp14:anchorId="315DC9AD" wp14:editId="733FABF7">
            <wp:extent cx="5732145" cy="2279015"/>
            <wp:effectExtent l="0" t="0" r="1905" b="6985"/>
            <wp:docPr id="575" name="Picture 575" descr="Figure 5: Percentage of patients with no symptoms in the itching, skin pain and scaling items on the P-SIM (score 0), and no effect of skin disease on patients life in the DLQI (score 0/1)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575" descr="Figure 5: Percentage of patients with no symptoms in the itching, skin pain and scaling items on the P-SIM (score 0), and no effect of skin disease on patients life in the DLQI (score 0/1) in BE RADIANT, mNRI^"/>
                    <pic:cNvPicPr/>
                  </pic:nvPicPr>
                  <pic:blipFill>
                    <a:blip r:embed="rId12" cstate="screen">
                      <a:extLst>
                        <a:ext uri="{28A0092B-C50C-407E-A947-70E740481C1C}">
                          <a14:useLocalDpi xmlns:a14="http://schemas.microsoft.com/office/drawing/2010/main"/>
                        </a:ext>
                      </a:extLst>
                    </a:blip>
                    <a:stretch>
                      <a:fillRect/>
                    </a:stretch>
                  </pic:blipFill>
                  <pic:spPr>
                    <a:xfrm>
                      <a:off x="0" y="0"/>
                      <a:ext cx="5732145" cy="2279015"/>
                    </a:xfrm>
                    <a:prstGeom prst="rect">
                      <a:avLst/>
                    </a:prstGeom>
                  </pic:spPr>
                </pic:pic>
              </a:graphicData>
            </a:graphic>
          </wp:inline>
        </w:drawing>
      </w:r>
    </w:p>
    <w:p w14:paraId="4F8D9905" w14:textId="77777777" w:rsidR="00A64472" w:rsidRDefault="00A64472" w:rsidP="00A64472">
      <w:pPr>
        <w:jc w:val="center"/>
        <w:rPr>
          <w:b/>
          <w:bCs/>
        </w:rPr>
      </w:pPr>
      <w:r>
        <w:rPr>
          <w:noProof/>
        </w:rPr>
        <w:drawing>
          <wp:inline distT="0" distB="0" distL="0" distR="0" wp14:anchorId="304A14E1" wp14:editId="0BA5FB14">
            <wp:extent cx="2083111" cy="190500"/>
            <wp:effectExtent l="0" t="0" r="0" b="0"/>
            <wp:docPr id="352" name="Picture 352" descr="Legend for Figure 5: Percentage of patients with no symptoms in the itching, skin pain and scaling items on the P-SIM (score 0), and no effect of skin disease on patients life in the DLQI (score 0/1)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Legend for Figure 5: Percentage of patients with no symptoms in the itching, skin pain and scaling items on the P-SIM (score 0), and no effect of skin disease on patients life in the DLQI (score 0/1) in BE RADIANT, mNRI^"/>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165148" cy="198002"/>
                    </a:xfrm>
                    <a:prstGeom prst="rect">
                      <a:avLst/>
                    </a:prstGeom>
                    <a:ln>
                      <a:noFill/>
                    </a:ln>
                    <a:extLst>
                      <a:ext uri="{53640926-AAD7-44D8-BBD7-CCE9431645EC}">
                        <a14:shadowObscured xmlns:a14="http://schemas.microsoft.com/office/drawing/2010/main"/>
                      </a:ext>
                    </a:extLst>
                  </pic:spPr>
                </pic:pic>
              </a:graphicData>
            </a:graphic>
          </wp:inline>
        </w:drawing>
      </w:r>
    </w:p>
    <w:p w14:paraId="06342824" w14:textId="7484E295" w:rsidR="00A64472" w:rsidRDefault="00A64472" w:rsidP="00A64472">
      <w:pPr>
        <w:pStyle w:val="FooterTableFigure"/>
        <w:ind w:left="165" w:hanging="165"/>
      </w:pPr>
      <w:r>
        <w:t>Sou</w:t>
      </w:r>
      <w:r w:rsidR="000A02B9">
        <w:t xml:space="preserve">rce: Figure 2-14, p108 of the current </w:t>
      </w:r>
      <w:r>
        <w:t>submission</w:t>
      </w:r>
    </w:p>
    <w:p w14:paraId="19F49FF5" w14:textId="177DC906" w:rsidR="00A64472" w:rsidRDefault="00A64472" w:rsidP="00A64472">
      <w:pPr>
        <w:pStyle w:val="FooterTableFigure"/>
      </w:pPr>
      <w:r>
        <w:t>OLE=open label extension; BKZ = bimekixumab; DLQI = Dermatology Life Quality Index; SEC = secukinumab; mNRI=modified non-responder imputation; P-SIM=Psoriasis Symptoms and Impacts Measure</w:t>
      </w:r>
    </w:p>
    <w:p w14:paraId="58A93A4B" w14:textId="77777777" w:rsidR="00A64472" w:rsidRDefault="00A64472" w:rsidP="00A64472">
      <w:pPr>
        <w:pStyle w:val="FooterTableFigure"/>
        <w:ind w:left="165" w:hanging="165"/>
      </w:pPr>
      <w:r>
        <w:t>^</w:t>
      </w:r>
      <w:r>
        <w:tab/>
        <w:t>patients who discontinued due to lack of efficacy were considered non-responders at subsequent timepoints; multiple imputation was used for all other missing data.</w:t>
      </w:r>
    </w:p>
    <w:p w14:paraId="6F2E233D" w14:textId="77777777" w:rsidR="00A64472" w:rsidRPr="0055624C" w:rsidRDefault="00A64472" w:rsidP="00A64472">
      <w:pPr>
        <w:pStyle w:val="FooterTableFigure"/>
        <w:ind w:left="165" w:hanging="165"/>
      </w:pPr>
      <w:r w:rsidRPr="0055624C">
        <w:t>BKZ regimen: Baseline N= 336; Week 48 N = 327; Week 72 N = 318; Week 96 N = 307.</w:t>
      </w:r>
    </w:p>
    <w:p w14:paraId="580ACCC0" w14:textId="77777777" w:rsidR="00A64472" w:rsidRPr="0055624C" w:rsidRDefault="00A64472" w:rsidP="00A64472">
      <w:pPr>
        <w:pStyle w:val="FooterTableFigure"/>
        <w:ind w:left="165" w:hanging="165"/>
      </w:pPr>
      <w:r w:rsidRPr="0055624C">
        <w:t>SEC regimen: Baseline N= 318; Week 48 N = 313; Week 72 N = 297; Week 96 N = 287.</w:t>
      </w:r>
    </w:p>
    <w:p w14:paraId="277CD069" w14:textId="2C29B167" w:rsidR="000D4833" w:rsidRDefault="000D4833" w:rsidP="000D4833">
      <w:pPr>
        <w:pStyle w:val="3-BodyText"/>
      </w:pPr>
      <w:r>
        <w:fldChar w:fldCharType="begin"/>
      </w:r>
      <w:r>
        <w:instrText xml:space="preserve"> REF _Ref123831908 \h </w:instrText>
      </w:r>
      <w:r>
        <w:fldChar w:fldCharType="separate"/>
      </w:r>
      <w:r w:rsidR="003F1ED3">
        <w:t xml:space="preserve">Figure </w:t>
      </w:r>
      <w:r w:rsidR="003F1ED3">
        <w:rPr>
          <w:noProof/>
        </w:rPr>
        <w:t>4</w:t>
      </w:r>
      <w:r>
        <w:fldChar w:fldCharType="end"/>
      </w:r>
      <w:r>
        <w:t xml:space="preserve"> showed that for PASI 90, PASI 100 and DLQI 0/1 responses the estimated number of days with treatment response through to Week 48 was higher with BKZ versus SEC. Among patients randomised to SEC, there was an increase in the proportion of patients meeting the response criteria after Week 48 when patients switched to BKZ, but the cumulative benefit remained lower through to Week 96 compared to patients treated with BKZ straight through.</w:t>
      </w:r>
    </w:p>
    <w:p w14:paraId="110A8313" w14:textId="578651FE" w:rsidR="001102F5" w:rsidRDefault="000D4833" w:rsidP="00396B59">
      <w:pPr>
        <w:pStyle w:val="3-BodyText"/>
      </w:pPr>
      <w:r>
        <w:fldChar w:fldCharType="begin"/>
      </w:r>
      <w:r>
        <w:instrText xml:space="preserve"> REF _Ref123832056 \h </w:instrText>
      </w:r>
      <w:r>
        <w:fldChar w:fldCharType="separate"/>
      </w:r>
      <w:r w:rsidR="003F1ED3">
        <w:t xml:space="preserve">Figure </w:t>
      </w:r>
      <w:r w:rsidR="003F1ED3">
        <w:rPr>
          <w:noProof/>
        </w:rPr>
        <w:t>5</w:t>
      </w:r>
      <w:r>
        <w:fldChar w:fldCharType="end"/>
      </w:r>
      <w:r>
        <w:t xml:space="preserve"> </w:t>
      </w:r>
      <w:r w:rsidR="00396B59">
        <w:t xml:space="preserve">showed that a high proportion of patients treated with BKZ in BE RADIANT achieved a score of 0 for itching, skin pain and scaling items on the Psoriasis Symptoms </w:t>
      </w:r>
      <w:r w:rsidR="00396B59">
        <w:lastRenderedPageBreak/>
        <w:t xml:space="preserve">and Impacts Measure (P-SIM), or a score of 0/1 on the Dermatology Life Quality Index (DLQI). </w:t>
      </w:r>
      <w:bookmarkStart w:id="32" w:name="_Hlk123716456"/>
      <w:r w:rsidR="00396B59">
        <w:t>Patient response in patient reported outcomes was maintained to Week 96.</w:t>
      </w:r>
      <w:bookmarkEnd w:id="32"/>
    </w:p>
    <w:p w14:paraId="297B0C8C" w14:textId="70D3C185" w:rsidR="00EA48D9" w:rsidRPr="00EA48D9" w:rsidRDefault="00EA48D9" w:rsidP="00EA48D9">
      <w:pPr>
        <w:pStyle w:val="3-BodyText"/>
        <w:numPr>
          <w:ilvl w:val="0"/>
          <w:numId w:val="0"/>
        </w:numPr>
        <w:ind w:left="720" w:hanging="720"/>
        <w:outlineLvl w:val="3"/>
        <w:rPr>
          <w:u w:val="single"/>
        </w:rPr>
      </w:pPr>
      <w:r>
        <w:rPr>
          <w:u w:val="single"/>
        </w:rPr>
        <w:t>Subgroup analysis (psoriasis in high impact areas)</w:t>
      </w:r>
    </w:p>
    <w:p w14:paraId="31570D1E" w14:textId="2648B3B1" w:rsidR="00EA48D9" w:rsidRDefault="00396B59" w:rsidP="00EA48D9">
      <w:pPr>
        <w:pStyle w:val="3-BodyText"/>
      </w:pPr>
      <w:r>
        <w:t xml:space="preserve">The </w:t>
      </w:r>
      <w:r w:rsidR="000A02B9">
        <w:t xml:space="preserve">current </w:t>
      </w:r>
      <w:r>
        <w:t xml:space="preserve">submission also presented additional follow up data for patients with psoriasis affecting high impact areas, reported in two separate </w:t>
      </w:r>
      <w:r w:rsidRPr="004679C8">
        <w:rPr>
          <w:i/>
          <w:iCs/>
        </w:rPr>
        <w:t>post-hoc</w:t>
      </w:r>
      <w:r>
        <w:t xml:space="preserve"> analyses of patients enrolled in the key head-to-head RCTs by Warren 2022 and Merola 2022. </w:t>
      </w:r>
      <w:r w:rsidR="00EA48D9">
        <w:t xml:space="preserve">The analyses relied on three outcomes to define patients with regional involvement in high impact areas and complete clearance following treatment: </w:t>
      </w:r>
    </w:p>
    <w:p w14:paraId="739F0812" w14:textId="77777777" w:rsidR="00EA48D9" w:rsidRDefault="00EA48D9" w:rsidP="00F8704E">
      <w:pPr>
        <w:pStyle w:val="ListParagraph"/>
        <w:numPr>
          <w:ilvl w:val="0"/>
          <w:numId w:val="14"/>
        </w:numPr>
        <w:ind w:left="1134" w:hanging="338"/>
      </w:pPr>
      <w:r>
        <w:t>modified Nail Psoriasis Severity Index (mNAPSI); The mNAPSI is one of several measures to assess nail involvement in psoriasis (pitting, onycholysis, and crumbling), the score for an individual nail ranging from 0 to 13 (maximum 130, the sum of all scores).</w:t>
      </w:r>
    </w:p>
    <w:p w14:paraId="37058204" w14:textId="77777777" w:rsidR="00EA48D9" w:rsidRDefault="00EA48D9" w:rsidP="00F8704E">
      <w:pPr>
        <w:pStyle w:val="ListParagraph"/>
        <w:numPr>
          <w:ilvl w:val="0"/>
          <w:numId w:val="14"/>
        </w:numPr>
        <w:ind w:left="1134" w:hanging="338"/>
      </w:pPr>
      <w:r>
        <w:t>scalp Investigators Global Assessment (scalp IGA); A five point scale to assess scalp lesions in terms of redness, thickness and scaliness.</w:t>
      </w:r>
    </w:p>
    <w:p w14:paraId="6959A772" w14:textId="77777777" w:rsidR="00EA48D9" w:rsidRDefault="00EA48D9" w:rsidP="00F8704E">
      <w:pPr>
        <w:pStyle w:val="ListParagraph"/>
        <w:numPr>
          <w:ilvl w:val="0"/>
          <w:numId w:val="14"/>
        </w:numPr>
        <w:ind w:left="1134" w:hanging="338"/>
      </w:pPr>
      <w:r>
        <w:t>palmoplantar Investigators Global Assessment (palmoplantar IGA); A five point scale to assess palmoplantar disease in terms of redness, thickness and scaliness.</w:t>
      </w:r>
    </w:p>
    <w:p w14:paraId="2F3B9C4F" w14:textId="1C78FA49" w:rsidR="00396B59" w:rsidRDefault="00396B59" w:rsidP="00396B59">
      <w:pPr>
        <w:pStyle w:val="3-BodyText"/>
      </w:pPr>
      <w:r w:rsidRPr="00396B59">
        <w:t>The first analysis by Warren 2022 focused on patients with regional involvement of the nails (mNAPSI ≥10) or scalp (scalp IGA ≥ 3) enrolled in BE SURE, BE VIVID and BE RADIANT, who were randomised to the active comparator arm and subsequently switched to BKZ. The analysis found that a high proportion of patients with regional involvement of the nails or scalp who did not achieve complete clearance with ADA, SEC or UST subsequently achieved complete clearance after switching to BKZ, and results were maintained over time.</w:t>
      </w:r>
    </w:p>
    <w:p w14:paraId="15855CDC" w14:textId="68267B17" w:rsidR="00396B59" w:rsidRDefault="00396B59" w:rsidP="00396B59">
      <w:pPr>
        <w:pStyle w:val="3-BodyText"/>
      </w:pPr>
      <w:r w:rsidRPr="00396B59">
        <w:t>The second analysis by Merola 2022 focused on patients with regional involvement of the nails (mNAPSI ≥10), scalp (scalp IGA ≥3) or soles/palms (palmoplantar IGA ≥3) enrolled in BE SURE and BE RADIANT, who were randomised to BKZ (specifically those treated with BKZ Q4W/Q4W/Q4W or BKZ Q4W/Q8W/Q8W over different trial phases). The analysis found a high proportion of patients achieved complete clearance of the scalp and palmoplantar regions, and complete clearance of the nails increased over the first year reflecting the longer time scales required for nail growth and repair.</w:t>
      </w:r>
    </w:p>
    <w:p w14:paraId="6A930910" w14:textId="501995A7" w:rsidR="00396B59" w:rsidRPr="0055624C" w:rsidRDefault="00396B59" w:rsidP="00396B59">
      <w:pPr>
        <w:pStyle w:val="3-BodyText"/>
      </w:pPr>
      <w:r w:rsidRPr="0055624C">
        <w:t xml:space="preserve">Consistent with the follow-up data of the ITT population, the data presented for patients with CPP in a high impact area suggested that patients without an adequate response to other biologics (ADA, UST, SEC) would likely benefit from switching to BKZ and that the benefits would likely be maintained for at least one year. The </w:t>
      </w:r>
      <w:r w:rsidR="000A02B9" w:rsidRPr="0055624C">
        <w:t xml:space="preserve">current </w:t>
      </w:r>
      <w:r w:rsidRPr="0055624C">
        <w:t>submission did not present any data comparing the effectiveness of BKZ versus other biologics at the same time point for patients with CPP in a high impact area. Although not the same population, the proportion with complete nail clearance and complete scalp clearance was similar after 48 weeks of SEC in Warren 2022 (59.3% and 80.5% respectively) and 48 weeks of BKZ in Merola 2022 (54-72%, and 88-89% respectively, depending on the regimen).</w:t>
      </w:r>
    </w:p>
    <w:p w14:paraId="1452C351" w14:textId="0D19F1B0" w:rsidR="00B60939" w:rsidRPr="00C9624D" w:rsidRDefault="00B60939" w:rsidP="00D86231">
      <w:pPr>
        <w:pStyle w:val="4-SubsectionHeading"/>
      </w:pPr>
      <w:bookmarkStart w:id="33" w:name="_Toc22897642"/>
      <w:bookmarkStart w:id="34" w:name="_Toc124838630"/>
      <w:r w:rsidRPr="00C9624D">
        <w:lastRenderedPageBreak/>
        <w:t>Comparative harms</w:t>
      </w:r>
      <w:bookmarkEnd w:id="33"/>
      <w:bookmarkEnd w:id="34"/>
    </w:p>
    <w:p w14:paraId="1123B681" w14:textId="6E9437A1" w:rsidR="00B06A91" w:rsidRPr="0037735E" w:rsidRDefault="00B06A91" w:rsidP="001F6B95">
      <w:pPr>
        <w:pStyle w:val="3-BodyText"/>
      </w:pPr>
      <w:r>
        <w:t xml:space="preserve">The </w:t>
      </w:r>
      <w:r w:rsidR="000A02B9">
        <w:t xml:space="preserve">current </w:t>
      </w:r>
      <w:r>
        <w:t xml:space="preserve">submission presented additional safety data from the </w:t>
      </w:r>
      <w:r w:rsidRPr="0037735E">
        <w:t>Periodic Safety Update Report (</w:t>
      </w:r>
      <w:r w:rsidRPr="00B06A91">
        <w:t>PSUR</w:t>
      </w:r>
      <w:r>
        <w:t>)</w:t>
      </w:r>
      <w:r w:rsidRPr="00B06A91">
        <w:t xml:space="preserve">, which was unavailable </w:t>
      </w:r>
      <w:r w:rsidR="00385FDE">
        <w:t xml:space="preserve">for </w:t>
      </w:r>
      <w:r w:rsidR="00D82115">
        <w:t>the</w:t>
      </w:r>
      <w:r w:rsidRPr="00B06A91">
        <w:t xml:space="preserve"> March 2022</w:t>
      </w:r>
      <w:r w:rsidR="00385FDE">
        <w:t xml:space="preserve"> submission</w:t>
      </w:r>
      <w:r w:rsidRPr="00B06A91">
        <w:t xml:space="preserve">, </w:t>
      </w:r>
      <w:r>
        <w:t>and the results of a cohort study evaluating the 2 year safety profile of BKZ in patients with moderate to severe CPP (Gordon 2022</w:t>
      </w:r>
      <w:r w:rsidRPr="001F6B95">
        <w:t xml:space="preserve">). </w:t>
      </w:r>
      <w:r w:rsidR="00C87DF4" w:rsidRPr="001F6B95">
        <w:t xml:space="preserve">Gordon et al. </w:t>
      </w:r>
      <w:r w:rsidR="001F6B95" w:rsidRPr="001F6B95">
        <w:t xml:space="preserve">included pooled safety data from </w:t>
      </w:r>
      <w:r w:rsidR="001F6B95">
        <w:t>phase 2 and phase 3 trials (</w:t>
      </w:r>
      <w:r w:rsidR="001F6B95" w:rsidRPr="001F6B95">
        <w:rPr>
          <w:rFonts w:cstheme="minorHAnsi"/>
        </w:rPr>
        <w:t>BE ABLE 1, BE ABLE 2, PS0016, and PS0018, BE VIVID, BE READY, BE SURE, and BE BRIGHT</w:t>
      </w:r>
      <w:r w:rsidR="001F6B95">
        <w:rPr>
          <w:rFonts w:cstheme="minorHAnsi"/>
        </w:rPr>
        <w:t>) to include 2 years of study treatment</w:t>
      </w:r>
      <w:r w:rsidR="001F6B95" w:rsidRPr="001F6B95">
        <w:rPr>
          <w:rFonts w:cstheme="minorHAnsi"/>
        </w:rPr>
        <w:t>.</w:t>
      </w:r>
      <w:r w:rsidR="001F6B95">
        <w:rPr>
          <w:rFonts w:cstheme="minorHAnsi"/>
        </w:rPr>
        <w:t xml:space="preserve"> </w:t>
      </w:r>
      <w:r w:rsidRPr="0037735E">
        <w:t>The PS</w:t>
      </w:r>
      <w:r w:rsidR="0037735E">
        <w:t>U</w:t>
      </w:r>
      <w:r w:rsidRPr="0037735E">
        <w:t>R found no new important identified risks for the use of BKZ and the important potential risks include serious hypersensitivity reactions, serious infections, inflammatory bowel disease, major adverse cardiac events and malignancy. The benefit-risk balance of BKZ remained favourable for the use in the psoriasis indication. Gordon</w:t>
      </w:r>
      <w:r w:rsidR="00F33464">
        <w:t xml:space="preserve"> </w:t>
      </w:r>
      <w:r w:rsidRPr="0037735E">
        <w:t>et al</w:t>
      </w:r>
      <w:r w:rsidR="00F33464">
        <w:t xml:space="preserve"> </w:t>
      </w:r>
      <w:r w:rsidRPr="0037735E">
        <w:t>found no increased risk of AEs with longer duration of BKZ exposure.</w:t>
      </w:r>
    </w:p>
    <w:p w14:paraId="2FED8417" w14:textId="4085C75D" w:rsidR="00B06A91" w:rsidRDefault="00B06A91" w:rsidP="00863EF3">
      <w:pPr>
        <w:pStyle w:val="3-BodyText"/>
        <w:rPr>
          <w:rFonts w:ascii="Calibri" w:hAnsi="Calibri"/>
          <w:lang w:val="en-GB"/>
        </w:rPr>
      </w:pPr>
      <w:r w:rsidRPr="00B06A91">
        <w:rPr>
          <w:iCs/>
        </w:rPr>
        <w:t xml:space="preserve">From the March 2022 </w:t>
      </w:r>
      <w:r w:rsidR="00385FDE">
        <w:rPr>
          <w:iCs/>
        </w:rPr>
        <w:t xml:space="preserve">PBAC </w:t>
      </w:r>
      <w:r w:rsidRPr="00B06A91">
        <w:rPr>
          <w:iCs/>
        </w:rPr>
        <w:t>consideration it was noted that the overall rates of serious and severe treatment emergent adverse events (TEAEs), and discontinuation rates due to TEAEs were low across trials and treatments</w:t>
      </w:r>
      <w:r w:rsidR="00564673">
        <w:rPr>
          <w:iCs/>
        </w:rPr>
        <w:t xml:space="preserve"> following induction therapy</w:t>
      </w:r>
      <w:r w:rsidRPr="00B06A91">
        <w:rPr>
          <w:iCs/>
        </w:rPr>
        <w:t xml:space="preserve">, with no significant differences observed. </w:t>
      </w:r>
      <w:r w:rsidRPr="00151502">
        <w:t>The ITCs of BKZ versus RIS, IXE, GUS and TIL, with placebo as a common reference for the safety outcomes of serious adverse events (AEs), severe AEs, and discontinuation due to AEs</w:t>
      </w:r>
      <w:r>
        <w:t xml:space="preserve"> also </w:t>
      </w:r>
      <w:r w:rsidRPr="00151502">
        <w:t xml:space="preserve">showed no significant differences between BKZ and these comparators regarding these outcomes. The NMA for safety outcomes </w:t>
      </w:r>
      <w:r w:rsidR="00564673">
        <w:t xml:space="preserve">presented in the March 2022 submission </w:t>
      </w:r>
      <w:r w:rsidRPr="00151502">
        <w:t>comparing BKZ versus RIS, IXE, GUS and TIL showed similar results</w:t>
      </w:r>
      <w:r>
        <w:t>.</w:t>
      </w:r>
      <w:r w:rsidRPr="00151502">
        <w:t xml:space="preserve"> </w:t>
      </w:r>
      <w:r w:rsidRPr="00B06A91">
        <w:rPr>
          <w:rFonts w:ascii="Calibri" w:hAnsi="Calibri"/>
          <w:lang w:val="en-GB"/>
        </w:rPr>
        <w:t>The PBAC considered a claim of non-inferior safety compared to all currently PBS-listed bDMARDs was reasonable (paragraph 7.8, BKZ PSD, March 2022 PBAC meeting).</w:t>
      </w:r>
      <w:r w:rsidR="00863EF3">
        <w:rPr>
          <w:rFonts w:ascii="Calibri" w:hAnsi="Calibri"/>
          <w:lang w:val="en-GB"/>
        </w:rPr>
        <w:t xml:space="preserve"> </w:t>
      </w:r>
      <w:r w:rsidR="00863EF3" w:rsidRPr="0055624C">
        <w:rPr>
          <w:rFonts w:ascii="Calibri" w:hAnsi="Calibri"/>
          <w:lang w:val="en-GB"/>
        </w:rPr>
        <w:t>New evidence from Armstrong 2022a reported BKZ ranked poorly compared to a</w:t>
      </w:r>
      <w:r w:rsidR="00465ECE" w:rsidRPr="0055624C">
        <w:rPr>
          <w:rFonts w:ascii="Calibri" w:hAnsi="Calibri"/>
          <w:lang w:val="en-GB"/>
        </w:rPr>
        <w:t>lternative bDMARDs for any AE</w:t>
      </w:r>
      <w:r w:rsidR="007547FD" w:rsidRPr="0055624C">
        <w:rPr>
          <w:rFonts w:ascii="Calibri" w:hAnsi="Calibri"/>
          <w:lang w:val="en-GB"/>
        </w:rPr>
        <w:t>s</w:t>
      </w:r>
      <w:r w:rsidR="00465ECE" w:rsidRPr="0055624C">
        <w:rPr>
          <w:rFonts w:ascii="Calibri" w:hAnsi="Calibri"/>
          <w:lang w:val="en-GB"/>
        </w:rPr>
        <w:t xml:space="preserve"> evaluated between Weeks 48 and 56 after baseline</w:t>
      </w:r>
      <w:r w:rsidR="00863EF3" w:rsidRPr="0055624C">
        <w:rPr>
          <w:rFonts w:ascii="Calibri" w:hAnsi="Calibri"/>
          <w:lang w:val="en-GB"/>
        </w:rPr>
        <w:t xml:space="preserve"> (see Figure 1 above).</w:t>
      </w:r>
    </w:p>
    <w:p w14:paraId="673E0124" w14:textId="31E204D2" w:rsidR="00C055A4" w:rsidRPr="00011DAD" w:rsidRDefault="00C055A4" w:rsidP="00863EF3">
      <w:pPr>
        <w:pStyle w:val="3-BodyText"/>
        <w:rPr>
          <w:rFonts w:ascii="Calibri" w:hAnsi="Calibri"/>
          <w:lang w:val="en-GB"/>
        </w:rPr>
      </w:pPr>
      <w:r w:rsidRPr="00011DAD">
        <w:rPr>
          <w:rFonts w:ascii="Calibri" w:hAnsi="Calibri"/>
          <w:lang w:val="en-GB"/>
        </w:rPr>
        <w:t xml:space="preserve">The </w:t>
      </w:r>
      <w:r w:rsidR="00C44527" w:rsidRPr="00011DAD">
        <w:rPr>
          <w:rFonts w:ascii="Calibri" w:hAnsi="Calibri"/>
          <w:lang w:val="en-GB"/>
        </w:rPr>
        <w:t xml:space="preserve">PSCR </w:t>
      </w:r>
      <w:r w:rsidR="004F6301">
        <w:rPr>
          <w:rFonts w:ascii="Calibri" w:hAnsi="Calibri"/>
          <w:lang w:val="en-GB"/>
        </w:rPr>
        <w:t>stated</w:t>
      </w:r>
      <w:r w:rsidR="004F6301" w:rsidRPr="00011DAD">
        <w:rPr>
          <w:rFonts w:ascii="Calibri" w:hAnsi="Calibri"/>
          <w:lang w:val="en-GB"/>
        </w:rPr>
        <w:t xml:space="preserve"> </w:t>
      </w:r>
      <w:r w:rsidRPr="00011DAD">
        <w:rPr>
          <w:rFonts w:ascii="Calibri" w:hAnsi="Calibri"/>
          <w:lang w:val="en-GB"/>
        </w:rPr>
        <w:t>that IFX has been associated with important adverse events includ</w:t>
      </w:r>
      <w:r w:rsidR="004F6301">
        <w:rPr>
          <w:rFonts w:ascii="Calibri" w:hAnsi="Calibri"/>
          <w:lang w:val="en-GB"/>
        </w:rPr>
        <w:t>ing</w:t>
      </w:r>
      <w:r w:rsidRPr="00011DAD">
        <w:rPr>
          <w:rFonts w:ascii="Calibri" w:hAnsi="Calibri"/>
          <w:lang w:val="en-GB"/>
        </w:rPr>
        <w:t xml:space="preserve"> reactions (observed with both IV and SC formulations), serious infections and malignancy, including lymphoma. In addition, there can be challenges with IV administration and the development of anti-infliximab antibodies which may result in a lower response rate and dose escalation. </w:t>
      </w:r>
      <w:r w:rsidR="00F627A9" w:rsidRPr="00011DAD">
        <w:rPr>
          <w:rFonts w:ascii="Calibri" w:hAnsi="Calibri"/>
          <w:lang w:val="en-GB"/>
        </w:rPr>
        <w:t xml:space="preserve">The PSCR considered </w:t>
      </w:r>
      <w:r w:rsidRPr="00011DAD">
        <w:rPr>
          <w:rFonts w:ascii="Calibri" w:hAnsi="Calibri"/>
          <w:lang w:val="en-GB"/>
        </w:rPr>
        <w:t>i</w:t>
      </w:r>
      <w:r w:rsidR="004F6301">
        <w:rPr>
          <w:rFonts w:ascii="Calibri" w:hAnsi="Calibri"/>
          <w:lang w:val="en-GB"/>
        </w:rPr>
        <w:t>t</w:t>
      </w:r>
      <w:r w:rsidRPr="00011DAD">
        <w:rPr>
          <w:rFonts w:ascii="Calibri" w:hAnsi="Calibri"/>
          <w:lang w:val="en-GB"/>
        </w:rPr>
        <w:t xml:space="preserve"> likely that these safety concerns and administration challenges have contributed to the very low utilisation of IFX in Australia and globally for CPP. </w:t>
      </w:r>
      <w:r w:rsidR="00B80762">
        <w:rPr>
          <w:rFonts w:ascii="Calibri" w:hAnsi="Calibri"/>
          <w:lang w:val="en-GB"/>
        </w:rPr>
        <w:t xml:space="preserve">The PBAC considered the data presented in the current submission did not support BKZ being of superior safety to IFX. </w:t>
      </w:r>
    </w:p>
    <w:p w14:paraId="04908C7F" w14:textId="0A1C6303" w:rsidR="007F1017" w:rsidRPr="00C9624D" w:rsidRDefault="007F1017" w:rsidP="00D86231">
      <w:pPr>
        <w:pStyle w:val="4-SubsectionHeading"/>
      </w:pPr>
      <w:bookmarkStart w:id="35" w:name="_Toc22897643"/>
      <w:bookmarkStart w:id="36" w:name="_Toc124838631"/>
      <w:r w:rsidRPr="00C9624D">
        <w:t>Benefits/harms</w:t>
      </w:r>
      <w:bookmarkEnd w:id="35"/>
      <w:bookmarkEnd w:id="36"/>
    </w:p>
    <w:p w14:paraId="02B9BDE3" w14:textId="5781413E" w:rsidR="007A1345" w:rsidRDefault="00B07613" w:rsidP="00F06F5C">
      <w:pPr>
        <w:pStyle w:val="3-BodyText"/>
        <w:rPr>
          <w:snapToGrid/>
          <w:lang w:val="en-US"/>
        </w:rPr>
      </w:pPr>
      <w:r>
        <w:rPr>
          <w:snapToGrid/>
        </w:rPr>
        <w:t>Based on the included direct evidence</w:t>
      </w:r>
      <w:r w:rsidR="00385FDE">
        <w:rPr>
          <w:snapToGrid/>
        </w:rPr>
        <w:t>,</w:t>
      </w:r>
      <w:r>
        <w:rPr>
          <w:snapToGrid/>
        </w:rPr>
        <w:t xml:space="preserve"> BKZ is superior to ADA and UST for PASI 75 and PASI 90, and superior to SEC for PASI 90. For the indirect c</w:t>
      </w:r>
      <w:r w:rsidR="00F06F5C">
        <w:rPr>
          <w:snapToGrid/>
        </w:rPr>
        <w:t xml:space="preserve">omparisons including NMAs, the </w:t>
      </w:r>
      <w:r w:rsidR="00F06F5C">
        <w:rPr>
          <w:snapToGrid/>
          <w:lang w:val="en-US"/>
        </w:rPr>
        <w:t>differences</w:t>
      </w:r>
      <w:r>
        <w:rPr>
          <w:snapToGrid/>
          <w:lang w:val="en-US"/>
        </w:rPr>
        <w:t xml:space="preserve"> in outcomes varied in effect size and interpretation depending on the statistic and analysis and some analys</w:t>
      </w:r>
      <w:r w:rsidR="00F06F5C">
        <w:rPr>
          <w:snapToGrid/>
          <w:lang w:val="en-US"/>
        </w:rPr>
        <w:t>e</w:t>
      </w:r>
      <w:r>
        <w:rPr>
          <w:snapToGrid/>
          <w:lang w:val="en-US"/>
        </w:rPr>
        <w:t>s also did not report absolute differences. T</w:t>
      </w:r>
      <w:r w:rsidR="007A659F">
        <w:rPr>
          <w:snapToGrid/>
          <w:lang w:val="en-US"/>
        </w:rPr>
        <w:t xml:space="preserve">he </w:t>
      </w:r>
      <w:r w:rsidR="006F0978">
        <w:rPr>
          <w:snapToGrid/>
          <w:lang w:val="en-US"/>
        </w:rPr>
        <w:t xml:space="preserve">current </w:t>
      </w:r>
      <w:r w:rsidR="007A659F">
        <w:rPr>
          <w:snapToGrid/>
          <w:lang w:val="en-US"/>
        </w:rPr>
        <w:t>submission also did</w:t>
      </w:r>
      <w:r>
        <w:rPr>
          <w:snapToGrid/>
          <w:lang w:val="en-US"/>
        </w:rPr>
        <w:t xml:space="preserve"> not present any </w:t>
      </w:r>
      <w:r w:rsidR="007A659F">
        <w:rPr>
          <w:snapToGrid/>
          <w:lang w:val="en-US"/>
        </w:rPr>
        <w:t xml:space="preserve">new </w:t>
      </w:r>
      <w:r>
        <w:rPr>
          <w:snapToGrid/>
          <w:lang w:val="en-US"/>
        </w:rPr>
        <w:t xml:space="preserve">evidence </w:t>
      </w:r>
      <w:r w:rsidR="007A659F">
        <w:rPr>
          <w:snapToGrid/>
          <w:lang w:val="en-US"/>
        </w:rPr>
        <w:t>on harms or safety outcomes</w:t>
      </w:r>
      <w:r>
        <w:rPr>
          <w:snapToGrid/>
          <w:lang w:val="en-US"/>
        </w:rPr>
        <w:t xml:space="preserve">. For these reasons, the </w:t>
      </w:r>
      <w:r w:rsidR="00311D9B" w:rsidRPr="00311D9B">
        <w:rPr>
          <w:snapToGrid/>
          <w:lang w:val="en-US"/>
        </w:rPr>
        <w:t xml:space="preserve">benefits and harms table </w:t>
      </w:r>
      <w:r>
        <w:rPr>
          <w:snapToGrid/>
          <w:lang w:val="en-US"/>
        </w:rPr>
        <w:t xml:space="preserve">below is only presented </w:t>
      </w:r>
      <w:r>
        <w:rPr>
          <w:snapToGrid/>
          <w:lang w:val="en-US"/>
        </w:rPr>
        <w:lastRenderedPageBreak/>
        <w:t xml:space="preserve">for benefits based on the direct evidence. A </w:t>
      </w:r>
      <w:r w:rsidR="00267C9B">
        <w:rPr>
          <w:snapToGrid/>
          <w:lang w:val="en-US"/>
        </w:rPr>
        <w:t xml:space="preserve">summary of </w:t>
      </w:r>
      <w:r>
        <w:rPr>
          <w:snapToGrid/>
          <w:lang w:val="en-US"/>
        </w:rPr>
        <w:t xml:space="preserve">relative benefits of BKZ versus all comparators from all </w:t>
      </w:r>
      <w:r w:rsidR="00267C9B">
        <w:rPr>
          <w:snapToGrid/>
          <w:lang w:val="en-US"/>
        </w:rPr>
        <w:t xml:space="preserve">analyses </w:t>
      </w:r>
      <w:r>
        <w:rPr>
          <w:snapToGrid/>
          <w:lang w:val="en-US"/>
        </w:rPr>
        <w:t>is</w:t>
      </w:r>
      <w:r w:rsidR="00267C9B">
        <w:rPr>
          <w:snapToGrid/>
          <w:lang w:val="en-US"/>
        </w:rPr>
        <w:t xml:space="preserve"> presented in</w:t>
      </w:r>
      <w:r w:rsidR="00A44D63">
        <w:rPr>
          <w:snapToGrid/>
          <w:lang w:val="en-US"/>
        </w:rPr>
        <w:t xml:space="preserve"> </w:t>
      </w:r>
      <w:r w:rsidR="00A44D63">
        <w:rPr>
          <w:snapToGrid/>
          <w:lang w:val="en-US"/>
        </w:rPr>
        <w:fldChar w:fldCharType="begin"/>
      </w:r>
      <w:r w:rsidR="00A44D63">
        <w:rPr>
          <w:snapToGrid/>
          <w:lang w:val="en-US"/>
        </w:rPr>
        <w:instrText xml:space="preserve"> REF _Ref123899377 \h </w:instrText>
      </w:r>
      <w:r w:rsidR="00A44D63">
        <w:rPr>
          <w:snapToGrid/>
          <w:lang w:val="en-US"/>
        </w:rPr>
      </w:r>
      <w:r w:rsidR="00A44D63">
        <w:rPr>
          <w:snapToGrid/>
          <w:lang w:val="en-US"/>
        </w:rPr>
        <w:fldChar w:fldCharType="separate"/>
      </w:r>
      <w:r w:rsidR="003F1ED3">
        <w:t xml:space="preserve">Table </w:t>
      </w:r>
      <w:r w:rsidR="003F1ED3">
        <w:rPr>
          <w:noProof/>
        </w:rPr>
        <w:t>3</w:t>
      </w:r>
      <w:r w:rsidR="00A44D63">
        <w:rPr>
          <w:snapToGrid/>
          <w:lang w:val="en-US"/>
        </w:rPr>
        <w:fldChar w:fldCharType="end"/>
      </w:r>
      <w:r w:rsidR="00267C9B">
        <w:rPr>
          <w:snapToGrid/>
          <w:lang w:val="en-US"/>
        </w:rPr>
        <w:t>.</w:t>
      </w:r>
    </w:p>
    <w:p w14:paraId="7B2B291A" w14:textId="3720FC48" w:rsidR="00AD50D5" w:rsidRPr="00151502" w:rsidRDefault="00AD50D5" w:rsidP="00AD50D5">
      <w:pPr>
        <w:pStyle w:val="Caption"/>
      </w:pPr>
      <w:r>
        <w:t xml:space="preserve">Table </w:t>
      </w:r>
      <w:fldSimple w:instr=" SEQ Table \* ARABIC ">
        <w:r w:rsidR="003F1ED3">
          <w:rPr>
            <w:noProof/>
          </w:rPr>
          <w:t>5</w:t>
        </w:r>
      </w:fldSimple>
      <w:r w:rsidRPr="00151502">
        <w:t>: Summary of comparative benefits (PASI 75, PASI 90) for BKZ versus proposed comparators</w:t>
      </w:r>
    </w:p>
    <w:tbl>
      <w:tblPr>
        <w:tblW w:w="5000" w:type="pct"/>
        <w:tblCellMar>
          <w:left w:w="28" w:type="dxa"/>
          <w:right w:w="28" w:type="dxa"/>
        </w:tblCellMar>
        <w:tblLook w:val="04A0" w:firstRow="1" w:lastRow="0" w:firstColumn="1" w:lastColumn="0" w:noHBand="0" w:noVBand="1"/>
      </w:tblPr>
      <w:tblGrid>
        <w:gridCol w:w="2140"/>
        <w:gridCol w:w="1003"/>
        <w:gridCol w:w="1003"/>
        <w:gridCol w:w="1580"/>
        <w:gridCol w:w="851"/>
        <w:gridCol w:w="1003"/>
        <w:gridCol w:w="1437"/>
      </w:tblGrid>
      <w:tr w:rsidR="00AD50D5" w:rsidRPr="00151502" w14:paraId="1A09124A" w14:textId="77777777" w:rsidTr="008C582A">
        <w:trPr>
          <w:cantSplit/>
          <w:trHeight w:val="150"/>
          <w:tblHeader/>
        </w:trPr>
        <w:tc>
          <w:tcPr>
            <w:tcW w:w="11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D4B42B" w14:textId="77777777" w:rsidR="00AD50D5" w:rsidRPr="00151502" w:rsidRDefault="00AD50D5" w:rsidP="005824F0">
            <w:pPr>
              <w:pStyle w:val="In-tableHeading"/>
              <w:rPr>
                <w:lang w:val="en-AU"/>
              </w:rPr>
            </w:pPr>
            <w:r w:rsidRPr="00151502">
              <w:rPr>
                <w:lang w:val="en-AU"/>
              </w:rPr>
              <w:t>Comparison (Trial)</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1810BADA" w14:textId="77777777" w:rsidR="00AD50D5" w:rsidRPr="00151502" w:rsidRDefault="00AD50D5" w:rsidP="005824F0">
            <w:pPr>
              <w:pStyle w:val="In-tableHeading"/>
              <w:jc w:val="center"/>
              <w:rPr>
                <w:lang w:val="en-AU"/>
              </w:rPr>
            </w:pPr>
            <w:r w:rsidRPr="00151502">
              <w:rPr>
                <w:lang w:val="en-AU"/>
              </w:rPr>
              <w:t>BKZ</w:t>
            </w:r>
          </w:p>
          <w:p w14:paraId="54DCFFE1" w14:textId="77777777" w:rsidR="00AD50D5" w:rsidRPr="00151502" w:rsidRDefault="00AD50D5" w:rsidP="005824F0">
            <w:pPr>
              <w:pStyle w:val="In-tableHeading"/>
              <w:jc w:val="center"/>
              <w:rPr>
                <w:lang w:val="en-AU"/>
              </w:rPr>
            </w:pPr>
            <w:r w:rsidRPr="00151502">
              <w:rPr>
                <w:lang w:val="en-AU"/>
              </w:rPr>
              <w:t>n/N</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3D514DE7" w14:textId="77777777" w:rsidR="00AD50D5" w:rsidRPr="00151502" w:rsidRDefault="00AD50D5" w:rsidP="005824F0">
            <w:pPr>
              <w:pStyle w:val="In-tableHeading"/>
              <w:jc w:val="center"/>
              <w:rPr>
                <w:lang w:val="en-AU"/>
              </w:rPr>
            </w:pPr>
            <w:r w:rsidRPr="00151502">
              <w:rPr>
                <w:lang w:val="en-AU"/>
              </w:rPr>
              <w:t xml:space="preserve">Comparator </w:t>
            </w:r>
          </w:p>
          <w:p w14:paraId="732677B9" w14:textId="77777777" w:rsidR="00AD50D5" w:rsidRPr="00151502" w:rsidRDefault="00AD50D5" w:rsidP="005824F0">
            <w:pPr>
              <w:pStyle w:val="In-tableHeading"/>
              <w:jc w:val="center"/>
              <w:rPr>
                <w:lang w:val="en-AU"/>
              </w:rPr>
            </w:pPr>
            <w:r w:rsidRPr="00151502">
              <w:rPr>
                <w:lang w:val="en-AU"/>
              </w:rPr>
              <w:t>n/N</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5CBE81F" w14:textId="77777777" w:rsidR="00AD50D5" w:rsidRPr="00151502" w:rsidRDefault="00AD50D5" w:rsidP="005824F0">
            <w:pPr>
              <w:pStyle w:val="In-tableHeading"/>
              <w:jc w:val="center"/>
              <w:rPr>
                <w:lang w:val="en-AU"/>
              </w:rPr>
            </w:pPr>
            <w:r>
              <w:rPr>
                <w:lang w:val="en-AU"/>
              </w:rPr>
              <w:t>R</w:t>
            </w:r>
            <w:r w:rsidRPr="00151502">
              <w:rPr>
                <w:lang w:val="en-AU"/>
              </w:rPr>
              <w:t>R (95% CI)</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1A94C71A" w14:textId="77777777" w:rsidR="00AD50D5" w:rsidRPr="00151502" w:rsidRDefault="00AD50D5" w:rsidP="005824F0">
            <w:pPr>
              <w:pStyle w:val="In-tableHeading"/>
              <w:jc w:val="center"/>
              <w:rPr>
                <w:lang w:val="en-AU"/>
              </w:rPr>
            </w:pPr>
            <w:r w:rsidRPr="00151502">
              <w:rPr>
                <w:lang w:val="en-AU"/>
              </w:rPr>
              <w:t>Event rate/100 patients</w:t>
            </w:r>
          </w:p>
        </w:tc>
        <w:tc>
          <w:tcPr>
            <w:tcW w:w="796" w:type="pct"/>
            <w:tcBorders>
              <w:top w:val="single" w:sz="4" w:space="0" w:color="auto"/>
              <w:left w:val="single" w:sz="4" w:space="0" w:color="auto"/>
              <w:bottom w:val="single" w:sz="4" w:space="0" w:color="auto"/>
              <w:right w:val="single" w:sz="4" w:space="0" w:color="auto"/>
            </w:tcBorders>
            <w:vAlign w:val="center"/>
          </w:tcPr>
          <w:p w14:paraId="58A7021E" w14:textId="77777777" w:rsidR="00AD50D5" w:rsidRPr="00151502" w:rsidRDefault="00AD50D5" w:rsidP="005824F0">
            <w:pPr>
              <w:pStyle w:val="In-tableHeading"/>
              <w:jc w:val="center"/>
              <w:rPr>
                <w:lang w:val="en-AU"/>
              </w:rPr>
            </w:pPr>
            <w:r w:rsidRPr="00151502">
              <w:rPr>
                <w:lang w:val="en-AU"/>
              </w:rPr>
              <w:t>RD (95% CI)</w:t>
            </w:r>
          </w:p>
        </w:tc>
      </w:tr>
      <w:tr w:rsidR="00AD50D5" w:rsidRPr="00151502" w14:paraId="4A16A280" w14:textId="77777777" w:rsidTr="008C582A">
        <w:trPr>
          <w:cantSplit/>
          <w:trHeight w:val="315"/>
        </w:trPr>
        <w:tc>
          <w:tcPr>
            <w:tcW w:w="118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0F6F1B" w14:textId="77777777" w:rsidR="00AD50D5" w:rsidRPr="00151502" w:rsidRDefault="00AD50D5" w:rsidP="005824F0">
            <w:pPr>
              <w:pStyle w:val="In-tableHeading"/>
              <w:jc w:val="center"/>
              <w:rPr>
                <w:lang w:val="en-AU"/>
              </w:rPr>
            </w:pPr>
          </w:p>
        </w:tc>
        <w:tc>
          <w:tcPr>
            <w:tcW w:w="556" w:type="pct"/>
            <w:vMerge/>
            <w:tcBorders>
              <w:top w:val="single" w:sz="4" w:space="0" w:color="auto"/>
              <w:left w:val="single" w:sz="4" w:space="0" w:color="auto"/>
              <w:bottom w:val="single" w:sz="4" w:space="0" w:color="auto"/>
              <w:right w:val="single" w:sz="4" w:space="0" w:color="auto"/>
            </w:tcBorders>
            <w:vAlign w:val="center"/>
          </w:tcPr>
          <w:p w14:paraId="102650ED" w14:textId="77777777" w:rsidR="00AD50D5" w:rsidRPr="00151502" w:rsidRDefault="00AD50D5" w:rsidP="005824F0">
            <w:pPr>
              <w:pStyle w:val="In-tableHeading"/>
              <w:jc w:val="center"/>
              <w:rPr>
                <w:lang w:val="en-AU"/>
              </w:rPr>
            </w:pPr>
          </w:p>
        </w:tc>
        <w:tc>
          <w:tcPr>
            <w:tcW w:w="556" w:type="pct"/>
            <w:vMerge/>
            <w:tcBorders>
              <w:top w:val="single" w:sz="4" w:space="0" w:color="auto"/>
              <w:left w:val="single" w:sz="4" w:space="0" w:color="auto"/>
              <w:bottom w:val="single" w:sz="4" w:space="0" w:color="auto"/>
              <w:right w:val="single" w:sz="4" w:space="0" w:color="auto"/>
            </w:tcBorders>
            <w:vAlign w:val="center"/>
          </w:tcPr>
          <w:p w14:paraId="28FB6014" w14:textId="77777777" w:rsidR="00AD50D5" w:rsidRPr="00151502" w:rsidRDefault="00AD50D5" w:rsidP="005824F0">
            <w:pPr>
              <w:pStyle w:val="In-tableHeading"/>
              <w:jc w:val="center"/>
              <w:rPr>
                <w:lang w:val="en-AU"/>
              </w:rPr>
            </w:pPr>
          </w:p>
        </w:tc>
        <w:tc>
          <w:tcPr>
            <w:tcW w:w="876" w:type="pct"/>
            <w:vMerge/>
            <w:tcBorders>
              <w:top w:val="single" w:sz="4" w:space="0" w:color="auto"/>
              <w:left w:val="single" w:sz="4" w:space="0" w:color="auto"/>
              <w:bottom w:val="single" w:sz="4" w:space="0" w:color="auto"/>
              <w:right w:val="single" w:sz="4" w:space="0" w:color="auto"/>
            </w:tcBorders>
            <w:vAlign w:val="center"/>
          </w:tcPr>
          <w:p w14:paraId="4EA199C9" w14:textId="77777777" w:rsidR="00AD50D5" w:rsidRPr="00151502" w:rsidRDefault="00AD50D5" w:rsidP="005824F0">
            <w:pPr>
              <w:pStyle w:val="In-tableHeading"/>
              <w:jc w:val="center"/>
              <w:rPr>
                <w:lang w:val="en-AU"/>
              </w:rPr>
            </w:pPr>
          </w:p>
        </w:tc>
        <w:tc>
          <w:tcPr>
            <w:tcW w:w="472" w:type="pct"/>
            <w:tcBorders>
              <w:top w:val="single" w:sz="4" w:space="0" w:color="auto"/>
              <w:left w:val="single" w:sz="4" w:space="0" w:color="auto"/>
              <w:bottom w:val="single" w:sz="4" w:space="0" w:color="auto"/>
              <w:right w:val="single" w:sz="4" w:space="0" w:color="auto"/>
            </w:tcBorders>
            <w:vAlign w:val="center"/>
          </w:tcPr>
          <w:p w14:paraId="2895888A" w14:textId="77777777" w:rsidR="00AD50D5" w:rsidRPr="00151502" w:rsidRDefault="00AD50D5" w:rsidP="005824F0">
            <w:pPr>
              <w:pStyle w:val="In-tableHeading"/>
              <w:jc w:val="center"/>
              <w:rPr>
                <w:lang w:val="en-AU"/>
              </w:rPr>
            </w:pPr>
            <w:r w:rsidRPr="00151502">
              <w:rPr>
                <w:lang w:val="en-AU"/>
              </w:rPr>
              <w:t>BKZ</w:t>
            </w:r>
          </w:p>
        </w:tc>
        <w:tc>
          <w:tcPr>
            <w:tcW w:w="556" w:type="pct"/>
            <w:tcBorders>
              <w:top w:val="single" w:sz="4" w:space="0" w:color="auto"/>
              <w:left w:val="single" w:sz="4" w:space="0" w:color="auto"/>
              <w:bottom w:val="single" w:sz="4" w:space="0" w:color="auto"/>
              <w:right w:val="single" w:sz="4" w:space="0" w:color="auto"/>
            </w:tcBorders>
            <w:vAlign w:val="center"/>
          </w:tcPr>
          <w:p w14:paraId="0BA3EBC8" w14:textId="77777777" w:rsidR="00AD50D5" w:rsidRPr="00151502" w:rsidRDefault="00AD50D5" w:rsidP="005824F0">
            <w:pPr>
              <w:pStyle w:val="In-tableHeading"/>
              <w:jc w:val="center"/>
              <w:rPr>
                <w:lang w:val="en-AU"/>
              </w:rPr>
            </w:pPr>
            <w:r w:rsidRPr="00151502">
              <w:rPr>
                <w:lang w:val="en-AU"/>
              </w:rPr>
              <w:t>Comparator</w:t>
            </w:r>
          </w:p>
        </w:tc>
        <w:tc>
          <w:tcPr>
            <w:tcW w:w="796" w:type="pct"/>
            <w:tcBorders>
              <w:top w:val="single" w:sz="4" w:space="0" w:color="auto"/>
              <w:left w:val="single" w:sz="4" w:space="0" w:color="auto"/>
              <w:bottom w:val="single" w:sz="4" w:space="0" w:color="auto"/>
              <w:right w:val="single" w:sz="4" w:space="0" w:color="auto"/>
            </w:tcBorders>
            <w:vAlign w:val="center"/>
          </w:tcPr>
          <w:p w14:paraId="2A98FC5F" w14:textId="77777777" w:rsidR="00AD50D5" w:rsidRPr="00151502" w:rsidRDefault="00AD50D5" w:rsidP="005824F0">
            <w:pPr>
              <w:pStyle w:val="In-tableHeading"/>
              <w:jc w:val="center"/>
              <w:rPr>
                <w:lang w:val="en-AU"/>
              </w:rPr>
            </w:pPr>
          </w:p>
        </w:tc>
      </w:tr>
      <w:tr w:rsidR="00AD50D5" w:rsidRPr="00151502" w14:paraId="77294B51" w14:textId="77777777" w:rsidTr="008C582A">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164E81B" w14:textId="77777777" w:rsidR="00AD50D5" w:rsidRPr="00151502" w:rsidRDefault="00AD50D5" w:rsidP="005824F0">
            <w:pPr>
              <w:pStyle w:val="In-tableHeading"/>
              <w:rPr>
                <w:lang w:val="en-AU"/>
              </w:rPr>
            </w:pPr>
            <w:r w:rsidRPr="00151502">
              <w:rPr>
                <w:lang w:val="en-AU"/>
              </w:rPr>
              <w:t>PASI 75 at 16 weeks – direct comparisons</w:t>
            </w:r>
          </w:p>
        </w:tc>
      </w:tr>
      <w:tr w:rsidR="00AD50D5" w:rsidRPr="00151502" w14:paraId="3C078213" w14:textId="77777777" w:rsidTr="008C582A">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63B57C4" w14:textId="77777777" w:rsidR="00AD50D5" w:rsidRPr="00151502" w:rsidRDefault="00AD50D5" w:rsidP="005824F0">
            <w:pPr>
              <w:pStyle w:val="TableText0"/>
            </w:pPr>
            <w:r w:rsidRPr="00151502">
              <w:t>BKZ v ADA (BE SURE)</w:t>
            </w:r>
          </w:p>
        </w:tc>
        <w:tc>
          <w:tcPr>
            <w:tcW w:w="556" w:type="pct"/>
            <w:tcBorders>
              <w:top w:val="single" w:sz="4" w:space="0" w:color="auto"/>
              <w:left w:val="single" w:sz="4" w:space="0" w:color="auto"/>
              <w:bottom w:val="single" w:sz="4" w:space="0" w:color="auto"/>
              <w:right w:val="single" w:sz="4" w:space="0" w:color="auto"/>
            </w:tcBorders>
            <w:vAlign w:val="center"/>
          </w:tcPr>
          <w:p w14:paraId="2DA2BF10" w14:textId="77777777" w:rsidR="00AD50D5" w:rsidRPr="00151502" w:rsidRDefault="00AD50D5" w:rsidP="005824F0">
            <w:pPr>
              <w:pStyle w:val="TableText0"/>
              <w:jc w:val="center"/>
            </w:pPr>
            <w:r w:rsidRPr="00151502">
              <w:t>295/319</w:t>
            </w:r>
          </w:p>
        </w:tc>
        <w:tc>
          <w:tcPr>
            <w:tcW w:w="556" w:type="pct"/>
            <w:tcBorders>
              <w:top w:val="single" w:sz="4" w:space="0" w:color="auto"/>
              <w:left w:val="single" w:sz="4" w:space="0" w:color="auto"/>
              <w:bottom w:val="single" w:sz="4" w:space="0" w:color="auto"/>
              <w:right w:val="single" w:sz="4" w:space="0" w:color="auto"/>
            </w:tcBorders>
            <w:vAlign w:val="center"/>
          </w:tcPr>
          <w:p w14:paraId="57889FE1" w14:textId="77777777" w:rsidR="00AD50D5" w:rsidRPr="00151502" w:rsidRDefault="00AD50D5" w:rsidP="005824F0">
            <w:pPr>
              <w:pStyle w:val="TableText0"/>
              <w:jc w:val="center"/>
            </w:pPr>
            <w:r w:rsidRPr="00151502">
              <w:t>110/159</w:t>
            </w:r>
          </w:p>
        </w:tc>
        <w:tc>
          <w:tcPr>
            <w:tcW w:w="876" w:type="pct"/>
            <w:tcBorders>
              <w:top w:val="single" w:sz="4" w:space="0" w:color="auto"/>
              <w:left w:val="single" w:sz="4" w:space="0" w:color="auto"/>
              <w:bottom w:val="single" w:sz="4" w:space="0" w:color="auto"/>
              <w:right w:val="single" w:sz="4" w:space="0" w:color="auto"/>
            </w:tcBorders>
            <w:vAlign w:val="center"/>
          </w:tcPr>
          <w:p w14:paraId="2F6A5720" w14:textId="77777777" w:rsidR="00AD50D5" w:rsidRPr="00BB72B6" w:rsidRDefault="00AD50D5" w:rsidP="005824F0">
            <w:pPr>
              <w:pStyle w:val="TableText0"/>
              <w:jc w:val="center"/>
              <w:rPr>
                <w:b/>
                <w:bCs w:val="0"/>
              </w:rPr>
            </w:pPr>
            <w:r w:rsidRPr="00BB72B6">
              <w:rPr>
                <w:b/>
                <w:bCs w:val="0"/>
              </w:rPr>
              <w:t>1.34 (1.20, 1.49)</w:t>
            </w:r>
          </w:p>
        </w:tc>
        <w:tc>
          <w:tcPr>
            <w:tcW w:w="472" w:type="pct"/>
            <w:tcBorders>
              <w:top w:val="single" w:sz="4" w:space="0" w:color="auto"/>
              <w:left w:val="single" w:sz="4" w:space="0" w:color="auto"/>
              <w:bottom w:val="single" w:sz="4" w:space="0" w:color="auto"/>
              <w:right w:val="single" w:sz="4" w:space="0" w:color="auto"/>
            </w:tcBorders>
            <w:vAlign w:val="center"/>
          </w:tcPr>
          <w:p w14:paraId="1D9D3F0B" w14:textId="77777777" w:rsidR="00AD50D5" w:rsidRPr="00BB72B6" w:rsidRDefault="00AD50D5" w:rsidP="005824F0">
            <w:pPr>
              <w:pStyle w:val="TableText0"/>
              <w:jc w:val="center"/>
            </w:pPr>
            <w:r w:rsidRPr="00BB72B6">
              <w:t>92.5</w:t>
            </w:r>
          </w:p>
        </w:tc>
        <w:tc>
          <w:tcPr>
            <w:tcW w:w="556" w:type="pct"/>
            <w:tcBorders>
              <w:top w:val="single" w:sz="4" w:space="0" w:color="auto"/>
              <w:left w:val="single" w:sz="4" w:space="0" w:color="auto"/>
              <w:bottom w:val="single" w:sz="4" w:space="0" w:color="auto"/>
              <w:right w:val="single" w:sz="4" w:space="0" w:color="auto"/>
            </w:tcBorders>
            <w:vAlign w:val="center"/>
          </w:tcPr>
          <w:p w14:paraId="3488495C" w14:textId="77777777" w:rsidR="00AD50D5" w:rsidRPr="00BB72B6" w:rsidRDefault="00AD50D5" w:rsidP="005824F0">
            <w:pPr>
              <w:pStyle w:val="TableText0"/>
              <w:jc w:val="center"/>
            </w:pPr>
            <w:r w:rsidRPr="00BB72B6">
              <w:t>69.2</w:t>
            </w:r>
          </w:p>
        </w:tc>
        <w:tc>
          <w:tcPr>
            <w:tcW w:w="796" w:type="pct"/>
            <w:tcBorders>
              <w:top w:val="single" w:sz="4" w:space="0" w:color="auto"/>
              <w:left w:val="single" w:sz="4" w:space="0" w:color="auto"/>
              <w:bottom w:val="single" w:sz="4" w:space="0" w:color="auto"/>
              <w:right w:val="single" w:sz="4" w:space="0" w:color="auto"/>
            </w:tcBorders>
            <w:vAlign w:val="center"/>
          </w:tcPr>
          <w:p w14:paraId="6B732962" w14:textId="77777777" w:rsidR="00AD50D5" w:rsidRPr="00BB72B6" w:rsidRDefault="00AD50D5" w:rsidP="005824F0">
            <w:pPr>
              <w:pStyle w:val="TableText0"/>
              <w:jc w:val="center"/>
              <w:rPr>
                <w:b/>
                <w:bCs w:val="0"/>
              </w:rPr>
            </w:pPr>
            <w:r w:rsidRPr="00BB72B6">
              <w:rPr>
                <w:b/>
                <w:bCs w:val="0"/>
              </w:rPr>
              <w:t>0.23 (0.16, 0.31)</w:t>
            </w:r>
          </w:p>
        </w:tc>
      </w:tr>
      <w:tr w:rsidR="00AD50D5" w:rsidRPr="00151502" w14:paraId="4C3F9504" w14:textId="77777777" w:rsidTr="008C582A">
        <w:trPr>
          <w:cantSplit/>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0715D4EB" w14:textId="77777777" w:rsidR="00AD50D5" w:rsidRPr="00151502" w:rsidRDefault="00AD50D5" w:rsidP="005824F0">
            <w:pPr>
              <w:pStyle w:val="TableText0"/>
            </w:pPr>
            <w:r w:rsidRPr="00151502">
              <w:t>BKZ v UST (BE VIVID)</w:t>
            </w:r>
          </w:p>
        </w:tc>
        <w:tc>
          <w:tcPr>
            <w:tcW w:w="556" w:type="pct"/>
            <w:tcBorders>
              <w:top w:val="single" w:sz="4" w:space="0" w:color="auto"/>
              <w:left w:val="single" w:sz="4" w:space="0" w:color="auto"/>
              <w:bottom w:val="single" w:sz="4" w:space="0" w:color="auto"/>
              <w:right w:val="single" w:sz="4" w:space="0" w:color="auto"/>
            </w:tcBorders>
            <w:vAlign w:val="center"/>
          </w:tcPr>
          <w:p w14:paraId="6B95EFD2" w14:textId="77777777" w:rsidR="00AD50D5" w:rsidRPr="00151502" w:rsidRDefault="00AD50D5" w:rsidP="005824F0">
            <w:pPr>
              <w:pStyle w:val="TableText0"/>
              <w:jc w:val="center"/>
            </w:pPr>
            <w:r w:rsidRPr="00151502">
              <w:t xml:space="preserve">296/321 </w:t>
            </w:r>
          </w:p>
        </w:tc>
        <w:tc>
          <w:tcPr>
            <w:tcW w:w="556" w:type="pct"/>
            <w:tcBorders>
              <w:top w:val="single" w:sz="4" w:space="0" w:color="auto"/>
              <w:left w:val="single" w:sz="4" w:space="0" w:color="auto"/>
              <w:bottom w:val="single" w:sz="4" w:space="0" w:color="auto"/>
              <w:right w:val="single" w:sz="4" w:space="0" w:color="auto"/>
            </w:tcBorders>
            <w:vAlign w:val="center"/>
          </w:tcPr>
          <w:p w14:paraId="721E2AD2" w14:textId="77777777" w:rsidR="00AD50D5" w:rsidRPr="00151502" w:rsidRDefault="00AD50D5" w:rsidP="005824F0">
            <w:pPr>
              <w:pStyle w:val="TableText0"/>
              <w:jc w:val="center"/>
            </w:pPr>
            <w:r w:rsidRPr="00151502">
              <w:t>119/163</w:t>
            </w:r>
          </w:p>
        </w:tc>
        <w:tc>
          <w:tcPr>
            <w:tcW w:w="876" w:type="pct"/>
            <w:tcBorders>
              <w:top w:val="single" w:sz="4" w:space="0" w:color="auto"/>
              <w:left w:val="single" w:sz="4" w:space="0" w:color="auto"/>
              <w:bottom w:val="single" w:sz="4" w:space="0" w:color="auto"/>
              <w:right w:val="single" w:sz="4" w:space="0" w:color="auto"/>
            </w:tcBorders>
            <w:vAlign w:val="center"/>
          </w:tcPr>
          <w:p w14:paraId="0A5DAAE9" w14:textId="77777777" w:rsidR="00AD50D5" w:rsidRPr="00BB72B6" w:rsidRDefault="00AD50D5" w:rsidP="005824F0">
            <w:pPr>
              <w:pStyle w:val="TableText0"/>
              <w:jc w:val="center"/>
              <w:rPr>
                <w:b/>
                <w:bCs w:val="0"/>
              </w:rPr>
            </w:pPr>
            <w:r w:rsidRPr="00BB72B6">
              <w:rPr>
                <w:b/>
                <w:bCs w:val="0"/>
              </w:rPr>
              <w:t>1.26 (1.14, 1.39)</w:t>
            </w:r>
          </w:p>
        </w:tc>
        <w:tc>
          <w:tcPr>
            <w:tcW w:w="472" w:type="pct"/>
            <w:tcBorders>
              <w:top w:val="single" w:sz="4" w:space="0" w:color="auto"/>
              <w:left w:val="single" w:sz="4" w:space="0" w:color="auto"/>
              <w:bottom w:val="single" w:sz="4" w:space="0" w:color="auto"/>
              <w:right w:val="single" w:sz="4" w:space="0" w:color="auto"/>
            </w:tcBorders>
            <w:vAlign w:val="center"/>
          </w:tcPr>
          <w:p w14:paraId="4672606B" w14:textId="77777777" w:rsidR="00AD50D5" w:rsidRPr="00BB72B6" w:rsidRDefault="00AD50D5" w:rsidP="005824F0">
            <w:pPr>
              <w:pStyle w:val="TableText0"/>
              <w:jc w:val="center"/>
            </w:pPr>
            <w:r w:rsidRPr="00BB72B6">
              <w:t>92.2</w:t>
            </w:r>
          </w:p>
        </w:tc>
        <w:tc>
          <w:tcPr>
            <w:tcW w:w="556" w:type="pct"/>
            <w:tcBorders>
              <w:top w:val="single" w:sz="4" w:space="0" w:color="auto"/>
              <w:left w:val="single" w:sz="4" w:space="0" w:color="auto"/>
              <w:bottom w:val="single" w:sz="4" w:space="0" w:color="auto"/>
              <w:right w:val="single" w:sz="4" w:space="0" w:color="auto"/>
            </w:tcBorders>
            <w:vAlign w:val="center"/>
          </w:tcPr>
          <w:p w14:paraId="2CE9D66B" w14:textId="77777777" w:rsidR="00AD50D5" w:rsidRPr="00BB72B6" w:rsidRDefault="00AD50D5" w:rsidP="005824F0">
            <w:pPr>
              <w:pStyle w:val="TableText0"/>
              <w:jc w:val="center"/>
            </w:pPr>
            <w:r w:rsidRPr="00BB72B6">
              <w:t>73.0</w:t>
            </w:r>
          </w:p>
        </w:tc>
        <w:tc>
          <w:tcPr>
            <w:tcW w:w="796" w:type="pct"/>
            <w:tcBorders>
              <w:top w:val="single" w:sz="4" w:space="0" w:color="auto"/>
              <w:left w:val="single" w:sz="4" w:space="0" w:color="auto"/>
              <w:bottom w:val="single" w:sz="4" w:space="0" w:color="auto"/>
              <w:right w:val="single" w:sz="4" w:space="0" w:color="auto"/>
            </w:tcBorders>
            <w:vAlign w:val="center"/>
          </w:tcPr>
          <w:p w14:paraId="21D38FC7" w14:textId="77777777" w:rsidR="00AD50D5" w:rsidRPr="00BB72B6" w:rsidRDefault="00AD50D5" w:rsidP="005824F0">
            <w:pPr>
              <w:pStyle w:val="TableText0"/>
              <w:jc w:val="center"/>
              <w:rPr>
                <w:b/>
                <w:bCs w:val="0"/>
              </w:rPr>
            </w:pPr>
            <w:r w:rsidRPr="00BB72B6">
              <w:rPr>
                <w:b/>
                <w:bCs w:val="0"/>
              </w:rPr>
              <w:t>0.19 (0.12, 0.27)</w:t>
            </w:r>
          </w:p>
        </w:tc>
      </w:tr>
      <w:tr w:rsidR="00AD50D5" w:rsidRPr="00151502" w14:paraId="28275A1A" w14:textId="77777777" w:rsidTr="008C582A">
        <w:trPr>
          <w:cantSplit/>
        </w:trPr>
        <w:tc>
          <w:tcPr>
            <w:tcW w:w="1187" w:type="pct"/>
            <w:tcBorders>
              <w:top w:val="single" w:sz="4" w:space="0" w:color="auto"/>
              <w:left w:val="single" w:sz="4" w:space="0" w:color="auto"/>
              <w:bottom w:val="double" w:sz="4" w:space="0" w:color="auto"/>
              <w:right w:val="single" w:sz="4" w:space="0" w:color="auto"/>
            </w:tcBorders>
            <w:shd w:val="clear" w:color="auto" w:fill="auto"/>
            <w:vAlign w:val="center"/>
          </w:tcPr>
          <w:p w14:paraId="3E449E7C" w14:textId="77777777" w:rsidR="00AD50D5" w:rsidRPr="00151502" w:rsidRDefault="00AD50D5" w:rsidP="005824F0">
            <w:pPr>
              <w:pStyle w:val="TableText0"/>
            </w:pPr>
            <w:r w:rsidRPr="00151502">
              <w:t xml:space="preserve">BKZ v SEC (BE RADIANT) </w:t>
            </w:r>
          </w:p>
        </w:tc>
        <w:tc>
          <w:tcPr>
            <w:tcW w:w="556" w:type="pct"/>
            <w:tcBorders>
              <w:top w:val="single" w:sz="4" w:space="0" w:color="auto"/>
              <w:left w:val="single" w:sz="4" w:space="0" w:color="auto"/>
              <w:bottom w:val="double" w:sz="4" w:space="0" w:color="auto"/>
              <w:right w:val="single" w:sz="4" w:space="0" w:color="auto"/>
            </w:tcBorders>
            <w:vAlign w:val="center"/>
          </w:tcPr>
          <w:p w14:paraId="6980C154" w14:textId="77777777" w:rsidR="00AD50D5" w:rsidRPr="00151502" w:rsidRDefault="00AD50D5" w:rsidP="005824F0">
            <w:pPr>
              <w:pStyle w:val="TableText0"/>
              <w:jc w:val="center"/>
            </w:pPr>
            <w:r w:rsidRPr="00151502">
              <w:t>348/373</w:t>
            </w:r>
          </w:p>
        </w:tc>
        <w:tc>
          <w:tcPr>
            <w:tcW w:w="556" w:type="pct"/>
            <w:tcBorders>
              <w:top w:val="single" w:sz="4" w:space="0" w:color="auto"/>
              <w:left w:val="single" w:sz="4" w:space="0" w:color="auto"/>
              <w:bottom w:val="double" w:sz="4" w:space="0" w:color="auto"/>
              <w:right w:val="single" w:sz="4" w:space="0" w:color="auto"/>
            </w:tcBorders>
            <w:vAlign w:val="center"/>
          </w:tcPr>
          <w:p w14:paraId="0B859BE5" w14:textId="77777777" w:rsidR="00AD50D5" w:rsidRPr="00151502" w:rsidRDefault="00AD50D5" w:rsidP="005824F0">
            <w:pPr>
              <w:pStyle w:val="TableText0"/>
              <w:jc w:val="center"/>
            </w:pPr>
            <w:r w:rsidRPr="00151502">
              <w:t>337/370</w:t>
            </w:r>
          </w:p>
        </w:tc>
        <w:tc>
          <w:tcPr>
            <w:tcW w:w="876" w:type="pct"/>
            <w:tcBorders>
              <w:top w:val="single" w:sz="4" w:space="0" w:color="auto"/>
              <w:left w:val="single" w:sz="4" w:space="0" w:color="auto"/>
              <w:bottom w:val="double" w:sz="4" w:space="0" w:color="auto"/>
              <w:right w:val="single" w:sz="4" w:space="0" w:color="auto"/>
            </w:tcBorders>
            <w:vAlign w:val="center"/>
          </w:tcPr>
          <w:p w14:paraId="1FBA54A5" w14:textId="77777777" w:rsidR="00AD50D5" w:rsidRPr="00BB72B6" w:rsidRDefault="00AD50D5" w:rsidP="005824F0">
            <w:pPr>
              <w:pStyle w:val="TableText0"/>
              <w:jc w:val="center"/>
            </w:pPr>
            <w:r w:rsidRPr="00BB72B6">
              <w:t>1.02 (0.98, 1.07)</w:t>
            </w:r>
          </w:p>
        </w:tc>
        <w:tc>
          <w:tcPr>
            <w:tcW w:w="472" w:type="pct"/>
            <w:tcBorders>
              <w:top w:val="single" w:sz="4" w:space="0" w:color="auto"/>
              <w:left w:val="single" w:sz="4" w:space="0" w:color="auto"/>
              <w:bottom w:val="double" w:sz="4" w:space="0" w:color="auto"/>
              <w:right w:val="single" w:sz="4" w:space="0" w:color="auto"/>
            </w:tcBorders>
            <w:vAlign w:val="center"/>
          </w:tcPr>
          <w:p w14:paraId="4A4DF71D" w14:textId="77777777" w:rsidR="00AD50D5" w:rsidRPr="00BB72B6" w:rsidRDefault="00AD50D5" w:rsidP="005824F0">
            <w:pPr>
              <w:pStyle w:val="TableText0"/>
              <w:jc w:val="center"/>
            </w:pPr>
            <w:r w:rsidRPr="00BB72B6">
              <w:t>93.3</w:t>
            </w:r>
          </w:p>
        </w:tc>
        <w:tc>
          <w:tcPr>
            <w:tcW w:w="556" w:type="pct"/>
            <w:tcBorders>
              <w:top w:val="single" w:sz="4" w:space="0" w:color="auto"/>
              <w:left w:val="single" w:sz="4" w:space="0" w:color="auto"/>
              <w:bottom w:val="double" w:sz="4" w:space="0" w:color="auto"/>
              <w:right w:val="single" w:sz="4" w:space="0" w:color="auto"/>
            </w:tcBorders>
            <w:vAlign w:val="center"/>
          </w:tcPr>
          <w:p w14:paraId="2C0DDDB7" w14:textId="77777777" w:rsidR="00AD50D5" w:rsidRPr="00BB72B6" w:rsidRDefault="00AD50D5" w:rsidP="005824F0">
            <w:pPr>
              <w:pStyle w:val="TableText0"/>
              <w:jc w:val="center"/>
            </w:pPr>
            <w:r w:rsidRPr="00BB72B6">
              <w:t>91.1</w:t>
            </w:r>
          </w:p>
        </w:tc>
        <w:tc>
          <w:tcPr>
            <w:tcW w:w="796" w:type="pct"/>
            <w:tcBorders>
              <w:top w:val="single" w:sz="4" w:space="0" w:color="auto"/>
              <w:left w:val="single" w:sz="4" w:space="0" w:color="auto"/>
              <w:bottom w:val="double" w:sz="4" w:space="0" w:color="auto"/>
              <w:right w:val="single" w:sz="4" w:space="0" w:color="auto"/>
            </w:tcBorders>
            <w:vAlign w:val="center"/>
          </w:tcPr>
          <w:p w14:paraId="2AFF8894" w14:textId="77777777" w:rsidR="00AD50D5" w:rsidRPr="00BB72B6" w:rsidRDefault="00AD50D5" w:rsidP="005824F0">
            <w:pPr>
              <w:pStyle w:val="TableText0"/>
              <w:jc w:val="center"/>
            </w:pPr>
            <w:r w:rsidRPr="00BB72B6">
              <w:t>0.02 (-0.02, 0.06)</w:t>
            </w:r>
          </w:p>
        </w:tc>
      </w:tr>
      <w:tr w:rsidR="00AD50D5" w:rsidRPr="00151502" w14:paraId="24E4E5F4" w14:textId="77777777" w:rsidTr="008C582A">
        <w:tc>
          <w:tcPr>
            <w:tcW w:w="5000" w:type="pct"/>
            <w:gridSpan w:val="7"/>
            <w:tcBorders>
              <w:top w:val="double" w:sz="4" w:space="0" w:color="auto"/>
              <w:left w:val="single" w:sz="4" w:space="0" w:color="auto"/>
              <w:right w:val="single" w:sz="4" w:space="0" w:color="auto"/>
            </w:tcBorders>
            <w:shd w:val="clear" w:color="auto" w:fill="auto"/>
          </w:tcPr>
          <w:p w14:paraId="08B8641A" w14:textId="77777777" w:rsidR="00AD50D5" w:rsidRPr="00BB72B6" w:rsidRDefault="00AD50D5" w:rsidP="005824F0">
            <w:pPr>
              <w:pStyle w:val="TableText0"/>
              <w:rPr>
                <w:b/>
                <w:bCs w:val="0"/>
              </w:rPr>
            </w:pPr>
            <w:r w:rsidRPr="00BB72B6">
              <w:rPr>
                <w:b/>
                <w:bCs w:val="0"/>
              </w:rPr>
              <w:t>PASI 90 at 16 weeks – direct comparisons</w:t>
            </w:r>
          </w:p>
        </w:tc>
      </w:tr>
      <w:tr w:rsidR="008C582A" w:rsidRPr="00151502" w14:paraId="02DCDBB4" w14:textId="77777777" w:rsidTr="008C582A">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7C56976E" w14:textId="77777777" w:rsidR="008C582A" w:rsidRPr="00151502" w:rsidRDefault="008C582A" w:rsidP="005824F0">
            <w:pPr>
              <w:pStyle w:val="TableText0"/>
            </w:pPr>
            <w:r w:rsidRPr="00151502">
              <w:t>BKZ v ADA (BE SURE)</w:t>
            </w:r>
          </w:p>
        </w:tc>
        <w:tc>
          <w:tcPr>
            <w:tcW w:w="556" w:type="pct"/>
            <w:tcBorders>
              <w:top w:val="single" w:sz="4" w:space="0" w:color="auto"/>
              <w:left w:val="single" w:sz="4" w:space="0" w:color="auto"/>
              <w:bottom w:val="single" w:sz="4" w:space="0" w:color="auto"/>
              <w:right w:val="single" w:sz="4" w:space="0" w:color="auto"/>
            </w:tcBorders>
            <w:vAlign w:val="center"/>
          </w:tcPr>
          <w:p w14:paraId="20FC5657" w14:textId="77777777" w:rsidR="008C582A" w:rsidRPr="00151502" w:rsidRDefault="008C582A" w:rsidP="005824F0">
            <w:pPr>
              <w:pStyle w:val="TableText0"/>
              <w:jc w:val="center"/>
            </w:pPr>
            <w:r w:rsidRPr="00151502">
              <w:t>275/319</w:t>
            </w:r>
          </w:p>
        </w:tc>
        <w:tc>
          <w:tcPr>
            <w:tcW w:w="556" w:type="pct"/>
            <w:tcBorders>
              <w:top w:val="single" w:sz="4" w:space="0" w:color="auto"/>
              <w:left w:val="single" w:sz="4" w:space="0" w:color="auto"/>
              <w:bottom w:val="single" w:sz="4" w:space="0" w:color="auto"/>
              <w:right w:val="single" w:sz="4" w:space="0" w:color="auto"/>
            </w:tcBorders>
            <w:vAlign w:val="center"/>
          </w:tcPr>
          <w:p w14:paraId="0B89195B" w14:textId="77777777" w:rsidR="008C582A" w:rsidRPr="00151502" w:rsidRDefault="008C582A" w:rsidP="005824F0">
            <w:pPr>
              <w:pStyle w:val="TableText0"/>
              <w:jc w:val="center"/>
            </w:pPr>
            <w:r w:rsidRPr="00151502">
              <w:t xml:space="preserve">75/159 </w:t>
            </w:r>
          </w:p>
        </w:tc>
        <w:tc>
          <w:tcPr>
            <w:tcW w:w="876" w:type="pct"/>
            <w:tcBorders>
              <w:top w:val="single" w:sz="4" w:space="0" w:color="auto"/>
              <w:left w:val="single" w:sz="4" w:space="0" w:color="auto"/>
              <w:bottom w:val="single" w:sz="4" w:space="0" w:color="auto"/>
              <w:right w:val="single" w:sz="4" w:space="0" w:color="auto"/>
            </w:tcBorders>
            <w:vAlign w:val="center"/>
          </w:tcPr>
          <w:p w14:paraId="259E720E" w14:textId="77777777" w:rsidR="008C582A" w:rsidRPr="00BB72B6" w:rsidRDefault="008C582A" w:rsidP="005824F0">
            <w:pPr>
              <w:pStyle w:val="TableText0"/>
              <w:jc w:val="center"/>
              <w:rPr>
                <w:b/>
                <w:bCs w:val="0"/>
              </w:rPr>
            </w:pPr>
            <w:r w:rsidRPr="00BB72B6">
              <w:rPr>
                <w:b/>
                <w:bCs w:val="0"/>
              </w:rPr>
              <w:t>1.83 (1.54, 2.17)</w:t>
            </w:r>
          </w:p>
        </w:tc>
        <w:tc>
          <w:tcPr>
            <w:tcW w:w="472" w:type="pct"/>
            <w:tcBorders>
              <w:top w:val="single" w:sz="4" w:space="0" w:color="auto"/>
              <w:left w:val="single" w:sz="4" w:space="0" w:color="auto"/>
              <w:bottom w:val="single" w:sz="4" w:space="0" w:color="auto"/>
              <w:right w:val="single" w:sz="4" w:space="0" w:color="auto"/>
            </w:tcBorders>
            <w:vAlign w:val="center"/>
          </w:tcPr>
          <w:p w14:paraId="4A8A4D31" w14:textId="77777777" w:rsidR="008C582A" w:rsidRPr="00BB72B6" w:rsidRDefault="008C582A" w:rsidP="005824F0">
            <w:pPr>
              <w:pStyle w:val="TableText0"/>
              <w:jc w:val="center"/>
            </w:pPr>
            <w:r w:rsidRPr="00BB72B6">
              <w:t>86.2</w:t>
            </w:r>
          </w:p>
        </w:tc>
        <w:tc>
          <w:tcPr>
            <w:tcW w:w="556" w:type="pct"/>
            <w:tcBorders>
              <w:top w:val="single" w:sz="4" w:space="0" w:color="auto"/>
              <w:left w:val="single" w:sz="4" w:space="0" w:color="auto"/>
              <w:bottom w:val="single" w:sz="4" w:space="0" w:color="auto"/>
              <w:right w:val="single" w:sz="4" w:space="0" w:color="auto"/>
            </w:tcBorders>
            <w:vAlign w:val="center"/>
          </w:tcPr>
          <w:p w14:paraId="36C01CEE" w14:textId="77777777" w:rsidR="008C582A" w:rsidRPr="00BB72B6" w:rsidRDefault="008C582A" w:rsidP="005824F0">
            <w:pPr>
              <w:pStyle w:val="TableText0"/>
              <w:jc w:val="center"/>
            </w:pPr>
            <w:r w:rsidRPr="00BB72B6">
              <w:t>47.2</w:t>
            </w:r>
          </w:p>
        </w:tc>
        <w:tc>
          <w:tcPr>
            <w:tcW w:w="796" w:type="pct"/>
            <w:tcBorders>
              <w:top w:val="single" w:sz="4" w:space="0" w:color="auto"/>
              <w:left w:val="single" w:sz="4" w:space="0" w:color="auto"/>
              <w:bottom w:val="single" w:sz="4" w:space="0" w:color="auto"/>
              <w:right w:val="single" w:sz="4" w:space="0" w:color="auto"/>
            </w:tcBorders>
            <w:vAlign w:val="center"/>
          </w:tcPr>
          <w:p w14:paraId="03229EEC" w14:textId="77777777" w:rsidR="008C582A" w:rsidRPr="00BB72B6" w:rsidRDefault="008C582A" w:rsidP="005824F0">
            <w:pPr>
              <w:pStyle w:val="TableText0"/>
              <w:jc w:val="center"/>
              <w:rPr>
                <w:b/>
                <w:bCs w:val="0"/>
              </w:rPr>
            </w:pPr>
            <w:r w:rsidRPr="00BB72B6">
              <w:rPr>
                <w:b/>
                <w:bCs w:val="0"/>
              </w:rPr>
              <w:t>0.39 (0.31, 0.48)</w:t>
            </w:r>
          </w:p>
        </w:tc>
      </w:tr>
      <w:tr w:rsidR="00AD50D5" w:rsidRPr="00151502" w14:paraId="643AE6A5" w14:textId="77777777" w:rsidTr="008C582A">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14:paraId="6DE53D10" w14:textId="77777777" w:rsidR="00AD50D5" w:rsidRPr="00151502" w:rsidRDefault="00AD50D5" w:rsidP="005824F0">
            <w:pPr>
              <w:pStyle w:val="TableText0"/>
            </w:pPr>
            <w:r w:rsidRPr="00151502">
              <w:t>BKZ v UST (BE VIVID)</w:t>
            </w:r>
          </w:p>
        </w:tc>
        <w:tc>
          <w:tcPr>
            <w:tcW w:w="556" w:type="pct"/>
            <w:tcBorders>
              <w:top w:val="single" w:sz="4" w:space="0" w:color="auto"/>
              <w:left w:val="single" w:sz="4" w:space="0" w:color="auto"/>
              <w:bottom w:val="single" w:sz="4" w:space="0" w:color="auto"/>
              <w:right w:val="single" w:sz="4" w:space="0" w:color="auto"/>
            </w:tcBorders>
            <w:vAlign w:val="center"/>
          </w:tcPr>
          <w:p w14:paraId="0E648342" w14:textId="77777777" w:rsidR="00AD50D5" w:rsidRPr="00151502" w:rsidRDefault="00AD50D5" w:rsidP="005824F0">
            <w:pPr>
              <w:pStyle w:val="TableText0"/>
              <w:jc w:val="center"/>
            </w:pPr>
            <w:r w:rsidRPr="00151502">
              <w:t xml:space="preserve">273/321 </w:t>
            </w:r>
          </w:p>
        </w:tc>
        <w:tc>
          <w:tcPr>
            <w:tcW w:w="556" w:type="pct"/>
            <w:tcBorders>
              <w:top w:val="single" w:sz="4" w:space="0" w:color="auto"/>
              <w:left w:val="single" w:sz="4" w:space="0" w:color="auto"/>
              <w:bottom w:val="single" w:sz="4" w:space="0" w:color="auto"/>
              <w:right w:val="single" w:sz="4" w:space="0" w:color="auto"/>
            </w:tcBorders>
            <w:vAlign w:val="center"/>
          </w:tcPr>
          <w:p w14:paraId="410C2982" w14:textId="77777777" w:rsidR="00AD50D5" w:rsidRPr="00151502" w:rsidRDefault="00AD50D5" w:rsidP="005824F0">
            <w:pPr>
              <w:pStyle w:val="TableText0"/>
              <w:jc w:val="center"/>
            </w:pPr>
            <w:r w:rsidRPr="00151502">
              <w:t xml:space="preserve">81/163 </w:t>
            </w:r>
          </w:p>
        </w:tc>
        <w:tc>
          <w:tcPr>
            <w:tcW w:w="876" w:type="pct"/>
            <w:tcBorders>
              <w:top w:val="single" w:sz="4" w:space="0" w:color="auto"/>
              <w:left w:val="single" w:sz="4" w:space="0" w:color="auto"/>
              <w:bottom w:val="single" w:sz="4" w:space="0" w:color="auto"/>
              <w:right w:val="single" w:sz="4" w:space="0" w:color="auto"/>
            </w:tcBorders>
            <w:vAlign w:val="center"/>
          </w:tcPr>
          <w:p w14:paraId="0AA1325A" w14:textId="77777777" w:rsidR="00AD50D5" w:rsidRPr="00BB72B6" w:rsidRDefault="00AD50D5" w:rsidP="005824F0">
            <w:pPr>
              <w:pStyle w:val="TableText0"/>
              <w:jc w:val="center"/>
              <w:rPr>
                <w:b/>
                <w:bCs w:val="0"/>
              </w:rPr>
            </w:pPr>
            <w:r w:rsidRPr="00BB72B6">
              <w:rPr>
                <w:b/>
                <w:bCs w:val="0"/>
              </w:rPr>
              <w:t>1.71 (1.46, 2.01)</w:t>
            </w:r>
          </w:p>
        </w:tc>
        <w:tc>
          <w:tcPr>
            <w:tcW w:w="472" w:type="pct"/>
            <w:tcBorders>
              <w:top w:val="single" w:sz="4" w:space="0" w:color="auto"/>
              <w:left w:val="single" w:sz="4" w:space="0" w:color="auto"/>
              <w:bottom w:val="single" w:sz="4" w:space="0" w:color="auto"/>
              <w:right w:val="single" w:sz="4" w:space="0" w:color="auto"/>
            </w:tcBorders>
            <w:vAlign w:val="center"/>
          </w:tcPr>
          <w:p w14:paraId="65155D2B" w14:textId="77777777" w:rsidR="00AD50D5" w:rsidRPr="00BB72B6" w:rsidRDefault="00AD50D5" w:rsidP="005824F0">
            <w:pPr>
              <w:pStyle w:val="TableText0"/>
              <w:jc w:val="center"/>
            </w:pPr>
            <w:r w:rsidRPr="00BB72B6">
              <w:t>85.0</w:t>
            </w:r>
          </w:p>
        </w:tc>
        <w:tc>
          <w:tcPr>
            <w:tcW w:w="556" w:type="pct"/>
            <w:tcBorders>
              <w:top w:val="single" w:sz="4" w:space="0" w:color="auto"/>
              <w:left w:val="single" w:sz="4" w:space="0" w:color="auto"/>
              <w:bottom w:val="single" w:sz="4" w:space="0" w:color="auto"/>
              <w:right w:val="single" w:sz="4" w:space="0" w:color="auto"/>
            </w:tcBorders>
            <w:vAlign w:val="center"/>
          </w:tcPr>
          <w:p w14:paraId="7FA4167B" w14:textId="77777777" w:rsidR="00AD50D5" w:rsidRPr="00BB72B6" w:rsidRDefault="00AD50D5" w:rsidP="005824F0">
            <w:pPr>
              <w:pStyle w:val="TableText0"/>
              <w:jc w:val="center"/>
            </w:pPr>
            <w:r w:rsidRPr="00BB72B6">
              <w:t>49.7</w:t>
            </w:r>
          </w:p>
        </w:tc>
        <w:tc>
          <w:tcPr>
            <w:tcW w:w="796" w:type="pct"/>
            <w:tcBorders>
              <w:top w:val="single" w:sz="4" w:space="0" w:color="auto"/>
              <w:left w:val="single" w:sz="4" w:space="0" w:color="auto"/>
              <w:bottom w:val="single" w:sz="4" w:space="0" w:color="auto"/>
              <w:right w:val="single" w:sz="4" w:space="0" w:color="auto"/>
            </w:tcBorders>
            <w:vAlign w:val="center"/>
          </w:tcPr>
          <w:p w14:paraId="54FF610C" w14:textId="77777777" w:rsidR="00AD50D5" w:rsidRPr="00BB72B6" w:rsidRDefault="00AD50D5" w:rsidP="005824F0">
            <w:pPr>
              <w:pStyle w:val="TableText0"/>
              <w:jc w:val="center"/>
              <w:rPr>
                <w:b/>
                <w:bCs w:val="0"/>
              </w:rPr>
            </w:pPr>
            <w:r w:rsidRPr="00BB72B6">
              <w:rPr>
                <w:b/>
                <w:bCs w:val="0"/>
              </w:rPr>
              <w:t>0.35 (0.27, 0.43)</w:t>
            </w:r>
          </w:p>
        </w:tc>
      </w:tr>
      <w:tr w:rsidR="00AD50D5" w:rsidRPr="00151502" w14:paraId="3132FA33" w14:textId="77777777" w:rsidTr="008C582A">
        <w:tc>
          <w:tcPr>
            <w:tcW w:w="1187" w:type="pct"/>
            <w:tcBorders>
              <w:top w:val="single" w:sz="4" w:space="0" w:color="auto"/>
              <w:left w:val="single" w:sz="4" w:space="0" w:color="auto"/>
              <w:bottom w:val="double" w:sz="4" w:space="0" w:color="auto"/>
              <w:right w:val="single" w:sz="4" w:space="0" w:color="auto"/>
            </w:tcBorders>
            <w:shd w:val="clear" w:color="auto" w:fill="auto"/>
            <w:vAlign w:val="center"/>
          </w:tcPr>
          <w:p w14:paraId="42AF2740" w14:textId="2A6891F4" w:rsidR="00AD50D5" w:rsidRPr="00151502" w:rsidRDefault="00AD50D5" w:rsidP="005824F0">
            <w:pPr>
              <w:pStyle w:val="TableText0"/>
            </w:pPr>
            <w:r w:rsidRPr="00151502">
              <w:t xml:space="preserve">BKZ v SEC (BE RADIANT) </w:t>
            </w:r>
          </w:p>
        </w:tc>
        <w:tc>
          <w:tcPr>
            <w:tcW w:w="556" w:type="pct"/>
            <w:tcBorders>
              <w:top w:val="single" w:sz="4" w:space="0" w:color="auto"/>
              <w:left w:val="single" w:sz="4" w:space="0" w:color="auto"/>
              <w:bottom w:val="double" w:sz="4" w:space="0" w:color="auto"/>
              <w:right w:val="single" w:sz="4" w:space="0" w:color="auto"/>
            </w:tcBorders>
            <w:vAlign w:val="center"/>
          </w:tcPr>
          <w:p w14:paraId="54819DE3" w14:textId="77777777" w:rsidR="00AD50D5" w:rsidRPr="00151502" w:rsidRDefault="00AD50D5" w:rsidP="005824F0">
            <w:pPr>
              <w:pStyle w:val="TableText0"/>
              <w:jc w:val="center"/>
            </w:pPr>
            <w:r w:rsidRPr="00151502">
              <w:t xml:space="preserve">319/373 </w:t>
            </w:r>
          </w:p>
        </w:tc>
        <w:tc>
          <w:tcPr>
            <w:tcW w:w="556" w:type="pct"/>
            <w:tcBorders>
              <w:top w:val="single" w:sz="4" w:space="0" w:color="auto"/>
              <w:left w:val="single" w:sz="4" w:space="0" w:color="auto"/>
              <w:bottom w:val="double" w:sz="4" w:space="0" w:color="auto"/>
              <w:right w:val="single" w:sz="4" w:space="0" w:color="auto"/>
            </w:tcBorders>
            <w:vAlign w:val="center"/>
          </w:tcPr>
          <w:p w14:paraId="0B92ECED" w14:textId="77777777" w:rsidR="00AD50D5" w:rsidRPr="00151502" w:rsidRDefault="00AD50D5" w:rsidP="005824F0">
            <w:pPr>
              <w:pStyle w:val="TableText0"/>
              <w:jc w:val="center"/>
            </w:pPr>
            <w:r w:rsidRPr="00151502">
              <w:t xml:space="preserve">275/370 </w:t>
            </w:r>
          </w:p>
        </w:tc>
        <w:tc>
          <w:tcPr>
            <w:tcW w:w="876" w:type="pct"/>
            <w:tcBorders>
              <w:top w:val="single" w:sz="4" w:space="0" w:color="auto"/>
              <w:left w:val="single" w:sz="4" w:space="0" w:color="auto"/>
              <w:bottom w:val="double" w:sz="4" w:space="0" w:color="auto"/>
              <w:right w:val="single" w:sz="4" w:space="0" w:color="auto"/>
            </w:tcBorders>
            <w:vAlign w:val="center"/>
          </w:tcPr>
          <w:p w14:paraId="1E980350" w14:textId="77777777" w:rsidR="00AD50D5" w:rsidRPr="00BB72B6" w:rsidRDefault="00AD50D5" w:rsidP="005824F0">
            <w:pPr>
              <w:pStyle w:val="TableText0"/>
              <w:jc w:val="center"/>
              <w:rPr>
                <w:b/>
                <w:bCs w:val="0"/>
              </w:rPr>
            </w:pPr>
            <w:r w:rsidRPr="00BB72B6">
              <w:rPr>
                <w:b/>
                <w:bCs w:val="0"/>
              </w:rPr>
              <w:t>1.15 (1.07, 1.24)</w:t>
            </w:r>
          </w:p>
        </w:tc>
        <w:tc>
          <w:tcPr>
            <w:tcW w:w="472" w:type="pct"/>
            <w:tcBorders>
              <w:top w:val="single" w:sz="4" w:space="0" w:color="auto"/>
              <w:left w:val="single" w:sz="4" w:space="0" w:color="auto"/>
              <w:bottom w:val="double" w:sz="4" w:space="0" w:color="auto"/>
              <w:right w:val="single" w:sz="4" w:space="0" w:color="auto"/>
            </w:tcBorders>
            <w:vAlign w:val="center"/>
          </w:tcPr>
          <w:p w14:paraId="48C3C4EA" w14:textId="77777777" w:rsidR="00AD50D5" w:rsidRPr="00BB72B6" w:rsidRDefault="00AD50D5" w:rsidP="005824F0">
            <w:pPr>
              <w:pStyle w:val="TableText0"/>
              <w:jc w:val="center"/>
            </w:pPr>
            <w:r w:rsidRPr="00BB72B6">
              <w:t>85.5</w:t>
            </w:r>
          </w:p>
        </w:tc>
        <w:tc>
          <w:tcPr>
            <w:tcW w:w="556" w:type="pct"/>
            <w:tcBorders>
              <w:top w:val="single" w:sz="4" w:space="0" w:color="auto"/>
              <w:left w:val="single" w:sz="4" w:space="0" w:color="auto"/>
              <w:bottom w:val="double" w:sz="4" w:space="0" w:color="auto"/>
              <w:right w:val="single" w:sz="4" w:space="0" w:color="auto"/>
            </w:tcBorders>
            <w:vAlign w:val="center"/>
          </w:tcPr>
          <w:p w14:paraId="19662F55" w14:textId="77777777" w:rsidR="00AD50D5" w:rsidRPr="00BB72B6" w:rsidRDefault="00AD50D5" w:rsidP="005824F0">
            <w:pPr>
              <w:pStyle w:val="TableText0"/>
              <w:jc w:val="center"/>
            </w:pPr>
            <w:r w:rsidRPr="00BB72B6">
              <w:t>74.3</w:t>
            </w:r>
          </w:p>
        </w:tc>
        <w:tc>
          <w:tcPr>
            <w:tcW w:w="796" w:type="pct"/>
            <w:tcBorders>
              <w:top w:val="single" w:sz="4" w:space="0" w:color="auto"/>
              <w:left w:val="single" w:sz="4" w:space="0" w:color="auto"/>
              <w:bottom w:val="double" w:sz="4" w:space="0" w:color="auto"/>
              <w:right w:val="single" w:sz="4" w:space="0" w:color="auto"/>
            </w:tcBorders>
            <w:vAlign w:val="center"/>
          </w:tcPr>
          <w:p w14:paraId="0032A00E" w14:textId="77777777" w:rsidR="00AD50D5" w:rsidRPr="00BB72B6" w:rsidRDefault="00AD50D5" w:rsidP="005824F0">
            <w:pPr>
              <w:pStyle w:val="TableText0"/>
              <w:jc w:val="center"/>
              <w:rPr>
                <w:b/>
                <w:bCs w:val="0"/>
              </w:rPr>
            </w:pPr>
            <w:r w:rsidRPr="00BB72B6">
              <w:rPr>
                <w:b/>
                <w:bCs w:val="0"/>
              </w:rPr>
              <w:t>0.11 (0.05, 0.17)</w:t>
            </w:r>
          </w:p>
        </w:tc>
      </w:tr>
    </w:tbl>
    <w:p w14:paraId="0BB54A74" w14:textId="2070A63C" w:rsidR="00AD50D5" w:rsidRPr="00151502" w:rsidRDefault="00AD50D5" w:rsidP="00AD50D5">
      <w:pPr>
        <w:pStyle w:val="TableFigureFooter"/>
        <w:rPr>
          <w:rStyle w:val="CommentReference"/>
          <w:b w:val="0"/>
          <w:sz w:val="18"/>
          <w:szCs w:val="22"/>
        </w:rPr>
      </w:pPr>
      <w:r w:rsidRPr="00151502">
        <w:rPr>
          <w:rStyle w:val="CommentReference"/>
          <w:bCs/>
          <w:sz w:val="18"/>
          <w:szCs w:val="22"/>
        </w:rPr>
        <w:t>Bold</w:t>
      </w:r>
      <w:r w:rsidRPr="00151502">
        <w:rPr>
          <w:rStyle w:val="CommentReference"/>
          <w:b w:val="0"/>
          <w:sz w:val="18"/>
          <w:szCs w:val="22"/>
        </w:rPr>
        <w:t>=statistically significant.</w:t>
      </w:r>
    </w:p>
    <w:p w14:paraId="44F5F06C" w14:textId="77777777" w:rsidR="00AD50D5" w:rsidRPr="00BB72B6" w:rsidRDefault="00AD50D5" w:rsidP="00AD50D5">
      <w:pPr>
        <w:pStyle w:val="TableFigureFooter"/>
      </w:pPr>
      <w:r w:rsidRPr="00BB72B6">
        <w:t xml:space="preserve">Source: Tables 2.5-6.1-2 of the Commentary. </w:t>
      </w:r>
    </w:p>
    <w:p w14:paraId="080ADFE3" w14:textId="190B5B69" w:rsidR="00AD50D5" w:rsidRPr="00F07F49" w:rsidRDefault="00AD50D5" w:rsidP="00F07F49">
      <w:pPr>
        <w:pStyle w:val="TableFigureFooter"/>
      </w:pPr>
      <w:r w:rsidRPr="00151502">
        <w:t>ADA=adalimumab, BKZ=bimekizumab, CI=confidence interval, MA=meta-analysis, OR=odds ratio, PASI=psoriasis area and severity index, PBO=placebo; RD=risk difference; SEC=secukinumab, UST=ustekinumab.</w:t>
      </w:r>
    </w:p>
    <w:p w14:paraId="773D7D2E" w14:textId="2E6AA857" w:rsidR="00AD50D5" w:rsidRPr="00EA50C1" w:rsidRDefault="00AD50D5" w:rsidP="00AD50D5">
      <w:pPr>
        <w:numPr>
          <w:ilvl w:val="1"/>
          <w:numId w:val="1"/>
        </w:numPr>
        <w:spacing w:after="120"/>
        <w:rPr>
          <w:rFonts w:asciiTheme="minorHAnsi" w:hAnsiTheme="minorHAnsi"/>
          <w:snapToGrid w:val="0"/>
        </w:rPr>
      </w:pPr>
      <w:r w:rsidRPr="00EA50C1">
        <w:rPr>
          <w:rFonts w:asciiTheme="minorHAnsi" w:hAnsiTheme="minorHAnsi"/>
          <w:snapToGrid w:val="0"/>
        </w:rPr>
        <w:t xml:space="preserve">On the basis of direct evidence presented by the </w:t>
      </w:r>
      <w:r w:rsidR="004E178F">
        <w:rPr>
          <w:rFonts w:asciiTheme="minorHAnsi" w:hAnsiTheme="minorHAnsi"/>
          <w:snapToGrid w:val="0"/>
        </w:rPr>
        <w:t xml:space="preserve">current </w:t>
      </w:r>
      <w:r w:rsidRPr="00EA50C1">
        <w:rPr>
          <w:rFonts w:asciiTheme="minorHAnsi" w:hAnsiTheme="minorHAnsi"/>
          <w:snapToGrid w:val="0"/>
        </w:rPr>
        <w:t>submission, for every 100 patients treated with BKZ over the initial 16 weeks of treatment in comparison with:</w:t>
      </w:r>
    </w:p>
    <w:p w14:paraId="0CF83591" w14:textId="77777777" w:rsidR="00AD50D5" w:rsidRPr="00EA50C1" w:rsidRDefault="00AD50D5" w:rsidP="004C3BD1">
      <w:pPr>
        <w:pStyle w:val="ListParagraph"/>
        <w:numPr>
          <w:ilvl w:val="0"/>
          <w:numId w:val="14"/>
        </w:numPr>
        <w:ind w:left="1080"/>
      </w:pPr>
      <w:r w:rsidRPr="00EA50C1">
        <w:rPr>
          <w:u w:val="single"/>
        </w:rPr>
        <w:t>ADA</w:t>
      </w:r>
      <w:r w:rsidRPr="00EA50C1">
        <w:t xml:space="preserve"> – Approximately 23 additional patients would achieve PASI 75, and 39 additional patients would achieve PASI 90.</w:t>
      </w:r>
    </w:p>
    <w:p w14:paraId="292BA5DD" w14:textId="77777777" w:rsidR="00AD50D5" w:rsidRDefault="00AD50D5" w:rsidP="004C3BD1">
      <w:pPr>
        <w:pStyle w:val="ListParagraph"/>
        <w:numPr>
          <w:ilvl w:val="0"/>
          <w:numId w:val="14"/>
        </w:numPr>
        <w:ind w:left="1080"/>
      </w:pPr>
      <w:r w:rsidRPr="00EA50C1">
        <w:rPr>
          <w:u w:val="single"/>
        </w:rPr>
        <w:t xml:space="preserve">UST </w:t>
      </w:r>
      <w:r w:rsidRPr="00EA50C1">
        <w:t>– Approximately 19 additional patients would achieve PASI 75, and 35 additional patients would achieve PASI 90.</w:t>
      </w:r>
    </w:p>
    <w:p w14:paraId="0A86CCE1" w14:textId="2AD5E6A5" w:rsidR="00AD50D5" w:rsidRPr="00EA50C1" w:rsidRDefault="00AD50D5" w:rsidP="004C3BD1">
      <w:pPr>
        <w:pStyle w:val="ListParagraph"/>
        <w:numPr>
          <w:ilvl w:val="0"/>
          <w:numId w:val="14"/>
        </w:numPr>
        <w:ind w:left="1080"/>
      </w:pPr>
      <w:r w:rsidRPr="00EA50C1">
        <w:rPr>
          <w:u w:val="single"/>
        </w:rPr>
        <w:t>SEC</w:t>
      </w:r>
      <w:r w:rsidRPr="00EA50C1">
        <w:t xml:space="preserve"> – There were no significant differences in the number of patients achieving PASI 75, and approximately 11 additional patients would achieve PASI 90</w:t>
      </w:r>
      <w:r>
        <w:t>.</w:t>
      </w:r>
    </w:p>
    <w:p w14:paraId="7A1772B6" w14:textId="23BB3145" w:rsidR="00B60939" w:rsidRPr="00C9624D" w:rsidRDefault="00B60939" w:rsidP="00E9094A">
      <w:pPr>
        <w:pStyle w:val="4-SubsectionHeading"/>
      </w:pPr>
      <w:bookmarkStart w:id="37" w:name="_Toc22897644"/>
      <w:bookmarkStart w:id="38" w:name="_Toc124838632"/>
      <w:r w:rsidRPr="00C9624D">
        <w:t>Clinical claim</w:t>
      </w:r>
      <w:bookmarkEnd w:id="37"/>
      <w:bookmarkEnd w:id="38"/>
    </w:p>
    <w:p w14:paraId="6715AE76" w14:textId="7D7E3DE7" w:rsidR="00496818" w:rsidRPr="00496818" w:rsidRDefault="00397375" w:rsidP="00E1287B">
      <w:pPr>
        <w:numPr>
          <w:ilvl w:val="1"/>
          <w:numId w:val="1"/>
        </w:numPr>
        <w:spacing w:after="120"/>
      </w:pPr>
      <w:r>
        <w:t>Consistent with the March 2022 submission, t</w:t>
      </w:r>
      <w:r w:rsidRPr="00277B40">
        <w:t xml:space="preserve">he </w:t>
      </w:r>
      <w:r w:rsidR="004E178F">
        <w:t xml:space="preserve">current </w:t>
      </w:r>
      <w:r>
        <w:t xml:space="preserve">submission </w:t>
      </w:r>
      <w:r w:rsidRPr="00277B40">
        <w:t xml:space="preserve">described BKZ as superior in terms of effectiveness </w:t>
      </w:r>
      <w:bookmarkStart w:id="39" w:name="_Hlk130385619"/>
      <w:r w:rsidRPr="00277B40">
        <w:t>and non-inferior in terms of safety compared with all current PBS-listed bDMARDs.</w:t>
      </w:r>
      <w:r>
        <w:t xml:space="preserve"> </w:t>
      </w:r>
      <w:bookmarkEnd w:id="39"/>
      <w:r w:rsidR="00F54711">
        <w:t>T</w:t>
      </w:r>
      <w:r w:rsidR="00496818">
        <w:t xml:space="preserve">he PBAC </w:t>
      </w:r>
      <w:r w:rsidR="00F54711">
        <w:t xml:space="preserve">had </w:t>
      </w:r>
      <w:r w:rsidR="00496818">
        <w:t xml:space="preserve">accepted the claim of non-inferior safety </w:t>
      </w:r>
      <w:r w:rsidR="00D20BFF">
        <w:t xml:space="preserve">versus all comparators and </w:t>
      </w:r>
      <w:r w:rsidR="00F54711">
        <w:t xml:space="preserve">the claim of superior effectiveness versus ADA, TIL and UST (as measured by PASI 75 and PASI 90). Based on the direct and indirect evidence, the PBAC had considered that the claim of superior effectiveness versus IXE, GUS, SEC and RIS was not supported but a claim of non-inferior effectiveness was reasonably supported </w:t>
      </w:r>
      <w:r w:rsidR="00496818">
        <w:t>(paragraph</w:t>
      </w:r>
      <w:r w:rsidR="00F54711">
        <w:t>s</w:t>
      </w:r>
      <w:r w:rsidR="00496818">
        <w:t xml:space="preserve"> 7.1</w:t>
      </w:r>
      <w:r w:rsidR="00F54711">
        <w:t xml:space="preserve"> and 7.8</w:t>
      </w:r>
      <w:r w:rsidR="00496818">
        <w:t>, BKZ PSD, March 2022)</w:t>
      </w:r>
      <w:r w:rsidR="00496818" w:rsidRPr="00D454B5">
        <w:t>.</w:t>
      </w:r>
    </w:p>
    <w:p w14:paraId="5C8AAC09" w14:textId="4152D47A" w:rsidR="00DD2ADA" w:rsidRPr="00DD2ADA" w:rsidRDefault="00496818" w:rsidP="00942D0B">
      <w:pPr>
        <w:numPr>
          <w:ilvl w:val="1"/>
          <w:numId w:val="1"/>
        </w:numPr>
        <w:spacing w:after="120"/>
        <w:rPr>
          <w:rFonts w:asciiTheme="minorHAnsi" w:hAnsiTheme="minorHAnsi"/>
          <w:snapToGrid w:val="0"/>
        </w:rPr>
      </w:pPr>
      <w:r w:rsidRPr="00503A06">
        <w:t xml:space="preserve">The </w:t>
      </w:r>
      <w:r w:rsidR="004E178F">
        <w:t xml:space="preserve">current </w:t>
      </w:r>
      <w:r w:rsidRPr="00503A06">
        <w:t xml:space="preserve">submission </w:t>
      </w:r>
      <w:r w:rsidR="00DD2ADA">
        <w:t xml:space="preserve">argued that the clinical evidence does </w:t>
      </w:r>
      <w:r>
        <w:t>support</w:t>
      </w:r>
      <w:r w:rsidRPr="00503A06">
        <w:t xml:space="preserve"> </w:t>
      </w:r>
      <w:r w:rsidR="00DD2ADA">
        <w:t xml:space="preserve">the </w:t>
      </w:r>
      <w:r>
        <w:t>claim of superior effectiveness of BKZ versus all PBS-listed bDMARDs</w:t>
      </w:r>
      <w:r w:rsidR="00DD2ADA">
        <w:t xml:space="preserve"> and new evidence presented in the </w:t>
      </w:r>
      <w:r w:rsidR="004E178F">
        <w:t xml:space="preserve">current </w:t>
      </w:r>
      <w:r w:rsidR="00DD2ADA">
        <w:t>submission further strengthened this claim:</w:t>
      </w:r>
    </w:p>
    <w:p w14:paraId="65EA3AE8" w14:textId="0FE563DD" w:rsidR="00BE58B7" w:rsidRPr="00BE58B7" w:rsidRDefault="00DD2ADA" w:rsidP="004C3BD1">
      <w:pPr>
        <w:pStyle w:val="ListParagraph"/>
        <w:numPr>
          <w:ilvl w:val="0"/>
          <w:numId w:val="14"/>
        </w:numPr>
        <w:ind w:left="1080"/>
      </w:pPr>
      <w:r>
        <w:t>E</w:t>
      </w:r>
      <w:r w:rsidR="00BE58B7">
        <w:t>xpert opinion presented in</w:t>
      </w:r>
      <w:r w:rsidR="00F33464">
        <w:t xml:space="preserve"> the current submission</w:t>
      </w:r>
      <w:r w:rsidR="00BE58B7">
        <w:t xml:space="preserve"> validated the clinical relevance of the PASI 90 </w:t>
      </w:r>
      <w:r w:rsidR="00942D0B">
        <w:t>(</w:t>
      </w:r>
      <w:r w:rsidR="00BE58B7">
        <w:t>and the PASI 100 outcome in patients with high impact disease</w:t>
      </w:r>
      <w:r w:rsidR="00942D0B">
        <w:t>)</w:t>
      </w:r>
      <w:r w:rsidR="00BE58B7">
        <w:t>.</w:t>
      </w:r>
    </w:p>
    <w:p w14:paraId="1E27626A" w14:textId="3D2A8391" w:rsidR="00942D0B" w:rsidRDefault="00BE58B7" w:rsidP="004C3BD1">
      <w:pPr>
        <w:pStyle w:val="ListParagraph"/>
        <w:numPr>
          <w:ilvl w:val="0"/>
          <w:numId w:val="14"/>
        </w:numPr>
        <w:ind w:left="1080"/>
      </w:pPr>
      <w:r>
        <w:lastRenderedPageBreak/>
        <w:t xml:space="preserve">The head-to-head </w:t>
      </w:r>
      <w:r w:rsidR="00942D0B">
        <w:t xml:space="preserve">evidence </w:t>
      </w:r>
      <w:r>
        <w:t>(versus ADA, UST and SEC) and UCB NMA (versus all other comparators) demonstrated that significantly more patients achieved PASI 90 response following BKZ compared to all other PBS-listed bDMARDs.</w:t>
      </w:r>
    </w:p>
    <w:p w14:paraId="27013507" w14:textId="0289A76F" w:rsidR="00BE58B7" w:rsidRPr="00BE58B7" w:rsidRDefault="00BE58B7" w:rsidP="004C3BD1">
      <w:pPr>
        <w:pStyle w:val="ListParagraph"/>
        <w:numPr>
          <w:ilvl w:val="0"/>
          <w:numId w:val="14"/>
        </w:numPr>
        <w:ind w:left="1080"/>
      </w:pPr>
      <w:r>
        <w:t>The updated Cochrane review (Sbidian 2022) found that BKZ is positioned as one of the best overall treatments considering both efficacy and tolerability.</w:t>
      </w:r>
    </w:p>
    <w:p w14:paraId="607E5697" w14:textId="084E6CBD" w:rsidR="00BE58B7" w:rsidRPr="00BE58B7" w:rsidRDefault="00942D0B" w:rsidP="004C3BD1">
      <w:pPr>
        <w:pStyle w:val="ListParagraph"/>
        <w:numPr>
          <w:ilvl w:val="0"/>
          <w:numId w:val="14"/>
        </w:numPr>
        <w:ind w:left="1080"/>
      </w:pPr>
      <w:r>
        <w:t>The n</w:t>
      </w:r>
      <w:r w:rsidR="00BE58B7">
        <w:t>ew clinical evidence from the open label extension studies demonstrated that the clinical benefit of BKZ was maintained up to 3 years after initial treatment.</w:t>
      </w:r>
    </w:p>
    <w:p w14:paraId="3BD02E7C" w14:textId="77777777" w:rsidR="006B649B" w:rsidRDefault="00BE58B7" w:rsidP="004C3BD1">
      <w:pPr>
        <w:pStyle w:val="ListParagraph"/>
        <w:numPr>
          <w:ilvl w:val="0"/>
          <w:numId w:val="14"/>
        </w:numPr>
        <w:ind w:left="1080"/>
      </w:pPr>
      <w:r>
        <w:t xml:space="preserve">New clinical evidence for patients with CPP in high impact </w:t>
      </w:r>
      <w:r w:rsidR="00942D0B">
        <w:t xml:space="preserve">demonstrated the additional value of BKZ in patients with high impact disease </w:t>
      </w:r>
      <w:r>
        <w:t>areas</w:t>
      </w:r>
      <w:r w:rsidR="006B649B">
        <w:t>.</w:t>
      </w:r>
    </w:p>
    <w:p w14:paraId="6B7A1099" w14:textId="6D8770AA" w:rsidR="003828CB" w:rsidRPr="0055624C" w:rsidRDefault="00BE58B7" w:rsidP="00D779E6">
      <w:pPr>
        <w:numPr>
          <w:ilvl w:val="1"/>
          <w:numId w:val="1"/>
        </w:numPr>
        <w:spacing w:after="120"/>
        <w:rPr>
          <w:rFonts w:asciiTheme="minorHAnsi" w:hAnsiTheme="minorHAnsi"/>
          <w:snapToGrid w:val="0"/>
        </w:rPr>
      </w:pPr>
      <w:r w:rsidRPr="0055624C">
        <w:t>Overall, the</w:t>
      </w:r>
      <w:r w:rsidR="00BB72B6">
        <w:t xml:space="preserve"> evaluation considered the</w:t>
      </w:r>
      <w:r w:rsidRPr="0055624C">
        <w:t xml:space="preserve"> clinical evidence presented in the </w:t>
      </w:r>
      <w:r w:rsidR="006B649B" w:rsidRPr="0055624C">
        <w:t xml:space="preserve">March 2022 submission and </w:t>
      </w:r>
      <w:r w:rsidR="004E178F" w:rsidRPr="0055624C">
        <w:t xml:space="preserve">current </w:t>
      </w:r>
      <w:r w:rsidRPr="0055624C">
        <w:t>submission d</w:t>
      </w:r>
      <w:r w:rsidR="00BB72B6">
        <w:t>id</w:t>
      </w:r>
      <w:r w:rsidRPr="0055624C">
        <w:t xml:space="preserve"> not conclusively demonstrate that BKZ is more effective than all other PBS-listed bDMARDs in terms of </w:t>
      </w:r>
      <w:r w:rsidR="006B649B" w:rsidRPr="0055624C">
        <w:t xml:space="preserve">PASI 75 and </w:t>
      </w:r>
      <w:r w:rsidRPr="0055624C">
        <w:t xml:space="preserve">PASI 90 response. </w:t>
      </w:r>
      <w:r w:rsidR="00D779E6" w:rsidRPr="0055624C">
        <w:t>Although results from three direct trials (versus ADA, UST and SEC) and the UCB NMA (Armstrong 2022) statistically favoured BKZ versus all PBS-listed bDMARDs in terms of PASI 90, this</w:t>
      </w:r>
      <w:r w:rsidR="00F33464">
        <w:t xml:space="preserve"> excluded</w:t>
      </w:r>
      <w:r w:rsidR="00D779E6" w:rsidRPr="0055624C">
        <w:t xml:space="preserve"> main findings from the new NMAs presented in the </w:t>
      </w:r>
      <w:r w:rsidR="004E178F" w:rsidRPr="0055624C">
        <w:t xml:space="preserve">current </w:t>
      </w:r>
      <w:r w:rsidR="00D779E6" w:rsidRPr="0055624C">
        <w:t xml:space="preserve">submission as well as results of the ITCs presented in the March 2022 submission but omitted in the </w:t>
      </w:r>
      <w:r w:rsidR="004E178F" w:rsidRPr="0055624C">
        <w:t xml:space="preserve">current </w:t>
      </w:r>
      <w:r w:rsidR="00D779E6" w:rsidRPr="0055624C">
        <w:t xml:space="preserve">submission. </w:t>
      </w:r>
      <w:r w:rsidRPr="0055624C">
        <w:t xml:space="preserve">For example, the updated Cochrane review </w:t>
      </w:r>
      <w:r w:rsidR="003133C1" w:rsidRPr="0055624C">
        <w:t xml:space="preserve">by </w:t>
      </w:r>
      <w:r w:rsidRPr="0055624C">
        <w:t xml:space="preserve">Sbidian 2022 found no difference in </w:t>
      </w:r>
      <w:r w:rsidR="006B649B" w:rsidRPr="0055624C">
        <w:t xml:space="preserve">short-term </w:t>
      </w:r>
      <w:r w:rsidRPr="0055624C">
        <w:t xml:space="preserve">PASI 90 response </w:t>
      </w:r>
      <w:r w:rsidR="00E1287B" w:rsidRPr="0055624C">
        <w:t xml:space="preserve">at </w:t>
      </w:r>
      <w:r w:rsidRPr="0055624C">
        <w:t>Week 10</w:t>
      </w:r>
      <w:r w:rsidR="006B649B" w:rsidRPr="0055624C">
        <w:t xml:space="preserve"> to </w:t>
      </w:r>
      <w:r w:rsidRPr="0055624C">
        <w:t xml:space="preserve">16 between BKZ, IFX, IXE and RIS and the </w:t>
      </w:r>
      <w:r w:rsidR="003133C1" w:rsidRPr="0055624C">
        <w:t xml:space="preserve">new </w:t>
      </w:r>
      <w:r w:rsidRPr="0055624C">
        <w:t xml:space="preserve">NMA by Armstrong 2022a found </w:t>
      </w:r>
      <w:r w:rsidR="006B649B" w:rsidRPr="0055624C">
        <w:t xml:space="preserve">no difference </w:t>
      </w:r>
      <w:r w:rsidR="007D3DF8" w:rsidRPr="0055624C">
        <w:t xml:space="preserve">in long-term PASI 90 response </w:t>
      </w:r>
      <w:r w:rsidR="00E1287B" w:rsidRPr="0055624C">
        <w:t xml:space="preserve">at </w:t>
      </w:r>
      <w:r w:rsidR="007D3DF8" w:rsidRPr="0055624C">
        <w:t xml:space="preserve">Week 48 to 56 </w:t>
      </w:r>
      <w:r w:rsidR="00C842E3" w:rsidRPr="0055624C">
        <w:t>between</w:t>
      </w:r>
      <w:r w:rsidR="006B649B" w:rsidRPr="0055624C">
        <w:t xml:space="preserve"> BKZ</w:t>
      </w:r>
      <w:r w:rsidR="00C842E3" w:rsidRPr="0055624C">
        <w:t>,</w:t>
      </w:r>
      <w:r w:rsidR="006B649B" w:rsidRPr="0055624C">
        <w:t xml:space="preserve"> RIS</w:t>
      </w:r>
      <w:r w:rsidR="00C842E3" w:rsidRPr="0055624C">
        <w:t>, GUS and IXE</w:t>
      </w:r>
      <w:r w:rsidR="006B649B" w:rsidRPr="0055624C">
        <w:t xml:space="preserve"> </w:t>
      </w:r>
      <w:r w:rsidR="00E1287B" w:rsidRPr="0055624C">
        <w:t>(</w:t>
      </w:r>
      <w:r w:rsidR="008A362A" w:rsidRPr="0055624C">
        <w:t>for at least one dose of BKZ)</w:t>
      </w:r>
      <w:r w:rsidR="006B649B" w:rsidRPr="0055624C">
        <w:t>.</w:t>
      </w:r>
      <w:r w:rsidR="00564673" w:rsidRPr="0055624C">
        <w:t xml:space="preserve"> The claim also ignored results for PASI 75, for which the UCB NMA found no difference between BKZ, RIS and IXE, and the updated Cochrane review found no difference between BKZ, GUS, IXE, SEC, RIS, IFX.</w:t>
      </w:r>
    </w:p>
    <w:p w14:paraId="09AB0A97" w14:textId="32F2FD07" w:rsidR="000B650F" w:rsidRPr="0055624C" w:rsidRDefault="003828CB" w:rsidP="00564673">
      <w:pPr>
        <w:numPr>
          <w:ilvl w:val="1"/>
          <w:numId w:val="1"/>
        </w:numPr>
        <w:spacing w:after="120"/>
        <w:rPr>
          <w:rFonts w:asciiTheme="minorHAnsi" w:hAnsiTheme="minorHAnsi"/>
          <w:snapToGrid w:val="0"/>
        </w:rPr>
      </w:pPr>
      <w:r w:rsidRPr="0055624C">
        <w:t xml:space="preserve">The </w:t>
      </w:r>
      <w:r w:rsidR="004E178F" w:rsidRPr="0055624C">
        <w:t xml:space="preserve">current </w:t>
      </w:r>
      <w:r w:rsidRPr="0055624C">
        <w:t xml:space="preserve">submission did not discuss the inconsistent conclusions across the different NMAs or provide any clear justification for why the UCB NMA would provide </w:t>
      </w:r>
      <w:r w:rsidR="00C842E3" w:rsidRPr="0055624C">
        <w:t>more</w:t>
      </w:r>
      <w:r w:rsidRPr="0055624C">
        <w:t xml:space="preserve"> reliable estimates</w:t>
      </w:r>
      <w:r w:rsidR="00C842E3" w:rsidRPr="0055624C">
        <w:t xml:space="preserve"> than the updated Cochrane review</w:t>
      </w:r>
      <w:r w:rsidRPr="0055624C">
        <w:t xml:space="preserve">. </w:t>
      </w:r>
      <w:bookmarkStart w:id="40" w:name="_Hlk123916262"/>
      <w:r w:rsidR="00C842E3" w:rsidRPr="0055624C">
        <w:t xml:space="preserve">Although the Cochrane review included more trials and comparators for its </w:t>
      </w:r>
      <w:r w:rsidR="00E1287B" w:rsidRPr="0055624C">
        <w:t>main</w:t>
      </w:r>
      <w:r w:rsidR="00C842E3" w:rsidRPr="0055624C">
        <w:t xml:space="preserve"> analysis than the UCB NMA, the findings of the Cochrane review were also robust across multiple sensitivity analyses</w:t>
      </w:r>
      <w:r w:rsidR="00564673" w:rsidRPr="0055624C">
        <w:t xml:space="preserve"> (</w:t>
      </w:r>
      <w:r w:rsidR="00C842E3" w:rsidRPr="0055624C">
        <w:t xml:space="preserve">which likely </w:t>
      </w:r>
      <w:r w:rsidR="00564673" w:rsidRPr="0055624C">
        <w:t xml:space="preserve">included similar trials to the </w:t>
      </w:r>
      <w:r w:rsidR="00C842E3" w:rsidRPr="0055624C">
        <w:t>UCB NMA</w:t>
      </w:r>
      <w:r w:rsidR="00564673" w:rsidRPr="0055624C">
        <w:t>, as discussed above)</w:t>
      </w:r>
      <w:r w:rsidR="00C842E3" w:rsidRPr="0055624C">
        <w:t xml:space="preserve">. </w:t>
      </w:r>
      <w:r w:rsidR="008A362A" w:rsidRPr="0055624C">
        <w:t xml:space="preserve">This suggests that the differences in findings between the two NMAs may also be due to differences in methodologies </w:t>
      </w:r>
      <w:bookmarkEnd w:id="40"/>
      <w:r w:rsidR="008A362A" w:rsidRPr="0055624C">
        <w:t>(i.e.,</w:t>
      </w:r>
      <w:r w:rsidRPr="0055624C">
        <w:t xml:space="preserve"> Bayesian versus frequentist frameworks)</w:t>
      </w:r>
      <w:r w:rsidR="008A362A" w:rsidRPr="0055624C">
        <w:t xml:space="preserve"> rather than the included evidence</w:t>
      </w:r>
      <w:r w:rsidRPr="0055624C">
        <w:t xml:space="preserve">. </w:t>
      </w:r>
      <w:r w:rsidR="008A362A" w:rsidRPr="0055624C">
        <w:t>Without further information, the i</w:t>
      </w:r>
      <w:r w:rsidRPr="0055624C">
        <w:t>nconsisten</w:t>
      </w:r>
      <w:r w:rsidR="008A362A" w:rsidRPr="0055624C">
        <w:t xml:space="preserve">t findings across different approaches results in </w:t>
      </w:r>
      <w:r w:rsidRPr="0055624C">
        <w:t xml:space="preserve">uncertainty around the </w:t>
      </w:r>
      <w:r w:rsidR="008A362A" w:rsidRPr="0055624C">
        <w:t xml:space="preserve">interpretation of the </w:t>
      </w:r>
      <w:r w:rsidRPr="0055624C">
        <w:t>indirect evidence, in particular where efficacy conclusions were based on small statistical differences.</w:t>
      </w:r>
    </w:p>
    <w:p w14:paraId="7AC6B7B6" w14:textId="5AE6FB3F" w:rsidR="000B650F" w:rsidRPr="007A79BE" w:rsidRDefault="002C5D9E" w:rsidP="000764F3">
      <w:pPr>
        <w:numPr>
          <w:ilvl w:val="1"/>
          <w:numId w:val="1"/>
        </w:numPr>
        <w:spacing w:after="120"/>
        <w:rPr>
          <w:rFonts w:asciiTheme="minorHAnsi" w:hAnsiTheme="minorHAnsi"/>
          <w:i/>
          <w:iCs/>
          <w:snapToGrid w:val="0"/>
        </w:rPr>
      </w:pPr>
      <w:r w:rsidRPr="00BB72B6">
        <w:t xml:space="preserve">Based on the results for PASI 90, </w:t>
      </w:r>
      <w:r w:rsidR="00BB72B6">
        <w:t xml:space="preserve">the evaluation considered </w:t>
      </w:r>
      <w:r w:rsidR="000B650F" w:rsidRPr="00BB72B6">
        <w:t>there</w:t>
      </w:r>
      <w:r w:rsidR="000B650F" w:rsidRPr="0055624C">
        <w:t xml:space="preserve"> may be sufficient evidence across the totality of the clinical evidence to support the claim of superior effectiveness between BKZ and some treatments (e.g.</w:t>
      </w:r>
      <w:r w:rsidR="00385FDE" w:rsidRPr="0055624C">
        <w:t>,</w:t>
      </w:r>
      <w:r w:rsidR="000B650F" w:rsidRPr="0055624C">
        <w:t xml:space="preserve"> ADA, TIL, UST, SEC and </w:t>
      </w:r>
      <w:r w:rsidR="007D3DF8" w:rsidRPr="0055624C">
        <w:t xml:space="preserve">potentially </w:t>
      </w:r>
      <w:r w:rsidR="000B650F" w:rsidRPr="0055624C">
        <w:t>GUS) but not all treatments (e.g.</w:t>
      </w:r>
      <w:r w:rsidR="00385FDE" w:rsidRPr="0055624C">
        <w:t>,</w:t>
      </w:r>
      <w:r w:rsidR="000B650F" w:rsidRPr="0055624C">
        <w:t xml:space="preserve"> RIS, IXE and IFX).</w:t>
      </w:r>
      <w:r w:rsidR="00C97867" w:rsidRPr="0055624C">
        <w:t xml:space="preserve"> </w:t>
      </w:r>
      <w:r w:rsidR="00BB1A21" w:rsidRPr="0055624C">
        <w:t xml:space="preserve">Based on results for PASI 75, the clinical evidence presented in the current submission generally supports </w:t>
      </w:r>
      <w:r w:rsidR="00BB1A21" w:rsidRPr="0055624C">
        <w:lastRenderedPageBreak/>
        <w:t>the claim of superior effectiveness for BKZ versus ADA, TIL and UST (consistent with the PBAC’s conclusion in March 2022).</w:t>
      </w:r>
    </w:p>
    <w:p w14:paraId="4F402D9B" w14:textId="77777777" w:rsidR="00F823DE" w:rsidRDefault="008C626F" w:rsidP="00F823DE">
      <w:pPr>
        <w:pStyle w:val="3-BodyText"/>
      </w:pPr>
      <w:r w:rsidRPr="00CD51D2">
        <w:t xml:space="preserve">The ESC considered that BKZ was likely non-inferior to at least RIS, IXE, IFX at 10-16 week and non-inferior to RIS, IXE and GUS (no data for IFX) at 48-56 weeks.   </w:t>
      </w:r>
    </w:p>
    <w:p w14:paraId="3A14F6BB" w14:textId="63692A72" w:rsidR="00F823DE" w:rsidRPr="00F823DE" w:rsidRDefault="00F823DE" w:rsidP="00F823DE">
      <w:pPr>
        <w:pStyle w:val="3-BodyText"/>
      </w:pPr>
      <w:r>
        <w:t xml:space="preserve">The pre-PBAC response stated the sponsor does not accept </w:t>
      </w:r>
      <w:r w:rsidRPr="00F823DE">
        <w:t xml:space="preserve">the proposition that </w:t>
      </w:r>
      <w:r w:rsidR="00AF4C7E">
        <w:t xml:space="preserve">BKZ </w:t>
      </w:r>
      <w:r w:rsidRPr="00F823DE">
        <w:t xml:space="preserve">is equivalent </w:t>
      </w:r>
      <w:r w:rsidR="00AF4C7E">
        <w:t xml:space="preserve">to IFX </w:t>
      </w:r>
      <w:r w:rsidRPr="00F823DE">
        <w:t>on either an efficacy or safety basis.</w:t>
      </w:r>
      <w:r w:rsidRPr="00F823DE">
        <w:rPr>
          <w:b/>
          <w:bCs/>
        </w:rPr>
        <w:t xml:space="preserve"> </w:t>
      </w:r>
      <w:r>
        <w:t xml:space="preserve">The pre-PBAC response outlined some of the shortcomings with the Cochrane NMA that may impact its reliability in terms of conclusions regarding the comparative effectiveness and safety of IFX. </w:t>
      </w:r>
      <w:r w:rsidR="00813789">
        <w:t xml:space="preserve">The PBAC acknowledged the pre-PBAC response but considered that, overall, the totality of clinical evidence did not support a claim of superior effectiveness or safety for BKZ versus IFX. </w:t>
      </w:r>
    </w:p>
    <w:p w14:paraId="3B832C77" w14:textId="6F2AA216" w:rsidR="00BB72B6" w:rsidRPr="00CD51D2" w:rsidRDefault="0070692C" w:rsidP="008C626F">
      <w:pPr>
        <w:pStyle w:val="3-BodyText"/>
      </w:pPr>
      <w:r w:rsidRPr="00CD51D2">
        <w:t>The PBAC</w:t>
      </w:r>
      <w:r w:rsidR="00CD51D2" w:rsidRPr="00CD51D2">
        <w:t xml:space="preserve"> considered </w:t>
      </w:r>
      <w:r w:rsidR="00CD51D2">
        <w:t xml:space="preserve">that, overall, </w:t>
      </w:r>
      <w:r w:rsidR="00CD51D2" w:rsidRPr="00CD51D2">
        <w:t xml:space="preserve">the clinical evidence presented supported the claim that BKZ is superior in terms of effectiveness to ADA, UST and ETN.  </w:t>
      </w:r>
      <w:r w:rsidR="00347936">
        <w:t xml:space="preserve">The PBAC considered a claim </w:t>
      </w:r>
      <w:r w:rsidR="00AF4C7E">
        <w:t xml:space="preserve">of </w:t>
      </w:r>
      <w:r w:rsidR="00347936" w:rsidRPr="00347936">
        <w:t xml:space="preserve">non-inferior effectiveness for BKZ vs IXE, </w:t>
      </w:r>
      <w:r w:rsidR="00347936">
        <w:t xml:space="preserve">TIL, </w:t>
      </w:r>
      <w:r w:rsidR="00347936" w:rsidRPr="00347936">
        <w:t>GUS, SEC</w:t>
      </w:r>
      <w:r w:rsidR="00347936">
        <w:t>, IFX</w:t>
      </w:r>
      <w:r w:rsidR="00347936" w:rsidRPr="00347936">
        <w:t xml:space="preserve"> and RIS was reasonably supported. </w:t>
      </w:r>
      <w:r w:rsidR="00347936">
        <w:t xml:space="preserve">Consistent with its previous consideration, the PBAC considered the claim of </w:t>
      </w:r>
      <w:r w:rsidR="00347936" w:rsidRPr="00347936">
        <w:t>non-inferior</w:t>
      </w:r>
      <w:r w:rsidR="00347936">
        <w:t>ity</w:t>
      </w:r>
      <w:r w:rsidR="00347936" w:rsidRPr="00347936">
        <w:t xml:space="preserve"> in terms of safety compared with all current PBS-listed bDMARDs</w:t>
      </w:r>
      <w:r w:rsidR="00347936">
        <w:t xml:space="preserve"> was reasonable</w:t>
      </w:r>
      <w:r w:rsidR="00347936" w:rsidRPr="00347936">
        <w:t>.</w:t>
      </w:r>
    </w:p>
    <w:p w14:paraId="74A1172E" w14:textId="128C170E" w:rsidR="00B60939" w:rsidRPr="00C9624D" w:rsidRDefault="00B60939" w:rsidP="00E9094A">
      <w:pPr>
        <w:pStyle w:val="4-SubsectionHeading"/>
      </w:pPr>
      <w:bookmarkStart w:id="41" w:name="_Toc22897645"/>
      <w:bookmarkStart w:id="42" w:name="_Toc124838633"/>
      <w:r w:rsidRPr="00C9624D">
        <w:t>Economic analysis</w:t>
      </w:r>
      <w:bookmarkEnd w:id="41"/>
      <w:bookmarkEnd w:id="42"/>
      <w:r w:rsidR="00491B3A" w:rsidRPr="00C9624D">
        <w:t xml:space="preserve"> </w:t>
      </w:r>
    </w:p>
    <w:p w14:paraId="4A18C0C0" w14:textId="32A7595F" w:rsidR="00C44527" w:rsidRPr="00BB72B6" w:rsidRDefault="00C44527" w:rsidP="00C44527">
      <w:pPr>
        <w:pStyle w:val="3-BodyText"/>
      </w:pPr>
      <w:r w:rsidRPr="00BB72B6">
        <w:t>The ESC considered the updated cost-utility analysis presented in the current submission was not informative given the clinical evidence presented in the current submission did not support the clinical claim that BKZ was superior to all PBS-listed bDMARDs.</w:t>
      </w:r>
    </w:p>
    <w:p w14:paraId="5BB54123" w14:textId="51C156AB" w:rsidR="003006D7" w:rsidRPr="007B17AB" w:rsidRDefault="00B4286E" w:rsidP="000D3BFF">
      <w:pPr>
        <w:numPr>
          <w:ilvl w:val="1"/>
          <w:numId w:val="1"/>
        </w:numPr>
        <w:spacing w:after="160"/>
        <w:ind w:left="709" w:hanging="709"/>
        <w:rPr>
          <w:rFonts w:asciiTheme="minorHAnsi" w:hAnsiTheme="minorHAnsi"/>
          <w:snapToGrid w:val="0"/>
        </w:rPr>
      </w:pPr>
      <w:r>
        <w:t xml:space="preserve">The </w:t>
      </w:r>
      <w:r w:rsidR="004E178F">
        <w:t xml:space="preserve">current </w:t>
      </w:r>
      <w:r>
        <w:t xml:space="preserve">submission presented an updated cost-utility analysis </w:t>
      </w:r>
      <w:r w:rsidR="00365729">
        <w:t>using</w:t>
      </w:r>
      <w:r>
        <w:t xml:space="preserve"> the individual patient level simulation model presented in t</w:t>
      </w:r>
      <w:r w:rsidR="00AB187F" w:rsidRPr="00B844F7">
        <w:t>he March 2022 submission</w:t>
      </w:r>
      <w:r w:rsidR="00365729">
        <w:t xml:space="preserve">. </w:t>
      </w:r>
      <w:r w:rsidR="00FD4589">
        <w:t xml:space="preserve">The </w:t>
      </w:r>
      <w:r w:rsidR="00365729">
        <w:t xml:space="preserve">structure of the model </w:t>
      </w:r>
      <w:r w:rsidR="00FD4589">
        <w:t>remained</w:t>
      </w:r>
      <w:r w:rsidR="00365729">
        <w:t xml:space="preserve"> unchanged but key model parameters were updated in line with </w:t>
      </w:r>
      <w:r w:rsidR="00385FDE">
        <w:t xml:space="preserve">the March 2022 </w:t>
      </w:r>
      <w:r w:rsidR="00365729">
        <w:t xml:space="preserve">ESC advice. Although the PBAC had subsequently </w:t>
      </w:r>
      <w:r>
        <w:t xml:space="preserve">considered the economic model was largely uninformative for decision making </w:t>
      </w:r>
      <w:r w:rsidR="00FD4589">
        <w:t>because</w:t>
      </w:r>
      <w:r>
        <w:t xml:space="preserve"> the clinical claim of superior effectiveness versus all PBS-listed bDMARDs had not been accepted, the </w:t>
      </w:r>
      <w:r w:rsidR="00365729">
        <w:t xml:space="preserve">ESC had </w:t>
      </w:r>
      <w:r w:rsidR="00F47A7A">
        <w:t>recommended</w:t>
      </w:r>
      <w:r w:rsidR="00365729">
        <w:t xml:space="preserve"> a respecified base case</w:t>
      </w:r>
      <w:r w:rsidR="00F47A7A">
        <w:t xml:space="preserve">. This included </w:t>
      </w:r>
      <w:r w:rsidR="003D54F2">
        <w:t xml:space="preserve">using </w:t>
      </w:r>
      <w:r w:rsidR="00FD4589">
        <w:rPr>
          <w:iCs/>
        </w:rPr>
        <w:t>(i) effect estimates from the UCB NMA, (ii) no difference in time to quality of life benefit between treatments, (iii) utilities sourced from the BKZ trials, and (iv) a specific sequence of treatments in the comparator arm</w:t>
      </w:r>
      <w:r w:rsidR="00FD4589" w:rsidRPr="00B844F7">
        <w:t xml:space="preserve"> (paragraphs </w:t>
      </w:r>
      <w:r w:rsidR="00FD4589">
        <w:t xml:space="preserve">6.78, </w:t>
      </w:r>
      <w:r w:rsidR="00FD4589" w:rsidRPr="00B844F7">
        <w:t xml:space="preserve">6.80 and 7.9, BKZ PSD, March 2022 PBAC </w:t>
      </w:r>
      <w:r w:rsidR="003D54F2">
        <w:t>m</w:t>
      </w:r>
      <w:r w:rsidR="00FD4589" w:rsidRPr="00B844F7">
        <w:t>eeting).</w:t>
      </w:r>
      <w:r w:rsidR="00C44527">
        <w:t xml:space="preserve"> </w:t>
      </w:r>
      <w:r w:rsidR="00743873" w:rsidRPr="00743873">
        <w:rPr>
          <w:rFonts w:asciiTheme="minorHAnsi" w:hAnsiTheme="minorHAnsi" w:cstheme="minorHAnsi"/>
        </w:rPr>
        <w:fldChar w:fldCharType="begin"/>
      </w:r>
      <w:r w:rsidR="00743873" w:rsidRPr="00743873">
        <w:rPr>
          <w:rFonts w:asciiTheme="minorHAnsi" w:hAnsiTheme="minorHAnsi" w:cstheme="minorHAnsi"/>
          <w:snapToGrid w:val="0"/>
        </w:rPr>
        <w:instrText xml:space="preserve"> REF _Ref123814404 \h </w:instrText>
      </w:r>
      <w:r w:rsidR="00743873" w:rsidRPr="00743873">
        <w:rPr>
          <w:rFonts w:asciiTheme="minorHAnsi" w:hAnsiTheme="minorHAnsi" w:cstheme="minorHAnsi"/>
        </w:rPr>
        <w:instrText xml:space="preserve"> \* MERGEFORMAT </w:instrText>
      </w:r>
      <w:r w:rsidR="00743873" w:rsidRPr="00743873">
        <w:rPr>
          <w:rFonts w:asciiTheme="minorHAnsi" w:hAnsiTheme="minorHAnsi" w:cstheme="minorHAnsi"/>
        </w:rPr>
      </w:r>
      <w:r w:rsidR="00743873" w:rsidRPr="00743873">
        <w:rPr>
          <w:rFonts w:asciiTheme="minorHAnsi" w:hAnsiTheme="minorHAnsi" w:cstheme="minorHAnsi"/>
        </w:rPr>
        <w:fldChar w:fldCharType="separate"/>
      </w:r>
      <w:r w:rsidR="003F1ED3" w:rsidRPr="003F1ED3">
        <w:rPr>
          <w:rFonts w:asciiTheme="minorHAnsi" w:hAnsiTheme="minorHAnsi" w:cstheme="minorHAnsi"/>
        </w:rPr>
        <w:t xml:space="preserve">Table </w:t>
      </w:r>
      <w:r w:rsidR="003F1ED3" w:rsidRPr="003F1ED3">
        <w:rPr>
          <w:rFonts w:asciiTheme="minorHAnsi" w:hAnsiTheme="minorHAnsi" w:cstheme="minorHAnsi"/>
          <w:noProof/>
        </w:rPr>
        <w:t>6</w:t>
      </w:r>
      <w:r w:rsidR="00743873" w:rsidRPr="00743873">
        <w:rPr>
          <w:rFonts w:asciiTheme="minorHAnsi" w:hAnsiTheme="minorHAnsi" w:cstheme="minorHAnsi"/>
        </w:rPr>
        <w:fldChar w:fldCharType="end"/>
      </w:r>
      <w:r w:rsidR="00743873" w:rsidRPr="00743873">
        <w:rPr>
          <w:rFonts w:asciiTheme="minorHAnsi" w:hAnsiTheme="minorHAnsi" w:cstheme="minorHAnsi"/>
        </w:rPr>
        <w:t xml:space="preserve"> </w:t>
      </w:r>
      <w:r w:rsidR="003006D7">
        <w:rPr>
          <w:rFonts w:asciiTheme="minorHAnsi" w:hAnsiTheme="minorHAnsi"/>
          <w:snapToGrid w:val="0"/>
        </w:rPr>
        <w:t xml:space="preserve">summarises the </w:t>
      </w:r>
      <w:r w:rsidR="003006D7">
        <w:rPr>
          <w:iCs/>
        </w:rPr>
        <w:t xml:space="preserve">key model </w:t>
      </w:r>
      <w:r w:rsidR="00E100D5">
        <w:rPr>
          <w:iCs/>
        </w:rPr>
        <w:t xml:space="preserve">parameters and </w:t>
      </w:r>
      <w:r w:rsidR="003006D7">
        <w:rPr>
          <w:iCs/>
        </w:rPr>
        <w:t xml:space="preserve">assumptions </w:t>
      </w:r>
      <w:r w:rsidR="00E100D5">
        <w:rPr>
          <w:iCs/>
        </w:rPr>
        <w:t xml:space="preserve">in the March 2022 submission and </w:t>
      </w:r>
      <w:r w:rsidR="00055304">
        <w:rPr>
          <w:iCs/>
        </w:rPr>
        <w:t xml:space="preserve">current </w:t>
      </w:r>
      <w:r w:rsidR="00E100D5">
        <w:rPr>
          <w:iCs/>
        </w:rPr>
        <w:t xml:space="preserve">submission. The </w:t>
      </w:r>
      <w:r w:rsidR="00F47A7A">
        <w:rPr>
          <w:iCs/>
        </w:rPr>
        <w:t xml:space="preserve">updated analysis in the </w:t>
      </w:r>
      <w:r w:rsidR="00055304">
        <w:rPr>
          <w:iCs/>
        </w:rPr>
        <w:t xml:space="preserve">current </w:t>
      </w:r>
      <w:r w:rsidR="00F47A7A">
        <w:rPr>
          <w:iCs/>
        </w:rPr>
        <w:t>submission included all of the model parameters recommended by ESC as well as updated drug costs (</w:t>
      </w:r>
      <w:r w:rsidR="000D3BFF">
        <w:rPr>
          <w:iCs/>
        </w:rPr>
        <w:t xml:space="preserve">estimated </w:t>
      </w:r>
      <w:r w:rsidR="00F47A7A">
        <w:rPr>
          <w:iCs/>
        </w:rPr>
        <w:t>effective rather than published prices) and updated health care resource costs (inflated from 2021 to 2023 values)</w:t>
      </w:r>
      <w:r w:rsidR="003006D7" w:rsidRPr="00E1019E">
        <w:rPr>
          <w:rFonts w:asciiTheme="minorHAnsi" w:hAnsiTheme="minorHAnsi" w:cs="Calibri"/>
          <w:snapToGrid w:val="0"/>
        </w:rPr>
        <w:t>.</w:t>
      </w:r>
    </w:p>
    <w:p w14:paraId="3CA825E7" w14:textId="77777777" w:rsidR="007B17AB" w:rsidRPr="00E1019E" w:rsidRDefault="007B17AB" w:rsidP="007B17AB">
      <w:pPr>
        <w:spacing w:after="160"/>
        <w:ind w:left="709"/>
        <w:rPr>
          <w:rFonts w:asciiTheme="minorHAnsi" w:hAnsiTheme="minorHAnsi"/>
          <w:snapToGrid w:val="0"/>
        </w:rPr>
      </w:pPr>
    </w:p>
    <w:p w14:paraId="57C25F3B" w14:textId="22D58B32" w:rsidR="003006D7" w:rsidRPr="00E1019E" w:rsidRDefault="005467CD" w:rsidP="003006D7">
      <w:pPr>
        <w:keepNext/>
        <w:jc w:val="left"/>
        <w:rPr>
          <w:rFonts w:ascii="Arial Narrow" w:hAnsi="Arial Narrow"/>
          <w:b/>
          <w:bCs/>
          <w:sz w:val="20"/>
          <w:szCs w:val="20"/>
        </w:rPr>
      </w:pPr>
      <w:bookmarkStart w:id="43" w:name="_Ref123814404"/>
      <w:r w:rsidRPr="005467CD">
        <w:rPr>
          <w:rFonts w:ascii="Arial Narrow" w:hAnsi="Arial Narrow"/>
          <w:b/>
          <w:bCs/>
          <w:sz w:val="20"/>
          <w:szCs w:val="20"/>
        </w:rPr>
        <w:lastRenderedPageBreak/>
        <w:t xml:space="preserve">Table </w:t>
      </w:r>
      <w:r w:rsidRPr="005467CD">
        <w:rPr>
          <w:rFonts w:ascii="Arial Narrow" w:hAnsi="Arial Narrow"/>
          <w:b/>
          <w:bCs/>
          <w:sz w:val="20"/>
          <w:szCs w:val="20"/>
        </w:rPr>
        <w:fldChar w:fldCharType="begin"/>
      </w:r>
      <w:r w:rsidRPr="005467CD">
        <w:rPr>
          <w:rFonts w:ascii="Arial Narrow" w:hAnsi="Arial Narrow"/>
          <w:b/>
          <w:bCs/>
          <w:sz w:val="20"/>
          <w:szCs w:val="20"/>
        </w:rPr>
        <w:instrText xml:space="preserve"> SEQ Table \* ARABIC </w:instrText>
      </w:r>
      <w:r w:rsidRPr="005467CD">
        <w:rPr>
          <w:rFonts w:ascii="Arial Narrow" w:hAnsi="Arial Narrow"/>
          <w:b/>
          <w:bCs/>
          <w:sz w:val="20"/>
          <w:szCs w:val="20"/>
        </w:rPr>
        <w:fldChar w:fldCharType="separate"/>
      </w:r>
      <w:r w:rsidR="003F1ED3">
        <w:rPr>
          <w:rFonts w:ascii="Arial Narrow" w:hAnsi="Arial Narrow"/>
          <w:b/>
          <w:bCs/>
          <w:noProof/>
          <w:sz w:val="20"/>
          <w:szCs w:val="20"/>
        </w:rPr>
        <w:t>6</w:t>
      </w:r>
      <w:r w:rsidRPr="005467CD">
        <w:rPr>
          <w:rFonts w:ascii="Arial Narrow" w:hAnsi="Arial Narrow"/>
          <w:b/>
          <w:bCs/>
          <w:noProof/>
          <w:sz w:val="20"/>
          <w:szCs w:val="20"/>
        </w:rPr>
        <w:fldChar w:fldCharType="end"/>
      </w:r>
      <w:bookmarkEnd w:id="43"/>
      <w:r w:rsidR="003006D7" w:rsidRPr="00E1019E">
        <w:rPr>
          <w:rFonts w:ascii="Arial Narrow" w:hAnsi="Arial Narrow"/>
          <w:b/>
          <w:bCs/>
          <w:sz w:val="20"/>
          <w:szCs w:val="2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05"/>
        <w:gridCol w:w="5314"/>
        <w:gridCol w:w="2598"/>
      </w:tblGrid>
      <w:tr w:rsidR="003006D7" w:rsidRPr="00E1019E" w14:paraId="6DE78065" w14:textId="77777777" w:rsidTr="004C3BD1">
        <w:trPr>
          <w:cantSplit/>
          <w:tblHeader/>
        </w:trPr>
        <w:tc>
          <w:tcPr>
            <w:tcW w:w="562" w:type="pct"/>
            <w:shd w:val="clear" w:color="auto" w:fill="auto"/>
            <w:vAlign w:val="center"/>
          </w:tcPr>
          <w:p w14:paraId="56CC3FE3" w14:textId="77777777" w:rsidR="003006D7" w:rsidRPr="00E1019E" w:rsidRDefault="003006D7" w:rsidP="00BD77D0">
            <w:pPr>
              <w:jc w:val="left"/>
              <w:rPr>
                <w:rFonts w:ascii="Arial Narrow" w:eastAsiaTheme="majorEastAsia" w:hAnsi="Arial Narrow" w:cs="Times New Roman"/>
                <w:b/>
                <w:sz w:val="20"/>
              </w:rPr>
            </w:pPr>
            <w:r w:rsidRPr="00E1019E">
              <w:rPr>
                <w:rFonts w:ascii="Arial Narrow" w:eastAsiaTheme="majorEastAsia" w:hAnsi="Arial Narrow" w:cs="Times New Roman"/>
                <w:b/>
                <w:sz w:val="20"/>
              </w:rPr>
              <w:t>Component</w:t>
            </w:r>
          </w:p>
        </w:tc>
        <w:tc>
          <w:tcPr>
            <w:tcW w:w="2972" w:type="pct"/>
          </w:tcPr>
          <w:p w14:paraId="74BBBF0E" w14:textId="77777777" w:rsidR="003006D7" w:rsidRPr="00E1019E" w:rsidRDefault="003006D7" w:rsidP="00BD77D0">
            <w:pPr>
              <w:jc w:val="center"/>
              <w:rPr>
                <w:rFonts w:ascii="Arial Narrow" w:eastAsiaTheme="majorEastAsia" w:hAnsi="Arial Narrow" w:cs="Times New Roman"/>
                <w:b/>
                <w:sz w:val="20"/>
              </w:rPr>
            </w:pPr>
            <w:r>
              <w:rPr>
                <w:rFonts w:ascii="Arial Narrow" w:eastAsiaTheme="majorEastAsia" w:hAnsi="Arial Narrow" w:cs="Times New Roman"/>
                <w:b/>
                <w:sz w:val="20"/>
              </w:rPr>
              <w:t>March 2022 submission and ESC/PBAC comments</w:t>
            </w:r>
          </w:p>
        </w:tc>
        <w:tc>
          <w:tcPr>
            <w:tcW w:w="1466" w:type="pct"/>
            <w:shd w:val="clear" w:color="auto" w:fill="auto"/>
            <w:vAlign w:val="center"/>
          </w:tcPr>
          <w:p w14:paraId="619D62E3" w14:textId="7B73EED1" w:rsidR="003006D7" w:rsidRPr="00E1019E" w:rsidRDefault="00055304" w:rsidP="00BD77D0">
            <w:pPr>
              <w:jc w:val="center"/>
              <w:rPr>
                <w:rFonts w:ascii="Arial Narrow" w:eastAsiaTheme="majorEastAsia" w:hAnsi="Arial Narrow" w:cs="Times New Roman"/>
                <w:b/>
                <w:sz w:val="20"/>
              </w:rPr>
            </w:pPr>
            <w:r>
              <w:rPr>
                <w:rFonts w:ascii="Arial Narrow" w:eastAsiaTheme="majorEastAsia" w:hAnsi="Arial Narrow" w:cs="Times New Roman"/>
                <w:b/>
                <w:sz w:val="20"/>
              </w:rPr>
              <w:t xml:space="preserve">March 2023 current </w:t>
            </w:r>
            <w:r w:rsidR="003006D7">
              <w:rPr>
                <w:rFonts w:ascii="Arial Narrow" w:eastAsiaTheme="majorEastAsia" w:hAnsi="Arial Narrow" w:cs="Times New Roman"/>
                <w:b/>
                <w:sz w:val="20"/>
              </w:rPr>
              <w:t>submission</w:t>
            </w:r>
          </w:p>
        </w:tc>
      </w:tr>
      <w:tr w:rsidR="003006D7" w:rsidRPr="00E1019E" w14:paraId="06311AC4" w14:textId="77777777" w:rsidTr="004C3BD1">
        <w:trPr>
          <w:cantSplit/>
          <w:trHeight w:val="229"/>
        </w:trPr>
        <w:tc>
          <w:tcPr>
            <w:tcW w:w="562" w:type="pct"/>
            <w:shd w:val="clear" w:color="auto" w:fill="C6D9F1" w:themeFill="text2" w:themeFillTint="33"/>
            <w:vAlign w:val="center"/>
          </w:tcPr>
          <w:p w14:paraId="65358C0A"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Treatments</w:t>
            </w:r>
          </w:p>
        </w:tc>
        <w:tc>
          <w:tcPr>
            <w:tcW w:w="4438" w:type="pct"/>
            <w:gridSpan w:val="2"/>
            <w:shd w:val="clear" w:color="auto" w:fill="C6D9F1" w:themeFill="text2" w:themeFillTint="33"/>
          </w:tcPr>
          <w:p w14:paraId="524A4475"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Scenario with PBS listing of BKZ vs scenario without PBS listing of BKZ</w:t>
            </w:r>
          </w:p>
        </w:tc>
      </w:tr>
      <w:tr w:rsidR="003006D7" w:rsidRPr="00E1019E" w14:paraId="1BB5E749" w14:textId="77777777" w:rsidTr="004C3BD1">
        <w:trPr>
          <w:cantSplit/>
        </w:trPr>
        <w:tc>
          <w:tcPr>
            <w:tcW w:w="562" w:type="pct"/>
            <w:shd w:val="clear" w:color="auto" w:fill="C6D9F1" w:themeFill="text2" w:themeFillTint="33"/>
            <w:vAlign w:val="center"/>
          </w:tcPr>
          <w:p w14:paraId="24DC9803"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Time horizon</w:t>
            </w:r>
          </w:p>
        </w:tc>
        <w:tc>
          <w:tcPr>
            <w:tcW w:w="4438" w:type="pct"/>
            <w:gridSpan w:val="2"/>
            <w:shd w:val="clear" w:color="auto" w:fill="C6D9F1" w:themeFill="text2" w:themeFillTint="33"/>
          </w:tcPr>
          <w:p w14:paraId="3DC0778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7 years in the model base case versus 16 weeks of comparative data in the initial treatment period in the key trials</w:t>
            </w:r>
          </w:p>
        </w:tc>
      </w:tr>
      <w:tr w:rsidR="003006D7" w:rsidRPr="00E1019E" w14:paraId="4245FFF4" w14:textId="77777777" w:rsidTr="004C3BD1">
        <w:trPr>
          <w:cantSplit/>
        </w:trPr>
        <w:tc>
          <w:tcPr>
            <w:tcW w:w="562" w:type="pct"/>
            <w:shd w:val="clear" w:color="auto" w:fill="C6D9F1" w:themeFill="text2" w:themeFillTint="33"/>
            <w:vAlign w:val="center"/>
          </w:tcPr>
          <w:p w14:paraId="2C769750"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Outcomes</w:t>
            </w:r>
          </w:p>
        </w:tc>
        <w:tc>
          <w:tcPr>
            <w:tcW w:w="4438" w:type="pct"/>
            <w:gridSpan w:val="2"/>
            <w:shd w:val="clear" w:color="auto" w:fill="C6D9F1" w:themeFill="text2" w:themeFillTint="33"/>
          </w:tcPr>
          <w:p w14:paraId="5C97AFF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Quality-adjusted life years (QALYs)</w:t>
            </w:r>
          </w:p>
        </w:tc>
      </w:tr>
      <w:tr w:rsidR="003006D7" w:rsidRPr="00E1019E" w14:paraId="15307E5B" w14:textId="77777777" w:rsidTr="004C3BD1">
        <w:trPr>
          <w:cantSplit/>
        </w:trPr>
        <w:tc>
          <w:tcPr>
            <w:tcW w:w="562" w:type="pct"/>
            <w:shd w:val="clear" w:color="auto" w:fill="C6D9F1" w:themeFill="text2" w:themeFillTint="33"/>
            <w:vAlign w:val="center"/>
          </w:tcPr>
          <w:p w14:paraId="12790517"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Methods used to generate results</w:t>
            </w:r>
          </w:p>
        </w:tc>
        <w:tc>
          <w:tcPr>
            <w:tcW w:w="4438" w:type="pct"/>
            <w:gridSpan w:val="2"/>
            <w:shd w:val="clear" w:color="auto" w:fill="C6D9F1" w:themeFill="text2" w:themeFillTint="33"/>
          </w:tcPr>
          <w:p w14:paraId="47C507D7"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Microsimulation model (simulating individual patient outcomes) which enabled the model to: </w:t>
            </w:r>
          </w:p>
          <w:p w14:paraId="6CCA9DB1"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remember the number of bDMARDs a patient had used in the treatment cycle; </w:t>
            </w:r>
          </w:p>
          <w:p w14:paraId="3410804B"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memory of prior treatments, which bDMARD had been used (to avoid re-use of same bDMARD); and </w:t>
            </w:r>
          </w:p>
          <w:p w14:paraId="781693C9"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count the 5-year bDMARD free period mandated in the PBS criteria.</w:t>
            </w:r>
          </w:p>
        </w:tc>
      </w:tr>
      <w:tr w:rsidR="003006D7" w:rsidRPr="00E1019E" w14:paraId="78375134" w14:textId="77777777" w:rsidTr="004C3BD1">
        <w:trPr>
          <w:cantSplit/>
        </w:trPr>
        <w:tc>
          <w:tcPr>
            <w:tcW w:w="562" w:type="pct"/>
            <w:shd w:val="clear" w:color="auto" w:fill="C6D9F1" w:themeFill="text2" w:themeFillTint="33"/>
            <w:vAlign w:val="center"/>
          </w:tcPr>
          <w:p w14:paraId="006C381D"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states</w:t>
            </w:r>
          </w:p>
        </w:tc>
        <w:tc>
          <w:tcPr>
            <w:tcW w:w="4438" w:type="pct"/>
            <w:gridSpan w:val="2"/>
            <w:shd w:val="clear" w:color="auto" w:fill="C6D9F1" w:themeFill="text2" w:themeFillTint="33"/>
          </w:tcPr>
          <w:p w14:paraId="52B155D9"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6 states based on PASI response:</w:t>
            </w:r>
            <w:r>
              <w:rPr>
                <w:rFonts w:ascii="Arial Narrow" w:eastAsiaTheme="majorEastAsia" w:hAnsi="Arial Narrow" w:cstheme="majorBidi"/>
                <w:bCs/>
                <w:sz w:val="20"/>
              </w:rPr>
              <w:t xml:space="preserve"> B</w:t>
            </w:r>
            <w:r w:rsidRPr="00E1019E">
              <w:rPr>
                <w:rFonts w:ascii="Arial Narrow" w:eastAsiaTheme="majorEastAsia" w:hAnsi="Arial Narrow" w:cstheme="majorBidi"/>
                <w:bCs/>
                <w:sz w:val="20"/>
              </w:rPr>
              <w:t>aseline</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&lt; PASI 50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50 ≤ PASI &lt; 75</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75 ≤ PASI &lt; 90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90 ≤ PASI &lt; 100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PASI 100.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Patients can also move to the death state during any cycle based on background mortality.</w:t>
            </w:r>
          </w:p>
        </w:tc>
      </w:tr>
      <w:tr w:rsidR="003006D7" w:rsidRPr="00E1019E" w14:paraId="4F9D52A0" w14:textId="77777777" w:rsidTr="004C3BD1">
        <w:trPr>
          <w:cantSplit/>
        </w:trPr>
        <w:tc>
          <w:tcPr>
            <w:tcW w:w="562" w:type="pct"/>
            <w:shd w:val="clear" w:color="auto" w:fill="C6D9F1" w:themeFill="text2" w:themeFillTint="33"/>
            <w:vAlign w:val="center"/>
          </w:tcPr>
          <w:p w14:paraId="7D33285B"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Cycle length</w:t>
            </w:r>
          </w:p>
        </w:tc>
        <w:tc>
          <w:tcPr>
            <w:tcW w:w="4438" w:type="pct"/>
            <w:gridSpan w:val="2"/>
            <w:shd w:val="clear" w:color="auto" w:fill="C6D9F1" w:themeFill="text2" w:themeFillTint="33"/>
          </w:tcPr>
          <w:p w14:paraId="2EA01DA0"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2 weeks</w:t>
            </w:r>
          </w:p>
        </w:tc>
      </w:tr>
      <w:tr w:rsidR="003006D7" w:rsidRPr="00E1019E" w14:paraId="43D7E2BB" w14:textId="77777777" w:rsidTr="004C3BD1">
        <w:trPr>
          <w:cantSplit/>
          <w:trHeight w:val="53"/>
        </w:trPr>
        <w:tc>
          <w:tcPr>
            <w:tcW w:w="562" w:type="pct"/>
            <w:shd w:val="clear" w:color="auto" w:fill="C6D9F1" w:themeFill="text2" w:themeFillTint="33"/>
            <w:vAlign w:val="center"/>
          </w:tcPr>
          <w:p w14:paraId="6177933F" w14:textId="02B860C1"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Baseline </w:t>
            </w:r>
            <w:r w:rsidR="00115B4B">
              <w:rPr>
                <w:rFonts w:ascii="Arial Narrow" w:eastAsiaTheme="majorEastAsia" w:hAnsi="Arial Narrow" w:cstheme="majorBidi"/>
                <w:bCs/>
                <w:sz w:val="20"/>
              </w:rPr>
              <w:t>characteristics</w:t>
            </w:r>
          </w:p>
        </w:tc>
        <w:tc>
          <w:tcPr>
            <w:tcW w:w="4438" w:type="pct"/>
            <w:gridSpan w:val="2"/>
            <w:shd w:val="clear" w:color="auto" w:fill="C6D9F1" w:themeFill="text2" w:themeFillTint="33"/>
          </w:tcPr>
          <w:p w14:paraId="4358D0E5" w14:textId="77777777" w:rsidR="003006D7" w:rsidRPr="00151502" w:rsidRDefault="003006D7" w:rsidP="00BD77D0">
            <w:pPr>
              <w:pStyle w:val="TableText0"/>
              <w:keepNext w:val="0"/>
            </w:pPr>
            <w:r w:rsidRPr="00151502">
              <w:t>Pooled BKZ phase 3 trials (DLQI ≥ 10)</w:t>
            </w:r>
          </w:p>
          <w:tbl>
            <w:tblPr>
              <w:tblStyle w:val="TableGrid"/>
              <w:tblW w:w="0" w:type="auto"/>
              <w:tblLook w:val="04A0" w:firstRow="1" w:lastRow="0" w:firstColumn="1" w:lastColumn="0" w:noHBand="0" w:noVBand="1"/>
            </w:tblPr>
            <w:tblGrid>
              <w:gridCol w:w="2176"/>
              <w:gridCol w:w="1801"/>
            </w:tblGrid>
            <w:tr w:rsidR="003006D7" w:rsidRPr="00151502" w14:paraId="02125896" w14:textId="77777777" w:rsidTr="00D20BFF">
              <w:tc>
                <w:tcPr>
                  <w:tcW w:w="2176" w:type="dxa"/>
                </w:tcPr>
                <w:p w14:paraId="4152C871"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Starting age</w:t>
                  </w:r>
                </w:p>
              </w:tc>
              <w:tc>
                <w:tcPr>
                  <w:tcW w:w="1801" w:type="dxa"/>
                </w:tcPr>
                <w:p w14:paraId="1FE07C6E"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44.3 years</w:t>
                  </w:r>
                </w:p>
              </w:tc>
            </w:tr>
            <w:tr w:rsidR="003006D7" w:rsidRPr="00151502" w14:paraId="5F3DDAAA" w14:textId="77777777" w:rsidTr="00D20BFF">
              <w:tc>
                <w:tcPr>
                  <w:tcW w:w="2176" w:type="dxa"/>
                </w:tcPr>
                <w:p w14:paraId="14DD370E"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 females</w:t>
                  </w:r>
                </w:p>
              </w:tc>
              <w:tc>
                <w:tcPr>
                  <w:tcW w:w="1801" w:type="dxa"/>
                </w:tcPr>
                <w:p w14:paraId="0595CF49"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36.3%</w:t>
                  </w:r>
                </w:p>
              </w:tc>
            </w:tr>
          </w:tbl>
          <w:p w14:paraId="62FA9FF8" w14:textId="77777777" w:rsidR="003006D7" w:rsidRPr="004B5829" w:rsidRDefault="003006D7" w:rsidP="00BD77D0">
            <w:pPr>
              <w:jc w:val="left"/>
              <w:rPr>
                <w:rFonts w:ascii="Arial Narrow" w:hAnsi="Arial Narrow"/>
                <w:sz w:val="20"/>
                <w:szCs w:val="20"/>
              </w:rPr>
            </w:pPr>
          </w:p>
        </w:tc>
      </w:tr>
      <w:tr w:rsidR="003006D7" w:rsidRPr="00E1019E" w14:paraId="7646F999" w14:textId="77777777" w:rsidTr="004C3BD1">
        <w:trPr>
          <w:cantSplit/>
          <w:trHeight w:val="3742"/>
        </w:trPr>
        <w:tc>
          <w:tcPr>
            <w:tcW w:w="562" w:type="pct"/>
            <w:vMerge w:val="restart"/>
            <w:shd w:val="clear" w:color="auto" w:fill="auto"/>
            <w:vAlign w:val="center"/>
          </w:tcPr>
          <w:p w14:paraId="4C22008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Transition probabilities</w:t>
            </w:r>
          </w:p>
        </w:tc>
        <w:tc>
          <w:tcPr>
            <w:tcW w:w="2972" w:type="pct"/>
            <w:shd w:val="clear" w:color="auto" w:fill="C6D9F1" w:themeFill="text2" w:themeFillTint="33"/>
          </w:tcPr>
          <w:p w14:paraId="4F7AA6F6" w14:textId="77777777" w:rsidR="003006D7" w:rsidRPr="00151502" w:rsidRDefault="003006D7" w:rsidP="00BD77D0">
            <w:pPr>
              <w:pStyle w:val="TableText0"/>
              <w:keepNext w:val="0"/>
              <w:rPr>
                <w:u w:val="single"/>
              </w:rPr>
            </w:pPr>
            <w:r w:rsidRPr="00151502">
              <w:rPr>
                <w:u w:val="single"/>
              </w:rPr>
              <w:t xml:space="preserve">PASI Response </w:t>
            </w:r>
          </w:p>
          <w:p w14:paraId="2F64117F" w14:textId="77777777" w:rsidR="003006D7" w:rsidRPr="00151502" w:rsidRDefault="003006D7" w:rsidP="00BD77D0">
            <w:pPr>
              <w:pStyle w:val="TableText0"/>
              <w:keepNext w:val="0"/>
              <w:numPr>
                <w:ilvl w:val="0"/>
                <w:numId w:val="15"/>
              </w:numPr>
              <w:ind w:left="142" w:hanging="142"/>
            </w:pPr>
            <w:r w:rsidRPr="00151502">
              <w:t>BKZ based on BE VIVID (base case), BE SURE, BE RADIANT and NMA in sensitivity.</w:t>
            </w:r>
          </w:p>
          <w:p w14:paraId="2CFFFEB8" w14:textId="77777777" w:rsidR="003006D7" w:rsidRPr="00151502" w:rsidRDefault="003006D7" w:rsidP="00BD77D0">
            <w:pPr>
              <w:pStyle w:val="TableText0"/>
              <w:keepNext w:val="0"/>
              <w:numPr>
                <w:ilvl w:val="0"/>
                <w:numId w:val="15"/>
              </w:numPr>
              <w:ind w:left="142" w:hanging="142"/>
            </w:pPr>
            <w:r w:rsidRPr="00151502">
              <w:t>ADA (BE SURE), SEC (BE RADIANT) and UST (BE VIVID) in base case, and NMA in sensitivity analyses.</w:t>
            </w:r>
          </w:p>
          <w:p w14:paraId="73DB9A8E" w14:textId="77777777" w:rsidR="003006D7" w:rsidRDefault="003006D7" w:rsidP="00BD77D0">
            <w:pPr>
              <w:pStyle w:val="TableText0"/>
              <w:keepNext w:val="0"/>
              <w:numPr>
                <w:ilvl w:val="0"/>
                <w:numId w:val="15"/>
              </w:numPr>
              <w:ind w:left="142" w:hanging="142"/>
            </w:pPr>
            <w:r>
              <w:t>Other bDMARDs: NMA.</w:t>
            </w:r>
          </w:p>
          <w:p w14:paraId="4AC51EE3" w14:textId="77777777" w:rsidR="003006D7" w:rsidRDefault="003006D7" w:rsidP="00BD77D0">
            <w:pPr>
              <w:pStyle w:val="TableText0"/>
              <w:keepNext w:val="0"/>
              <w:rPr>
                <w:szCs w:val="20"/>
              </w:rPr>
            </w:pPr>
            <w:r w:rsidRPr="00D02DC5">
              <w:rPr>
                <w:iCs/>
                <w:szCs w:val="20"/>
              </w:rPr>
              <w:t>Source data for BKZ were from trial subgroups with baseline DLQI≥10</w:t>
            </w:r>
            <w:r>
              <w:rPr>
                <w:iCs/>
                <w:szCs w:val="20"/>
              </w:rPr>
              <w:t xml:space="preserve"> and the Bayesian NMA was for patients with moderate to severe CPP, but the requested PBS population was severe CPP (PASI</w:t>
            </w:r>
            <w:r w:rsidRPr="00D02DC5">
              <w:rPr>
                <w:iCs/>
                <w:szCs w:val="20"/>
              </w:rPr>
              <w:t>≥1</w:t>
            </w:r>
            <w:r>
              <w:rPr>
                <w:iCs/>
                <w:szCs w:val="20"/>
              </w:rPr>
              <w:t xml:space="preserve">5). </w:t>
            </w:r>
            <w:r w:rsidRPr="003A3246">
              <w:rPr>
                <w:szCs w:val="20"/>
              </w:rPr>
              <w:t>The model</w:t>
            </w:r>
            <w:r>
              <w:rPr>
                <w:szCs w:val="20"/>
              </w:rPr>
              <w:t xml:space="preserve"> also</w:t>
            </w:r>
            <w:r w:rsidRPr="003A3246">
              <w:rPr>
                <w:szCs w:val="20"/>
              </w:rPr>
              <w:t xml:space="preserve"> assumed bDMARD treatments to be equally efficacious regardless of the order administered or a patient’s prior biologic e</w:t>
            </w:r>
            <w:r>
              <w:rPr>
                <w:szCs w:val="20"/>
              </w:rPr>
              <w:t>xperience.</w:t>
            </w:r>
          </w:p>
          <w:p w14:paraId="073EDA7D" w14:textId="77777777" w:rsidR="003006D7" w:rsidRDefault="003006D7" w:rsidP="00BD77D0">
            <w:pPr>
              <w:pStyle w:val="TableText0"/>
              <w:keepNext w:val="0"/>
              <w:rPr>
                <w:szCs w:val="20"/>
              </w:rPr>
            </w:pPr>
          </w:p>
          <w:p w14:paraId="11508FBB" w14:textId="3C8F96A7" w:rsidR="003006D7" w:rsidRPr="00BE21E4" w:rsidRDefault="003006D7" w:rsidP="00BD77D0">
            <w:pPr>
              <w:pStyle w:val="3-BodyText"/>
              <w:numPr>
                <w:ilvl w:val="0"/>
                <w:numId w:val="0"/>
              </w:numPr>
              <w:spacing w:after="0"/>
              <w:rPr>
                <w:rFonts w:ascii="Arial Narrow" w:hAnsi="Arial Narrow"/>
                <w:iCs/>
                <w:sz w:val="20"/>
                <w:szCs w:val="20"/>
              </w:rPr>
            </w:pPr>
            <w:r w:rsidRPr="00391127">
              <w:rPr>
                <w:rFonts w:ascii="Arial Narrow" w:hAnsi="Arial Narrow"/>
                <w:iCs/>
                <w:sz w:val="20"/>
                <w:szCs w:val="20"/>
              </w:rPr>
              <w:t>The ESC noted the effect estimates used in the economic model were the most favourable to BKZ across all of the available data sources and considered this was likely to bias in favour of BKZ. Overall, the ESC considered it would be appropriate to use the results from the NMA as the primary source of PASI response estimates for the model, as it was likely to provide the most consistent effe</w:t>
            </w:r>
            <w:r>
              <w:rPr>
                <w:rFonts w:ascii="Arial Narrow" w:hAnsi="Arial Narrow"/>
                <w:iCs/>
                <w:sz w:val="20"/>
                <w:szCs w:val="20"/>
              </w:rPr>
              <w:t xml:space="preserve">ct estimates across all bDMARDs (paragraph </w:t>
            </w:r>
            <w:r w:rsidR="00B126CB">
              <w:rPr>
                <w:rFonts w:ascii="Arial Narrow" w:hAnsi="Arial Narrow"/>
                <w:iCs/>
                <w:sz w:val="20"/>
                <w:szCs w:val="20"/>
              </w:rPr>
              <w:t>6.55, BKZ PSD, March 2022 PBAC m</w:t>
            </w:r>
            <w:r>
              <w:rPr>
                <w:rFonts w:ascii="Arial Narrow" w:hAnsi="Arial Narrow"/>
                <w:iCs/>
                <w:sz w:val="20"/>
                <w:szCs w:val="20"/>
              </w:rPr>
              <w:t>eeting).</w:t>
            </w:r>
          </w:p>
        </w:tc>
        <w:tc>
          <w:tcPr>
            <w:tcW w:w="1466" w:type="pct"/>
            <w:shd w:val="clear" w:color="auto" w:fill="auto"/>
            <w:vAlign w:val="center"/>
          </w:tcPr>
          <w:p w14:paraId="5AA6B3C0" w14:textId="77777777" w:rsidR="003006D7" w:rsidRDefault="003006D7" w:rsidP="00BD77D0">
            <w:pPr>
              <w:jc w:val="left"/>
              <w:rPr>
                <w:rFonts w:ascii="Arial Narrow" w:hAnsi="Arial Narrow"/>
                <w:sz w:val="20"/>
                <w:szCs w:val="20"/>
              </w:rPr>
            </w:pPr>
            <w:r w:rsidRPr="004B5829">
              <w:rPr>
                <w:rFonts w:ascii="Arial Narrow" w:hAnsi="Arial Narrow"/>
                <w:sz w:val="20"/>
                <w:szCs w:val="20"/>
              </w:rPr>
              <w:t>PASI response based on NMA for BKZ and comparators.</w:t>
            </w:r>
          </w:p>
          <w:p w14:paraId="484ABD24" w14:textId="77777777" w:rsidR="003006D7" w:rsidRPr="000D5CA4" w:rsidRDefault="003006D7" w:rsidP="00BD77D0">
            <w:pPr>
              <w:jc w:val="left"/>
              <w:rPr>
                <w:rFonts w:ascii="Arial Narrow" w:hAnsi="Arial Narrow"/>
                <w:b/>
                <w:bCs/>
                <w:sz w:val="20"/>
                <w:szCs w:val="20"/>
              </w:rPr>
            </w:pPr>
            <w:r>
              <w:rPr>
                <w:rFonts w:ascii="Arial Narrow" w:hAnsi="Arial Narrow"/>
                <w:sz w:val="20"/>
                <w:szCs w:val="20"/>
              </w:rPr>
              <w:t>(ESC’s respecified base case)</w:t>
            </w:r>
          </w:p>
        </w:tc>
      </w:tr>
      <w:tr w:rsidR="003006D7" w:rsidRPr="00E1019E" w14:paraId="2B3A916B" w14:textId="77777777" w:rsidTr="004C3BD1">
        <w:trPr>
          <w:cantSplit/>
        </w:trPr>
        <w:tc>
          <w:tcPr>
            <w:tcW w:w="562" w:type="pct"/>
            <w:vMerge/>
            <w:shd w:val="clear" w:color="auto" w:fill="auto"/>
            <w:vAlign w:val="center"/>
          </w:tcPr>
          <w:p w14:paraId="1BE25586"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54F7C1BB" w14:textId="77777777" w:rsidR="003006D7" w:rsidRPr="00C95E31" w:rsidRDefault="003006D7" w:rsidP="00BD77D0">
            <w:pPr>
              <w:jc w:val="left"/>
              <w:rPr>
                <w:rFonts w:ascii="Arial Narrow" w:eastAsiaTheme="majorEastAsia" w:hAnsi="Arial Narrow" w:cstheme="majorBidi"/>
                <w:bCs/>
                <w:sz w:val="20"/>
                <w:szCs w:val="20"/>
              </w:rPr>
            </w:pPr>
            <w:r w:rsidRPr="00E1019E">
              <w:rPr>
                <w:rFonts w:ascii="Arial Narrow" w:eastAsiaTheme="majorEastAsia" w:hAnsi="Arial Narrow" w:cstheme="majorBidi"/>
                <w:bCs/>
                <w:sz w:val="20"/>
              </w:rPr>
              <w:t xml:space="preserve">Discontinuation during maintenance therapy: NostraData 2021. </w:t>
            </w:r>
            <w:r w:rsidRPr="00C95E31">
              <w:rPr>
                <w:rFonts w:ascii="Arial Narrow" w:hAnsi="Arial Narrow"/>
                <w:sz w:val="20"/>
                <w:szCs w:val="20"/>
              </w:rPr>
              <w:t>While data were provided by the sponsor during evaluation, there were no explanations accompanying the data so it remained unclear how discontinuation rates were derived and why it was preferred over PBS data.</w:t>
            </w:r>
          </w:p>
          <w:p w14:paraId="3FD00AC9"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Discontinuation due to lack of efficacy: Assumption.</w:t>
            </w:r>
          </w:p>
        </w:tc>
      </w:tr>
      <w:tr w:rsidR="003006D7" w:rsidRPr="00E1019E" w14:paraId="4B12A859" w14:textId="77777777" w:rsidTr="004C3BD1">
        <w:trPr>
          <w:cantSplit/>
        </w:trPr>
        <w:tc>
          <w:tcPr>
            <w:tcW w:w="562" w:type="pct"/>
            <w:vMerge/>
            <w:shd w:val="clear" w:color="auto" w:fill="auto"/>
            <w:vAlign w:val="center"/>
          </w:tcPr>
          <w:p w14:paraId="00E98BE5"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1AA87163"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Probability of all cause death: Australian life tables</w:t>
            </w:r>
          </w:p>
        </w:tc>
      </w:tr>
      <w:tr w:rsidR="003006D7" w:rsidRPr="00E1019E" w14:paraId="152A2D76" w14:textId="77777777" w:rsidTr="004C3BD1">
        <w:trPr>
          <w:cantSplit/>
          <w:trHeight w:val="475"/>
        </w:trPr>
        <w:tc>
          <w:tcPr>
            <w:tcW w:w="562" w:type="pct"/>
            <w:vMerge/>
            <w:shd w:val="clear" w:color="auto" w:fill="auto"/>
            <w:vAlign w:val="center"/>
          </w:tcPr>
          <w:p w14:paraId="25D14B51" w14:textId="77777777" w:rsidR="003006D7" w:rsidRPr="00E1019E"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694330A6" w14:textId="77777777" w:rsidR="003006D7" w:rsidRDefault="003006D7" w:rsidP="00BD77D0">
            <w:pPr>
              <w:pStyle w:val="TableText0"/>
              <w:keepNext w:val="0"/>
              <w:rPr>
                <w:szCs w:val="20"/>
              </w:rPr>
            </w:pPr>
            <w:r w:rsidRPr="00151502">
              <w:rPr>
                <w:szCs w:val="20"/>
              </w:rPr>
              <w:t xml:space="preserve">Time to response: 8-24 weeks; based on </w:t>
            </w:r>
            <w:r>
              <w:rPr>
                <w:szCs w:val="20"/>
              </w:rPr>
              <w:t xml:space="preserve">when the maximum proportion of PASI 75 responders were reported in </w:t>
            </w:r>
            <w:r w:rsidRPr="00151502">
              <w:rPr>
                <w:szCs w:val="20"/>
              </w:rPr>
              <w:t>the direct RCTs (BKZ, ADA, UST, SEC), trials for other bDMARDs, and NMA for BSC.</w:t>
            </w:r>
          </w:p>
          <w:p w14:paraId="51AE426B" w14:textId="77777777" w:rsidR="003006D7" w:rsidRDefault="003006D7" w:rsidP="00BD77D0">
            <w:pPr>
              <w:pStyle w:val="TableText0"/>
              <w:keepNext w:val="0"/>
              <w:rPr>
                <w:szCs w:val="20"/>
              </w:rPr>
            </w:pPr>
          </w:p>
          <w:p w14:paraId="2536F537" w14:textId="3C2A9D78" w:rsidR="003006D7" w:rsidRDefault="003006D7" w:rsidP="00BD77D0">
            <w:pPr>
              <w:pStyle w:val="TableText0"/>
              <w:keepNext w:val="0"/>
              <w:rPr>
                <w:rFonts w:eastAsia="Times New Roman" w:cs="Arial"/>
                <w:bCs w:val="0"/>
                <w:snapToGrid w:val="0"/>
                <w:szCs w:val="20"/>
              </w:rPr>
            </w:pPr>
            <w:r>
              <w:rPr>
                <w:szCs w:val="20"/>
              </w:rPr>
              <w:t>T</w:t>
            </w:r>
            <w:r w:rsidRPr="00747219">
              <w:rPr>
                <w:szCs w:val="20"/>
              </w:rPr>
              <w:t xml:space="preserve">he assumption that BKZ patients were assumed to experience a QoL benefit earlier at Week 8, compared to those treated with other bDMARDs, based on PASI 75 response, likely favoured BKZ (paragraph 6.56, BKZ PSD, March 2022 PBAC Meeting). </w:t>
            </w:r>
            <w:r w:rsidRPr="00747219">
              <w:rPr>
                <w:iCs/>
                <w:szCs w:val="20"/>
              </w:rPr>
              <w:t xml:space="preserve">The ESC considered that, in the absence of an appropriate methodology, it was appropriate to assume no difference in time to response in the base case (paragraph </w:t>
            </w:r>
            <w:r w:rsidR="00B126CB">
              <w:rPr>
                <w:iCs/>
                <w:szCs w:val="20"/>
              </w:rPr>
              <w:t>6.59, BKZ PSD, March 2022 PBAC m</w:t>
            </w:r>
            <w:r w:rsidRPr="00747219">
              <w:rPr>
                <w:iCs/>
                <w:szCs w:val="20"/>
              </w:rPr>
              <w:t>eeting).</w:t>
            </w:r>
          </w:p>
        </w:tc>
        <w:tc>
          <w:tcPr>
            <w:tcW w:w="1466" w:type="pct"/>
            <w:shd w:val="clear" w:color="auto" w:fill="auto"/>
            <w:vAlign w:val="center"/>
          </w:tcPr>
          <w:p w14:paraId="4869F980" w14:textId="77777777" w:rsidR="003006D7" w:rsidRDefault="003006D7" w:rsidP="00BD77D0">
            <w:pPr>
              <w:pStyle w:val="TableText0"/>
              <w:keepNext w:val="0"/>
              <w:rPr>
                <w:szCs w:val="20"/>
              </w:rPr>
            </w:pPr>
            <w:r w:rsidRPr="00C6651F">
              <w:rPr>
                <w:rFonts w:eastAsia="Times New Roman" w:cs="Arial"/>
                <w:bCs w:val="0"/>
                <w:snapToGrid w:val="0"/>
                <w:szCs w:val="20"/>
              </w:rPr>
              <w:t>Time to QoL benefit was assumed to be the same for all bDMARDs at 16 weeks.</w:t>
            </w:r>
          </w:p>
          <w:p w14:paraId="24957805" w14:textId="77777777" w:rsidR="003006D7" w:rsidRPr="00CC351B" w:rsidRDefault="003006D7" w:rsidP="00BD77D0">
            <w:pPr>
              <w:pStyle w:val="TableText0"/>
              <w:keepNext w:val="0"/>
              <w:rPr>
                <w:rFonts w:eastAsia="Times New Roman" w:cs="Arial"/>
                <w:bCs w:val="0"/>
                <w:snapToGrid w:val="0"/>
                <w:szCs w:val="20"/>
              </w:rPr>
            </w:pPr>
            <w:r>
              <w:rPr>
                <w:szCs w:val="20"/>
              </w:rPr>
              <w:t>(ESC’s respecified base case)</w:t>
            </w:r>
          </w:p>
        </w:tc>
      </w:tr>
      <w:tr w:rsidR="003006D7" w:rsidRPr="00E1019E" w14:paraId="6C4B447E" w14:textId="77777777" w:rsidTr="004C3BD1">
        <w:trPr>
          <w:cantSplit/>
          <w:trHeight w:val="475"/>
        </w:trPr>
        <w:tc>
          <w:tcPr>
            <w:tcW w:w="562" w:type="pct"/>
            <w:vMerge/>
            <w:shd w:val="clear" w:color="auto" w:fill="auto"/>
            <w:vAlign w:val="center"/>
          </w:tcPr>
          <w:p w14:paraId="0E1ED2F3" w14:textId="77777777" w:rsidR="003006D7" w:rsidRPr="00E1019E"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4F8F67E7" w14:textId="77777777" w:rsidR="003006D7" w:rsidRDefault="003006D7" w:rsidP="00BD77D0">
            <w:pPr>
              <w:pStyle w:val="TableText0"/>
              <w:keepNext w:val="0"/>
              <w:rPr>
                <w:szCs w:val="20"/>
              </w:rPr>
            </w:pPr>
            <w:r>
              <w:rPr>
                <w:szCs w:val="20"/>
              </w:rPr>
              <w:t>bDMARD sequence: Treatment selection was based on a random number between 0 and 1.</w:t>
            </w:r>
          </w:p>
          <w:p w14:paraId="4B91E887" w14:textId="77777777" w:rsidR="003006D7" w:rsidRDefault="003006D7" w:rsidP="00BD77D0">
            <w:pPr>
              <w:pStyle w:val="TableText0"/>
              <w:keepNext w:val="0"/>
              <w:rPr>
                <w:szCs w:val="20"/>
              </w:rPr>
            </w:pPr>
          </w:p>
          <w:p w14:paraId="37925431" w14:textId="25F2D87C" w:rsidR="003006D7" w:rsidRPr="005251CD" w:rsidRDefault="003006D7" w:rsidP="00BD77D0">
            <w:pPr>
              <w:pStyle w:val="3-BodyText"/>
              <w:numPr>
                <w:ilvl w:val="0"/>
                <w:numId w:val="0"/>
              </w:numPr>
              <w:rPr>
                <w:rFonts w:ascii="Arial Narrow" w:hAnsi="Arial Narrow"/>
                <w:sz w:val="20"/>
                <w:szCs w:val="20"/>
              </w:rPr>
            </w:pPr>
            <w:r w:rsidRPr="004B7D10">
              <w:rPr>
                <w:rFonts w:ascii="Arial Narrow" w:hAnsi="Arial Narrow"/>
                <w:iCs/>
                <w:sz w:val="20"/>
                <w:szCs w:val="20"/>
              </w:rPr>
              <w:t>The ESC noted sensitivity analyses found the ICER to be sensitive to the assumed market share and the resulting order in which bDMARDs are used on the PBS</w:t>
            </w:r>
            <w:r>
              <w:rPr>
                <w:rFonts w:ascii="Arial Narrow" w:hAnsi="Arial Narrow"/>
                <w:iCs/>
                <w:sz w:val="20"/>
                <w:szCs w:val="20"/>
              </w:rPr>
              <w:t xml:space="preserve">, and recommended user-defined order of treatment (RIS, UST, SEC, ADA) should be considered (paragraphs 6.64 and </w:t>
            </w:r>
            <w:r w:rsidR="00B126CB">
              <w:rPr>
                <w:rFonts w:ascii="Arial Narrow" w:hAnsi="Arial Narrow"/>
                <w:iCs/>
                <w:sz w:val="20"/>
                <w:szCs w:val="20"/>
              </w:rPr>
              <w:t>6.78, BKZ PSD, March 2022 PBAC m</w:t>
            </w:r>
            <w:r>
              <w:rPr>
                <w:rFonts w:ascii="Arial Narrow" w:hAnsi="Arial Narrow"/>
                <w:iCs/>
                <w:sz w:val="20"/>
                <w:szCs w:val="20"/>
              </w:rPr>
              <w:t>eeting)</w:t>
            </w:r>
            <w:r w:rsidRPr="004B7D10">
              <w:rPr>
                <w:rFonts w:ascii="Arial Narrow" w:hAnsi="Arial Narrow"/>
                <w:iCs/>
                <w:sz w:val="20"/>
                <w:szCs w:val="20"/>
              </w:rPr>
              <w:t>.</w:t>
            </w:r>
          </w:p>
        </w:tc>
        <w:tc>
          <w:tcPr>
            <w:tcW w:w="1466" w:type="pct"/>
            <w:shd w:val="clear" w:color="auto" w:fill="auto"/>
            <w:vAlign w:val="center"/>
          </w:tcPr>
          <w:p w14:paraId="03B4AAC7" w14:textId="77777777" w:rsidR="003006D7" w:rsidRDefault="003006D7" w:rsidP="00BD77D0">
            <w:pPr>
              <w:pStyle w:val="TableText0"/>
              <w:keepNext w:val="0"/>
              <w:rPr>
                <w:szCs w:val="20"/>
              </w:rPr>
            </w:pPr>
            <w:r w:rsidRPr="00CC351B">
              <w:rPr>
                <w:rFonts w:eastAsia="Times New Roman" w:cs="Arial"/>
                <w:bCs w:val="0"/>
                <w:snapToGrid w:val="0"/>
                <w:szCs w:val="20"/>
              </w:rPr>
              <w:t xml:space="preserve">User-defined order of treatment (RIS, UST, SEC, ADA). </w:t>
            </w:r>
            <w:r w:rsidRPr="00CC351B">
              <w:rPr>
                <w:szCs w:val="20"/>
              </w:rPr>
              <w:t>Assumed RIS will be used first (fast growth on PBS) and then trying a different mechanism of action when treatment fails.</w:t>
            </w:r>
          </w:p>
          <w:p w14:paraId="45085901" w14:textId="77777777" w:rsidR="003006D7" w:rsidRPr="00CC351B" w:rsidRDefault="003006D7" w:rsidP="00BD77D0">
            <w:pPr>
              <w:pStyle w:val="TableText0"/>
              <w:keepNext w:val="0"/>
              <w:rPr>
                <w:rFonts w:eastAsia="Times New Roman" w:cs="Arial"/>
                <w:bCs w:val="0"/>
                <w:snapToGrid w:val="0"/>
                <w:szCs w:val="20"/>
              </w:rPr>
            </w:pPr>
            <w:r>
              <w:rPr>
                <w:szCs w:val="20"/>
              </w:rPr>
              <w:t xml:space="preserve">(ESC’s </w:t>
            </w:r>
            <w:r w:rsidRPr="00CC351B">
              <w:rPr>
                <w:szCs w:val="20"/>
              </w:rPr>
              <w:t>respecified base case</w:t>
            </w:r>
            <w:r>
              <w:rPr>
                <w:szCs w:val="20"/>
              </w:rPr>
              <w:t>)</w:t>
            </w:r>
          </w:p>
        </w:tc>
      </w:tr>
      <w:tr w:rsidR="003006D7" w:rsidRPr="00E1019E" w14:paraId="189B8846" w14:textId="77777777" w:rsidTr="004C3BD1">
        <w:trPr>
          <w:cantSplit/>
          <w:trHeight w:val="53"/>
        </w:trPr>
        <w:tc>
          <w:tcPr>
            <w:tcW w:w="562" w:type="pct"/>
            <w:vMerge/>
            <w:shd w:val="clear" w:color="auto" w:fill="auto"/>
            <w:vAlign w:val="center"/>
          </w:tcPr>
          <w:p w14:paraId="1E8F7A68"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0157992A" w14:textId="77777777" w:rsidR="003006D7" w:rsidRPr="00CC351B" w:rsidRDefault="003006D7" w:rsidP="00BD77D0">
            <w:pPr>
              <w:pStyle w:val="TableText0"/>
              <w:keepNext w:val="0"/>
              <w:rPr>
                <w:rFonts w:eastAsia="Times New Roman" w:cs="Arial"/>
                <w:bCs w:val="0"/>
                <w:snapToGrid w:val="0"/>
                <w:szCs w:val="20"/>
              </w:rPr>
            </w:pPr>
            <w:r>
              <w:rPr>
                <w:iCs/>
                <w:szCs w:val="20"/>
              </w:rPr>
              <w:t>Timing of PBS continuation criteria: 16-24 weeks, based on PBS continuation criteria.</w:t>
            </w:r>
          </w:p>
        </w:tc>
      </w:tr>
      <w:tr w:rsidR="003006D7" w:rsidRPr="00E1019E" w14:paraId="79B34B65" w14:textId="77777777" w:rsidTr="004C3BD1">
        <w:trPr>
          <w:cantSplit/>
        </w:trPr>
        <w:tc>
          <w:tcPr>
            <w:tcW w:w="562" w:type="pct"/>
            <w:shd w:val="clear" w:color="auto" w:fill="C6D9F1" w:themeFill="text2" w:themeFillTint="33"/>
            <w:vAlign w:val="center"/>
          </w:tcPr>
          <w:p w14:paraId="21C798C2"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Extrapolation method</w:t>
            </w:r>
          </w:p>
        </w:tc>
        <w:tc>
          <w:tcPr>
            <w:tcW w:w="4438" w:type="pct"/>
            <w:gridSpan w:val="2"/>
            <w:shd w:val="clear" w:color="auto" w:fill="C6D9F1" w:themeFill="text2" w:themeFillTint="33"/>
          </w:tcPr>
          <w:p w14:paraId="013C19B8" w14:textId="77777777" w:rsidR="003006D7" w:rsidRPr="00E1019E" w:rsidRDefault="003006D7" w:rsidP="00BD77D0">
            <w:pPr>
              <w:rPr>
                <w:rFonts w:ascii="Arial Narrow" w:hAnsi="Arial Narrow"/>
                <w:sz w:val="20"/>
                <w:szCs w:val="20"/>
              </w:rPr>
            </w:pPr>
            <w:r w:rsidRPr="00E1019E">
              <w:rPr>
                <w:rFonts w:ascii="Arial Narrow" w:hAnsi="Arial Narrow"/>
                <w:sz w:val="20"/>
                <w:szCs w:val="20"/>
              </w:rPr>
              <w:t>The model assumed no waning of response to any bDMARDs in second or third-line use. In the base case, it was assumed that half of the discontinuations in maintenance were due to treatment failure (the rest were</w:t>
            </w:r>
            <w:r>
              <w:rPr>
                <w:rFonts w:ascii="Arial Narrow" w:hAnsi="Arial Narrow"/>
                <w:sz w:val="20"/>
                <w:szCs w:val="20"/>
              </w:rPr>
              <w:t xml:space="preserve"> assumed to due to intolerance</w:t>
            </w:r>
            <w:r w:rsidRPr="00E1019E">
              <w:rPr>
                <w:rFonts w:ascii="Arial Narrow" w:hAnsi="Arial Narrow"/>
                <w:sz w:val="20"/>
                <w:szCs w:val="20"/>
              </w:rPr>
              <w:t>).</w:t>
            </w:r>
          </w:p>
        </w:tc>
      </w:tr>
      <w:tr w:rsidR="003006D7" w:rsidRPr="00E1019E" w14:paraId="578AC2C4" w14:textId="77777777" w:rsidTr="004C3BD1">
        <w:trPr>
          <w:cantSplit/>
        </w:trPr>
        <w:tc>
          <w:tcPr>
            <w:tcW w:w="562" w:type="pct"/>
            <w:shd w:val="clear" w:color="auto" w:fill="auto"/>
            <w:vAlign w:val="center"/>
          </w:tcPr>
          <w:p w14:paraId="6E6055F1" w14:textId="77777777" w:rsidR="003006D7" w:rsidRPr="00E1019E"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related quality of life</w:t>
            </w:r>
          </w:p>
        </w:tc>
        <w:tc>
          <w:tcPr>
            <w:tcW w:w="2972" w:type="pct"/>
            <w:shd w:val="clear" w:color="auto" w:fill="C6D9F1" w:themeFill="text2" w:themeFillTint="33"/>
          </w:tcPr>
          <w:p w14:paraId="00CDF012" w14:textId="77777777" w:rsidR="003006D7" w:rsidRPr="00CC351B"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 utilit</w:t>
            </w:r>
            <w:r>
              <w:rPr>
                <w:rFonts w:ascii="Arial Narrow" w:eastAsiaTheme="majorEastAsia" w:hAnsi="Arial Narrow" w:cstheme="majorBidi"/>
                <w:bCs/>
                <w:sz w:val="20"/>
              </w:rPr>
              <w:t>y was based on EQ-5D-3L values from BKZ and certolizumab data</w:t>
            </w:r>
            <w:r w:rsidRPr="00E1019E">
              <w:rPr>
                <w:rFonts w:ascii="Arial Narrow" w:eastAsiaTheme="majorEastAsia" w:hAnsi="Arial Narrow" w:cstheme="majorBidi"/>
                <w:bCs/>
                <w:sz w:val="20"/>
              </w:rPr>
              <w:t>.</w:t>
            </w:r>
          </w:p>
          <w:tbl>
            <w:tblPr>
              <w:tblW w:w="2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6"/>
              <w:gridCol w:w="1106"/>
            </w:tblGrid>
            <w:tr w:rsidR="003006D7" w:rsidRPr="00657A2C" w14:paraId="36260B0F" w14:textId="77777777" w:rsidTr="00D20BFF">
              <w:tc>
                <w:tcPr>
                  <w:tcW w:w="2658" w:type="pct"/>
                  <w:vAlign w:val="center"/>
                </w:tcPr>
                <w:p w14:paraId="777F9D34"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
                      <w:sz w:val="18"/>
                      <w:szCs w:val="18"/>
                    </w:rPr>
                    <w:t>Health state</w:t>
                  </w:r>
                </w:p>
              </w:tc>
              <w:tc>
                <w:tcPr>
                  <w:tcW w:w="2342" w:type="pct"/>
                  <w:shd w:val="clear" w:color="auto" w:fill="C6D9F1" w:themeFill="text2" w:themeFillTint="33"/>
                  <w:vAlign w:val="center"/>
                </w:tcPr>
                <w:p w14:paraId="75BEDCB5" w14:textId="77777777" w:rsidR="003006D7" w:rsidRPr="00657A2C" w:rsidRDefault="003006D7" w:rsidP="00BD77D0">
                  <w:pPr>
                    <w:keepNext/>
                    <w:keepLines/>
                    <w:jc w:val="center"/>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Utility weight</w:t>
                  </w:r>
                </w:p>
              </w:tc>
            </w:tr>
            <w:tr w:rsidR="003006D7" w:rsidRPr="00657A2C" w14:paraId="3BE486FE" w14:textId="77777777" w:rsidTr="00D20BFF">
              <w:tc>
                <w:tcPr>
                  <w:tcW w:w="2658" w:type="pct"/>
                  <w:vAlign w:val="center"/>
                </w:tcPr>
                <w:p w14:paraId="6C83094D"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Baseline</w:t>
                  </w:r>
                </w:p>
              </w:tc>
              <w:tc>
                <w:tcPr>
                  <w:tcW w:w="2342" w:type="pct"/>
                  <w:shd w:val="clear" w:color="auto" w:fill="C6D9F1" w:themeFill="text2" w:themeFillTint="33"/>
                  <w:vAlign w:val="center"/>
                </w:tcPr>
                <w:p w14:paraId="7A08BA6B" w14:textId="77777777" w:rsidR="003006D7" w:rsidRPr="00657A2C" w:rsidRDefault="003006D7" w:rsidP="00BD77D0">
                  <w:pPr>
                    <w:pStyle w:val="TableText0"/>
                    <w:keepLines/>
                    <w:jc w:val="center"/>
                    <w:rPr>
                      <w:sz w:val="18"/>
                      <w:szCs w:val="18"/>
                    </w:rPr>
                  </w:pPr>
                  <w:r w:rsidRPr="00657A2C">
                    <w:rPr>
                      <w:sz w:val="18"/>
                      <w:szCs w:val="18"/>
                    </w:rPr>
                    <w:t>0.7235</w:t>
                  </w:r>
                </w:p>
              </w:tc>
            </w:tr>
            <w:tr w:rsidR="003006D7" w:rsidRPr="00657A2C" w14:paraId="49D68E85" w14:textId="77777777" w:rsidTr="00D20BFF">
              <w:tc>
                <w:tcPr>
                  <w:tcW w:w="2658" w:type="pct"/>
                  <w:vAlign w:val="center"/>
                </w:tcPr>
                <w:p w14:paraId="491B9C4F"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&lt; 50</w:t>
                  </w:r>
                </w:p>
              </w:tc>
              <w:tc>
                <w:tcPr>
                  <w:tcW w:w="2342" w:type="pct"/>
                  <w:shd w:val="clear" w:color="auto" w:fill="C6D9F1" w:themeFill="text2" w:themeFillTint="33"/>
                  <w:vAlign w:val="center"/>
                </w:tcPr>
                <w:p w14:paraId="43485AF7" w14:textId="77777777" w:rsidR="003006D7" w:rsidRPr="00657A2C" w:rsidRDefault="003006D7" w:rsidP="00BD77D0">
                  <w:pPr>
                    <w:pStyle w:val="TableText0"/>
                    <w:keepLines/>
                    <w:jc w:val="center"/>
                    <w:rPr>
                      <w:sz w:val="18"/>
                      <w:szCs w:val="18"/>
                    </w:rPr>
                  </w:pPr>
                  <w:r w:rsidRPr="00657A2C">
                    <w:rPr>
                      <w:sz w:val="18"/>
                      <w:szCs w:val="18"/>
                    </w:rPr>
                    <w:t>0.7486</w:t>
                  </w:r>
                </w:p>
              </w:tc>
            </w:tr>
            <w:tr w:rsidR="003006D7" w:rsidRPr="00657A2C" w14:paraId="66B1B69C" w14:textId="77777777" w:rsidTr="00D20BFF">
              <w:tc>
                <w:tcPr>
                  <w:tcW w:w="2658" w:type="pct"/>
                  <w:vAlign w:val="center"/>
                </w:tcPr>
                <w:p w14:paraId="47266785"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50 ≤ PASI &lt; 75</w:t>
                  </w:r>
                </w:p>
              </w:tc>
              <w:tc>
                <w:tcPr>
                  <w:tcW w:w="2342" w:type="pct"/>
                  <w:shd w:val="clear" w:color="auto" w:fill="C6D9F1" w:themeFill="text2" w:themeFillTint="33"/>
                  <w:vAlign w:val="center"/>
                </w:tcPr>
                <w:p w14:paraId="275E460A" w14:textId="77777777" w:rsidR="003006D7" w:rsidRPr="00657A2C" w:rsidRDefault="003006D7" w:rsidP="00BD77D0">
                  <w:pPr>
                    <w:pStyle w:val="TableText0"/>
                    <w:keepLines/>
                    <w:jc w:val="center"/>
                    <w:rPr>
                      <w:sz w:val="18"/>
                      <w:szCs w:val="18"/>
                    </w:rPr>
                  </w:pPr>
                  <w:r w:rsidRPr="00657A2C">
                    <w:rPr>
                      <w:sz w:val="18"/>
                      <w:szCs w:val="18"/>
                    </w:rPr>
                    <w:t>0.8436</w:t>
                  </w:r>
                </w:p>
              </w:tc>
            </w:tr>
            <w:tr w:rsidR="003006D7" w:rsidRPr="00657A2C" w14:paraId="6A252B57" w14:textId="77777777" w:rsidTr="00D20BFF">
              <w:tc>
                <w:tcPr>
                  <w:tcW w:w="2658" w:type="pct"/>
                  <w:vAlign w:val="center"/>
                </w:tcPr>
                <w:p w14:paraId="4AB77BBA"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75 ≤ PASI &lt; 90</w:t>
                  </w:r>
                </w:p>
              </w:tc>
              <w:tc>
                <w:tcPr>
                  <w:tcW w:w="2342" w:type="pct"/>
                  <w:shd w:val="clear" w:color="auto" w:fill="C6D9F1" w:themeFill="text2" w:themeFillTint="33"/>
                  <w:vAlign w:val="center"/>
                </w:tcPr>
                <w:p w14:paraId="7C126E7A" w14:textId="77777777" w:rsidR="003006D7" w:rsidRPr="00657A2C" w:rsidRDefault="003006D7" w:rsidP="00BD77D0">
                  <w:pPr>
                    <w:pStyle w:val="TableText0"/>
                    <w:keepLines/>
                    <w:jc w:val="center"/>
                    <w:rPr>
                      <w:sz w:val="18"/>
                      <w:szCs w:val="18"/>
                    </w:rPr>
                  </w:pPr>
                  <w:r w:rsidRPr="00657A2C">
                    <w:rPr>
                      <w:sz w:val="18"/>
                      <w:szCs w:val="18"/>
                    </w:rPr>
                    <w:t>0.872</w:t>
                  </w:r>
                </w:p>
              </w:tc>
            </w:tr>
            <w:tr w:rsidR="003006D7" w:rsidRPr="00657A2C" w14:paraId="74285A32" w14:textId="77777777" w:rsidTr="00D20BFF">
              <w:tc>
                <w:tcPr>
                  <w:tcW w:w="2658" w:type="pct"/>
                  <w:vAlign w:val="center"/>
                </w:tcPr>
                <w:p w14:paraId="2EFC8D89"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90 ≤ PASI &lt; 100</w:t>
                  </w:r>
                </w:p>
              </w:tc>
              <w:tc>
                <w:tcPr>
                  <w:tcW w:w="2342" w:type="pct"/>
                  <w:shd w:val="clear" w:color="auto" w:fill="C6D9F1" w:themeFill="text2" w:themeFillTint="33"/>
                  <w:vAlign w:val="center"/>
                </w:tcPr>
                <w:p w14:paraId="29CE8DF3" w14:textId="77777777" w:rsidR="003006D7" w:rsidRPr="00657A2C" w:rsidRDefault="003006D7" w:rsidP="00BD77D0">
                  <w:pPr>
                    <w:pStyle w:val="TableText0"/>
                    <w:keepLines/>
                    <w:jc w:val="center"/>
                    <w:rPr>
                      <w:sz w:val="18"/>
                      <w:szCs w:val="18"/>
                    </w:rPr>
                  </w:pPr>
                  <w:r w:rsidRPr="00657A2C">
                    <w:rPr>
                      <w:sz w:val="18"/>
                      <w:szCs w:val="18"/>
                    </w:rPr>
                    <w:t>0.8996</w:t>
                  </w:r>
                </w:p>
              </w:tc>
            </w:tr>
            <w:tr w:rsidR="003006D7" w:rsidRPr="00657A2C" w14:paraId="43871EB2" w14:textId="77777777" w:rsidTr="00D20BFF">
              <w:tc>
                <w:tcPr>
                  <w:tcW w:w="2658" w:type="pct"/>
                  <w:vAlign w:val="center"/>
                </w:tcPr>
                <w:p w14:paraId="4B1935D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100</w:t>
                  </w:r>
                </w:p>
              </w:tc>
              <w:tc>
                <w:tcPr>
                  <w:tcW w:w="2342" w:type="pct"/>
                  <w:shd w:val="clear" w:color="auto" w:fill="C6D9F1" w:themeFill="text2" w:themeFillTint="33"/>
                  <w:vAlign w:val="center"/>
                </w:tcPr>
                <w:p w14:paraId="21332E62" w14:textId="77777777" w:rsidR="003006D7" w:rsidRPr="00657A2C" w:rsidRDefault="003006D7" w:rsidP="00BD77D0">
                  <w:pPr>
                    <w:pStyle w:val="TableText0"/>
                    <w:keepLines/>
                    <w:jc w:val="center"/>
                    <w:rPr>
                      <w:sz w:val="18"/>
                      <w:szCs w:val="18"/>
                    </w:rPr>
                  </w:pPr>
                  <w:r w:rsidRPr="00657A2C">
                    <w:rPr>
                      <w:sz w:val="18"/>
                      <w:szCs w:val="18"/>
                    </w:rPr>
                    <w:t>0.9192</w:t>
                  </w:r>
                </w:p>
              </w:tc>
            </w:tr>
          </w:tbl>
          <w:p w14:paraId="31B17C3D" w14:textId="77777777" w:rsidR="003006D7" w:rsidRDefault="003006D7" w:rsidP="00BD77D0">
            <w:pPr>
              <w:keepNext/>
              <w:keepLines/>
              <w:jc w:val="left"/>
              <w:rPr>
                <w:rFonts w:ascii="Arial Narrow" w:eastAsiaTheme="majorEastAsia" w:hAnsi="Arial Narrow" w:cstheme="majorBidi"/>
                <w:bCs/>
                <w:sz w:val="20"/>
              </w:rPr>
            </w:pPr>
          </w:p>
          <w:p w14:paraId="00F80762" w14:textId="3CD1F17D" w:rsidR="003006D7" w:rsidRPr="006D7FDC" w:rsidRDefault="003006D7" w:rsidP="00BD77D0">
            <w:pPr>
              <w:keepNext/>
              <w:keepLines/>
              <w:jc w:val="left"/>
              <w:rPr>
                <w:rFonts w:ascii="Arial Narrow" w:hAnsi="Arial Narrow"/>
                <w:iCs/>
                <w:sz w:val="20"/>
                <w:szCs w:val="20"/>
              </w:rPr>
            </w:pPr>
            <w:r w:rsidRPr="004B7D10">
              <w:rPr>
                <w:rFonts w:ascii="Arial Narrow" w:hAnsi="Arial Narrow"/>
                <w:iCs/>
                <w:sz w:val="20"/>
                <w:szCs w:val="20"/>
              </w:rPr>
              <w:t xml:space="preserve">The ESC noted the ICER was sensitive to alternative utility values </w:t>
            </w:r>
            <w:r>
              <w:rPr>
                <w:rFonts w:ascii="Arial Narrow" w:hAnsi="Arial Narrow"/>
                <w:iCs/>
                <w:sz w:val="20"/>
                <w:szCs w:val="20"/>
              </w:rPr>
              <w:t xml:space="preserve">and that the </w:t>
            </w:r>
            <w:r w:rsidRPr="006D2F18">
              <w:rPr>
                <w:rFonts w:ascii="Arial Narrow" w:hAnsi="Arial Narrow"/>
                <w:iCs/>
                <w:sz w:val="20"/>
                <w:szCs w:val="20"/>
              </w:rPr>
              <w:t>utility values in the PASI 90 and PASI 100 health states appeared to be higher than that of the general population and was therefore unsure if the values in these health states were plausible</w:t>
            </w:r>
            <w:r>
              <w:rPr>
                <w:rFonts w:ascii="Arial Narrow" w:hAnsi="Arial Narrow"/>
                <w:iCs/>
                <w:sz w:val="20"/>
                <w:szCs w:val="20"/>
              </w:rPr>
              <w:t>.</w:t>
            </w:r>
            <w:r w:rsidRPr="006D2F18">
              <w:rPr>
                <w:rFonts w:ascii="Arial Narrow" w:hAnsi="Arial Narrow"/>
                <w:iCs/>
                <w:sz w:val="20"/>
                <w:szCs w:val="20"/>
              </w:rPr>
              <w:t xml:space="preserve"> </w:t>
            </w:r>
            <w:r>
              <w:rPr>
                <w:rFonts w:ascii="Arial Narrow" w:hAnsi="Arial Narrow"/>
                <w:iCs/>
                <w:sz w:val="20"/>
                <w:szCs w:val="20"/>
              </w:rPr>
              <w:t>The ESC recommended the BKZ trials as the source of utilities</w:t>
            </w:r>
            <w:r w:rsidRPr="006D2F18">
              <w:rPr>
                <w:rFonts w:ascii="Arial Narrow" w:hAnsi="Arial Narrow"/>
                <w:iCs/>
                <w:sz w:val="20"/>
                <w:szCs w:val="20"/>
              </w:rPr>
              <w:t xml:space="preserve"> (paragraph</w:t>
            </w:r>
            <w:r>
              <w:rPr>
                <w:rFonts w:ascii="Arial Narrow" w:hAnsi="Arial Narrow"/>
                <w:iCs/>
                <w:sz w:val="20"/>
                <w:szCs w:val="20"/>
              </w:rPr>
              <w:t>s</w:t>
            </w:r>
            <w:r w:rsidRPr="006D2F18">
              <w:rPr>
                <w:rFonts w:ascii="Arial Narrow" w:hAnsi="Arial Narrow"/>
                <w:iCs/>
                <w:sz w:val="20"/>
                <w:szCs w:val="20"/>
              </w:rPr>
              <w:t xml:space="preserve"> </w:t>
            </w:r>
            <w:r>
              <w:rPr>
                <w:rFonts w:ascii="Arial Narrow" w:hAnsi="Arial Narrow"/>
                <w:iCs/>
                <w:sz w:val="20"/>
                <w:szCs w:val="20"/>
              </w:rPr>
              <w:t xml:space="preserve">6.67, 6.68 and </w:t>
            </w:r>
            <w:r w:rsidRPr="006D2F18">
              <w:rPr>
                <w:rFonts w:ascii="Arial Narrow" w:hAnsi="Arial Narrow"/>
                <w:iCs/>
                <w:sz w:val="20"/>
                <w:szCs w:val="20"/>
              </w:rPr>
              <w:t>6.</w:t>
            </w:r>
            <w:r>
              <w:rPr>
                <w:rFonts w:ascii="Arial Narrow" w:hAnsi="Arial Narrow"/>
                <w:iCs/>
                <w:sz w:val="20"/>
                <w:szCs w:val="20"/>
              </w:rPr>
              <w:t>7</w:t>
            </w:r>
            <w:r w:rsidR="00B126CB">
              <w:rPr>
                <w:rFonts w:ascii="Arial Narrow" w:hAnsi="Arial Narrow"/>
                <w:iCs/>
                <w:sz w:val="20"/>
                <w:szCs w:val="20"/>
              </w:rPr>
              <w:t>8, BKZ PSD, March 2022 PBAC m</w:t>
            </w:r>
            <w:r w:rsidRPr="006D2F18">
              <w:rPr>
                <w:rFonts w:ascii="Arial Narrow" w:hAnsi="Arial Narrow"/>
                <w:iCs/>
                <w:sz w:val="20"/>
                <w:szCs w:val="20"/>
              </w:rPr>
              <w:t>eeting).</w:t>
            </w:r>
          </w:p>
        </w:tc>
        <w:tc>
          <w:tcPr>
            <w:tcW w:w="1466" w:type="pct"/>
            <w:shd w:val="clear" w:color="auto" w:fill="auto"/>
            <w:vAlign w:val="center"/>
          </w:tcPr>
          <w:p w14:paraId="463FD833" w14:textId="77777777" w:rsidR="003006D7" w:rsidRPr="00CC351B"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 utilit</w:t>
            </w:r>
            <w:r>
              <w:rPr>
                <w:rFonts w:ascii="Arial Narrow" w:eastAsiaTheme="majorEastAsia" w:hAnsi="Arial Narrow" w:cstheme="majorBidi"/>
                <w:bCs/>
                <w:sz w:val="20"/>
              </w:rPr>
              <w:t>y was based on EQ-5D-3L values from BKZ data</w:t>
            </w:r>
            <w:r w:rsidRPr="00E1019E">
              <w:rPr>
                <w:rFonts w:ascii="Arial Narrow" w:eastAsiaTheme="majorEastAsia" w:hAnsi="Arial Narrow" w:cstheme="majorBidi"/>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9"/>
              <w:gridCol w:w="1093"/>
            </w:tblGrid>
            <w:tr w:rsidR="003006D7" w:rsidRPr="00657A2C" w14:paraId="1094D300" w14:textId="77777777" w:rsidTr="00D20BFF">
              <w:tc>
                <w:tcPr>
                  <w:tcW w:w="2842" w:type="pct"/>
                  <w:vAlign w:val="center"/>
                </w:tcPr>
                <w:p w14:paraId="1A55ECB4" w14:textId="77777777" w:rsidR="003006D7" w:rsidRPr="00657A2C" w:rsidRDefault="003006D7" w:rsidP="00BD77D0">
                  <w:pPr>
                    <w:keepNext/>
                    <w:keepLines/>
                    <w:jc w:val="left"/>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Health state</w:t>
                  </w:r>
                </w:p>
              </w:tc>
              <w:tc>
                <w:tcPr>
                  <w:tcW w:w="2158" w:type="pct"/>
                  <w:vAlign w:val="center"/>
                </w:tcPr>
                <w:p w14:paraId="6D6681F7" w14:textId="77777777" w:rsidR="003006D7" w:rsidRPr="00657A2C" w:rsidRDefault="003006D7" w:rsidP="00BD77D0">
                  <w:pPr>
                    <w:keepNext/>
                    <w:keepLines/>
                    <w:jc w:val="center"/>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Utility weight</w:t>
                  </w:r>
                </w:p>
              </w:tc>
            </w:tr>
            <w:tr w:rsidR="003006D7" w:rsidRPr="00657A2C" w14:paraId="1AA17C72" w14:textId="77777777" w:rsidTr="00D20BFF">
              <w:tc>
                <w:tcPr>
                  <w:tcW w:w="2842" w:type="pct"/>
                  <w:vAlign w:val="center"/>
                </w:tcPr>
                <w:p w14:paraId="386F5AA0"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Baseline</w:t>
                  </w:r>
                </w:p>
              </w:tc>
              <w:tc>
                <w:tcPr>
                  <w:tcW w:w="2158" w:type="pct"/>
                  <w:vAlign w:val="center"/>
                </w:tcPr>
                <w:p w14:paraId="22F48BBC"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0.7826</w:t>
                  </w:r>
                </w:p>
              </w:tc>
            </w:tr>
            <w:tr w:rsidR="003006D7" w:rsidRPr="00657A2C" w14:paraId="6C9CD5C3" w14:textId="77777777" w:rsidTr="00D20BFF">
              <w:tc>
                <w:tcPr>
                  <w:tcW w:w="2842" w:type="pct"/>
                  <w:vAlign w:val="center"/>
                </w:tcPr>
                <w:p w14:paraId="402FF064"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&lt; 50</w:t>
                  </w:r>
                </w:p>
              </w:tc>
              <w:tc>
                <w:tcPr>
                  <w:tcW w:w="2158" w:type="pct"/>
                  <w:vAlign w:val="center"/>
                </w:tcPr>
                <w:p w14:paraId="0A25F10A"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0.7865</w:t>
                  </w:r>
                </w:p>
              </w:tc>
            </w:tr>
            <w:tr w:rsidR="003006D7" w:rsidRPr="00657A2C" w14:paraId="4B90469E" w14:textId="77777777" w:rsidTr="00D20BFF">
              <w:tc>
                <w:tcPr>
                  <w:tcW w:w="2842" w:type="pct"/>
                  <w:vAlign w:val="center"/>
                </w:tcPr>
                <w:p w14:paraId="57C17E78"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50 ≤ PASI &lt; 75</w:t>
                  </w:r>
                </w:p>
              </w:tc>
              <w:tc>
                <w:tcPr>
                  <w:tcW w:w="2158" w:type="pct"/>
                  <w:vAlign w:val="center"/>
                </w:tcPr>
                <w:p w14:paraId="351D9956"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0.8807</w:t>
                  </w:r>
                </w:p>
              </w:tc>
            </w:tr>
            <w:tr w:rsidR="003006D7" w:rsidRPr="00657A2C" w14:paraId="3AD24EFD" w14:textId="77777777" w:rsidTr="00D20BFF">
              <w:tc>
                <w:tcPr>
                  <w:tcW w:w="2842" w:type="pct"/>
                  <w:vAlign w:val="center"/>
                </w:tcPr>
                <w:p w14:paraId="78F1F51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75 ≤ PASI &lt; 90</w:t>
                  </w:r>
                </w:p>
              </w:tc>
              <w:tc>
                <w:tcPr>
                  <w:tcW w:w="2158" w:type="pct"/>
                  <w:vAlign w:val="center"/>
                </w:tcPr>
                <w:p w14:paraId="75543716"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0.8953</w:t>
                  </w:r>
                </w:p>
              </w:tc>
            </w:tr>
            <w:tr w:rsidR="003006D7" w:rsidRPr="00657A2C" w14:paraId="0F64AE8F" w14:textId="77777777" w:rsidTr="00D20BFF">
              <w:tc>
                <w:tcPr>
                  <w:tcW w:w="2842" w:type="pct"/>
                  <w:vAlign w:val="center"/>
                </w:tcPr>
                <w:p w14:paraId="312D0D7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90 ≤ PASI &lt; 100</w:t>
                  </w:r>
                </w:p>
              </w:tc>
              <w:tc>
                <w:tcPr>
                  <w:tcW w:w="2158" w:type="pct"/>
                  <w:vAlign w:val="center"/>
                </w:tcPr>
                <w:p w14:paraId="286A41A2"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0.9128</w:t>
                  </w:r>
                </w:p>
              </w:tc>
            </w:tr>
            <w:tr w:rsidR="003006D7" w:rsidRPr="00657A2C" w14:paraId="6202EF19" w14:textId="77777777" w:rsidTr="00D20BFF">
              <w:tc>
                <w:tcPr>
                  <w:tcW w:w="2842" w:type="pct"/>
                  <w:vAlign w:val="center"/>
                </w:tcPr>
                <w:p w14:paraId="24895B19"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100</w:t>
                  </w:r>
                </w:p>
              </w:tc>
              <w:tc>
                <w:tcPr>
                  <w:tcW w:w="2158" w:type="pct"/>
                  <w:vAlign w:val="center"/>
                </w:tcPr>
                <w:p w14:paraId="44789BEF"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0.9318</w:t>
                  </w:r>
                </w:p>
              </w:tc>
            </w:tr>
          </w:tbl>
          <w:p w14:paraId="259B72AB" w14:textId="77777777" w:rsidR="003006D7" w:rsidRPr="00E1019E" w:rsidRDefault="003006D7" w:rsidP="00BD77D0">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(ESC’s respecified base case)</w:t>
            </w:r>
          </w:p>
        </w:tc>
      </w:tr>
      <w:tr w:rsidR="003006D7" w:rsidRPr="00E1019E" w14:paraId="5CADF62B" w14:textId="77777777" w:rsidTr="004C3BD1">
        <w:trPr>
          <w:cantSplit/>
        </w:trPr>
        <w:tc>
          <w:tcPr>
            <w:tcW w:w="562" w:type="pct"/>
            <w:vMerge w:val="restart"/>
            <w:shd w:val="clear" w:color="auto" w:fill="auto"/>
            <w:vAlign w:val="center"/>
          </w:tcPr>
          <w:p w14:paraId="015EBF56"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Costs</w:t>
            </w:r>
          </w:p>
        </w:tc>
        <w:tc>
          <w:tcPr>
            <w:tcW w:w="2972" w:type="pct"/>
            <w:shd w:val="clear" w:color="auto" w:fill="C6D9F1" w:themeFill="text2" w:themeFillTint="33"/>
          </w:tcPr>
          <w:p w14:paraId="2ADEE976"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Prices of bDMARDs: </w:t>
            </w:r>
          </w:p>
          <w:p w14:paraId="44AF1595" w14:textId="3D7D4A43"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Requested</w:t>
            </w:r>
            <w:r w:rsidR="00B5045A">
              <w:rPr>
                <w:rFonts w:ascii="Arial Narrow" w:eastAsiaTheme="majorEastAsia" w:hAnsi="Arial Narrow" w:cstheme="majorBidi"/>
                <w:bCs/>
                <w:sz w:val="20"/>
              </w:rPr>
              <w:t xml:space="preserve"> </w:t>
            </w:r>
            <w:r>
              <w:rPr>
                <w:rFonts w:ascii="Arial Narrow" w:eastAsiaTheme="majorEastAsia" w:hAnsi="Arial Narrow" w:cstheme="majorBidi"/>
                <w:bCs/>
                <w:sz w:val="20"/>
              </w:rPr>
              <w:t>published price for BKZ of $3,908.88 DPMQ.</w:t>
            </w:r>
          </w:p>
          <w:p w14:paraId="0BDBBF93"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Published prices used for other bDMARDs.</w:t>
            </w:r>
          </w:p>
          <w:tbl>
            <w:tblPr>
              <w:tblStyle w:val="TableGrid"/>
              <w:tblW w:w="2122" w:type="dxa"/>
              <w:tblCellMar>
                <w:left w:w="28" w:type="dxa"/>
                <w:right w:w="28" w:type="dxa"/>
              </w:tblCellMar>
              <w:tblLook w:val="04A0" w:firstRow="1" w:lastRow="0" w:firstColumn="1" w:lastColumn="0" w:noHBand="0" w:noVBand="1"/>
            </w:tblPr>
            <w:tblGrid>
              <w:gridCol w:w="714"/>
              <w:gridCol w:w="1408"/>
            </w:tblGrid>
            <w:tr w:rsidR="003006D7" w14:paraId="64AC6FD4" w14:textId="77777777" w:rsidTr="00D20BFF">
              <w:tc>
                <w:tcPr>
                  <w:tcW w:w="714" w:type="dxa"/>
                  <w:vAlign w:val="bottom"/>
                </w:tcPr>
                <w:p w14:paraId="08511C4F" w14:textId="77777777" w:rsidR="003006D7" w:rsidRPr="00151502" w:rsidRDefault="003006D7" w:rsidP="00BD77D0">
                  <w:pPr>
                    <w:jc w:val="left"/>
                    <w:rPr>
                      <w:rFonts w:ascii="Arial Narrow" w:hAnsi="Arial Narrow" w:cs="Times New Roman"/>
                      <w:sz w:val="20"/>
                      <w:szCs w:val="20"/>
                      <w:lang w:eastAsia="en-US"/>
                    </w:rPr>
                  </w:pPr>
                </w:p>
              </w:tc>
              <w:tc>
                <w:tcPr>
                  <w:tcW w:w="1408" w:type="dxa"/>
                </w:tcPr>
                <w:p w14:paraId="2AB7B521" w14:textId="5137882E" w:rsidR="003006D7"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DPMQ</w:t>
                  </w:r>
                </w:p>
              </w:tc>
            </w:tr>
            <w:tr w:rsidR="003006D7" w:rsidRPr="00151502" w14:paraId="21F05D46" w14:textId="77777777" w:rsidTr="00D20BFF">
              <w:tc>
                <w:tcPr>
                  <w:tcW w:w="714" w:type="dxa"/>
                  <w:vAlign w:val="bottom"/>
                </w:tcPr>
                <w:p w14:paraId="464B04BD"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47018FA4"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$3,943.23</w:t>
                  </w:r>
                </w:p>
              </w:tc>
            </w:tr>
            <w:tr w:rsidR="003006D7" w:rsidRPr="00AC4E19" w14:paraId="3CDE8D2D" w14:textId="77777777" w:rsidTr="00D20BFF">
              <w:tc>
                <w:tcPr>
                  <w:tcW w:w="714" w:type="dxa"/>
                  <w:vAlign w:val="center"/>
                </w:tcPr>
                <w:p w14:paraId="1D36FFFA" w14:textId="77777777" w:rsidR="003006D7" w:rsidRPr="00AC5983" w:rsidRDefault="003006D7" w:rsidP="00BD77D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6206E07A" w14:textId="77777777" w:rsidR="003006D7" w:rsidRPr="00AC4E19" w:rsidRDefault="003006D7" w:rsidP="00BD77D0">
                  <w:pPr>
                    <w:jc w:val="left"/>
                    <w:rPr>
                      <w:rFonts w:ascii="Arial Narrow" w:hAnsi="Arial Narrow" w:cs="Times New Roman"/>
                      <w:sz w:val="20"/>
                      <w:szCs w:val="22"/>
                      <w:lang w:eastAsia="en-US"/>
                    </w:rPr>
                  </w:pPr>
                  <w:r w:rsidRPr="00AC4E19">
                    <w:rPr>
                      <w:rFonts w:ascii="Arial Narrow" w:hAnsi="Arial Narrow" w:cs="Times New Roman"/>
                      <w:sz w:val="20"/>
                      <w:szCs w:val="22"/>
                      <w:lang w:eastAsia="en-US"/>
                    </w:rPr>
                    <w:t>$</w:t>
                  </w:r>
                  <w:r>
                    <w:rPr>
                      <w:rFonts w:ascii="Arial Narrow" w:hAnsi="Arial Narrow" w:cs="Times New Roman"/>
                      <w:sz w:val="20"/>
                      <w:szCs w:val="22"/>
                      <w:lang w:eastAsia="en-US"/>
                    </w:rPr>
                    <w:t>1,403.68</w:t>
                  </w:r>
                </w:p>
              </w:tc>
            </w:tr>
            <w:tr w:rsidR="003006D7" w:rsidRPr="00151502" w14:paraId="74D2DC34" w14:textId="77777777" w:rsidTr="00D20BFF">
              <w:tc>
                <w:tcPr>
                  <w:tcW w:w="714" w:type="dxa"/>
                  <w:vAlign w:val="center"/>
                </w:tcPr>
                <w:p w14:paraId="40DABD8E"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22A6D1FF"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$3,421.22</w:t>
                  </w:r>
                </w:p>
              </w:tc>
            </w:tr>
            <w:tr w:rsidR="003006D7" w:rsidRPr="00151502" w14:paraId="5F8C24B2" w14:textId="77777777" w:rsidTr="00D20BFF">
              <w:tc>
                <w:tcPr>
                  <w:tcW w:w="714" w:type="dxa"/>
                  <w:vAlign w:val="center"/>
                </w:tcPr>
                <w:p w14:paraId="5856BC69"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1286FC5D"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$3,795.84</w:t>
                  </w:r>
                </w:p>
              </w:tc>
            </w:tr>
            <w:tr w:rsidR="003006D7" w:rsidRPr="00151502" w14:paraId="00075353" w14:textId="77777777" w:rsidTr="00D20BFF">
              <w:tc>
                <w:tcPr>
                  <w:tcW w:w="714" w:type="dxa"/>
                  <w:vAlign w:val="center"/>
                </w:tcPr>
                <w:p w14:paraId="1E68A140"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2EFECCE6"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$3,271.27</w:t>
                  </w:r>
                </w:p>
              </w:tc>
            </w:tr>
            <w:tr w:rsidR="003006D7" w:rsidRPr="00151502" w14:paraId="0E4B4DA6" w14:textId="77777777" w:rsidTr="00D20BFF">
              <w:tc>
                <w:tcPr>
                  <w:tcW w:w="714" w:type="dxa"/>
                  <w:vAlign w:val="center"/>
                </w:tcPr>
                <w:p w14:paraId="34143A5F"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0710103B"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$5,400.51</w:t>
                  </w:r>
                </w:p>
              </w:tc>
            </w:tr>
            <w:tr w:rsidR="003006D7" w:rsidRPr="00151502" w14:paraId="0EF39644" w14:textId="77777777" w:rsidTr="00D20BFF">
              <w:tc>
                <w:tcPr>
                  <w:tcW w:w="714" w:type="dxa"/>
                  <w:vAlign w:val="center"/>
                </w:tcPr>
                <w:p w14:paraId="79EEA534"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5344BC2B"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$885.50</w:t>
                  </w:r>
                </w:p>
              </w:tc>
            </w:tr>
            <w:tr w:rsidR="003006D7" w:rsidRPr="00151502" w14:paraId="18C05DAA" w14:textId="77777777" w:rsidTr="00D20BFF">
              <w:tc>
                <w:tcPr>
                  <w:tcW w:w="714" w:type="dxa"/>
                  <w:vAlign w:val="center"/>
                </w:tcPr>
                <w:p w14:paraId="31D85D9C"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548BF845"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$1,050.14</w:t>
                  </w:r>
                </w:p>
              </w:tc>
            </w:tr>
            <w:tr w:rsidR="003006D7" w:rsidRPr="00151502" w14:paraId="13AEB04D" w14:textId="77777777" w:rsidTr="00D20BFF">
              <w:tc>
                <w:tcPr>
                  <w:tcW w:w="714" w:type="dxa"/>
                  <w:vAlign w:val="center"/>
                </w:tcPr>
                <w:p w14:paraId="26D5FA22" w14:textId="77777777" w:rsidR="003006D7" w:rsidRPr="00151502" w:rsidRDefault="003006D7"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IV</w:t>
                  </w:r>
                </w:p>
              </w:tc>
              <w:tc>
                <w:tcPr>
                  <w:tcW w:w="1408" w:type="dxa"/>
                </w:tcPr>
                <w:p w14:paraId="79E9A6BE" w14:textId="77777777" w:rsidR="003006D7"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$320.71</w:t>
                  </w:r>
                </w:p>
              </w:tc>
            </w:tr>
          </w:tbl>
          <w:p w14:paraId="494318BE" w14:textId="187AFE68" w:rsidR="003006D7" w:rsidRDefault="003006D7" w:rsidP="00BD77D0">
            <w:pPr>
              <w:jc w:val="left"/>
              <w:rPr>
                <w:rFonts w:ascii="Arial Narrow" w:eastAsiaTheme="majorEastAsia" w:hAnsi="Arial Narrow" w:cstheme="majorBidi"/>
                <w:bCs/>
                <w:sz w:val="20"/>
              </w:rPr>
            </w:pPr>
          </w:p>
        </w:tc>
        <w:tc>
          <w:tcPr>
            <w:tcW w:w="1466" w:type="pct"/>
            <w:shd w:val="clear" w:color="auto" w:fill="auto"/>
            <w:vAlign w:val="center"/>
          </w:tcPr>
          <w:p w14:paraId="2E18FB94"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Prices of bDMARDs: </w:t>
            </w:r>
          </w:p>
          <w:p w14:paraId="0F782C58" w14:textId="032ACCCC"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Requested effective price for BKZ of $</w:t>
            </w:r>
            <w:r w:rsidR="004E39DC" w:rsidRPr="004E39DC">
              <w:rPr>
                <w:rFonts w:ascii="Arial Narrow" w:eastAsiaTheme="majorEastAsia" w:hAnsi="Arial Narrow" w:cstheme="majorBidi"/>
                <w:bCs/>
                <w:color w:val="000000"/>
                <w:spacing w:val="29"/>
                <w:sz w:val="20"/>
                <w:shd w:val="solid" w:color="000000" w:fill="000000"/>
                <w:fitText w:val="547" w:id="-1233430268"/>
                <w14:textFill>
                  <w14:solidFill>
                    <w14:srgbClr w14:val="000000">
                      <w14:alpha w14:val="100000"/>
                    </w14:srgbClr>
                  </w14:solidFill>
                </w14:textFill>
              </w:rPr>
              <w:t>|||||||</w:t>
            </w:r>
            <w:r w:rsidR="004E39DC" w:rsidRPr="004E39DC">
              <w:rPr>
                <w:rFonts w:ascii="Arial Narrow" w:eastAsiaTheme="majorEastAsia" w:hAnsi="Arial Narrow" w:cstheme="majorBidi"/>
                <w:bCs/>
                <w:color w:val="000000"/>
                <w:spacing w:val="4"/>
                <w:sz w:val="20"/>
                <w:shd w:val="solid" w:color="000000" w:fill="000000"/>
                <w:fitText w:val="547" w:id="-1233430268"/>
                <w14:textFill>
                  <w14:solidFill>
                    <w14:srgbClr w14:val="000000">
                      <w14:alpha w14:val="100000"/>
                    </w14:srgbClr>
                  </w14:solidFill>
                </w14:textFill>
              </w:rPr>
              <w:t>|</w:t>
            </w:r>
            <w:r>
              <w:rPr>
                <w:rFonts w:ascii="Arial Narrow" w:eastAsiaTheme="majorEastAsia" w:hAnsi="Arial Narrow" w:cstheme="majorBidi"/>
                <w:bCs/>
                <w:sz w:val="20"/>
              </w:rPr>
              <w:t xml:space="preserve"> DPMQ.</w:t>
            </w:r>
          </w:p>
          <w:p w14:paraId="1049DBB4" w14:textId="38A547DE" w:rsidR="003006D7" w:rsidRDefault="003006D7" w:rsidP="00BD77D0">
            <w:pPr>
              <w:jc w:val="left"/>
              <w:rPr>
                <w:rFonts w:ascii="Arial Narrow" w:hAnsi="Arial Narrow"/>
                <w:sz w:val="20"/>
                <w:szCs w:val="20"/>
              </w:rPr>
            </w:pPr>
            <w:r>
              <w:rPr>
                <w:rFonts w:ascii="Arial Narrow" w:hAnsi="Arial Narrow"/>
                <w:sz w:val="20"/>
                <w:szCs w:val="20"/>
              </w:rPr>
              <w:t>‘Estimated’ e</w:t>
            </w:r>
            <w:r w:rsidRPr="00FA6ACF">
              <w:rPr>
                <w:rFonts w:ascii="Arial Narrow" w:hAnsi="Arial Narrow"/>
                <w:sz w:val="20"/>
                <w:szCs w:val="20"/>
              </w:rPr>
              <w:t>ffective prices used</w:t>
            </w:r>
            <w:r>
              <w:rPr>
                <w:rFonts w:ascii="Arial Narrow" w:hAnsi="Arial Narrow"/>
                <w:sz w:val="20"/>
                <w:szCs w:val="20"/>
              </w:rPr>
              <w:t xml:space="preserve"> for other bDMARDs.</w:t>
            </w:r>
          </w:p>
          <w:tbl>
            <w:tblPr>
              <w:tblStyle w:val="TableGrid"/>
              <w:tblW w:w="2122" w:type="dxa"/>
              <w:tblCellMar>
                <w:left w:w="28" w:type="dxa"/>
                <w:right w:w="28" w:type="dxa"/>
              </w:tblCellMar>
              <w:tblLook w:val="04A0" w:firstRow="1" w:lastRow="0" w:firstColumn="1" w:lastColumn="0" w:noHBand="0" w:noVBand="1"/>
            </w:tblPr>
            <w:tblGrid>
              <w:gridCol w:w="714"/>
              <w:gridCol w:w="1408"/>
            </w:tblGrid>
            <w:tr w:rsidR="00647651" w14:paraId="7B27EE32" w14:textId="77777777" w:rsidTr="004E39DC">
              <w:tc>
                <w:tcPr>
                  <w:tcW w:w="714" w:type="dxa"/>
                  <w:vAlign w:val="bottom"/>
                </w:tcPr>
                <w:p w14:paraId="3E2C3B33" w14:textId="77777777" w:rsidR="00647651" w:rsidRPr="00151502" w:rsidRDefault="00647651" w:rsidP="00BD77D0">
                  <w:pPr>
                    <w:jc w:val="left"/>
                    <w:rPr>
                      <w:rFonts w:ascii="Arial Narrow" w:hAnsi="Arial Narrow" w:cs="Times New Roman"/>
                      <w:sz w:val="20"/>
                      <w:szCs w:val="20"/>
                      <w:lang w:eastAsia="en-US"/>
                    </w:rPr>
                  </w:pPr>
                </w:p>
              </w:tc>
              <w:tc>
                <w:tcPr>
                  <w:tcW w:w="1408" w:type="dxa"/>
                  <w:tcBorders>
                    <w:bottom w:val="single" w:sz="4" w:space="0" w:color="auto"/>
                  </w:tcBorders>
                </w:tcPr>
                <w:p w14:paraId="41E7F828" w14:textId="31E40D72" w:rsidR="00647651" w:rsidRPr="00647651" w:rsidRDefault="00647651" w:rsidP="00BD77D0">
                  <w:pPr>
                    <w:jc w:val="left"/>
                    <w:rPr>
                      <w:rFonts w:ascii="Arial Narrow" w:hAnsi="Arial Narrow" w:cs="Times New Roman"/>
                      <w:sz w:val="20"/>
                      <w:szCs w:val="22"/>
                      <w:vertAlign w:val="superscript"/>
                      <w:lang w:eastAsia="en-US"/>
                    </w:rPr>
                  </w:pPr>
                  <w:r>
                    <w:rPr>
                      <w:rFonts w:ascii="Arial Narrow" w:hAnsi="Arial Narrow" w:cs="Times New Roman"/>
                      <w:sz w:val="20"/>
                      <w:szCs w:val="22"/>
                      <w:lang w:eastAsia="en-US"/>
                    </w:rPr>
                    <w:t>DPMQ</w:t>
                  </w:r>
                  <w:r>
                    <w:rPr>
                      <w:rFonts w:ascii="Arial Narrow" w:hAnsi="Arial Narrow" w:cs="Times New Roman"/>
                      <w:sz w:val="20"/>
                      <w:szCs w:val="22"/>
                      <w:vertAlign w:val="superscript"/>
                      <w:lang w:eastAsia="en-US"/>
                    </w:rPr>
                    <w:t>a</w:t>
                  </w:r>
                  <w:r w:rsidR="002A2D16">
                    <w:rPr>
                      <w:rFonts w:ascii="Arial Narrow" w:hAnsi="Arial Narrow" w:cs="Times New Roman"/>
                      <w:sz w:val="20"/>
                      <w:szCs w:val="22"/>
                      <w:lang w:eastAsia="en-US"/>
                    </w:rPr>
                    <w:t>($)</w:t>
                  </w:r>
                </w:p>
              </w:tc>
            </w:tr>
            <w:tr w:rsidR="00647651" w:rsidRPr="00151502" w14:paraId="2469EF73" w14:textId="77777777" w:rsidTr="004E39DC">
              <w:tc>
                <w:tcPr>
                  <w:tcW w:w="714" w:type="dxa"/>
                  <w:vAlign w:val="bottom"/>
                </w:tcPr>
                <w:p w14:paraId="45E9E1EF"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Borders>
                    <w:bottom w:val="single" w:sz="4" w:space="0" w:color="auto"/>
                  </w:tcBorders>
                  <w:shd w:val="solid" w:color="000000" w:fill="000000"/>
                </w:tcPr>
                <w:p w14:paraId="388D6BB6" w14:textId="4BC07A8C"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7"/>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7"/>
                      <w:lang w:eastAsia="en-US"/>
                      <w14:textFill>
                        <w14:solidFill>
                          <w14:srgbClr w14:val="000000">
                            <w14:alpha w14:val="100000"/>
                          </w14:srgbClr>
                        </w14:solidFill>
                      </w14:textFill>
                    </w:rPr>
                    <w:t>|</w:t>
                  </w:r>
                </w:p>
              </w:tc>
            </w:tr>
            <w:tr w:rsidR="00647651" w:rsidRPr="00AC4E19" w14:paraId="50A8C469" w14:textId="77777777" w:rsidTr="004E39DC">
              <w:tc>
                <w:tcPr>
                  <w:tcW w:w="714" w:type="dxa"/>
                  <w:vAlign w:val="center"/>
                </w:tcPr>
                <w:p w14:paraId="0F13C973" w14:textId="77777777" w:rsidR="00647651" w:rsidRPr="00AC5983" w:rsidRDefault="00647651" w:rsidP="00BD77D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Borders>
                    <w:bottom w:val="single" w:sz="4" w:space="0" w:color="auto"/>
                  </w:tcBorders>
                  <w:shd w:val="solid" w:color="000000" w:fill="000000"/>
                </w:tcPr>
                <w:p w14:paraId="0523FCE0" w14:textId="1E37F995"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6"/>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6"/>
                      <w:lang w:eastAsia="en-US"/>
                      <w14:textFill>
                        <w14:solidFill>
                          <w14:srgbClr w14:val="000000">
                            <w14:alpha w14:val="100000"/>
                          </w14:srgbClr>
                        </w14:solidFill>
                      </w14:textFill>
                    </w:rPr>
                    <w:t>|</w:t>
                  </w:r>
                </w:p>
              </w:tc>
            </w:tr>
            <w:tr w:rsidR="00647651" w:rsidRPr="00151502" w14:paraId="04D59E47" w14:textId="77777777" w:rsidTr="004E39DC">
              <w:tc>
                <w:tcPr>
                  <w:tcW w:w="714" w:type="dxa"/>
                  <w:vAlign w:val="center"/>
                </w:tcPr>
                <w:p w14:paraId="7583E255"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Borders>
                    <w:bottom w:val="single" w:sz="4" w:space="0" w:color="auto"/>
                  </w:tcBorders>
                  <w:shd w:val="solid" w:color="000000" w:fill="000000"/>
                </w:tcPr>
                <w:p w14:paraId="5F8ED030" w14:textId="09F3ADF1"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5"/>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5"/>
                      <w:lang w:eastAsia="en-US"/>
                      <w14:textFill>
                        <w14:solidFill>
                          <w14:srgbClr w14:val="000000">
                            <w14:alpha w14:val="100000"/>
                          </w14:srgbClr>
                        </w14:solidFill>
                      </w14:textFill>
                    </w:rPr>
                    <w:t>|</w:t>
                  </w:r>
                </w:p>
              </w:tc>
            </w:tr>
            <w:tr w:rsidR="00647651" w:rsidRPr="00151502" w14:paraId="231A4419" w14:textId="77777777" w:rsidTr="004E39DC">
              <w:tc>
                <w:tcPr>
                  <w:tcW w:w="714" w:type="dxa"/>
                  <w:vAlign w:val="center"/>
                </w:tcPr>
                <w:p w14:paraId="1225BF4B"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Borders>
                    <w:bottom w:val="single" w:sz="4" w:space="0" w:color="auto"/>
                  </w:tcBorders>
                  <w:shd w:val="solid" w:color="000000" w:fill="000000"/>
                </w:tcPr>
                <w:p w14:paraId="4D286E3F" w14:textId="71DE180D"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4"/>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4"/>
                      <w:lang w:eastAsia="en-US"/>
                      <w14:textFill>
                        <w14:solidFill>
                          <w14:srgbClr w14:val="000000">
                            <w14:alpha w14:val="100000"/>
                          </w14:srgbClr>
                        </w14:solidFill>
                      </w14:textFill>
                    </w:rPr>
                    <w:t>|</w:t>
                  </w:r>
                </w:p>
              </w:tc>
            </w:tr>
            <w:tr w:rsidR="00647651" w:rsidRPr="00151502" w14:paraId="2DF9E85C" w14:textId="77777777" w:rsidTr="004E39DC">
              <w:tc>
                <w:tcPr>
                  <w:tcW w:w="714" w:type="dxa"/>
                  <w:vAlign w:val="center"/>
                </w:tcPr>
                <w:p w14:paraId="41B34B6C"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Borders>
                    <w:bottom w:val="single" w:sz="4" w:space="0" w:color="auto"/>
                  </w:tcBorders>
                  <w:shd w:val="solid" w:color="000000" w:fill="000000"/>
                </w:tcPr>
                <w:p w14:paraId="16614DFF" w14:textId="2DF6E7BF"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3"/>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3"/>
                      <w:lang w:eastAsia="en-US"/>
                      <w14:textFill>
                        <w14:solidFill>
                          <w14:srgbClr w14:val="000000">
                            <w14:alpha w14:val="100000"/>
                          </w14:srgbClr>
                        </w14:solidFill>
                      </w14:textFill>
                    </w:rPr>
                    <w:t>|</w:t>
                  </w:r>
                </w:p>
              </w:tc>
            </w:tr>
            <w:tr w:rsidR="00647651" w:rsidRPr="00151502" w14:paraId="6942415C" w14:textId="77777777" w:rsidTr="004E39DC">
              <w:tc>
                <w:tcPr>
                  <w:tcW w:w="714" w:type="dxa"/>
                  <w:vAlign w:val="center"/>
                </w:tcPr>
                <w:p w14:paraId="6753D827"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Borders>
                    <w:bottom w:val="single" w:sz="4" w:space="0" w:color="auto"/>
                  </w:tcBorders>
                  <w:shd w:val="solid" w:color="000000" w:fill="000000"/>
                </w:tcPr>
                <w:p w14:paraId="16983BFE" w14:textId="55F9CD18"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2"/>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2"/>
                      <w:lang w:eastAsia="en-US"/>
                      <w14:textFill>
                        <w14:solidFill>
                          <w14:srgbClr w14:val="000000">
                            <w14:alpha w14:val="100000"/>
                          </w14:srgbClr>
                        </w14:solidFill>
                      </w14:textFill>
                    </w:rPr>
                    <w:t>|</w:t>
                  </w:r>
                </w:p>
              </w:tc>
            </w:tr>
            <w:tr w:rsidR="00647651" w:rsidRPr="00151502" w14:paraId="737F50E3" w14:textId="77777777" w:rsidTr="004E39DC">
              <w:tc>
                <w:tcPr>
                  <w:tcW w:w="714" w:type="dxa"/>
                  <w:vAlign w:val="center"/>
                </w:tcPr>
                <w:p w14:paraId="2DD24834"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Borders>
                    <w:bottom w:val="single" w:sz="4" w:space="0" w:color="auto"/>
                  </w:tcBorders>
                  <w:shd w:val="solid" w:color="000000" w:fill="000000"/>
                </w:tcPr>
                <w:p w14:paraId="7728CE4D" w14:textId="033B8038"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1"/>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1"/>
                      <w:lang w:eastAsia="en-US"/>
                      <w14:textFill>
                        <w14:solidFill>
                          <w14:srgbClr w14:val="000000">
                            <w14:alpha w14:val="100000"/>
                          </w14:srgbClr>
                        </w14:solidFill>
                      </w14:textFill>
                    </w:rPr>
                    <w:t>|</w:t>
                  </w:r>
                </w:p>
              </w:tc>
            </w:tr>
            <w:tr w:rsidR="00647651" w:rsidRPr="00151502" w14:paraId="495DA4F3" w14:textId="77777777" w:rsidTr="004E39DC">
              <w:tc>
                <w:tcPr>
                  <w:tcW w:w="714" w:type="dxa"/>
                  <w:vAlign w:val="center"/>
                </w:tcPr>
                <w:p w14:paraId="764F0A79"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Borders>
                    <w:bottom w:val="single" w:sz="4" w:space="0" w:color="auto"/>
                  </w:tcBorders>
                  <w:shd w:val="solid" w:color="000000" w:fill="000000"/>
                </w:tcPr>
                <w:p w14:paraId="5151C775" w14:textId="0BCCC590"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0"/>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0"/>
                      <w:lang w:eastAsia="en-US"/>
                      <w14:textFill>
                        <w14:solidFill>
                          <w14:srgbClr w14:val="000000">
                            <w14:alpha w14:val="100000"/>
                          </w14:srgbClr>
                        </w14:solidFill>
                      </w14:textFill>
                    </w:rPr>
                    <w:t>|</w:t>
                  </w:r>
                </w:p>
              </w:tc>
            </w:tr>
            <w:tr w:rsidR="00647651" w:rsidRPr="00151502" w14:paraId="0293479D" w14:textId="77777777" w:rsidTr="004E39DC">
              <w:tc>
                <w:tcPr>
                  <w:tcW w:w="714" w:type="dxa"/>
                  <w:vAlign w:val="center"/>
                </w:tcPr>
                <w:p w14:paraId="288DE920" w14:textId="77777777" w:rsidR="00647651" w:rsidRPr="00151502" w:rsidRDefault="00647651"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IV</w:t>
                  </w:r>
                </w:p>
              </w:tc>
              <w:tc>
                <w:tcPr>
                  <w:tcW w:w="1408" w:type="dxa"/>
                  <w:tcBorders>
                    <w:bottom w:val="single" w:sz="4" w:space="0" w:color="auto"/>
                  </w:tcBorders>
                  <w:shd w:val="solid" w:color="000000" w:fill="000000"/>
                </w:tcPr>
                <w:p w14:paraId="67354B36" w14:textId="6800688B"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59"/>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59"/>
                      <w:lang w:eastAsia="en-US"/>
                      <w14:textFill>
                        <w14:solidFill>
                          <w14:srgbClr w14:val="000000">
                            <w14:alpha w14:val="100000"/>
                          </w14:srgbClr>
                        </w14:solidFill>
                      </w14:textFill>
                    </w:rPr>
                    <w:t>|</w:t>
                  </w:r>
                </w:p>
              </w:tc>
            </w:tr>
            <w:tr w:rsidR="00647651" w:rsidRPr="00151502" w14:paraId="4B391656" w14:textId="77777777" w:rsidTr="004E39DC">
              <w:tc>
                <w:tcPr>
                  <w:tcW w:w="714" w:type="dxa"/>
                  <w:vAlign w:val="center"/>
                </w:tcPr>
                <w:p w14:paraId="713ADD8E" w14:textId="20CBB9C4" w:rsidR="00647651" w:rsidRDefault="00647651"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SC</w:t>
                  </w:r>
                </w:p>
              </w:tc>
              <w:tc>
                <w:tcPr>
                  <w:tcW w:w="1408" w:type="dxa"/>
                  <w:shd w:val="solid" w:color="000000" w:fill="000000"/>
                </w:tcPr>
                <w:p w14:paraId="7A528805" w14:textId="0D98F073"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58"/>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58"/>
                      <w:lang w:eastAsia="en-US"/>
                      <w14:textFill>
                        <w14:solidFill>
                          <w14:srgbClr w14:val="000000">
                            <w14:alpha w14:val="100000"/>
                          </w14:srgbClr>
                        </w14:solidFill>
                      </w14:textFill>
                    </w:rPr>
                    <w:t>|</w:t>
                  </w:r>
                </w:p>
              </w:tc>
            </w:tr>
          </w:tbl>
          <w:p w14:paraId="0D284363" w14:textId="48DFD67D" w:rsidR="003006D7" w:rsidRPr="00FA6ACF" w:rsidRDefault="003006D7" w:rsidP="00BD77D0">
            <w:pPr>
              <w:jc w:val="left"/>
              <w:rPr>
                <w:rFonts w:ascii="Arial Narrow" w:eastAsiaTheme="majorEastAsia" w:hAnsi="Arial Narrow" w:cstheme="majorBidi"/>
                <w:bCs/>
                <w:sz w:val="20"/>
                <w:szCs w:val="20"/>
              </w:rPr>
            </w:pPr>
          </w:p>
        </w:tc>
      </w:tr>
      <w:tr w:rsidR="003006D7" w:rsidRPr="00E1019E" w14:paraId="54987F86" w14:textId="77777777" w:rsidTr="004C3BD1">
        <w:trPr>
          <w:cantSplit/>
        </w:trPr>
        <w:tc>
          <w:tcPr>
            <w:tcW w:w="562" w:type="pct"/>
            <w:vMerge/>
            <w:shd w:val="clear" w:color="auto" w:fill="auto"/>
            <w:vAlign w:val="center"/>
          </w:tcPr>
          <w:p w14:paraId="18C9C6B9" w14:textId="77777777" w:rsidR="003006D7"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0FD96301"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Healthcare resource use: Dupilumab March 2020 model for severe atopic dermatitis</w:t>
            </w:r>
          </w:p>
          <w:p w14:paraId="21B7CEE5" w14:textId="77777777" w:rsidR="003006D7" w:rsidRPr="00123D9B" w:rsidRDefault="003006D7" w:rsidP="00BD77D0">
            <w:pPr>
              <w:jc w:val="left"/>
              <w:rPr>
                <w:rFonts w:ascii="Arial Narrow" w:eastAsiaTheme="majorEastAsia" w:hAnsi="Arial Narrow" w:cstheme="majorBidi"/>
                <w:bCs/>
                <w:sz w:val="20"/>
                <w:szCs w:val="20"/>
              </w:rPr>
            </w:pPr>
          </w:p>
          <w:p w14:paraId="2388DD24" w14:textId="70B88A03" w:rsidR="003006D7" w:rsidRPr="00FA6ACF" w:rsidRDefault="003006D7" w:rsidP="00BD77D0">
            <w:pPr>
              <w:jc w:val="left"/>
              <w:rPr>
                <w:rFonts w:ascii="Arial Narrow" w:hAnsi="Arial Narrow"/>
                <w:sz w:val="20"/>
                <w:szCs w:val="20"/>
              </w:rPr>
            </w:pPr>
            <w:r w:rsidRPr="00123D9B">
              <w:rPr>
                <w:rFonts w:ascii="Arial Narrow" w:hAnsi="Arial Narrow"/>
                <w:iCs/>
                <w:sz w:val="20"/>
                <w:szCs w:val="20"/>
              </w:rPr>
              <w:t>The ESC recalled it had considered some elements of this cost may not be plausible (paragraph 6.45, dupilumab PSD, March 2020) and, in particular, the magnitude of phototherapy costs was not reasonable (paragraph 7.15, dupilumab PSD, March 2020 PBAC meeting). Additionally, the ESC considered it was highly uncertain whether health care resource use and costs would be the same for CPP as for atopic dermatitis and noted that while the same range of services are likely to be needed for both sets of patients, the frequency of use may differ</w:t>
            </w:r>
            <w:r>
              <w:rPr>
                <w:rFonts w:ascii="Arial Narrow" w:hAnsi="Arial Narrow"/>
                <w:iCs/>
                <w:sz w:val="20"/>
                <w:szCs w:val="20"/>
              </w:rPr>
              <w:t xml:space="preserve"> (paragraph </w:t>
            </w:r>
            <w:r w:rsidR="00B126CB">
              <w:rPr>
                <w:rFonts w:ascii="Arial Narrow" w:hAnsi="Arial Narrow"/>
                <w:iCs/>
                <w:sz w:val="20"/>
                <w:szCs w:val="20"/>
              </w:rPr>
              <w:t>6.76, BKZ PSD, March 2022 PBAC m</w:t>
            </w:r>
            <w:r>
              <w:rPr>
                <w:rFonts w:ascii="Arial Narrow" w:hAnsi="Arial Narrow"/>
                <w:iCs/>
                <w:sz w:val="20"/>
                <w:szCs w:val="20"/>
              </w:rPr>
              <w:t>eeting).</w:t>
            </w:r>
          </w:p>
        </w:tc>
      </w:tr>
      <w:tr w:rsidR="003006D7" w:rsidRPr="00E1019E" w14:paraId="240F7919" w14:textId="77777777" w:rsidTr="004C3BD1">
        <w:trPr>
          <w:cantSplit/>
        </w:trPr>
        <w:tc>
          <w:tcPr>
            <w:tcW w:w="562" w:type="pct"/>
            <w:vMerge/>
            <w:shd w:val="clear" w:color="auto" w:fill="auto"/>
            <w:vAlign w:val="center"/>
          </w:tcPr>
          <w:p w14:paraId="79612286" w14:textId="77777777" w:rsidR="003006D7"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1E766FA2"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Healthcare costs inflated to 2021 prices.</w:t>
            </w:r>
          </w:p>
        </w:tc>
        <w:tc>
          <w:tcPr>
            <w:tcW w:w="1466" w:type="pct"/>
            <w:shd w:val="clear" w:color="auto" w:fill="auto"/>
            <w:vAlign w:val="center"/>
          </w:tcPr>
          <w:p w14:paraId="40A5648E" w14:textId="77777777" w:rsidR="003006D7" w:rsidRPr="00FA6ACF" w:rsidRDefault="003006D7" w:rsidP="00BD77D0">
            <w:pPr>
              <w:jc w:val="left"/>
              <w:rPr>
                <w:rFonts w:ascii="Arial Narrow" w:hAnsi="Arial Narrow"/>
                <w:sz w:val="20"/>
                <w:szCs w:val="20"/>
              </w:rPr>
            </w:pPr>
            <w:r>
              <w:rPr>
                <w:rFonts w:ascii="Arial Narrow" w:hAnsi="Arial Narrow"/>
                <w:sz w:val="20"/>
                <w:szCs w:val="20"/>
              </w:rPr>
              <w:t>Healthcare costs inflated to 2023 prices.</w:t>
            </w:r>
          </w:p>
        </w:tc>
      </w:tr>
    </w:tbl>
    <w:p w14:paraId="00A581F0" w14:textId="77777777" w:rsidR="003006D7" w:rsidRPr="00653499" w:rsidRDefault="003006D7" w:rsidP="00BD77D0">
      <w:pPr>
        <w:pStyle w:val="TableFigureFooter"/>
        <w:spacing w:after="0"/>
        <w:rPr>
          <w:szCs w:val="18"/>
        </w:rPr>
      </w:pPr>
      <w:r w:rsidRPr="00653499">
        <w:rPr>
          <w:rStyle w:val="CommentReference"/>
          <w:b w:val="0"/>
          <w:szCs w:val="18"/>
          <w:shd w:val="clear" w:color="auto" w:fill="B8CCE4" w:themeFill="accent1" w:themeFillTint="66"/>
        </w:rPr>
        <w:t xml:space="preserve">Blue </w:t>
      </w:r>
      <w:r w:rsidRPr="00653499">
        <w:rPr>
          <w:rStyle w:val="CommentReference"/>
          <w:b w:val="0"/>
          <w:szCs w:val="18"/>
        </w:rPr>
        <w:t xml:space="preserve">shading indicates data previously seen by the PBAC. </w:t>
      </w:r>
    </w:p>
    <w:p w14:paraId="68767D19" w14:textId="77777777" w:rsidR="003006D7" w:rsidRPr="0055624C" w:rsidRDefault="003006D7" w:rsidP="00BD77D0">
      <w:pPr>
        <w:spacing w:after="120"/>
        <w:contextualSpacing/>
        <w:rPr>
          <w:rFonts w:ascii="Arial Narrow" w:hAnsi="Arial Narrow"/>
          <w:snapToGrid w:val="0"/>
          <w:sz w:val="18"/>
          <w:szCs w:val="22"/>
        </w:rPr>
      </w:pPr>
      <w:r w:rsidRPr="0055624C">
        <w:rPr>
          <w:rFonts w:ascii="Arial Narrow" w:hAnsi="Arial Narrow"/>
          <w:snapToGrid w:val="0"/>
          <w:sz w:val="18"/>
          <w:szCs w:val="22"/>
        </w:rPr>
        <w:t>Source: adapted during the evaluation based on Table 3-1, pp266-267 of the March 2022 submission.</w:t>
      </w:r>
    </w:p>
    <w:p w14:paraId="40BC090E" w14:textId="77777777" w:rsidR="007A659F" w:rsidRDefault="003006D7" w:rsidP="00BD77D0">
      <w:pPr>
        <w:spacing w:after="120"/>
        <w:contextualSpacing/>
        <w:rPr>
          <w:rFonts w:ascii="Arial Narrow" w:hAnsi="Arial Narrow"/>
          <w:snapToGrid w:val="0"/>
          <w:sz w:val="18"/>
          <w:szCs w:val="22"/>
        </w:rPr>
      </w:pPr>
      <w:r w:rsidRPr="00E1019E">
        <w:rPr>
          <w:rFonts w:ascii="Arial Narrow" w:hAnsi="Arial Narrow"/>
          <w:snapToGrid w:val="0"/>
          <w:sz w:val="18"/>
          <w:szCs w:val="22"/>
        </w:rPr>
        <w:t xml:space="preserve">ADA = adalimumab; BKZ = bimekizumab; </w:t>
      </w:r>
      <w:r>
        <w:rPr>
          <w:rFonts w:ascii="Arial Narrow" w:hAnsi="Arial Narrow"/>
          <w:snapToGrid w:val="0"/>
          <w:sz w:val="18"/>
          <w:szCs w:val="22"/>
        </w:rPr>
        <w:t xml:space="preserve">RIS = risankizumab; </w:t>
      </w:r>
      <w:r w:rsidRPr="00E1019E">
        <w:rPr>
          <w:rFonts w:ascii="Arial Narrow" w:hAnsi="Arial Narrow"/>
          <w:snapToGrid w:val="0"/>
          <w:sz w:val="18"/>
          <w:szCs w:val="22"/>
        </w:rPr>
        <w:t xml:space="preserve">SEC = secukinumab; UST = ustekinumab; bDMARD = </w:t>
      </w:r>
      <w:r w:rsidRPr="00E1019E">
        <w:rPr>
          <w:rFonts w:ascii="Arial Narrow" w:hAnsi="Arial Narrow"/>
          <w:snapToGrid w:val="0"/>
          <w:sz w:val="18"/>
          <w:szCs w:val="22"/>
          <w:lang w:eastAsia="en-US"/>
        </w:rPr>
        <w:t xml:space="preserve">biologic disease-modifying anti-rheumatic drug; </w:t>
      </w:r>
      <w:r w:rsidRPr="00E1019E">
        <w:rPr>
          <w:rFonts w:ascii="Arial Narrow" w:hAnsi="Arial Narrow"/>
          <w:snapToGrid w:val="0"/>
          <w:sz w:val="18"/>
          <w:szCs w:val="22"/>
        </w:rPr>
        <w:t xml:space="preserve">CPP = chronic plaque psoriasis; DLQI = Dermatology Life Quality Index; NMA = network meta=analysis; </w:t>
      </w:r>
      <w:r w:rsidRPr="00E1019E">
        <w:rPr>
          <w:rFonts w:ascii="Arial Narrow" w:hAnsi="Arial Narrow"/>
          <w:snapToGrid w:val="0"/>
          <w:sz w:val="18"/>
          <w:szCs w:val="18"/>
        </w:rPr>
        <w:t>PASI=psoriasis area and severity index</w:t>
      </w:r>
      <w:r w:rsidRPr="00E1019E">
        <w:rPr>
          <w:rFonts w:ascii="Arial Narrow" w:hAnsi="Arial Narrow"/>
          <w:snapToGrid w:val="0"/>
          <w:sz w:val="18"/>
          <w:szCs w:val="22"/>
        </w:rPr>
        <w:t>.</w:t>
      </w:r>
    </w:p>
    <w:p w14:paraId="2A1B4C3C" w14:textId="27E614E3" w:rsidR="003006D7" w:rsidRPr="007A659F" w:rsidRDefault="003006D7" w:rsidP="007A659F">
      <w:pPr>
        <w:spacing w:after="120"/>
        <w:contextualSpacing/>
        <w:rPr>
          <w:rFonts w:ascii="Arial Narrow" w:hAnsi="Arial Narrow"/>
          <w:snapToGrid w:val="0"/>
          <w:sz w:val="18"/>
          <w:szCs w:val="22"/>
        </w:rPr>
      </w:pPr>
      <w:r w:rsidRPr="00D02DC5">
        <w:rPr>
          <w:iCs/>
          <w:szCs w:val="18"/>
          <w:vertAlign w:val="superscript"/>
        </w:rPr>
        <w:t>a</w:t>
      </w:r>
      <w:r w:rsidRPr="00D02DC5">
        <w:rPr>
          <w:iCs/>
          <w:szCs w:val="18"/>
        </w:rPr>
        <w:tab/>
        <w:t xml:space="preserve"> </w:t>
      </w:r>
      <w:r w:rsidRPr="00A94A5E">
        <w:rPr>
          <w:rFonts w:ascii="Arial Narrow" w:hAnsi="Arial Narrow"/>
          <w:iCs/>
          <w:sz w:val="20"/>
          <w:szCs w:val="20"/>
        </w:rPr>
        <w:t xml:space="preserve">In the base case assuming a </w:t>
      </w:r>
      <w:r>
        <w:rPr>
          <w:rFonts w:ascii="Arial Narrow" w:hAnsi="Arial Narrow"/>
          <w:iCs/>
          <w:sz w:val="20"/>
          <w:szCs w:val="20"/>
        </w:rPr>
        <w:t>user-defined order of treatment</w:t>
      </w:r>
      <w:r w:rsidRPr="00A94A5E">
        <w:rPr>
          <w:rFonts w:ascii="Arial Narrow" w:hAnsi="Arial Narrow"/>
          <w:iCs/>
          <w:sz w:val="20"/>
          <w:szCs w:val="20"/>
        </w:rPr>
        <w:t>, only the prices of RIS, UST, SEC and ADA were used.</w:t>
      </w:r>
    </w:p>
    <w:p w14:paraId="60AB745B" w14:textId="66A86939" w:rsidR="0031682F" w:rsidRPr="00BC57A9" w:rsidRDefault="00472A53" w:rsidP="00472A53">
      <w:pPr>
        <w:pStyle w:val="3-BodyText"/>
      </w:pPr>
      <w:r w:rsidRPr="00472A53">
        <w:rPr>
          <w:rFonts w:cs="Times New Roman"/>
          <w:lang w:eastAsia="en-US"/>
        </w:rPr>
        <w:fldChar w:fldCharType="begin"/>
      </w:r>
      <w:r w:rsidRPr="00472A53">
        <w:rPr>
          <w:rFonts w:cs="Times New Roman"/>
          <w:lang w:eastAsia="en-US"/>
        </w:rPr>
        <w:instrText xml:space="preserve"> REF _Ref123815599 \h  \* MERGEFORMAT </w:instrText>
      </w:r>
      <w:r w:rsidRPr="00472A53">
        <w:rPr>
          <w:rFonts w:cs="Times New Roman"/>
          <w:lang w:eastAsia="en-US"/>
        </w:rPr>
      </w:r>
      <w:r w:rsidRPr="00472A53">
        <w:rPr>
          <w:rFonts w:cs="Times New Roman"/>
          <w:lang w:eastAsia="en-US"/>
        </w:rPr>
        <w:fldChar w:fldCharType="separate"/>
      </w:r>
      <w:r w:rsidR="003F1ED3" w:rsidRPr="003F1ED3">
        <w:t xml:space="preserve">Table </w:t>
      </w:r>
      <w:r w:rsidR="003F1ED3" w:rsidRPr="003F1ED3">
        <w:rPr>
          <w:noProof/>
        </w:rPr>
        <w:t>7</w:t>
      </w:r>
      <w:r w:rsidRPr="00472A53">
        <w:rPr>
          <w:rFonts w:cs="Times New Roman"/>
          <w:lang w:eastAsia="en-US"/>
        </w:rPr>
        <w:fldChar w:fldCharType="end"/>
      </w:r>
      <w:r w:rsidR="00E618E7" w:rsidRPr="00472A53">
        <w:rPr>
          <w:rFonts w:cs="Times New Roman"/>
          <w:lang w:eastAsia="en-US"/>
        </w:rPr>
        <w:t xml:space="preserve"> </w:t>
      </w:r>
      <w:r w:rsidR="00E618E7" w:rsidRPr="00E618E7">
        <w:rPr>
          <w:lang w:eastAsia="en-GB"/>
        </w:rPr>
        <w:t>presents</w:t>
      </w:r>
      <w:r w:rsidR="00E618E7" w:rsidRPr="00E618E7">
        <w:rPr>
          <w:rFonts w:cs="Times New Roman"/>
          <w:lang w:eastAsia="en-US"/>
        </w:rPr>
        <w:t xml:space="preserve"> the resu</w:t>
      </w:r>
      <w:r w:rsidR="00E618E7">
        <w:rPr>
          <w:rFonts w:cs="Times New Roman"/>
          <w:lang w:eastAsia="en-US"/>
        </w:rPr>
        <w:t xml:space="preserve">lts of the economic </w:t>
      </w:r>
      <w:r w:rsidR="00E618E7" w:rsidRPr="00BC57A9">
        <w:t>evaluation</w:t>
      </w:r>
      <w:r w:rsidR="00E618E7">
        <w:t xml:space="preserve"> and the incremental impact of changing each parameter on the estimated base case (and re-specified base case) in the March 2022 submission.</w:t>
      </w:r>
    </w:p>
    <w:p w14:paraId="2C9BB98D" w14:textId="0B439234" w:rsidR="0031682F" w:rsidRPr="00433DC2" w:rsidRDefault="00472A53" w:rsidP="007B17AB">
      <w:pPr>
        <w:pStyle w:val="TableFigureHeading"/>
        <w:keepLines/>
        <w:rPr>
          <w:rStyle w:val="CommentReference"/>
          <w:szCs w:val="24"/>
        </w:rPr>
      </w:pPr>
      <w:bookmarkStart w:id="44" w:name="_Ref123815599"/>
      <w:r w:rsidRPr="00472A53">
        <w:rPr>
          <w:szCs w:val="20"/>
        </w:rPr>
        <w:lastRenderedPageBreak/>
        <w:t xml:space="preserve">Table </w:t>
      </w:r>
      <w:r w:rsidRPr="00472A53">
        <w:rPr>
          <w:szCs w:val="20"/>
        </w:rPr>
        <w:fldChar w:fldCharType="begin"/>
      </w:r>
      <w:r w:rsidRPr="00472A53">
        <w:rPr>
          <w:szCs w:val="20"/>
        </w:rPr>
        <w:instrText xml:space="preserve"> SEQ Table \* ARABIC </w:instrText>
      </w:r>
      <w:r w:rsidRPr="00472A53">
        <w:rPr>
          <w:szCs w:val="20"/>
        </w:rPr>
        <w:fldChar w:fldCharType="separate"/>
      </w:r>
      <w:r w:rsidR="003F1ED3">
        <w:rPr>
          <w:noProof/>
          <w:szCs w:val="20"/>
        </w:rPr>
        <w:t>7</w:t>
      </w:r>
      <w:r w:rsidRPr="00472A53">
        <w:rPr>
          <w:noProof/>
          <w:szCs w:val="20"/>
        </w:rPr>
        <w:fldChar w:fldCharType="end"/>
      </w:r>
      <w:bookmarkEnd w:id="44"/>
      <w:r w:rsidR="0031682F" w:rsidRPr="006B5D21">
        <w:rPr>
          <w:rStyle w:val="CommentReference"/>
          <w:b/>
          <w:bCs w:val="0"/>
          <w:szCs w:val="24"/>
        </w:rPr>
        <w:t xml:space="preserve">: </w:t>
      </w:r>
      <w:r w:rsidR="0031682F" w:rsidRPr="00433DC2">
        <w:rPr>
          <w:rStyle w:val="CommentReference"/>
          <w:b/>
          <w:bCs w:val="0"/>
          <w:szCs w:val="24"/>
        </w:rPr>
        <w:t xml:space="preserve">Results of the stepped economic evaluation </w:t>
      </w:r>
      <w:r w:rsidR="00055304">
        <w:rPr>
          <w:rFonts w:eastAsia="Calibri"/>
          <w:iCs/>
          <w:szCs w:val="18"/>
          <w:lang w:eastAsia="en-US"/>
        </w:rPr>
        <w:t xml:space="preserve">showing model changes (current </w:t>
      </w:r>
      <w:r w:rsidR="0031682F" w:rsidRPr="00433DC2">
        <w:rPr>
          <w:rFonts w:eastAsia="Calibri"/>
          <w:iCs/>
          <w:szCs w:val="18"/>
          <w:lang w:eastAsia="en-US"/>
        </w:rPr>
        <w:t xml:space="preserve">submission versus </w:t>
      </w:r>
      <w:r w:rsidR="0031682F" w:rsidRPr="00433DC2">
        <w:rPr>
          <w:rFonts w:eastAsia="Calibri"/>
          <w:iCs/>
          <w:szCs w:val="18"/>
        </w:rPr>
        <w:t>March 2022 submission</w:t>
      </w:r>
      <w:r w:rsidR="0031682F" w:rsidRPr="00433DC2">
        <w:rPr>
          <w:rFonts w:eastAsia="Calibri"/>
          <w:iCs/>
          <w:szCs w:val="18"/>
          <w:lang w:eastAsia="en-US"/>
        </w:rPr>
        <w:t>) and the effect of each amendment on the ICER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31682F" w:rsidRPr="005E6CBC" w14:paraId="1DE5A216" w14:textId="77777777" w:rsidTr="00D20BFF">
        <w:trPr>
          <w:tblHeader/>
        </w:trPr>
        <w:tc>
          <w:tcPr>
            <w:tcW w:w="1529" w:type="pct"/>
            <w:vAlign w:val="center"/>
          </w:tcPr>
          <w:p w14:paraId="6D2A1EAD" w14:textId="77777777" w:rsidR="0031682F" w:rsidRPr="005E6CBC" w:rsidRDefault="0031682F" w:rsidP="007B17AB">
            <w:pPr>
              <w:pStyle w:val="In-tableHeading"/>
              <w:keepLines/>
            </w:pPr>
            <w:r w:rsidRPr="005E6CBC">
              <w:t>Step and component</w:t>
            </w:r>
          </w:p>
        </w:tc>
        <w:tc>
          <w:tcPr>
            <w:tcW w:w="1359" w:type="pct"/>
            <w:vAlign w:val="center"/>
          </w:tcPr>
          <w:p w14:paraId="03E7C57E" w14:textId="77777777" w:rsidR="0031682F" w:rsidRPr="005E6CBC" w:rsidRDefault="0031682F" w:rsidP="007B17AB">
            <w:pPr>
              <w:pStyle w:val="In-tableHeading"/>
              <w:keepLines/>
              <w:jc w:val="center"/>
            </w:pPr>
            <w:r>
              <w:t>With BKZ</w:t>
            </w:r>
          </w:p>
        </w:tc>
        <w:tc>
          <w:tcPr>
            <w:tcW w:w="1274" w:type="pct"/>
            <w:vAlign w:val="center"/>
          </w:tcPr>
          <w:p w14:paraId="6D9022F3" w14:textId="77777777" w:rsidR="0031682F" w:rsidRPr="005E6CBC" w:rsidRDefault="0031682F" w:rsidP="007B17AB">
            <w:pPr>
              <w:pStyle w:val="In-tableHeading"/>
              <w:keepLines/>
              <w:jc w:val="center"/>
            </w:pPr>
            <w:r>
              <w:t>Without BKZ</w:t>
            </w:r>
          </w:p>
        </w:tc>
        <w:tc>
          <w:tcPr>
            <w:tcW w:w="838" w:type="pct"/>
            <w:vAlign w:val="center"/>
          </w:tcPr>
          <w:p w14:paraId="4D99BC9D" w14:textId="77777777" w:rsidR="0031682F" w:rsidRPr="005E6CBC" w:rsidRDefault="0031682F" w:rsidP="007B17AB">
            <w:pPr>
              <w:pStyle w:val="In-tableHeading"/>
              <w:keepLines/>
              <w:jc w:val="center"/>
            </w:pPr>
            <w:r w:rsidRPr="005E6CBC">
              <w:t>Increment</w:t>
            </w:r>
          </w:p>
        </w:tc>
      </w:tr>
      <w:tr w:rsidR="0031682F" w:rsidRPr="003D5C02" w14:paraId="334F187F" w14:textId="77777777" w:rsidTr="00D20BFF">
        <w:tc>
          <w:tcPr>
            <w:tcW w:w="5000" w:type="pct"/>
            <w:gridSpan w:val="4"/>
            <w:shd w:val="clear" w:color="auto" w:fill="C6D9F1" w:themeFill="text2" w:themeFillTint="33"/>
            <w:vAlign w:val="center"/>
          </w:tcPr>
          <w:p w14:paraId="0D87F1AC" w14:textId="77777777" w:rsidR="0031682F" w:rsidRPr="00301459" w:rsidRDefault="0031682F" w:rsidP="007B17AB">
            <w:pPr>
              <w:pStyle w:val="TableText0"/>
              <w:keepLines/>
              <w:rPr>
                <w:b/>
                <w:bCs w:val="0"/>
              </w:rPr>
            </w:pPr>
            <w:r w:rsidRPr="00301459">
              <w:rPr>
                <w:b/>
                <w:bCs w:val="0"/>
              </w:rPr>
              <w:t>Step 1: March 2022 submission base case</w:t>
            </w:r>
          </w:p>
        </w:tc>
      </w:tr>
      <w:tr w:rsidR="0031682F" w:rsidRPr="00E2771E" w14:paraId="3395A0BF" w14:textId="77777777" w:rsidTr="00D20BFF">
        <w:tc>
          <w:tcPr>
            <w:tcW w:w="1529" w:type="pct"/>
            <w:shd w:val="clear" w:color="auto" w:fill="C6D9F1" w:themeFill="text2" w:themeFillTint="33"/>
            <w:vAlign w:val="center"/>
          </w:tcPr>
          <w:p w14:paraId="7C6B7EC6" w14:textId="77777777" w:rsidR="0031682F" w:rsidRPr="00E2771E" w:rsidRDefault="0031682F" w:rsidP="007B17AB">
            <w:pPr>
              <w:pStyle w:val="TableText0"/>
              <w:keepLines/>
              <w:rPr>
                <w:rFonts w:ascii="Times" w:hAnsi="Times"/>
              </w:rPr>
            </w:pPr>
            <w:r w:rsidRPr="00E2771E">
              <w:t>Costs</w:t>
            </w:r>
          </w:p>
        </w:tc>
        <w:tc>
          <w:tcPr>
            <w:tcW w:w="1359" w:type="pct"/>
            <w:shd w:val="clear" w:color="auto" w:fill="C6D9F1" w:themeFill="text2" w:themeFillTint="33"/>
            <w:vAlign w:val="center"/>
          </w:tcPr>
          <w:p w14:paraId="42EB6C70" w14:textId="7291D969" w:rsidR="0031682F" w:rsidRPr="005E6CBC" w:rsidRDefault="0031682F" w:rsidP="007B17AB">
            <w:pPr>
              <w:pStyle w:val="TableText0"/>
              <w:keepLines/>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5CABDDED" w14:textId="77777777" w:rsidR="0031682F" w:rsidRPr="005E6CBC" w:rsidRDefault="0031682F" w:rsidP="007B17AB">
            <w:pPr>
              <w:pStyle w:val="TableText0"/>
              <w:keepLines/>
              <w:jc w:val="center"/>
              <w:rPr>
                <w:rFonts w:ascii="Times" w:hAnsi="Times"/>
              </w:rPr>
            </w:pPr>
            <w:r w:rsidRPr="004E39DC">
              <w:t>$173,234</w:t>
            </w:r>
          </w:p>
        </w:tc>
        <w:tc>
          <w:tcPr>
            <w:tcW w:w="838" w:type="pct"/>
            <w:shd w:val="clear" w:color="auto" w:fill="C6D9F1" w:themeFill="text2" w:themeFillTint="33"/>
            <w:vAlign w:val="center"/>
          </w:tcPr>
          <w:p w14:paraId="486DB3C0" w14:textId="21B469FF" w:rsidR="0031682F" w:rsidRPr="005E6CBC" w:rsidRDefault="0031682F" w:rsidP="007B17AB">
            <w:pPr>
              <w:pStyle w:val="TableText0"/>
              <w:keepLines/>
              <w:jc w:val="center"/>
              <w:rPr>
                <w:rFonts w:ascii="Times" w:hAnsi="Times"/>
              </w:rPr>
            </w:pPr>
            <w:r w:rsidRPr="005E6CBC">
              <w:t>$</w:t>
            </w:r>
            <w:r w:rsidR="004E39DC" w:rsidRPr="0002685D">
              <w:rPr>
                <w:color w:val="000000"/>
                <w:spacing w:val="112"/>
                <w:shd w:val="solid" w:color="000000" w:fill="000000"/>
                <w:fitText w:val="192" w:id="-1233430257"/>
                <w14:textFill>
                  <w14:solidFill>
                    <w14:srgbClr w14:val="000000">
                      <w14:alpha w14:val="100000"/>
                    </w14:srgbClr>
                  </w14:solidFill>
                </w14:textFill>
              </w:rPr>
              <w:t>|</w:t>
            </w:r>
            <w:r w:rsidR="004E39DC" w:rsidRPr="0002685D">
              <w:rPr>
                <w:color w:val="000000"/>
                <w:shd w:val="solid" w:color="000000" w:fill="000000"/>
                <w:fitText w:val="192" w:id="-1233430257"/>
                <w14:textFill>
                  <w14:solidFill>
                    <w14:srgbClr w14:val="000000">
                      <w14:alpha w14:val="100000"/>
                    </w14:srgbClr>
                  </w14:solidFill>
                </w14:textFill>
              </w:rPr>
              <w:t>|</w:t>
            </w:r>
          </w:p>
        </w:tc>
      </w:tr>
      <w:tr w:rsidR="0031682F" w:rsidRPr="00E2771E" w14:paraId="07BD6FD7" w14:textId="77777777" w:rsidTr="00D20BFF">
        <w:tc>
          <w:tcPr>
            <w:tcW w:w="1529" w:type="pct"/>
            <w:shd w:val="clear" w:color="auto" w:fill="C6D9F1" w:themeFill="text2" w:themeFillTint="33"/>
            <w:vAlign w:val="center"/>
          </w:tcPr>
          <w:p w14:paraId="0E448A9E" w14:textId="77777777" w:rsidR="0031682F" w:rsidRPr="00E2771E" w:rsidRDefault="0031682F" w:rsidP="007B17AB">
            <w:pPr>
              <w:pStyle w:val="TableText0"/>
              <w:keepLines/>
              <w:rPr>
                <w:rFonts w:ascii="Times" w:hAnsi="Times"/>
              </w:rPr>
            </w:pPr>
            <w:r>
              <w:t>QALY</w:t>
            </w:r>
          </w:p>
        </w:tc>
        <w:tc>
          <w:tcPr>
            <w:tcW w:w="1359" w:type="pct"/>
            <w:shd w:val="clear" w:color="auto" w:fill="C6D9F1" w:themeFill="text2" w:themeFillTint="33"/>
            <w:vAlign w:val="center"/>
          </w:tcPr>
          <w:p w14:paraId="768690F5" w14:textId="77777777" w:rsidR="0031682F" w:rsidRPr="005E6CBC" w:rsidRDefault="0031682F" w:rsidP="007B17AB">
            <w:pPr>
              <w:pStyle w:val="TableText0"/>
              <w:keepLines/>
              <w:jc w:val="center"/>
              <w:rPr>
                <w:rFonts w:ascii="Times" w:hAnsi="Times"/>
              </w:rPr>
            </w:pPr>
            <w:r>
              <w:t>5.388</w:t>
            </w:r>
          </w:p>
        </w:tc>
        <w:tc>
          <w:tcPr>
            <w:tcW w:w="1274" w:type="pct"/>
            <w:shd w:val="clear" w:color="auto" w:fill="C6D9F1" w:themeFill="text2" w:themeFillTint="33"/>
            <w:vAlign w:val="center"/>
          </w:tcPr>
          <w:p w14:paraId="237404BC" w14:textId="77777777" w:rsidR="0031682F" w:rsidRPr="005E6CBC" w:rsidRDefault="0031682F" w:rsidP="007B17AB">
            <w:pPr>
              <w:pStyle w:val="TableText0"/>
              <w:keepLines/>
              <w:jc w:val="center"/>
              <w:rPr>
                <w:rFonts w:ascii="Times" w:hAnsi="Times"/>
              </w:rPr>
            </w:pPr>
            <w:r>
              <w:t>5.248</w:t>
            </w:r>
          </w:p>
        </w:tc>
        <w:tc>
          <w:tcPr>
            <w:tcW w:w="838" w:type="pct"/>
            <w:shd w:val="clear" w:color="auto" w:fill="C6D9F1" w:themeFill="text2" w:themeFillTint="33"/>
            <w:vAlign w:val="center"/>
          </w:tcPr>
          <w:p w14:paraId="34E67258" w14:textId="77777777" w:rsidR="0031682F" w:rsidRPr="005E6CBC" w:rsidRDefault="0031682F" w:rsidP="007B17AB">
            <w:pPr>
              <w:pStyle w:val="TableText0"/>
              <w:keepLines/>
              <w:jc w:val="center"/>
            </w:pPr>
            <w:r>
              <w:t>0.140</w:t>
            </w:r>
          </w:p>
        </w:tc>
      </w:tr>
      <w:tr w:rsidR="0031682F" w:rsidRPr="00E2771E" w14:paraId="782A9BE5" w14:textId="77777777" w:rsidTr="00D20BFF">
        <w:tc>
          <w:tcPr>
            <w:tcW w:w="4162" w:type="pct"/>
            <w:gridSpan w:val="3"/>
            <w:shd w:val="clear" w:color="auto" w:fill="C6D9F1" w:themeFill="text2" w:themeFillTint="33"/>
            <w:vAlign w:val="center"/>
          </w:tcPr>
          <w:p w14:paraId="097844BB" w14:textId="77777777" w:rsidR="0031682F" w:rsidRPr="005E6CBC" w:rsidRDefault="0031682F" w:rsidP="007B17AB">
            <w:pPr>
              <w:pStyle w:val="TableText0"/>
              <w:keepLines/>
              <w:rPr>
                <w:rFonts w:ascii="Times" w:hAnsi="Times"/>
              </w:rPr>
            </w:pPr>
            <w:r w:rsidRPr="005E6CBC">
              <w:t xml:space="preserve">Incremental cost/extra </w:t>
            </w:r>
            <w:r>
              <w:t>QALY</w:t>
            </w:r>
            <w:r w:rsidRPr="005E6CBC">
              <w:t xml:space="preserve"> gained</w:t>
            </w:r>
          </w:p>
        </w:tc>
        <w:tc>
          <w:tcPr>
            <w:tcW w:w="838" w:type="pct"/>
            <w:shd w:val="clear" w:color="auto" w:fill="C6D9F1" w:themeFill="text2" w:themeFillTint="33"/>
            <w:vAlign w:val="center"/>
          </w:tcPr>
          <w:p w14:paraId="65F16132" w14:textId="3D6A2157" w:rsidR="0031682F" w:rsidRPr="005E6CBC" w:rsidRDefault="0031682F" w:rsidP="007B17AB">
            <w:pPr>
              <w:pStyle w:val="TableText0"/>
              <w:keepLines/>
              <w:jc w:val="center"/>
              <w:rPr>
                <w:rFonts w:ascii="Times" w:hAnsi="Times"/>
              </w:rPr>
            </w:pPr>
            <w:r w:rsidRPr="005E6CBC">
              <w:t>$</w:t>
            </w:r>
            <w:r w:rsidR="004E39DC" w:rsidRPr="004E39DC">
              <w:rPr>
                <w:color w:val="000000"/>
                <w:spacing w:val="45"/>
                <w:shd w:val="solid" w:color="000000" w:fill="000000"/>
                <w:fitText w:val="219" w:id="-1233430256"/>
                <w14:textFill>
                  <w14:solidFill>
                    <w14:srgbClr w14:val="000000">
                      <w14:alpha w14:val="100000"/>
                    </w14:srgbClr>
                  </w14:solidFill>
                </w14:textFill>
              </w:rPr>
              <w:t>||</w:t>
            </w:r>
            <w:r w:rsidR="004E39DC" w:rsidRPr="004E39DC">
              <w:rPr>
                <w:color w:val="000000"/>
                <w:spacing w:val="2"/>
                <w:shd w:val="solid" w:color="000000" w:fill="000000"/>
                <w:fitText w:val="219" w:id="-1233430256"/>
                <w14:textFill>
                  <w14:solidFill>
                    <w14:srgbClr w14:val="000000">
                      <w14:alpha w14:val="100000"/>
                    </w14:srgbClr>
                  </w14:solidFill>
                </w14:textFill>
              </w:rPr>
              <w:t>|</w:t>
            </w:r>
            <w:r w:rsidR="00580259" w:rsidRPr="00580259">
              <w:rPr>
                <w:vertAlign w:val="superscript"/>
              </w:rPr>
              <w:t>1</w:t>
            </w:r>
          </w:p>
        </w:tc>
      </w:tr>
      <w:tr w:rsidR="0031682F" w:rsidRPr="003D5C02" w14:paraId="715255BF" w14:textId="77777777" w:rsidTr="00D20BFF">
        <w:tc>
          <w:tcPr>
            <w:tcW w:w="5000" w:type="pct"/>
            <w:gridSpan w:val="4"/>
            <w:shd w:val="clear" w:color="auto" w:fill="C6D9F1" w:themeFill="text2" w:themeFillTint="33"/>
            <w:vAlign w:val="center"/>
          </w:tcPr>
          <w:p w14:paraId="15AB8D24" w14:textId="77777777" w:rsidR="0031682F" w:rsidRPr="005E6CBC" w:rsidRDefault="0031682F" w:rsidP="007B17AB">
            <w:pPr>
              <w:pStyle w:val="In-tableHeading"/>
            </w:pPr>
            <w:r w:rsidRPr="005E6CBC">
              <w:t xml:space="preserve">Step 2: </w:t>
            </w:r>
            <w:r>
              <w:t>March 2022 submission corrected base case</w:t>
            </w:r>
            <w:r w:rsidRPr="002F0152">
              <w:rPr>
                <w:vertAlign w:val="superscript"/>
              </w:rPr>
              <w:t>a</w:t>
            </w:r>
          </w:p>
        </w:tc>
      </w:tr>
      <w:tr w:rsidR="0031682F" w:rsidRPr="00E2771E" w14:paraId="02376AAD" w14:textId="77777777" w:rsidTr="00D20BFF">
        <w:tc>
          <w:tcPr>
            <w:tcW w:w="1529" w:type="pct"/>
            <w:shd w:val="clear" w:color="auto" w:fill="C6D9F1" w:themeFill="text2" w:themeFillTint="33"/>
            <w:vAlign w:val="center"/>
          </w:tcPr>
          <w:p w14:paraId="7EB07F03"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54059564" w14:textId="573B7292"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5410E8B" w14:textId="77777777" w:rsidR="0031682F" w:rsidRPr="005E6CBC" w:rsidRDefault="0031682F" w:rsidP="007B17AB">
            <w:pPr>
              <w:pStyle w:val="TableText0"/>
              <w:jc w:val="center"/>
              <w:rPr>
                <w:rFonts w:ascii="Times" w:hAnsi="Times"/>
              </w:rPr>
            </w:pPr>
            <w:r w:rsidRPr="004E39DC">
              <w:t>$150,708</w:t>
            </w:r>
          </w:p>
        </w:tc>
        <w:tc>
          <w:tcPr>
            <w:tcW w:w="838" w:type="pct"/>
            <w:shd w:val="clear" w:color="auto" w:fill="C6D9F1" w:themeFill="text2" w:themeFillTint="33"/>
            <w:vAlign w:val="center"/>
          </w:tcPr>
          <w:p w14:paraId="5BD7D5F1" w14:textId="70F20BC4"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72"/>
                <w14:textFill>
                  <w14:solidFill>
                    <w14:srgbClr w14:val="000000">
                      <w14:alpha w14:val="100000"/>
                    </w14:srgbClr>
                  </w14:solidFill>
                </w14:textFill>
              </w:rPr>
              <w:t>|</w:t>
            </w:r>
            <w:r w:rsidR="004E39DC" w:rsidRPr="0002685D">
              <w:rPr>
                <w:color w:val="000000"/>
                <w:shd w:val="solid" w:color="000000" w:fill="000000"/>
                <w:fitText w:val="192" w:id="-1233430272"/>
                <w14:textFill>
                  <w14:solidFill>
                    <w14:srgbClr w14:val="000000">
                      <w14:alpha w14:val="100000"/>
                    </w14:srgbClr>
                  </w14:solidFill>
                </w14:textFill>
              </w:rPr>
              <w:t>|</w:t>
            </w:r>
          </w:p>
        </w:tc>
      </w:tr>
      <w:tr w:rsidR="0031682F" w:rsidRPr="00E2771E" w14:paraId="4765DB0F" w14:textId="77777777" w:rsidTr="00D20BFF">
        <w:tc>
          <w:tcPr>
            <w:tcW w:w="1529" w:type="pct"/>
            <w:shd w:val="clear" w:color="auto" w:fill="C6D9F1" w:themeFill="text2" w:themeFillTint="33"/>
            <w:vAlign w:val="center"/>
          </w:tcPr>
          <w:p w14:paraId="23042672" w14:textId="77777777" w:rsidR="0031682F" w:rsidRPr="00E2771E" w:rsidRDefault="0031682F" w:rsidP="007B17AB">
            <w:pPr>
              <w:pStyle w:val="TableText0"/>
              <w:rPr>
                <w:rFonts w:ascii="Times" w:hAnsi="Times"/>
              </w:rPr>
            </w:pPr>
            <w:r>
              <w:t>QALY</w:t>
            </w:r>
          </w:p>
        </w:tc>
        <w:tc>
          <w:tcPr>
            <w:tcW w:w="1359" w:type="pct"/>
            <w:shd w:val="clear" w:color="auto" w:fill="C6D9F1" w:themeFill="text2" w:themeFillTint="33"/>
            <w:vAlign w:val="center"/>
          </w:tcPr>
          <w:p w14:paraId="7143B4B6" w14:textId="77777777" w:rsidR="0031682F" w:rsidRPr="005E6CBC" w:rsidRDefault="0031682F" w:rsidP="007B17AB">
            <w:pPr>
              <w:pStyle w:val="TableText0"/>
              <w:jc w:val="center"/>
              <w:rPr>
                <w:rFonts w:ascii="Times" w:hAnsi="Times"/>
              </w:rPr>
            </w:pPr>
            <w:r>
              <w:t>5.388</w:t>
            </w:r>
          </w:p>
        </w:tc>
        <w:tc>
          <w:tcPr>
            <w:tcW w:w="1274" w:type="pct"/>
            <w:shd w:val="clear" w:color="auto" w:fill="C6D9F1" w:themeFill="text2" w:themeFillTint="33"/>
            <w:vAlign w:val="center"/>
          </w:tcPr>
          <w:p w14:paraId="4D789E08" w14:textId="77777777" w:rsidR="0031682F" w:rsidRPr="005E6CBC" w:rsidRDefault="0031682F" w:rsidP="007B17AB">
            <w:pPr>
              <w:pStyle w:val="TableText0"/>
              <w:jc w:val="center"/>
              <w:rPr>
                <w:rFonts w:ascii="Times" w:hAnsi="Times"/>
              </w:rPr>
            </w:pPr>
            <w:r>
              <w:t>5.248</w:t>
            </w:r>
          </w:p>
        </w:tc>
        <w:tc>
          <w:tcPr>
            <w:tcW w:w="838" w:type="pct"/>
            <w:shd w:val="clear" w:color="auto" w:fill="C6D9F1" w:themeFill="text2" w:themeFillTint="33"/>
            <w:vAlign w:val="center"/>
          </w:tcPr>
          <w:p w14:paraId="275372BF" w14:textId="77777777" w:rsidR="0031682F" w:rsidRPr="005E6CBC" w:rsidRDefault="0031682F" w:rsidP="007B17AB">
            <w:pPr>
              <w:pStyle w:val="TableText0"/>
              <w:jc w:val="center"/>
            </w:pPr>
            <w:r>
              <w:t>0.140</w:t>
            </w:r>
          </w:p>
        </w:tc>
      </w:tr>
      <w:tr w:rsidR="0031682F" w:rsidRPr="00EE64D8" w14:paraId="6DFFD5A1" w14:textId="77777777" w:rsidTr="00D20BFF">
        <w:tc>
          <w:tcPr>
            <w:tcW w:w="4162" w:type="pct"/>
            <w:gridSpan w:val="3"/>
            <w:shd w:val="clear" w:color="auto" w:fill="C6D9F1" w:themeFill="text2" w:themeFillTint="33"/>
            <w:vAlign w:val="center"/>
          </w:tcPr>
          <w:p w14:paraId="2991A7D7" w14:textId="77777777" w:rsidR="0031682F" w:rsidRPr="005E6CBC" w:rsidRDefault="0031682F" w:rsidP="007B17AB">
            <w:pPr>
              <w:pStyle w:val="TableText0"/>
              <w:rPr>
                <w:rFonts w:ascii="Times" w:hAnsi="Times"/>
              </w:rPr>
            </w:pPr>
            <w:r w:rsidRPr="005E6CBC">
              <w:t xml:space="preserve">Incremental cost/extra </w:t>
            </w:r>
            <w:r>
              <w:t>QALY</w:t>
            </w:r>
            <w:r w:rsidRPr="005E6CBC">
              <w:t xml:space="preserve"> gained</w:t>
            </w:r>
            <w:r>
              <w:t xml:space="preserve"> (corrected base case)</w:t>
            </w:r>
          </w:p>
        </w:tc>
        <w:tc>
          <w:tcPr>
            <w:tcW w:w="838" w:type="pct"/>
            <w:shd w:val="clear" w:color="auto" w:fill="C6D9F1" w:themeFill="text2" w:themeFillTint="33"/>
            <w:vAlign w:val="center"/>
          </w:tcPr>
          <w:p w14:paraId="53E0B154" w14:textId="208506EA"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71"/>
                <w14:textFill>
                  <w14:solidFill>
                    <w14:srgbClr w14:val="000000">
                      <w14:alpha w14:val="100000"/>
                    </w14:srgbClr>
                  </w14:solidFill>
                </w14:textFill>
              </w:rPr>
              <w:t>||</w:t>
            </w:r>
            <w:r w:rsidR="004E39DC" w:rsidRPr="004E39DC">
              <w:rPr>
                <w:color w:val="000000"/>
                <w:spacing w:val="2"/>
                <w:shd w:val="solid" w:color="000000" w:fill="000000"/>
                <w:fitText w:val="219" w:id="-1233430271"/>
                <w14:textFill>
                  <w14:solidFill>
                    <w14:srgbClr w14:val="000000">
                      <w14:alpha w14:val="100000"/>
                    </w14:srgbClr>
                  </w14:solidFill>
                </w14:textFill>
              </w:rPr>
              <w:t>|</w:t>
            </w:r>
            <w:r w:rsidR="00CC3E15">
              <w:rPr>
                <w:vertAlign w:val="superscript"/>
              </w:rPr>
              <w:t>2</w:t>
            </w:r>
          </w:p>
        </w:tc>
      </w:tr>
      <w:tr w:rsidR="0031682F" w:rsidRPr="00EE64D8" w14:paraId="216F6D0D" w14:textId="77777777" w:rsidTr="00D20BFF">
        <w:tc>
          <w:tcPr>
            <w:tcW w:w="5000" w:type="pct"/>
            <w:gridSpan w:val="4"/>
            <w:shd w:val="clear" w:color="auto" w:fill="C6D9F1" w:themeFill="text2" w:themeFillTint="33"/>
            <w:vAlign w:val="center"/>
          </w:tcPr>
          <w:p w14:paraId="0AB373D5" w14:textId="77777777" w:rsidR="0031682F" w:rsidRPr="005E6CBC" w:rsidRDefault="0031682F" w:rsidP="007B17AB">
            <w:pPr>
              <w:pStyle w:val="In-tableHeading"/>
            </w:pPr>
            <w:r w:rsidRPr="005E6CBC">
              <w:t xml:space="preserve">Step 3: </w:t>
            </w:r>
            <w:r>
              <w:t>PASI response rates use NMA efficacy for all bDMARDs including BKZ</w:t>
            </w:r>
          </w:p>
        </w:tc>
      </w:tr>
      <w:tr w:rsidR="0031682F" w:rsidRPr="00E2771E" w14:paraId="1C7D2BD9" w14:textId="77777777" w:rsidTr="00D20BFF">
        <w:tc>
          <w:tcPr>
            <w:tcW w:w="1529" w:type="pct"/>
            <w:shd w:val="clear" w:color="auto" w:fill="C6D9F1" w:themeFill="text2" w:themeFillTint="33"/>
            <w:vAlign w:val="center"/>
          </w:tcPr>
          <w:p w14:paraId="4AB747D1"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744AEA53" w14:textId="57A7BE14"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90C6457" w14:textId="77777777" w:rsidR="0031682F" w:rsidRPr="005E6CBC" w:rsidRDefault="0031682F" w:rsidP="007B17AB">
            <w:pPr>
              <w:pStyle w:val="TableText0"/>
              <w:jc w:val="center"/>
              <w:rPr>
                <w:rFonts w:ascii="Times" w:hAnsi="Times"/>
              </w:rPr>
            </w:pPr>
            <w:r w:rsidRPr="004E39DC">
              <w:t>$150,743</w:t>
            </w:r>
          </w:p>
        </w:tc>
        <w:tc>
          <w:tcPr>
            <w:tcW w:w="838" w:type="pct"/>
            <w:shd w:val="clear" w:color="auto" w:fill="C6D9F1" w:themeFill="text2" w:themeFillTint="33"/>
            <w:vAlign w:val="center"/>
          </w:tcPr>
          <w:p w14:paraId="6B7256E9" w14:textId="3523778C"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70"/>
                <w14:textFill>
                  <w14:solidFill>
                    <w14:srgbClr w14:val="000000">
                      <w14:alpha w14:val="100000"/>
                    </w14:srgbClr>
                  </w14:solidFill>
                </w14:textFill>
              </w:rPr>
              <w:t>|</w:t>
            </w:r>
            <w:r w:rsidR="004E39DC" w:rsidRPr="0002685D">
              <w:rPr>
                <w:color w:val="000000"/>
                <w:shd w:val="solid" w:color="000000" w:fill="000000"/>
                <w:fitText w:val="192" w:id="-1233430270"/>
                <w14:textFill>
                  <w14:solidFill>
                    <w14:srgbClr w14:val="000000">
                      <w14:alpha w14:val="100000"/>
                    </w14:srgbClr>
                  </w14:solidFill>
                </w14:textFill>
              </w:rPr>
              <w:t>|</w:t>
            </w:r>
          </w:p>
        </w:tc>
      </w:tr>
      <w:tr w:rsidR="0031682F" w:rsidRPr="00E2771E" w14:paraId="5A536D86" w14:textId="77777777" w:rsidTr="00D20BFF">
        <w:tc>
          <w:tcPr>
            <w:tcW w:w="1529" w:type="pct"/>
            <w:shd w:val="clear" w:color="auto" w:fill="C6D9F1" w:themeFill="text2" w:themeFillTint="33"/>
            <w:vAlign w:val="center"/>
          </w:tcPr>
          <w:p w14:paraId="0907D969" w14:textId="77777777" w:rsidR="0031682F" w:rsidRPr="00E2771E" w:rsidRDefault="0031682F" w:rsidP="007B17AB">
            <w:pPr>
              <w:pStyle w:val="TableText0"/>
              <w:rPr>
                <w:rFonts w:ascii="Times" w:hAnsi="Times"/>
              </w:rPr>
            </w:pPr>
            <w:r>
              <w:t>LYG</w:t>
            </w:r>
          </w:p>
        </w:tc>
        <w:tc>
          <w:tcPr>
            <w:tcW w:w="1359" w:type="pct"/>
            <w:shd w:val="clear" w:color="auto" w:fill="C6D9F1" w:themeFill="text2" w:themeFillTint="33"/>
            <w:vAlign w:val="center"/>
          </w:tcPr>
          <w:p w14:paraId="0D2C3FC1" w14:textId="77777777" w:rsidR="0031682F" w:rsidRPr="005E6CBC" w:rsidRDefault="0031682F" w:rsidP="007B17AB">
            <w:pPr>
              <w:pStyle w:val="TableText0"/>
              <w:jc w:val="center"/>
              <w:rPr>
                <w:rFonts w:ascii="Times" w:hAnsi="Times"/>
              </w:rPr>
            </w:pPr>
            <w:r>
              <w:t>5.364</w:t>
            </w:r>
          </w:p>
        </w:tc>
        <w:tc>
          <w:tcPr>
            <w:tcW w:w="1274" w:type="pct"/>
            <w:shd w:val="clear" w:color="auto" w:fill="C6D9F1" w:themeFill="text2" w:themeFillTint="33"/>
            <w:vAlign w:val="center"/>
          </w:tcPr>
          <w:p w14:paraId="759681D6" w14:textId="77777777" w:rsidR="0031682F" w:rsidRPr="005E6CBC" w:rsidRDefault="0031682F" w:rsidP="007B17AB">
            <w:pPr>
              <w:pStyle w:val="TableText0"/>
              <w:jc w:val="center"/>
              <w:rPr>
                <w:rFonts w:ascii="Times" w:hAnsi="Times"/>
              </w:rPr>
            </w:pPr>
            <w:r>
              <w:t>5.238</w:t>
            </w:r>
          </w:p>
        </w:tc>
        <w:tc>
          <w:tcPr>
            <w:tcW w:w="838" w:type="pct"/>
            <w:shd w:val="clear" w:color="auto" w:fill="C6D9F1" w:themeFill="text2" w:themeFillTint="33"/>
            <w:vAlign w:val="center"/>
          </w:tcPr>
          <w:p w14:paraId="29FFEDD2" w14:textId="77777777" w:rsidR="0031682F" w:rsidRPr="005E6CBC" w:rsidRDefault="0031682F" w:rsidP="007B17AB">
            <w:pPr>
              <w:pStyle w:val="TableText0"/>
              <w:jc w:val="center"/>
            </w:pPr>
            <w:r>
              <w:t>0.126</w:t>
            </w:r>
          </w:p>
        </w:tc>
      </w:tr>
      <w:tr w:rsidR="0031682F" w:rsidRPr="00E2771E" w14:paraId="073D21BD" w14:textId="77777777" w:rsidTr="00D20BFF">
        <w:tc>
          <w:tcPr>
            <w:tcW w:w="4162" w:type="pct"/>
            <w:gridSpan w:val="3"/>
            <w:shd w:val="clear" w:color="auto" w:fill="C6D9F1" w:themeFill="text2" w:themeFillTint="33"/>
            <w:vAlign w:val="center"/>
          </w:tcPr>
          <w:p w14:paraId="4D9D9E85" w14:textId="77777777" w:rsidR="0031682F" w:rsidRDefault="0031682F" w:rsidP="007B17AB">
            <w:pPr>
              <w:pStyle w:val="TableText0"/>
            </w:pPr>
            <w:r w:rsidRPr="005E6CBC">
              <w:t>Incremental cost/extra LYG gained</w:t>
            </w:r>
          </w:p>
        </w:tc>
        <w:tc>
          <w:tcPr>
            <w:tcW w:w="838" w:type="pct"/>
            <w:shd w:val="clear" w:color="auto" w:fill="C6D9F1" w:themeFill="text2" w:themeFillTint="33"/>
            <w:vAlign w:val="center"/>
          </w:tcPr>
          <w:p w14:paraId="32D74349" w14:textId="76749569" w:rsidR="0031682F" w:rsidRDefault="0031682F" w:rsidP="007B17AB">
            <w:pPr>
              <w:pStyle w:val="TableText0"/>
              <w:jc w:val="center"/>
            </w:pPr>
            <w:r w:rsidRPr="005E6CBC">
              <w:t>$</w:t>
            </w:r>
            <w:r w:rsidR="004E39DC" w:rsidRPr="004E39DC">
              <w:rPr>
                <w:color w:val="000000"/>
                <w:spacing w:val="45"/>
                <w:shd w:val="solid" w:color="000000" w:fill="000000"/>
                <w:fitText w:val="219" w:id="-1233430269"/>
                <w14:textFill>
                  <w14:solidFill>
                    <w14:srgbClr w14:val="000000">
                      <w14:alpha w14:val="100000"/>
                    </w14:srgbClr>
                  </w14:solidFill>
                </w14:textFill>
              </w:rPr>
              <w:t>||</w:t>
            </w:r>
            <w:r w:rsidR="004E39DC" w:rsidRPr="004E39DC">
              <w:rPr>
                <w:color w:val="000000"/>
                <w:spacing w:val="2"/>
                <w:shd w:val="solid" w:color="000000" w:fill="000000"/>
                <w:fitText w:val="219" w:id="-1233430269"/>
                <w14:textFill>
                  <w14:solidFill>
                    <w14:srgbClr w14:val="000000">
                      <w14:alpha w14:val="100000"/>
                    </w14:srgbClr>
                  </w14:solidFill>
                </w14:textFill>
              </w:rPr>
              <w:t>|</w:t>
            </w:r>
            <w:r w:rsidR="00CC3E15">
              <w:rPr>
                <w:vertAlign w:val="superscript"/>
              </w:rPr>
              <w:t>2</w:t>
            </w:r>
          </w:p>
        </w:tc>
      </w:tr>
      <w:tr w:rsidR="0031682F" w:rsidRPr="00E2771E" w14:paraId="7D78BB8F" w14:textId="77777777" w:rsidTr="00D20BFF">
        <w:tc>
          <w:tcPr>
            <w:tcW w:w="5000" w:type="pct"/>
            <w:gridSpan w:val="4"/>
            <w:shd w:val="clear" w:color="auto" w:fill="C6D9F1" w:themeFill="text2" w:themeFillTint="33"/>
            <w:vAlign w:val="center"/>
          </w:tcPr>
          <w:p w14:paraId="4F43F772" w14:textId="77777777" w:rsidR="0031682F" w:rsidRPr="00543B5C" w:rsidRDefault="0031682F" w:rsidP="007B17AB">
            <w:pPr>
              <w:pStyle w:val="TableText0"/>
              <w:rPr>
                <w:b/>
                <w:bCs w:val="0"/>
              </w:rPr>
            </w:pPr>
            <w:r w:rsidRPr="00543B5C">
              <w:rPr>
                <w:b/>
                <w:bCs w:val="0"/>
              </w:rPr>
              <w:t>Step 4: Time to QoL benefit the same for all bDMARDs at 16 weeks</w:t>
            </w:r>
          </w:p>
        </w:tc>
      </w:tr>
      <w:tr w:rsidR="0031682F" w:rsidRPr="00E2771E" w14:paraId="33D9FEC6" w14:textId="77777777" w:rsidTr="00D20BFF">
        <w:tc>
          <w:tcPr>
            <w:tcW w:w="1529" w:type="pct"/>
            <w:shd w:val="clear" w:color="auto" w:fill="C6D9F1" w:themeFill="text2" w:themeFillTint="33"/>
            <w:vAlign w:val="center"/>
          </w:tcPr>
          <w:p w14:paraId="1BC0536A" w14:textId="77777777" w:rsidR="0031682F" w:rsidRDefault="0031682F" w:rsidP="007B17AB">
            <w:pPr>
              <w:pStyle w:val="TableText0"/>
            </w:pPr>
            <w:r w:rsidRPr="00E2771E">
              <w:t>Costs</w:t>
            </w:r>
          </w:p>
        </w:tc>
        <w:tc>
          <w:tcPr>
            <w:tcW w:w="1359" w:type="pct"/>
            <w:shd w:val="clear" w:color="auto" w:fill="C6D9F1" w:themeFill="text2" w:themeFillTint="33"/>
            <w:vAlign w:val="center"/>
          </w:tcPr>
          <w:p w14:paraId="3C4CC3BA" w14:textId="534BBCC6" w:rsidR="0031682F" w:rsidRDefault="0031682F" w:rsidP="007B17AB">
            <w:pPr>
              <w:pStyle w:val="TableText0"/>
              <w:jc w:val="cente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67FD9594" w14:textId="77777777" w:rsidR="0031682F" w:rsidRDefault="0031682F" w:rsidP="007B17AB">
            <w:pPr>
              <w:pStyle w:val="TableText0"/>
              <w:jc w:val="center"/>
            </w:pPr>
            <w:r w:rsidRPr="004E39DC">
              <w:t>$150,546</w:t>
            </w:r>
          </w:p>
        </w:tc>
        <w:tc>
          <w:tcPr>
            <w:tcW w:w="838" w:type="pct"/>
            <w:shd w:val="clear" w:color="auto" w:fill="C6D9F1" w:themeFill="text2" w:themeFillTint="33"/>
            <w:vAlign w:val="center"/>
          </w:tcPr>
          <w:p w14:paraId="066034E6" w14:textId="5A7491B6" w:rsidR="0031682F" w:rsidRDefault="0031682F" w:rsidP="007B17AB">
            <w:pPr>
              <w:pStyle w:val="TableText0"/>
              <w:jc w:val="center"/>
            </w:pPr>
            <w:r w:rsidRPr="005E6CBC">
              <w:t>$</w:t>
            </w:r>
            <w:r w:rsidR="004E39DC" w:rsidRPr="0002685D">
              <w:rPr>
                <w:color w:val="000000"/>
                <w:spacing w:val="112"/>
                <w:shd w:val="solid" w:color="000000" w:fill="000000"/>
                <w:fitText w:val="192" w:id="-1233430268"/>
                <w14:textFill>
                  <w14:solidFill>
                    <w14:srgbClr w14:val="000000">
                      <w14:alpha w14:val="100000"/>
                    </w14:srgbClr>
                  </w14:solidFill>
                </w14:textFill>
              </w:rPr>
              <w:t>|</w:t>
            </w:r>
            <w:r w:rsidR="004E39DC" w:rsidRPr="0002685D">
              <w:rPr>
                <w:color w:val="000000"/>
                <w:shd w:val="solid" w:color="000000" w:fill="000000"/>
                <w:fitText w:val="192" w:id="-1233430268"/>
                <w14:textFill>
                  <w14:solidFill>
                    <w14:srgbClr w14:val="000000">
                      <w14:alpha w14:val="100000"/>
                    </w14:srgbClr>
                  </w14:solidFill>
                </w14:textFill>
              </w:rPr>
              <w:t>|</w:t>
            </w:r>
          </w:p>
        </w:tc>
      </w:tr>
      <w:tr w:rsidR="0031682F" w:rsidRPr="00E2771E" w14:paraId="6209E895" w14:textId="77777777" w:rsidTr="00D20BFF">
        <w:tc>
          <w:tcPr>
            <w:tcW w:w="1529" w:type="pct"/>
            <w:shd w:val="clear" w:color="auto" w:fill="C6D9F1" w:themeFill="text2" w:themeFillTint="33"/>
            <w:vAlign w:val="center"/>
          </w:tcPr>
          <w:p w14:paraId="4D0FB3A4" w14:textId="77777777" w:rsidR="0031682F" w:rsidRDefault="0031682F" w:rsidP="007B17AB">
            <w:pPr>
              <w:pStyle w:val="TableText0"/>
            </w:pPr>
            <w:r>
              <w:t>LYG</w:t>
            </w:r>
          </w:p>
        </w:tc>
        <w:tc>
          <w:tcPr>
            <w:tcW w:w="1359" w:type="pct"/>
            <w:shd w:val="clear" w:color="auto" w:fill="C6D9F1" w:themeFill="text2" w:themeFillTint="33"/>
            <w:vAlign w:val="center"/>
          </w:tcPr>
          <w:p w14:paraId="6E6B7FE1" w14:textId="77777777" w:rsidR="0031682F" w:rsidRDefault="0031682F" w:rsidP="007B17AB">
            <w:pPr>
              <w:pStyle w:val="TableText0"/>
              <w:jc w:val="center"/>
            </w:pPr>
            <w:r>
              <w:t>5.339</w:t>
            </w:r>
          </w:p>
        </w:tc>
        <w:tc>
          <w:tcPr>
            <w:tcW w:w="1274" w:type="pct"/>
            <w:shd w:val="clear" w:color="auto" w:fill="C6D9F1" w:themeFill="text2" w:themeFillTint="33"/>
            <w:vAlign w:val="center"/>
          </w:tcPr>
          <w:p w14:paraId="2D15CAC2" w14:textId="77777777" w:rsidR="0031682F" w:rsidRDefault="0031682F" w:rsidP="007B17AB">
            <w:pPr>
              <w:pStyle w:val="TableText0"/>
              <w:jc w:val="center"/>
            </w:pPr>
            <w:r>
              <w:t>5.243</w:t>
            </w:r>
          </w:p>
        </w:tc>
        <w:tc>
          <w:tcPr>
            <w:tcW w:w="838" w:type="pct"/>
            <w:shd w:val="clear" w:color="auto" w:fill="C6D9F1" w:themeFill="text2" w:themeFillTint="33"/>
            <w:vAlign w:val="center"/>
          </w:tcPr>
          <w:p w14:paraId="38103D3C" w14:textId="77777777" w:rsidR="0031682F" w:rsidRDefault="0031682F" w:rsidP="007B17AB">
            <w:pPr>
              <w:pStyle w:val="TableText0"/>
              <w:jc w:val="center"/>
            </w:pPr>
            <w:r>
              <w:t>0.097</w:t>
            </w:r>
          </w:p>
        </w:tc>
      </w:tr>
      <w:tr w:rsidR="0031682F" w:rsidRPr="00E2771E" w14:paraId="188705B3" w14:textId="77777777" w:rsidTr="00D20BFF">
        <w:tc>
          <w:tcPr>
            <w:tcW w:w="4162" w:type="pct"/>
            <w:gridSpan w:val="3"/>
            <w:shd w:val="clear" w:color="auto" w:fill="C6D9F1" w:themeFill="text2" w:themeFillTint="33"/>
            <w:vAlign w:val="center"/>
          </w:tcPr>
          <w:p w14:paraId="312C8867" w14:textId="77777777" w:rsidR="0031682F" w:rsidRPr="005E6CBC" w:rsidRDefault="0031682F" w:rsidP="007B17AB">
            <w:pPr>
              <w:pStyle w:val="TableText0"/>
              <w:rPr>
                <w:rFonts w:ascii="Times" w:hAnsi="Times"/>
              </w:rPr>
            </w:pPr>
            <w:r w:rsidRPr="005E6CBC">
              <w:t>Incremental cost/extra LYG gained</w:t>
            </w:r>
          </w:p>
        </w:tc>
        <w:tc>
          <w:tcPr>
            <w:tcW w:w="838" w:type="pct"/>
            <w:shd w:val="clear" w:color="auto" w:fill="C6D9F1" w:themeFill="text2" w:themeFillTint="33"/>
            <w:vAlign w:val="center"/>
          </w:tcPr>
          <w:p w14:paraId="14799CF4" w14:textId="4D89FA0D"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67"/>
                <w14:textFill>
                  <w14:solidFill>
                    <w14:srgbClr w14:val="000000">
                      <w14:alpha w14:val="100000"/>
                    </w14:srgbClr>
                  </w14:solidFill>
                </w14:textFill>
              </w:rPr>
              <w:t>||</w:t>
            </w:r>
            <w:r w:rsidR="004E39DC" w:rsidRPr="004E39DC">
              <w:rPr>
                <w:color w:val="000000"/>
                <w:spacing w:val="2"/>
                <w:shd w:val="solid" w:color="000000" w:fill="000000"/>
                <w:fitText w:val="219" w:id="-1233430267"/>
                <w14:textFill>
                  <w14:solidFill>
                    <w14:srgbClr w14:val="000000">
                      <w14:alpha w14:val="100000"/>
                    </w14:srgbClr>
                  </w14:solidFill>
                </w14:textFill>
              </w:rPr>
              <w:t>|</w:t>
            </w:r>
            <w:r w:rsidR="00CC3E15">
              <w:rPr>
                <w:vertAlign w:val="superscript"/>
              </w:rPr>
              <w:t>3</w:t>
            </w:r>
          </w:p>
        </w:tc>
      </w:tr>
      <w:tr w:rsidR="0031682F" w:rsidRPr="00EE64D8" w14:paraId="02A65AF2" w14:textId="77777777" w:rsidTr="00D20BFF">
        <w:tc>
          <w:tcPr>
            <w:tcW w:w="5000" w:type="pct"/>
            <w:gridSpan w:val="4"/>
            <w:shd w:val="clear" w:color="auto" w:fill="C6D9F1" w:themeFill="text2" w:themeFillTint="33"/>
            <w:vAlign w:val="center"/>
          </w:tcPr>
          <w:p w14:paraId="0EF25B54" w14:textId="77777777" w:rsidR="0031682F" w:rsidRPr="005E6CBC" w:rsidRDefault="0031682F" w:rsidP="007B17AB">
            <w:pPr>
              <w:pStyle w:val="In-tableHeading"/>
            </w:pPr>
            <w:r w:rsidRPr="005E6CBC">
              <w:t xml:space="preserve">Step </w:t>
            </w:r>
            <w:r>
              <w:t>5</w:t>
            </w:r>
            <w:r w:rsidRPr="005E6CBC">
              <w:t xml:space="preserve">: </w:t>
            </w:r>
            <w:r w:rsidRPr="00226E5D">
              <w:t>User-defined order of treatment</w:t>
            </w:r>
            <w:r>
              <w:t xml:space="preserve"> (RIS, UST, SEC, ADA)</w:t>
            </w:r>
          </w:p>
        </w:tc>
      </w:tr>
      <w:tr w:rsidR="0031682F" w:rsidRPr="00E2771E" w14:paraId="0E2EA828" w14:textId="77777777" w:rsidTr="00D20BFF">
        <w:tc>
          <w:tcPr>
            <w:tcW w:w="1529" w:type="pct"/>
            <w:shd w:val="clear" w:color="auto" w:fill="C6D9F1" w:themeFill="text2" w:themeFillTint="33"/>
            <w:vAlign w:val="center"/>
          </w:tcPr>
          <w:p w14:paraId="42FB9695"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48CCB376" w14:textId="21C80C10"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00DA4D5" w14:textId="77777777" w:rsidR="0031682F" w:rsidRPr="005E6CBC" w:rsidRDefault="0031682F" w:rsidP="007B17AB">
            <w:pPr>
              <w:pStyle w:val="TableText0"/>
              <w:jc w:val="center"/>
              <w:rPr>
                <w:rFonts w:ascii="Times" w:hAnsi="Times"/>
              </w:rPr>
            </w:pPr>
            <w:r w:rsidRPr="004E39DC">
              <w:t>$161,215</w:t>
            </w:r>
          </w:p>
        </w:tc>
        <w:tc>
          <w:tcPr>
            <w:tcW w:w="838" w:type="pct"/>
            <w:shd w:val="clear" w:color="auto" w:fill="C6D9F1" w:themeFill="text2" w:themeFillTint="33"/>
            <w:vAlign w:val="center"/>
          </w:tcPr>
          <w:p w14:paraId="56797FF4" w14:textId="6CA0B978"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6"/>
                <w14:textFill>
                  <w14:solidFill>
                    <w14:srgbClr w14:val="000000">
                      <w14:alpha w14:val="100000"/>
                    </w14:srgbClr>
                  </w14:solidFill>
                </w14:textFill>
              </w:rPr>
              <w:t>|</w:t>
            </w:r>
            <w:r w:rsidR="004E39DC" w:rsidRPr="0002685D">
              <w:rPr>
                <w:color w:val="000000"/>
                <w:shd w:val="solid" w:color="000000" w:fill="000000"/>
                <w:fitText w:val="192" w:id="-1233430266"/>
                <w14:textFill>
                  <w14:solidFill>
                    <w14:srgbClr w14:val="000000">
                      <w14:alpha w14:val="100000"/>
                    </w14:srgbClr>
                  </w14:solidFill>
                </w14:textFill>
              </w:rPr>
              <w:t>|</w:t>
            </w:r>
          </w:p>
        </w:tc>
      </w:tr>
      <w:tr w:rsidR="0031682F" w:rsidRPr="00E2771E" w14:paraId="412A4EA5" w14:textId="77777777" w:rsidTr="00D20BFF">
        <w:tc>
          <w:tcPr>
            <w:tcW w:w="1529" w:type="pct"/>
            <w:shd w:val="clear" w:color="auto" w:fill="C6D9F1" w:themeFill="text2" w:themeFillTint="33"/>
            <w:vAlign w:val="center"/>
          </w:tcPr>
          <w:p w14:paraId="2EF5CB51" w14:textId="77777777" w:rsidR="0031682F" w:rsidRPr="00E2771E" w:rsidRDefault="0031682F" w:rsidP="007B17AB">
            <w:pPr>
              <w:pStyle w:val="TableText0"/>
              <w:rPr>
                <w:rFonts w:ascii="Times" w:hAnsi="Times"/>
              </w:rPr>
            </w:pPr>
            <w:r>
              <w:t>LYG</w:t>
            </w:r>
          </w:p>
        </w:tc>
        <w:tc>
          <w:tcPr>
            <w:tcW w:w="1359" w:type="pct"/>
            <w:shd w:val="clear" w:color="auto" w:fill="C6D9F1" w:themeFill="text2" w:themeFillTint="33"/>
            <w:vAlign w:val="center"/>
          </w:tcPr>
          <w:p w14:paraId="2685B287" w14:textId="77777777" w:rsidR="0031682F" w:rsidRPr="005E6CBC" w:rsidRDefault="0031682F" w:rsidP="007B17AB">
            <w:pPr>
              <w:pStyle w:val="TableText0"/>
              <w:jc w:val="center"/>
              <w:rPr>
                <w:rFonts w:ascii="Times" w:hAnsi="Times"/>
              </w:rPr>
            </w:pPr>
            <w:r>
              <w:t>5.361</w:t>
            </w:r>
          </w:p>
        </w:tc>
        <w:tc>
          <w:tcPr>
            <w:tcW w:w="1274" w:type="pct"/>
            <w:shd w:val="clear" w:color="auto" w:fill="C6D9F1" w:themeFill="text2" w:themeFillTint="33"/>
            <w:vAlign w:val="center"/>
          </w:tcPr>
          <w:p w14:paraId="721E9F2F" w14:textId="77777777" w:rsidR="0031682F" w:rsidRPr="005E6CBC" w:rsidRDefault="0031682F" w:rsidP="007B17AB">
            <w:pPr>
              <w:pStyle w:val="TableText0"/>
              <w:jc w:val="center"/>
              <w:rPr>
                <w:rFonts w:ascii="Times" w:hAnsi="Times"/>
              </w:rPr>
            </w:pPr>
            <w:r>
              <w:t>5.298</w:t>
            </w:r>
          </w:p>
        </w:tc>
        <w:tc>
          <w:tcPr>
            <w:tcW w:w="838" w:type="pct"/>
            <w:shd w:val="clear" w:color="auto" w:fill="C6D9F1" w:themeFill="text2" w:themeFillTint="33"/>
            <w:vAlign w:val="center"/>
          </w:tcPr>
          <w:p w14:paraId="1BCDCC7B" w14:textId="77777777" w:rsidR="0031682F" w:rsidRPr="005E6CBC" w:rsidRDefault="0031682F" w:rsidP="007B17AB">
            <w:pPr>
              <w:pStyle w:val="TableText0"/>
              <w:jc w:val="center"/>
            </w:pPr>
            <w:r>
              <w:t>0.062</w:t>
            </w:r>
          </w:p>
        </w:tc>
      </w:tr>
      <w:tr w:rsidR="0031682F" w:rsidRPr="00E2771E" w14:paraId="19F06703" w14:textId="77777777" w:rsidTr="00D20BFF">
        <w:tc>
          <w:tcPr>
            <w:tcW w:w="4162" w:type="pct"/>
            <w:gridSpan w:val="3"/>
            <w:shd w:val="clear" w:color="auto" w:fill="C6D9F1" w:themeFill="text2" w:themeFillTint="33"/>
            <w:vAlign w:val="center"/>
          </w:tcPr>
          <w:p w14:paraId="0F17E01E" w14:textId="77777777" w:rsidR="0031682F" w:rsidRPr="005E6CBC" w:rsidRDefault="0031682F" w:rsidP="007B17AB">
            <w:pPr>
              <w:pStyle w:val="TableText0"/>
              <w:rPr>
                <w:rFonts w:ascii="Times" w:hAnsi="Times"/>
              </w:rPr>
            </w:pPr>
            <w:r w:rsidRPr="005E6CBC">
              <w:t>Incremental cost/extra LYG gained</w:t>
            </w:r>
          </w:p>
        </w:tc>
        <w:tc>
          <w:tcPr>
            <w:tcW w:w="838" w:type="pct"/>
            <w:shd w:val="clear" w:color="auto" w:fill="C6D9F1" w:themeFill="text2" w:themeFillTint="33"/>
            <w:vAlign w:val="center"/>
          </w:tcPr>
          <w:p w14:paraId="21FDA003" w14:textId="186287CD"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65"/>
                <w14:textFill>
                  <w14:solidFill>
                    <w14:srgbClr w14:val="000000">
                      <w14:alpha w14:val="100000"/>
                    </w14:srgbClr>
                  </w14:solidFill>
                </w14:textFill>
              </w:rPr>
              <w:t>||</w:t>
            </w:r>
            <w:r w:rsidR="004E39DC" w:rsidRPr="004E39DC">
              <w:rPr>
                <w:color w:val="000000"/>
                <w:spacing w:val="2"/>
                <w:shd w:val="solid" w:color="000000" w:fill="000000"/>
                <w:fitText w:val="219" w:id="-1233430265"/>
                <w14:textFill>
                  <w14:solidFill>
                    <w14:srgbClr w14:val="000000">
                      <w14:alpha w14:val="100000"/>
                    </w14:srgbClr>
                  </w14:solidFill>
                </w14:textFill>
              </w:rPr>
              <w:t>|</w:t>
            </w:r>
            <w:r w:rsidR="00CC3E15">
              <w:rPr>
                <w:vertAlign w:val="superscript"/>
              </w:rPr>
              <w:t>3</w:t>
            </w:r>
          </w:p>
        </w:tc>
      </w:tr>
      <w:tr w:rsidR="0031682F" w:rsidRPr="00EE64D8" w14:paraId="17DD1C62" w14:textId="77777777" w:rsidTr="00D20BFF">
        <w:tc>
          <w:tcPr>
            <w:tcW w:w="5000" w:type="pct"/>
            <w:gridSpan w:val="4"/>
            <w:shd w:val="clear" w:color="auto" w:fill="C6D9F1" w:themeFill="text2" w:themeFillTint="33"/>
            <w:vAlign w:val="center"/>
          </w:tcPr>
          <w:p w14:paraId="36ACA25A" w14:textId="77777777" w:rsidR="0031682F" w:rsidRPr="005E6CBC" w:rsidRDefault="0031682F" w:rsidP="007B17AB">
            <w:pPr>
              <w:pStyle w:val="In-tableHeading"/>
            </w:pPr>
            <w:r w:rsidRPr="005E6CBC">
              <w:t xml:space="preserve">Step </w:t>
            </w:r>
            <w:r>
              <w:t>6</w:t>
            </w:r>
            <w:r w:rsidRPr="005E6CBC">
              <w:t>:</w:t>
            </w:r>
            <w:r>
              <w:t xml:space="preserve"> </w:t>
            </w:r>
            <w:r w:rsidRPr="00226E5D">
              <w:t>BKZ trials as source for utilities</w:t>
            </w:r>
          </w:p>
        </w:tc>
      </w:tr>
      <w:tr w:rsidR="0031682F" w:rsidRPr="00E2771E" w14:paraId="17703202" w14:textId="77777777" w:rsidTr="00D20BFF">
        <w:tc>
          <w:tcPr>
            <w:tcW w:w="1529" w:type="pct"/>
            <w:shd w:val="clear" w:color="auto" w:fill="C6D9F1" w:themeFill="text2" w:themeFillTint="33"/>
            <w:vAlign w:val="center"/>
          </w:tcPr>
          <w:p w14:paraId="18968C3C"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628E88DA" w14:textId="16B6DF48"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1124EFBC" w14:textId="77777777" w:rsidR="0031682F" w:rsidRPr="005E6CBC" w:rsidRDefault="0031682F" w:rsidP="007B17AB">
            <w:pPr>
              <w:pStyle w:val="TableText0"/>
              <w:jc w:val="center"/>
              <w:rPr>
                <w:rFonts w:ascii="Times" w:hAnsi="Times"/>
              </w:rPr>
            </w:pPr>
            <w:r w:rsidRPr="004E39DC">
              <w:t>$161,215</w:t>
            </w:r>
          </w:p>
        </w:tc>
        <w:tc>
          <w:tcPr>
            <w:tcW w:w="838" w:type="pct"/>
            <w:shd w:val="clear" w:color="auto" w:fill="C6D9F1" w:themeFill="text2" w:themeFillTint="33"/>
            <w:vAlign w:val="center"/>
          </w:tcPr>
          <w:p w14:paraId="510DBF49" w14:textId="65FFF94F"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4"/>
                <w14:textFill>
                  <w14:solidFill>
                    <w14:srgbClr w14:val="000000">
                      <w14:alpha w14:val="100000"/>
                    </w14:srgbClr>
                  </w14:solidFill>
                </w14:textFill>
              </w:rPr>
              <w:t>|</w:t>
            </w:r>
            <w:r w:rsidR="004E39DC" w:rsidRPr="0002685D">
              <w:rPr>
                <w:color w:val="000000"/>
                <w:shd w:val="solid" w:color="000000" w:fill="000000"/>
                <w:fitText w:val="192" w:id="-1233430264"/>
                <w14:textFill>
                  <w14:solidFill>
                    <w14:srgbClr w14:val="000000">
                      <w14:alpha w14:val="100000"/>
                    </w14:srgbClr>
                  </w14:solidFill>
                </w14:textFill>
              </w:rPr>
              <w:t>|</w:t>
            </w:r>
          </w:p>
        </w:tc>
      </w:tr>
      <w:tr w:rsidR="0031682F" w:rsidRPr="00E2771E" w14:paraId="2AD1B774" w14:textId="77777777" w:rsidTr="00D20BFF">
        <w:tc>
          <w:tcPr>
            <w:tcW w:w="1529" w:type="pct"/>
            <w:shd w:val="clear" w:color="auto" w:fill="C6D9F1" w:themeFill="text2" w:themeFillTint="33"/>
            <w:vAlign w:val="center"/>
          </w:tcPr>
          <w:p w14:paraId="463B2C13" w14:textId="77777777" w:rsidR="0031682F" w:rsidRPr="00E2771E" w:rsidRDefault="0031682F" w:rsidP="007B17AB">
            <w:pPr>
              <w:pStyle w:val="TableText0"/>
              <w:rPr>
                <w:rFonts w:ascii="Times" w:hAnsi="Times"/>
              </w:rPr>
            </w:pPr>
            <w:r>
              <w:t>QALYs</w:t>
            </w:r>
          </w:p>
        </w:tc>
        <w:tc>
          <w:tcPr>
            <w:tcW w:w="1359" w:type="pct"/>
            <w:shd w:val="clear" w:color="auto" w:fill="C6D9F1" w:themeFill="text2" w:themeFillTint="33"/>
            <w:vAlign w:val="center"/>
          </w:tcPr>
          <w:p w14:paraId="6716BB54" w14:textId="77777777" w:rsidR="0031682F" w:rsidRPr="005E6CBC" w:rsidRDefault="0031682F" w:rsidP="007B17AB">
            <w:pPr>
              <w:pStyle w:val="TableText0"/>
              <w:jc w:val="center"/>
              <w:rPr>
                <w:rFonts w:ascii="Times" w:hAnsi="Times"/>
              </w:rPr>
            </w:pPr>
            <w:r>
              <w:t>5.491</w:t>
            </w:r>
          </w:p>
        </w:tc>
        <w:tc>
          <w:tcPr>
            <w:tcW w:w="1274" w:type="pct"/>
            <w:shd w:val="clear" w:color="auto" w:fill="C6D9F1" w:themeFill="text2" w:themeFillTint="33"/>
            <w:vAlign w:val="center"/>
          </w:tcPr>
          <w:p w14:paraId="6E1D6AF7" w14:textId="77777777" w:rsidR="0031682F" w:rsidRPr="005E6CBC" w:rsidRDefault="0031682F" w:rsidP="007B17AB">
            <w:pPr>
              <w:pStyle w:val="TableText0"/>
              <w:jc w:val="center"/>
              <w:rPr>
                <w:rFonts w:ascii="Times" w:hAnsi="Times"/>
              </w:rPr>
            </w:pPr>
            <w:r>
              <w:t>5.440</w:t>
            </w:r>
          </w:p>
        </w:tc>
        <w:tc>
          <w:tcPr>
            <w:tcW w:w="838" w:type="pct"/>
            <w:shd w:val="clear" w:color="auto" w:fill="C6D9F1" w:themeFill="text2" w:themeFillTint="33"/>
            <w:vAlign w:val="center"/>
          </w:tcPr>
          <w:p w14:paraId="799D83AF" w14:textId="77777777" w:rsidR="0031682F" w:rsidRPr="005E6CBC" w:rsidRDefault="0031682F" w:rsidP="007B17AB">
            <w:pPr>
              <w:pStyle w:val="TableText0"/>
              <w:jc w:val="center"/>
            </w:pPr>
            <w:r>
              <w:t>0.051</w:t>
            </w:r>
          </w:p>
        </w:tc>
      </w:tr>
      <w:tr w:rsidR="0031682F" w:rsidRPr="0017537B" w14:paraId="12EB4CD8" w14:textId="77777777" w:rsidTr="00D20BFF">
        <w:tc>
          <w:tcPr>
            <w:tcW w:w="4162" w:type="pct"/>
            <w:gridSpan w:val="3"/>
            <w:shd w:val="clear" w:color="auto" w:fill="C6D9F1" w:themeFill="text2" w:themeFillTint="33"/>
            <w:vAlign w:val="center"/>
          </w:tcPr>
          <w:p w14:paraId="4A779FC0" w14:textId="77777777" w:rsidR="0031682F" w:rsidRPr="000653B5" w:rsidRDefault="0031682F" w:rsidP="007B17AB">
            <w:pPr>
              <w:pStyle w:val="TableText0"/>
              <w:rPr>
                <w:rFonts w:ascii="Times" w:hAnsi="Times"/>
                <w:b/>
              </w:rPr>
            </w:pPr>
            <w:r w:rsidRPr="000653B5">
              <w:rPr>
                <w:b/>
              </w:rPr>
              <w:t>Incremental cost/extra QALY gained</w:t>
            </w:r>
            <w:r>
              <w:rPr>
                <w:b/>
              </w:rPr>
              <w:t xml:space="preserve"> (multivariate sensitivity respecified base case)</w:t>
            </w:r>
          </w:p>
        </w:tc>
        <w:tc>
          <w:tcPr>
            <w:tcW w:w="838" w:type="pct"/>
            <w:shd w:val="clear" w:color="auto" w:fill="C6D9F1" w:themeFill="text2" w:themeFillTint="33"/>
            <w:vAlign w:val="center"/>
          </w:tcPr>
          <w:p w14:paraId="6A3874F2" w14:textId="3F3D424A" w:rsidR="0031682F" w:rsidRPr="000653B5" w:rsidRDefault="0031682F" w:rsidP="007B17AB">
            <w:pPr>
              <w:pStyle w:val="TableText0"/>
              <w:jc w:val="center"/>
              <w:rPr>
                <w:rFonts w:ascii="Times" w:hAnsi="Times"/>
                <w:b/>
              </w:rPr>
            </w:pPr>
            <w:r w:rsidRPr="000653B5">
              <w:rPr>
                <w:b/>
              </w:rPr>
              <w:t>$</w:t>
            </w:r>
            <w:r w:rsidR="004E39DC" w:rsidRPr="004E39DC">
              <w:rPr>
                <w:b/>
                <w:color w:val="000000"/>
                <w:spacing w:val="199"/>
                <w:shd w:val="solid" w:color="000000" w:fill="000000"/>
                <w:fitText w:val="291" w:id="-1233430263"/>
                <w14:textFill>
                  <w14:solidFill>
                    <w14:srgbClr w14:val="000000">
                      <w14:alpha w14:val="100000"/>
                    </w14:srgbClr>
                  </w14:solidFill>
                </w14:textFill>
              </w:rPr>
              <w:t>|</w:t>
            </w:r>
            <w:r w:rsidR="004E39DC" w:rsidRPr="004E39DC">
              <w:rPr>
                <w:b/>
                <w:color w:val="000000"/>
                <w:spacing w:val="1"/>
                <w:shd w:val="solid" w:color="000000" w:fill="000000"/>
                <w:fitText w:val="291" w:id="-1233430263"/>
                <w14:textFill>
                  <w14:solidFill>
                    <w14:srgbClr w14:val="000000">
                      <w14:alpha w14:val="100000"/>
                    </w14:srgbClr>
                  </w14:solidFill>
                </w14:textFill>
              </w:rPr>
              <w:t>|</w:t>
            </w:r>
            <w:r w:rsidR="00CC3E15">
              <w:rPr>
                <w:i/>
                <w:szCs w:val="18"/>
                <w:vertAlign w:val="superscript"/>
              </w:rPr>
              <w:t>4</w:t>
            </w:r>
          </w:p>
        </w:tc>
      </w:tr>
      <w:tr w:rsidR="0031682F" w:rsidRPr="005E6CBC" w14:paraId="74CAE239" w14:textId="77777777" w:rsidTr="00D20BFF">
        <w:tc>
          <w:tcPr>
            <w:tcW w:w="5000" w:type="pct"/>
            <w:gridSpan w:val="4"/>
            <w:vAlign w:val="center"/>
          </w:tcPr>
          <w:p w14:paraId="67EFC7A5" w14:textId="77777777" w:rsidR="0031682F" w:rsidRPr="005E6CBC" w:rsidRDefault="0031682F" w:rsidP="007B17AB">
            <w:pPr>
              <w:pStyle w:val="In-tableHeading"/>
            </w:pPr>
            <w:r w:rsidRPr="005E6CBC">
              <w:t xml:space="preserve">Step </w:t>
            </w:r>
            <w:r>
              <w:t>7</w:t>
            </w:r>
            <w:r w:rsidRPr="005E6CBC">
              <w:t>:</w:t>
            </w:r>
            <w:r>
              <w:t xml:space="preserve"> Use effective prices (proposed for BKZ; estimated for other bDMARDs)</w:t>
            </w:r>
          </w:p>
        </w:tc>
      </w:tr>
      <w:tr w:rsidR="0031682F" w:rsidRPr="005E6CBC" w14:paraId="2F1719DC" w14:textId="77777777" w:rsidTr="00D20BFF">
        <w:tc>
          <w:tcPr>
            <w:tcW w:w="1529" w:type="pct"/>
            <w:vAlign w:val="center"/>
          </w:tcPr>
          <w:p w14:paraId="2655AA62" w14:textId="77777777" w:rsidR="0031682F" w:rsidRPr="00E2771E" w:rsidRDefault="0031682F" w:rsidP="007B17AB">
            <w:pPr>
              <w:pStyle w:val="TableText0"/>
              <w:rPr>
                <w:rFonts w:ascii="Times" w:hAnsi="Times"/>
              </w:rPr>
            </w:pPr>
            <w:r w:rsidRPr="00E2771E">
              <w:t>Costs</w:t>
            </w:r>
          </w:p>
        </w:tc>
        <w:tc>
          <w:tcPr>
            <w:tcW w:w="1359" w:type="pct"/>
            <w:vAlign w:val="center"/>
          </w:tcPr>
          <w:p w14:paraId="3F7626E0" w14:textId="3B265606"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vAlign w:val="center"/>
          </w:tcPr>
          <w:p w14:paraId="32BE3ED6" w14:textId="77777777" w:rsidR="0031682F" w:rsidRPr="005E6CBC" w:rsidRDefault="0031682F" w:rsidP="007B17AB">
            <w:pPr>
              <w:pStyle w:val="TableText0"/>
              <w:jc w:val="center"/>
              <w:rPr>
                <w:rFonts w:ascii="Times" w:hAnsi="Times"/>
              </w:rPr>
            </w:pPr>
            <w:r w:rsidRPr="004E39DC">
              <w:t>$95,105</w:t>
            </w:r>
          </w:p>
        </w:tc>
        <w:tc>
          <w:tcPr>
            <w:tcW w:w="838" w:type="pct"/>
            <w:vAlign w:val="center"/>
          </w:tcPr>
          <w:p w14:paraId="477D5AF4" w14:textId="13AC9235"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2"/>
                <w14:textFill>
                  <w14:solidFill>
                    <w14:srgbClr w14:val="000000">
                      <w14:alpha w14:val="100000"/>
                    </w14:srgbClr>
                  </w14:solidFill>
                </w14:textFill>
              </w:rPr>
              <w:t>|</w:t>
            </w:r>
            <w:r w:rsidR="004E39DC" w:rsidRPr="0002685D">
              <w:rPr>
                <w:color w:val="000000"/>
                <w:shd w:val="solid" w:color="000000" w:fill="000000"/>
                <w:fitText w:val="192" w:id="-1233430262"/>
                <w14:textFill>
                  <w14:solidFill>
                    <w14:srgbClr w14:val="000000">
                      <w14:alpha w14:val="100000"/>
                    </w14:srgbClr>
                  </w14:solidFill>
                </w14:textFill>
              </w:rPr>
              <w:t>|</w:t>
            </w:r>
          </w:p>
        </w:tc>
      </w:tr>
      <w:tr w:rsidR="0031682F" w:rsidRPr="005E6CBC" w14:paraId="1F4D6106" w14:textId="77777777" w:rsidTr="00D20BFF">
        <w:tc>
          <w:tcPr>
            <w:tcW w:w="1529" w:type="pct"/>
            <w:vAlign w:val="center"/>
          </w:tcPr>
          <w:p w14:paraId="2447D0E2" w14:textId="77777777" w:rsidR="0031682F" w:rsidRPr="00E2771E" w:rsidRDefault="0031682F" w:rsidP="007B17AB">
            <w:pPr>
              <w:pStyle w:val="TableText0"/>
              <w:rPr>
                <w:rFonts w:ascii="Times" w:hAnsi="Times"/>
              </w:rPr>
            </w:pPr>
            <w:r>
              <w:t>QALYs</w:t>
            </w:r>
          </w:p>
        </w:tc>
        <w:tc>
          <w:tcPr>
            <w:tcW w:w="1359" w:type="pct"/>
            <w:vAlign w:val="center"/>
          </w:tcPr>
          <w:p w14:paraId="72253E46" w14:textId="77777777" w:rsidR="0031682F" w:rsidRPr="005E6CBC" w:rsidRDefault="0031682F" w:rsidP="007B17AB">
            <w:pPr>
              <w:pStyle w:val="TableText0"/>
              <w:jc w:val="center"/>
              <w:rPr>
                <w:rFonts w:ascii="Times" w:hAnsi="Times"/>
              </w:rPr>
            </w:pPr>
            <w:r>
              <w:t>5.491</w:t>
            </w:r>
          </w:p>
        </w:tc>
        <w:tc>
          <w:tcPr>
            <w:tcW w:w="1274" w:type="pct"/>
            <w:vAlign w:val="center"/>
          </w:tcPr>
          <w:p w14:paraId="19D2EAE9" w14:textId="77777777" w:rsidR="0031682F" w:rsidRPr="005E6CBC" w:rsidRDefault="0031682F" w:rsidP="007B17AB">
            <w:pPr>
              <w:pStyle w:val="TableText0"/>
              <w:jc w:val="center"/>
              <w:rPr>
                <w:rFonts w:ascii="Times" w:hAnsi="Times"/>
              </w:rPr>
            </w:pPr>
            <w:r>
              <w:t>5.440</w:t>
            </w:r>
          </w:p>
        </w:tc>
        <w:tc>
          <w:tcPr>
            <w:tcW w:w="838" w:type="pct"/>
            <w:vAlign w:val="center"/>
          </w:tcPr>
          <w:p w14:paraId="4B8A9A47" w14:textId="77777777" w:rsidR="0031682F" w:rsidRPr="005E6CBC" w:rsidRDefault="0031682F" w:rsidP="007B17AB">
            <w:pPr>
              <w:pStyle w:val="TableText0"/>
              <w:jc w:val="center"/>
            </w:pPr>
            <w:r>
              <w:t>0.051</w:t>
            </w:r>
          </w:p>
        </w:tc>
      </w:tr>
      <w:tr w:rsidR="0031682F" w:rsidRPr="000653B5" w14:paraId="094BE261" w14:textId="77777777" w:rsidTr="00D20BFF">
        <w:tc>
          <w:tcPr>
            <w:tcW w:w="4162" w:type="pct"/>
            <w:gridSpan w:val="3"/>
            <w:vAlign w:val="center"/>
          </w:tcPr>
          <w:p w14:paraId="768FE4BD" w14:textId="77777777" w:rsidR="0031682F" w:rsidRPr="000653B5" w:rsidRDefault="0031682F" w:rsidP="007B17AB">
            <w:pPr>
              <w:pStyle w:val="TableText0"/>
              <w:rPr>
                <w:rFonts w:ascii="Times" w:hAnsi="Times"/>
                <w:b/>
              </w:rPr>
            </w:pPr>
            <w:r w:rsidRPr="000653B5">
              <w:rPr>
                <w:b/>
              </w:rPr>
              <w:t>Incremental cost/extra QALY gained</w:t>
            </w:r>
          </w:p>
        </w:tc>
        <w:tc>
          <w:tcPr>
            <w:tcW w:w="838" w:type="pct"/>
            <w:vAlign w:val="center"/>
          </w:tcPr>
          <w:p w14:paraId="09472465" w14:textId="57BC62F8" w:rsidR="0031682F" w:rsidRPr="00DB7F76" w:rsidRDefault="0031682F" w:rsidP="007B17AB">
            <w:pPr>
              <w:pStyle w:val="TableText0"/>
              <w:jc w:val="center"/>
              <w:rPr>
                <w:rFonts w:ascii="Times" w:hAnsi="Times"/>
                <w:bCs w:val="0"/>
              </w:rPr>
            </w:pPr>
            <w:r w:rsidRPr="00DB7F76">
              <w:rPr>
                <w:bCs w:val="0"/>
              </w:rPr>
              <w:t>$</w:t>
            </w:r>
            <w:r w:rsidR="004E39DC" w:rsidRPr="004E39DC">
              <w:rPr>
                <w:bCs w:val="0"/>
                <w:color w:val="000000"/>
                <w:spacing w:val="45"/>
                <w:shd w:val="solid" w:color="000000" w:fill="000000"/>
                <w:fitText w:val="219" w:id="-1233430261"/>
                <w14:textFill>
                  <w14:solidFill>
                    <w14:srgbClr w14:val="000000">
                      <w14:alpha w14:val="100000"/>
                    </w14:srgbClr>
                  </w14:solidFill>
                </w14:textFill>
              </w:rPr>
              <w:t>||</w:t>
            </w:r>
            <w:r w:rsidR="004E39DC" w:rsidRPr="004E39DC">
              <w:rPr>
                <w:bCs w:val="0"/>
                <w:color w:val="000000"/>
                <w:spacing w:val="2"/>
                <w:shd w:val="solid" w:color="000000" w:fill="000000"/>
                <w:fitText w:val="219" w:id="-1233430261"/>
                <w14:textFill>
                  <w14:solidFill>
                    <w14:srgbClr w14:val="000000">
                      <w14:alpha w14:val="100000"/>
                    </w14:srgbClr>
                  </w14:solidFill>
                </w14:textFill>
              </w:rPr>
              <w:t>|</w:t>
            </w:r>
            <w:r w:rsidR="00CC3E15">
              <w:rPr>
                <w:i/>
                <w:szCs w:val="18"/>
                <w:vertAlign w:val="superscript"/>
              </w:rPr>
              <w:t>5</w:t>
            </w:r>
          </w:p>
        </w:tc>
      </w:tr>
      <w:tr w:rsidR="0031682F" w:rsidRPr="005E6CBC" w14:paraId="6ECB2301" w14:textId="77777777" w:rsidTr="00D20BFF">
        <w:tc>
          <w:tcPr>
            <w:tcW w:w="5000" w:type="pct"/>
            <w:gridSpan w:val="4"/>
            <w:vAlign w:val="center"/>
          </w:tcPr>
          <w:p w14:paraId="3F3852BE" w14:textId="52429FA3" w:rsidR="0031682F" w:rsidRPr="005E6CBC" w:rsidRDefault="0031682F" w:rsidP="007B17AB">
            <w:pPr>
              <w:pStyle w:val="In-tableHeading"/>
            </w:pPr>
            <w:r w:rsidRPr="005E6CBC">
              <w:t xml:space="preserve">Step </w:t>
            </w:r>
            <w:r>
              <w:t>8</w:t>
            </w:r>
            <w:r w:rsidRPr="005E6CBC">
              <w:t>:</w:t>
            </w:r>
            <w:r>
              <w:t xml:space="preserve"> </w:t>
            </w:r>
            <w:r>
              <w:rPr>
                <w:rFonts w:eastAsia="Calibri"/>
                <w:iCs/>
                <w:szCs w:val="18"/>
                <w:lang w:eastAsia="en-US"/>
              </w:rPr>
              <w:t>Indexing of healthcare resource use costs incre</w:t>
            </w:r>
            <w:r w:rsidR="001F62E7">
              <w:rPr>
                <w:rFonts w:eastAsia="Calibri"/>
                <w:iCs/>
                <w:szCs w:val="18"/>
                <w:lang w:eastAsia="en-US"/>
              </w:rPr>
              <w:t xml:space="preserve">ased to 3 years (base case in current </w:t>
            </w:r>
            <w:r>
              <w:rPr>
                <w:rFonts w:eastAsia="Calibri"/>
                <w:iCs/>
                <w:szCs w:val="18"/>
                <w:lang w:eastAsia="en-US"/>
              </w:rPr>
              <w:t>submission)</w:t>
            </w:r>
          </w:p>
        </w:tc>
      </w:tr>
      <w:tr w:rsidR="0031682F" w:rsidRPr="005E6CBC" w14:paraId="0804C01A" w14:textId="77777777" w:rsidTr="00D20BFF">
        <w:tc>
          <w:tcPr>
            <w:tcW w:w="1529" w:type="pct"/>
            <w:vAlign w:val="center"/>
          </w:tcPr>
          <w:p w14:paraId="020AD15B" w14:textId="77777777" w:rsidR="0031682F" w:rsidRPr="00E2771E" w:rsidRDefault="0031682F" w:rsidP="007B17AB">
            <w:pPr>
              <w:pStyle w:val="TableText0"/>
              <w:rPr>
                <w:rFonts w:ascii="Times" w:hAnsi="Times"/>
              </w:rPr>
            </w:pPr>
            <w:r w:rsidRPr="00E2771E">
              <w:t>Costs</w:t>
            </w:r>
          </w:p>
        </w:tc>
        <w:tc>
          <w:tcPr>
            <w:tcW w:w="1359" w:type="pct"/>
            <w:vAlign w:val="center"/>
          </w:tcPr>
          <w:p w14:paraId="740E4A6D" w14:textId="34104513"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vAlign w:val="center"/>
          </w:tcPr>
          <w:p w14:paraId="634A248B" w14:textId="6EC7E416" w:rsidR="0031682F" w:rsidRPr="005E6CBC" w:rsidRDefault="0031682F" w:rsidP="007B17AB">
            <w:pPr>
              <w:pStyle w:val="TableText0"/>
              <w:jc w:val="center"/>
              <w:rPr>
                <w:rFonts w:ascii="Times" w:hAnsi="Times"/>
              </w:rPr>
            </w:pPr>
            <w:r w:rsidRPr="004E39DC">
              <w:t>$96,677</w:t>
            </w:r>
            <w:r w:rsidRPr="004E39DC">
              <w:rPr>
                <w:vertAlign w:val="superscript"/>
              </w:rPr>
              <w:t>b</w:t>
            </w:r>
          </w:p>
        </w:tc>
        <w:tc>
          <w:tcPr>
            <w:tcW w:w="838" w:type="pct"/>
            <w:vAlign w:val="center"/>
          </w:tcPr>
          <w:p w14:paraId="2E68DD76" w14:textId="3B068213" w:rsidR="0031682F" w:rsidRPr="005E6CBC" w:rsidRDefault="0031682F" w:rsidP="007B17AB">
            <w:pPr>
              <w:pStyle w:val="TableText0"/>
              <w:jc w:val="center"/>
              <w:rPr>
                <w:rFonts w:ascii="Times" w:hAnsi="Times"/>
              </w:rPr>
            </w:pPr>
            <w:r>
              <w:t>$</w:t>
            </w:r>
            <w:r w:rsidR="004E39DC" w:rsidRPr="0002685D">
              <w:rPr>
                <w:color w:val="000000"/>
                <w:spacing w:val="112"/>
                <w:shd w:val="solid" w:color="000000" w:fill="000000"/>
                <w:fitText w:val="192" w:id="-1233430260"/>
                <w14:textFill>
                  <w14:solidFill>
                    <w14:srgbClr w14:val="000000">
                      <w14:alpha w14:val="100000"/>
                    </w14:srgbClr>
                  </w14:solidFill>
                </w14:textFill>
              </w:rPr>
              <w:t>|</w:t>
            </w:r>
            <w:r w:rsidR="004E39DC" w:rsidRPr="0002685D">
              <w:rPr>
                <w:color w:val="000000"/>
                <w:shd w:val="solid" w:color="000000" w:fill="000000"/>
                <w:fitText w:val="192" w:id="-1233430260"/>
                <w14:textFill>
                  <w14:solidFill>
                    <w14:srgbClr w14:val="000000">
                      <w14:alpha w14:val="100000"/>
                    </w14:srgbClr>
                  </w14:solidFill>
                </w14:textFill>
              </w:rPr>
              <w:t>|</w:t>
            </w:r>
          </w:p>
        </w:tc>
      </w:tr>
      <w:tr w:rsidR="0031682F" w:rsidRPr="005E6CBC" w14:paraId="5BFC7A6D" w14:textId="77777777" w:rsidTr="00D20BFF">
        <w:tc>
          <w:tcPr>
            <w:tcW w:w="1529" w:type="pct"/>
            <w:vAlign w:val="center"/>
          </w:tcPr>
          <w:p w14:paraId="394A5CD1" w14:textId="77777777" w:rsidR="0031682F" w:rsidRPr="00E2771E" w:rsidRDefault="0031682F" w:rsidP="007B17AB">
            <w:pPr>
              <w:pStyle w:val="TableText0"/>
              <w:rPr>
                <w:rFonts w:ascii="Times" w:hAnsi="Times"/>
              </w:rPr>
            </w:pPr>
            <w:r>
              <w:t>QALYs</w:t>
            </w:r>
          </w:p>
        </w:tc>
        <w:tc>
          <w:tcPr>
            <w:tcW w:w="1359" w:type="pct"/>
            <w:vAlign w:val="center"/>
          </w:tcPr>
          <w:p w14:paraId="74D7A0AE" w14:textId="77777777" w:rsidR="0031682F" w:rsidRPr="005E6CBC" w:rsidRDefault="0031682F" w:rsidP="007B17AB">
            <w:pPr>
              <w:pStyle w:val="TableText0"/>
              <w:jc w:val="center"/>
              <w:rPr>
                <w:rFonts w:ascii="Times" w:hAnsi="Times"/>
              </w:rPr>
            </w:pPr>
            <w:r>
              <w:t>5.491</w:t>
            </w:r>
          </w:p>
        </w:tc>
        <w:tc>
          <w:tcPr>
            <w:tcW w:w="1274" w:type="pct"/>
            <w:vAlign w:val="center"/>
          </w:tcPr>
          <w:p w14:paraId="0F3C1C7D" w14:textId="77777777" w:rsidR="0031682F" w:rsidRPr="005E6CBC" w:rsidRDefault="0031682F" w:rsidP="007B17AB">
            <w:pPr>
              <w:pStyle w:val="TableText0"/>
              <w:jc w:val="center"/>
              <w:rPr>
                <w:rFonts w:ascii="Times" w:hAnsi="Times"/>
              </w:rPr>
            </w:pPr>
            <w:r>
              <w:t>5.440</w:t>
            </w:r>
          </w:p>
        </w:tc>
        <w:tc>
          <w:tcPr>
            <w:tcW w:w="838" w:type="pct"/>
            <w:vAlign w:val="center"/>
          </w:tcPr>
          <w:p w14:paraId="101DA2D5" w14:textId="77777777" w:rsidR="0031682F" w:rsidRPr="005E6CBC" w:rsidRDefault="0031682F" w:rsidP="007B17AB">
            <w:pPr>
              <w:pStyle w:val="TableText0"/>
              <w:jc w:val="center"/>
            </w:pPr>
            <w:r>
              <w:t>0.051</w:t>
            </w:r>
          </w:p>
        </w:tc>
      </w:tr>
      <w:tr w:rsidR="0031682F" w:rsidRPr="000653B5" w14:paraId="064A444A" w14:textId="77777777" w:rsidTr="00D20BFF">
        <w:tc>
          <w:tcPr>
            <w:tcW w:w="4162" w:type="pct"/>
            <w:gridSpan w:val="3"/>
            <w:vAlign w:val="center"/>
          </w:tcPr>
          <w:p w14:paraId="7FF19883" w14:textId="77777777" w:rsidR="0031682F" w:rsidRPr="000653B5" w:rsidRDefault="0031682F" w:rsidP="007B17AB">
            <w:pPr>
              <w:pStyle w:val="TableText0"/>
              <w:rPr>
                <w:rFonts w:ascii="Times" w:hAnsi="Times"/>
                <w:b/>
              </w:rPr>
            </w:pPr>
            <w:r w:rsidRPr="000653B5">
              <w:rPr>
                <w:b/>
              </w:rPr>
              <w:t>Incremental cost/extra QALY gained</w:t>
            </w:r>
          </w:p>
        </w:tc>
        <w:tc>
          <w:tcPr>
            <w:tcW w:w="838" w:type="pct"/>
            <w:vAlign w:val="center"/>
          </w:tcPr>
          <w:p w14:paraId="7274CF86" w14:textId="162D4059" w:rsidR="0031682F" w:rsidRPr="000653B5" w:rsidRDefault="0031682F" w:rsidP="007B17AB">
            <w:pPr>
              <w:pStyle w:val="TableText0"/>
              <w:jc w:val="center"/>
              <w:rPr>
                <w:rFonts w:ascii="Times" w:hAnsi="Times"/>
                <w:b/>
              </w:rPr>
            </w:pPr>
            <w:r>
              <w:rPr>
                <w:b/>
              </w:rPr>
              <w:t>$</w:t>
            </w:r>
            <w:r w:rsidR="004E39DC" w:rsidRPr="004E39DC">
              <w:rPr>
                <w:b/>
                <w:color w:val="000000"/>
                <w:spacing w:val="199"/>
                <w:shd w:val="solid" w:color="000000" w:fill="000000"/>
                <w:fitText w:val="291" w:id="-1233430259"/>
                <w14:textFill>
                  <w14:solidFill>
                    <w14:srgbClr w14:val="000000">
                      <w14:alpha w14:val="100000"/>
                    </w14:srgbClr>
                  </w14:solidFill>
                </w14:textFill>
              </w:rPr>
              <w:t>|</w:t>
            </w:r>
            <w:r w:rsidR="004E39DC" w:rsidRPr="004E39DC">
              <w:rPr>
                <w:b/>
                <w:color w:val="000000"/>
                <w:spacing w:val="1"/>
                <w:shd w:val="solid" w:color="000000" w:fill="000000"/>
                <w:fitText w:val="291" w:id="-1233430259"/>
                <w14:textFill>
                  <w14:solidFill>
                    <w14:srgbClr w14:val="000000">
                      <w14:alpha w14:val="100000"/>
                    </w14:srgbClr>
                  </w14:solidFill>
                </w14:textFill>
              </w:rPr>
              <w:t>|</w:t>
            </w:r>
            <w:r w:rsidR="00DD1493">
              <w:rPr>
                <w:i/>
                <w:szCs w:val="18"/>
                <w:vertAlign w:val="superscript"/>
              </w:rPr>
              <w:t>6</w:t>
            </w:r>
          </w:p>
        </w:tc>
      </w:tr>
    </w:tbl>
    <w:p w14:paraId="6A2A810E" w14:textId="77777777" w:rsidR="0031682F" w:rsidRPr="00E67E0B" w:rsidRDefault="0031682F" w:rsidP="007B17AB">
      <w:pPr>
        <w:pStyle w:val="TableFigureFooter"/>
        <w:keepNext/>
        <w:spacing w:after="0"/>
        <w:rPr>
          <w:b/>
          <w:bCs/>
          <w:szCs w:val="18"/>
        </w:rPr>
      </w:pPr>
      <w:r w:rsidRPr="00E67E0B">
        <w:rPr>
          <w:rStyle w:val="CommentReference"/>
          <w:b w:val="0"/>
          <w:bCs/>
          <w:szCs w:val="18"/>
          <w:shd w:val="clear" w:color="auto" w:fill="B8CCE4" w:themeFill="accent1" w:themeFillTint="66"/>
        </w:rPr>
        <w:t xml:space="preserve">Blue </w:t>
      </w:r>
      <w:r w:rsidRPr="00E67E0B">
        <w:rPr>
          <w:rStyle w:val="CommentReference"/>
          <w:b w:val="0"/>
          <w:bCs/>
          <w:szCs w:val="18"/>
        </w:rPr>
        <w:t xml:space="preserve">shading indicates data previously seen by the PBAC. </w:t>
      </w:r>
    </w:p>
    <w:p w14:paraId="7BA5DC6F" w14:textId="093A1CBE" w:rsidR="0031682F" w:rsidRPr="00E67E0B" w:rsidRDefault="0031682F" w:rsidP="007B17AB">
      <w:pPr>
        <w:pStyle w:val="FooterTableFigure"/>
        <w:keepNext/>
        <w:spacing w:after="0"/>
        <w:rPr>
          <w:rStyle w:val="CommentReference"/>
          <w:b w:val="0"/>
          <w:sz w:val="18"/>
          <w:szCs w:val="18"/>
        </w:rPr>
      </w:pPr>
      <w:r>
        <w:t xml:space="preserve">Source: Table 3-3, p269 </w:t>
      </w:r>
      <w:r w:rsidRPr="00D13A3E">
        <w:t xml:space="preserve">of the </w:t>
      </w:r>
      <w:r w:rsidR="00055304">
        <w:t xml:space="preserve">current </w:t>
      </w:r>
      <w:r>
        <w:t xml:space="preserve">submission. </w:t>
      </w:r>
      <w:r w:rsidRPr="00E67E0B">
        <w:rPr>
          <w:rStyle w:val="CommentReference"/>
          <w:b w:val="0"/>
          <w:i/>
          <w:iCs/>
          <w:sz w:val="18"/>
          <w:szCs w:val="18"/>
        </w:rPr>
        <w:t>Italics</w:t>
      </w:r>
      <w:r w:rsidRPr="00E67E0B">
        <w:rPr>
          <w:rStyle w:val="CommentReference"/>
          <w:b w:val="0"/>
          <w:sz w:val="18"/>
          <w:szCs w:val="18"/>
        </w:rPr>
        <w:t xml:space="preserve"> indicate results calculated during the evaluation. </w:t>
      </w:r>
    </w:p>
    <w:p w14:paraId="2506932D" w14:textId="77777777" w:rsidR="0031682F" w:rsidRDefault="0031682F" w:rsidP="007B17AB">
      <w:pPr>
        <w:pStyle w:val="TableFigureFooter"/>
        <w:keepNext/>
        <w:keepLines/>
        <w:ind w:left="170" w:hanging="170"/>
        <w:rPr>
          <w:iCs/>
        </w:rPr>
      </w:pPr>
      <w:r w:rsidRPr="00D02DC5">
        <w:rPr>
          <w:iCs/>
          <w:szCs w:val="18"/>
          <w:vertAlign w:val="superscript"/>
        </w:rPr>
        <w:t>a</w:t>
      </w:r>
      <w:r w:rsidRPr="00D02DC5">
        <w:rPr>
          <w:iCs/>
          <w:szCs w:val="18"/>
        </w:rPr>
        <w:tab/>
        <w:t xml:space="preserve"> IXE DPMQ corrected from $6,842.22 to $3,421.22</w:t>
      </w:r>
      <w:r>
        <w:rPr>
          <w:iCs/>
          <w:szCs w:val="18"/>
        </w:rPr>
        <w:t xml:space="preserve">, </w:t>
      </w:r>
      <w:r w:rsidRPr="00D02DC5">
        <w:rPr>
          <w:iCs/>
          <w:szCs w:val="18"/>
        </w:rPr>
        <w:t xml:space="preserve">ADA DPMQ corrected from </w:t>
      </w:r>
      <w:r w:rsidRPr="00D02DC5">
        <w:rPr>
          <w:iCs/>
        </w:rPr>
        <w:t>$1,770.99 to $885.50</w:t>
      </w:r>
      <w:r>
        <w:rPr>
          <w:iCs/>
        </w:rPr>
        <w:t xml:space="preserve">, </w:t>
      </w:r>
      <w:r w:rsidRPr="00D02DC5">
        <w:rPr>
          <w:iCs/>
          <w:szCs w:val="18"/>
        </w:rPr>
        <w:t xml:space="preserve">ETN DPMQ corrected from </w:t>
      </w:r>
      <w:r w:rsidRPr="00D02DC5">
        <w:rPr>
          <w:iCs/>
        </w:rPr>
        <w:t>$4,200.56 to $1,050.14.</w:t>
      </w:r>
    </w:p>
    <w:p w14:paraId="20201D59" w14:textId="34DF83F3" w:rsidR="00436716" w:rsidRPr="004E39DC" w:rsidRDefault="0031682F" w:rsidP="007B17AB">
      <w:pPr>
        <w:pStyle w:val="TableFigureFooter"/>
        <w:keepNext/>
        <w:keepLines/>
        <w:ind w:left="170" w:hanging="170"/>
        <w:rPr>
          <w:iCs/>
        </w:rPr>
      </w:pPr>
      <w:r>
        <w:rPr>
          <w:iCs/>
          <w:szCs w:val="18"/>
          <w:vertAlign w:val="superscript"/>
        </w:rPr>
        <w:t>b</w:t>
      </w:r>
      <w:r w:rsidRPr="00D02DC5">
        <w:rPr>
          <w:iCs/>
          <w:szCs w:val="18"/>
        </w:rPr>
        <w:tab/>
        <w:t xml:space="preserve"> </w:t>
      </w:r>
      <w:r w:rsidR="00436716" w:rsidRPr="0055624C">
        <w:rPr>
          <w:iCs/>
          <w:szCs w:val="18"/>
        </w:rPr>
        <w:t>A small discrepancy in costs for the comparator arm was found. When working step-wise using the March 2022 corrected base case model and adjusting for effective prices and indexing of healthcare costs</w:t>
      </w:r>
      <w:r w:rsidR="00436716" w:rsidRPr="0055624C">
        <w:rPr>
          <w:iCs/>
        </w:rPr>
        <w:t xml:space="preserve">, the costs for the comparator arm </w:t>
      </w:r>
      <w:r w:rsidR="00436716" w:rsidRPr="004E39DC">
        <w:rPr>
          <w:iCs/>
        </w:rPr>
        <w:t xml:space="preserve">was $96,685 compared to $96,677 from running the model submitted with the </w:t>
      </w:r>
      <w:r w:rsidR="004D554E" w:rsidRPr="004E39DC">
        <w:rPr>
          <w:iCs/>
        </w:rPr>
        <w:t xml:space="preserve">current </w:t>
      </w:r>
      <w:r w:rsidR="00436716" w:rsidRPr="004E39DC">
        <w:rPr>
          <w:iCs/>
        </w:rPr>
        <w:t>submission.</w:t>
      </w:r>
    </w:p>
    <w:p w14:paraId="0D2A8345" w14:textId="77777777" w:rsidR="00580259" w:rsidRDefault="00580259" w:rsidP="007B17AB">
      <w:pPr>
        <w:pStyle w:val="TableFigureFooter"/>
        <w:keepNext/>
        <w:keepLines/>
        <w:rPr>
          <w:i/>
          <w:szCs w:val="18"/>
        </w:rPr>
      </w:pPr>
      <w:r w:rsidRPr="004E39DC">
        <w:rPr>
          <w:i/>
          <w:szCs w:val="18"/>
        </w:rPr>
        <w:t>The redacted values correspond to the following ranges:</w:t>
      </w:r>
      <w:r>
        <w:rPr>
          <w:i/>
          <w:szCs w:val="18"/>
        </w:rPr>
        <w:t xml:space="preserve"> </w:t>
      </w:r>
    </w:p>
    <w:p w14:paraId="689F93DD" w14:textId="77777777" w:rsidR="00CC3E15" w:rsidRPr="00CC3E15" w:rsidRDefault="00580259" w:rsidP="007B17AB">
      <w:pPr>
        <w:pStyle w:val="TableFigureFooter"/>
        <w:keepNext/>
        <w:keepLines/>
        <w:rPr>
          <w:i/>
          <w:szCs w:val="18"/>
        </w:rPr>
      </w:pPr>
      <w:r w:rsidRPr="00CC3E15">
        <w:rPr>
          <w:i/>
          <w:szCs w:val="18"/>
          <w:vertAlign w:val="superscript"/>
        </w:rPr>
        <w:t>1</w:t>
      </w:r>
      <w:r w:rsidRPr="00CC3E15">
        <w:rPr>
          <w:i/>
          <w:szCs w:val="18"/>
        </w:rPr>
        <w:t xml:space="preserve"> </w:t>
      </w:r>
      <w:r w:rsidR="00CC3E15" w:rsidRPr="00CC3E15">
        <w:rPr>
          <w:i/>
          <w:szCs w:val="18"/>
        </w:rPr>
        <w:t xml:space="preserve">$55,000 to &lt; $75,000 </w:t>
      </w:r>
    </w:p>
    <w:p w14:paraId="32FA93C2" w14:textId="4462829A" w:rsidR="00580259" w:rsidRPr="00CC3E15" w:rsidRDefault="00CC3E15" w:rsidP="007B17AB">
      <w:pPr>
        <w:pStyle w:val="TableFigureFooter"/>
        <w:keepNext/>
        <w:keepLines/>
        <w:rPr>
          <w:i/>
          <w:szCs w:val="18"/>
        </w:rPr>
      </w:pPr>
      <w:r w:rsidRPr="00CC3E15">
        <w:rPr>
          <w:i/>
          <w:szCs w:val="18"/>
          <w:vertAlign w:val="superscript"/>
        </w:rPr>
        <w:t xml:space="preserve">2 </w:t>
      </w:r>
      <w:r w:rsidR="00580259" w:rsidRPr="00CC3E15">
        <w:rPr>
          <w:i/>
          <w:szCs w:val="18"/>
        </w:rPr>
        <w:t>$155,000 to &lt; $255,000</w:t>
      </w:r>
    </w:p>
    <w:p w14:paraId="54163D0F" w14:textId="3F7D583C" w:rsidR="00CC3E15" w:rsidRPr="00CC3E15" w:rsidRDefault="00CC3E15" w:rsidP="007B17AB">
      <w:pPr>
        <w:pStyle w:val="TableFigureFooter"/>
        <w:keepNext/>
        <w:keepLines/>
        <w:rPr>
          <w:i/>
          <w:szCs w:val="18"/>
        </w:rPr>
      </w:pPr>
      <w:r w:rsidRPr="00CC3E15">
        <w:rPr>
          <w:i/>
          <w:szCs w:val="18"/>
          <w:vertAlign w:val="superscript"/>
        </w:rPr>
        <w:t xml:space="preserve">3 </w:t>
      </w:r>
      <w:r w:rsidRPr="00CC3E15">
        <w:rPr>
          <w:i/>
          <w:szCs w:val="18"/>
        </w:rPr>
        <w:t>$255,000 to &lt; $355,000</w:t>
      </w:r>
    </w:p>
    <w:p w14:paraId="18F74C6E" w14:textId="1C07F547" w:rsidR="00CC3E15" w:rsidRPr="00CC3E15" w:rsidRDefault="00CC3E15" w:rsidP="007B17AB">
      <w:pPr>
        <w:pStyle w:val="TableFigureFooter"/>
        <w:keepNext/>
        <w:keepLines/>
        <w:rPr>
          <w:i/>
          <w:szCs w:val="18"/>
        </w:rPr>
      </w:pPr>
      <w:r w:rsidRPr="00CC3E15">
        <w:rPr>
          <w:i/>
          <w:szCs w:val="18"/>
          <w:vertAlign w:val="superscript"/>
        </w:rPr>
        <w:t xml:space="preserve">4 </w:t>
      </w:r>
      <w:r w:rsidRPr="00CC3E15">
        <w:rPr>
          <w:i/>
          <w:szCs w:val="18"/>
        </w:rPr>
        <w:t>$355,000 to &lt; $455,000</w:t>
      </w:r>
    </w:p>
    <w:p w14:paraId="1A8AB71E" w14:textId="3AE242DD" w:rsidR="00CC3E15" w:rsidRPr="00CC3E15" w:rsidRDefault="00CC3E15" w:rsidP="007B17AB">
      <w:pPr>
        <w:pStyle w:val="TableFigureFooter"/>
        <w:keepNext/>
        <w:keepLines/>
        <w:rPr>
          <w:i/>
          <w:szCs w:val="18"/>
        </w:rPr>
      </w:pPr>
      <w:r>
        <w:rPr>
          <w:i/>
          <w:szCs w:val="18"/>
          <w:vertAlign w:val="superscript"/>
        </w:rPr>
        <w:t>5</w:t>
      </w:r>
      <w:r w:rsidRPr="00CC3E15">
        <w:rPr>
          <w:i/>
          <w:szCs w:val="18"/>
          <w:vertAlign w:val="superscript"/>
        </w:rPr>
        <w:t xml:space="preserve"> </w:t>
      </w:r>
      <w:r w:rsidRPr="00CC3E15">
        <w:rPr>
          <w:i/>
          <w:szCs w:val="18"/>
        </w:rPr>
        <w:t>$45,000 to &lt; $55,000</w:t>
      </w:r>
    </w:p>
    <w:p w14:paraId="6FB81773" w14:textId="7B93487A" w:rsidR="00F51A29" w:rsidRDefault="00DD1493" w:rsidP="000D3BFF">
      <w:pPr>
        <w:pStyle w:val="3-BodyText"/>
        <w:rPr>
          <w:i/>
          <w:iCs/>
        </w:rPr>
      </w:pPr>
      <w:r>
        <w:rPr>
          <w:i/>
          <w:szCs w:val="18"/>
          <w:vertAlign w:val="superscript"/>
        </w:rPr>
        <w:t>6</w:t>
      </w:r>
      <w:r w:rsidR="00CC3E15" w:rsidRPr="00CC3E15">
        <w:rPr>
          <w:i/>
          <w:szCs w:val="18"/>
          <w:vertAlign w:val="superscript"/>
        </w:rPr>
        <w:t xml:space="preserve"> </w:t>
      </w:r>
      <w:r w:rsidRPr="00DD1493">
        <w:rPr>
          <w:i/>
          <w:szCs w:val="18"/>
        </w:rPr>
        <w:t>$35,000 to &lt; $45,000</w:t>
      </w:r>
      <w:r w:rsidR="0031682F" w:rsidRPr="0031682F">
        <w:rPr>
          <w:iCs/>
        </w:rPr>
        <w:t xml:space="preserve">The </w:t>
      </w:r>
      <w:r w:rsidR="00055304">
        <w:rPr>
          <w:iCs/>
        </w:rPr>
        <w:t xml:space="preserve">current </w:t>
      </w:r>
      <w:r w:rsidR="0031682F" w:rsidRPr="0031682F">
        <w:rPr>
          <w:iCs/>
        </w:rPr>
        <w:t xml:space="preserve">submission stated that the ESC’s respecified base case still justified a price advantage for BKZ at an acceptable ICER threshold, even though some of the updated assumptions bias against BKZ. </w:t>
      </w:r>
      <w:r w:rsidR="0031682F" w:rsidRPr="0055624C">
        <w:t xml:space="preserve">The table illustrates that use of estimated effective prices rather than published prices in the model was the main driver in reducing the respecified base case ICER from </w:t>
      </w:r>
      <w:r w:rsidR="000060F5" w:rsidRPr="000060F5">
        <w:lastRenderedPageBreak/>
        <w:t>$355,000</w:t>
      </w:r>
      <w:r w:rsidR="000060F5">
        <w:t> </w:t>
      </w:r>
      <w:r w:rsidR="000060F5" w:rsidRPr="000060F5">
        <w:t>to</w:t>
      </w:r>
      <w:r w:rsidR="000060F5">
        <w:t> </w:t>
      </w:r>
      <w:r w:rsidR="000060F5" w:rsidRPr="000060F5">
        <w:t>&lt;</w:t>
      </w:r>
      <w:r w:rsidR="000060F5">
        <w:t> </w:t>
      </w:r>
      <w:r w:rsidR="000060F5" w:rsidRPr="000060F5">
        <w:t>$455,000</w:t>
      </w:r>
      <w:r w:rsidR="0031682F" w:rsidRPr="0055624C">
        <w:t xml:space="preserve">/QALY in the March 2022 submission to </w:t>
      </w:r>
      <w:r w:rsidR="000060F5" w:rsidRPr="000060F5">
        <w:t>$35,000</w:t>
      </w:r>
      <w:r w:rsidR="000060F5">
        <w:t> </w:t>
      </w:r>
      <w:r w:rsidR="000060F5" w:rsidRPr="000060F5">
        <w:t>to</w:t>
      </w:r>
      <w:r w:rsidR="000060F5">
        <w:t> </w:t>
      </w:r>
      <w:r w:rsidR="000060F5" w:rsidRPr="000060F5">
        <w:t>&lt;</w:t>
      </w:r>
      <w:r w:rsidR="000060F5">
        <w:t> </w:t>
      </w:r>
      <w:r w:rsidR="000060F5" w:rsidRPr="000060F5">
        <w:t>$45,000</w:t>
      </w:r>
      <w:r w:rsidR="0031682F" w:rsidRPr="0055624C">
        <w:t xml:space="preserve">/QALY in the </w:t>
      </w:r>
      <w:r w:rsidR="00055304" w:rsidRPr="0055624C">
        <w:t xml:space="preserve">current </w:t>
      </w:r>
      <w:r w:rsidR="0031682F" w:rsidRPr="0055624C">
        <w:t>submission.</w:t>
      </w:r>
    </w:p>
    <w:p w14:paraId="452A8167" w14:textId="1438FF05" w:rsidR="004B0519" w:rsidRPr="004E39DC" w:rsidRDefault="000D3BFF" w:rsidP="000D3BFF">
      <w:pPr>
        <w:numPr>
          <w:ilvl w:val="1"/>
          <w:numId w:val="1"/>
        </w:numPr>
        <w:spacing w:after="160"/>
        <w:ind w:left="709" w:hanging="709"/>
        <w:rPr>
          <w:rFonts w:asciiTheme="minorHAnsi" w:hAnsiTheme="minorHAnsi"/>
          <w:snapToGrid w:val="0"/>
        </w:rPr>
      </w:pPr>
      <w:r w:rsidRPr="0055624C">
        <w:t>In the March 2022 consideration, t</w:t>
      </w:r>
      <w:r w:rsidR="00F85F85" w:rsidRPr="0055624C">
        <w:t xml:space="preserve">he ESC also noted that the assumed health care resource use and costs were highly uncertain and had noted a sensitivity analysis assuming a 50% reduction in health care resource costs (paragraph </w:t>
      </w:r>
      <w:r w:rsidR="00F73C3F" w:rsidRPr="0055624C">
        <w:t>6.78, BKZ PSD, March 2022 PBAC m</w:t>
      </w:r>
      <w:r w:rsidR="00F85F85" w:rsidRPr="0055624C">
        <w:t xml:space="preserve">eeting). The assumed health care resource use remained unchanged in the </w:t>
      </w:r>
      <w:r w:rsidR="00055304" w:rsidRPr="0055624C">
        <w:t xml:space="preserve">current </w:t>
      </w:r>
      <w:r w:rsidR="00F85F85" w:rsidRPr="0055624C">
        <w:t>submission</w:t>
      </w:r>
      <w:r w:rsidR="004C3BD1">
        <w:t>,</w:t>
      </w:r>
      <w:r w:rsidR="00F85F85" w:rsidRPr="0055624C">
        <w:t xml:space="preserve"> but the unit costs were inflated from 2021 to 2023 prices. Under the </w:t>
      </w:r>
      <w:r w:rsidR="00F85F85" w:rsidRPr="004E39DC">
        <w:t xml:space="preserve">current model specifications, a 50% reduction in health care resource costs increases the ICER by 49% from </w:t>
      </w:r>
      <w:r w:rsidR="000060F5" w:rsidRPr="004E39DC">
        <w:t>$35,000 to &lt; $45,000</w:t>
      </w:r>
      <w:r w:rsidR="00F85F85" w:rsidRPr="004E39DC">
        <w:t xml:space="preserve">/QALY to </w:t>
      </w:r>
      <w:r w:rsidR="000060F5" w:rsidRPr="004E39DC">
        <w:t xml:space="preserve">$55,000 to &lt; $75,000 </w:t>
      </w:r>
      <w:r w:rsidR="00F85F85" w:rsidRPr="004E39DC">
        <w:t>/QALY.</w:t>
      </w:r>
    </w:p>
    <w:p w14:paraId="5C5691A7" w14:textId="7A15688F" w:rsidR="004B0519" w:rsidRPr="0055624C" w:rsidRDefault="004B0519" w:rsidP="004B0519">
      <w:pPr>
        <w:pStyle w:val="3-BodyText"/>
        <w:rPr>
          <w:snapToGrid/>
          <w:lang w:val="en-US"/>
        </w:rPr>
      </w:pPr>
      <w:r w:rsidRPr="004E39DC">
        <w:fldChar w:fldCharType="begin"/>
      </w:r>
      <w:r w:rsidRPr="004E39DC">
        <w:instrText xml:space="preserve"> REF _Ref123810025 \h  \* MERGEFORMAT </w:instrText>
      </w:r>
      <w:r w:rsidRPr="004E39DC">
        <w:fldChar w:fldCharType="separate"/>
      </w:r>
      <w:r w:rsidR="003F1ED3" w:rsidRPr="0055624C">
        <w:t xml:space="preserve">Table </w:t>
      </w:r>
      <w:r w:rsidR="003F1ED3">
        <w:rPr>
          <w:noProof/>
        </w:rPr>
        <w:t>8</w:t>
      </w:r>
      <w:r w:rsidRPr="004E39DC">
        <w:fldChar w:fldCharType="end"/>
      </w:r>
      <w:r w:rsidRPr="004E39DC">
        <w:t xml:space="preserve"> summarises the drug costs over the first two years for all current PBS-listed treatments based on the estimated effective prices assumed in the economic analysis, and the corresponding AEMP for BKZ assuming a cost minimisation approach to each treatment. The calculations for the cost-minimisation approach are based on drug costs only with the exception of IFX SC and IFX IV regimens, which include administration costs for IV doses (costed using MBS item 14245, see footnotes). The analysis showed that the requested effective AEMP for BKZ in the current submission is 36% higher than ADA and 8% higher than</w:t>
      </w:r>
      <w:r w:rsidRPr="0055624C">
        <w:t xml:space="preserve"> the most costly treatments on the PBS (RIS, GUS and TIL). </w:t>
      </w:r>
    </w:p>
    <w:p w14:paraId="001E886B" w14:textId="5DFC07FB" w:rsidR="004B0519" w:rsidRPr="0055624C" w:rsidRDefault="004B0519" w:rsidP="008C582A">
      <w:pPr>
        <w:pStyle w:val="TableFigureHeading"/>
        <w:keepLines/>
        <w:rPr>
          <w:bCs w:val="0"/>
        </w:rPr>
      </w:pPr>
      <w:bookmarkStart w:id="45" w:name="_Ref123810025"/>
      <w:r w:rsidRPr="0055624C">
        <w:lastRenderedPageBreak/>
        <w:t xml:space="preserve">Table </w:t>
      </w:r>
      <w:fldSimple w:instr=" SEQ Table \* ARABIC ">
        <w:r w:rsidR="003F1ED3">
          <w:rPr>
            <w:noProof/>
          </w:rPr>
          <w:t>8</w:t>
        </w:r>
      </w:fldSimple>
      <w:bookmarkEnd w:id="45"/>
      <w:r w:rsidRPr="0055624C">
        <w:rPr>
          <w:rStyle w:val="CommentReference"/>
          <w:b/>
        </w:rPr>
        <w:t>: Two-year drug costs of BKZ versus comparators based on effective AEMPs estimated in current submission – ranked by highest to lowest total 2 year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3"/>
        <w:gridCol w:w="3324"/>
        <w:gridCol w:w="1282"/>
        <w:gridCol w:w="1284"/>
        <w:gridCol w:w="1284"/>
        <w:gridCol w:w="1280"/>
      </w:tblGrid>
      <w:tr w:rsidR="004B0519" w:rsidRPr="0055624C" w14:paraId="0CDE96F8" w14:textId="77777777" w:rsidTr="004B0519">
        <w:trPr>
          <w:trHeight w:val="469"/>
        </w:trPr>
        <w:tc>
          <w:tcPr>
            <w:tcW w:w="312" w:type="pct"/>
            <w:shd w:val="clear" w:color="auto" w:fill="auto"/>
            <w:tcMar>
              <w:left w:w="28" w:type="dxa"/>
              <w:right w:w="28" w:type="dxa"/>
            </w:tcMar>
            <w:vAlign w:val="center"/>
          </w:tcPr>
          <w:p w14:paraId="2E640EB2" w14:textId="77777777" w:rsidR="004B0519" w:rsidRPr="0055624C" w:rsidRDefault="004B0519" w:rsidP="008C582A">
            <w:pPr>
              <w:pStyle w:val="In-tableHeading"/>
              <w:keepLines/>
              <w:rPr>
                <w:bCs/>
                <w:sz w:val="18"/>
                <w:szCs w:val="18"/>
                <w:lang w:val="en-AU"/>
              </w:rPr>
            </w:pPr>
            <w:r w:rsidRPr="0055624C">
              <w:rPr>
                <w:bCs/>
                <w:sz w:val="18"/>
                <w:szCs w:val="18"/>
                <w:lang w:val="en-AU"/>
              </w:rPr>
              <w:t>Drug</w:t>
            </w:r>
          </w:p>
        </w:tc>
        <w:tc>
          <w:tcPr>
            <w:tcW w:w="1843" w:type="pct"/>
            <w:shd w:val="clear" w:color="auto" w:fill="auto"/>
            <w:tcMar>
              <w:left w:w="28" w:type="dxa"/>
              <w:right w:w="28" w:type="dxa"/>
            </w:tcMar>
            <w:vAlign w:val="center"/>
          </w:tcPr>
          <w:p w14:paraId="4F948161" w14:textId="77777777" w:rsidR="004B0519" w:rsidRPr="0055624C" w:rsidRDefault="004B0519" w:rsidP="008C582A">
            <w:pPr>
              <w:pStyle w:val="In-tableHeading"/>
              <w:keepLines/>
              <w:rPr>
                <w:bCs/>
                <w:sz w:val="18"/>
                <w:szCs w:val="18"/>
                <w:lang w:val="en-AU"/>
              </w:rPr>
            </w:pPr>
            <w:r w:rsidRPr="0055624C">
              <w:rPr>
                <w:bCs/>
                <w:sz w:val="18"/>
                <w:szCs w:val="18"/>
                <w:lang w:val="en-AU"/>
              </w:rPr>
              <w:t>Dosing Regimen</w:t>
            </w:r>
          </w:p>
        </w:tc>
        <w:tc>
          <w:tcPr>
            <w:tcW w:w="711" w:type="pct"/>
            <w:shd w:val="clear" w:color="auto" w:fill="auto"/>
            <w:vAlign w:val="center"/>
          </w:tcPr>
          <w:p w14:paraId="0F344FBE"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Effective AEMPs</w:t>
            </w:r>
          </w:p>
          <w:p w14:paraId="64E3D5E8" w14:textId="0832CBAC" w:rsidR="004B0519" w:rsidRPr="0055624C" w:rsidRDefault="0049157B" w:rsidP="008C582A">
            <w:pPr>
              <w:pStyle w:val="In-tableHeading"/>
              <w:keepLines/>
              <w:jc w:val="center"/>
              <w:rPr>
                <w:bCs/>
                <w:sz w:val="18"/>
                <w:szCs w:val="18"/>
                <w:lang w:val="en-AU"/>
              </w:rPr>
            </w:pPr>
            <w:r w:rsidRPr="0055624C">
              <w:rPr>
                <w:bCs/>
                <w:sz w:val="18"/>
                <w:szCs w:val="18"/>
                <w:lang w:val="en-AU"/>
              </w:rPr>
              <w:t xml:space="preserve">(estimated by current </w:t>
            </w:r>
            <w:r w:rsidR="004B0519" w:rsidRPr="0055624C">
              <w:rPr>
                <w:bCs/>
                <w:sz w:val="18"/>
                <w:szCs w:val="18"/>
                <w:lang w:val="en-AU"/>
              </w:rPr>
              <w:t>submission)</w:t>
            </w:r>
          </w:p>
        </w:tc>
        <w:tc>
          <w:tcPr>
            <w:tcW w:w="712" w:type="pct"/>
          </w:tcPr>
          <w:p w14:paraId="139213BB"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Number of injections or vials</w:t>
            </w:r>
          </w:p>
        </w:tc>
        <w:tc>
          <w:tcPr>
            <w:tcW w:w="712" w:type="pct"/>
            <w:shd w:val="clear" w:color="auto" w:fill="auto"/>
            <w:tcMar>
              <w:left w:w="28" w:type="dxa"/>
              <w:right w:w="28" w:type="dxa"/>
            </w:tcMar>
            <w:vAlign w:val="center"/>
          </w:tcPr>
          <w:p w14:paraId="660B965E"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Total 2-year drug cost</w:t>
            </w:r>
          </w:p>
        </w:tc>
        <w:tc>
          <w:tcPr>
            <w:tcW w:w="711" w:type="pct"/>
            <w:shd w:val="clear" w:color="auto" w:fill="auto"/>
            <w:vAlign w:val="center"/>
          </w:tcPr>
          <w:p w14:paraId="65947F25"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BKZ AEMP based on a cost-minimised to each comparator</w:t>
            </w:r>
          </w:p>
        </w:tc>
      </w:tr>
      <w:tr w:rsidR="004B0519" w:rsidRPr="0055624C" w14:paraId="383FF83E" w14:textId="77777777" w:rsidTr="004B0519">
        <w:tc>
          <w:tcPr>
            <w:tcW w:w="312" w:type="pct"/>
            <w:shd w:val="clear" w:color="auto" w:fill="auto"/>
            <w:tcMar>
              <w:left w:w="28" w:type="dxa"/>
              <w:right w:w="28" w:type="dxa"/>
            </w:tcMar>
            <w:vAlign w:val="center"/>
          </w:tcPr>
          <w:p w14:paraId="52526A7B" w14:textId="77777777" w:rsidR="004B0519" w:rsidRPr="0055624C" w:rsidRDefault="004B0519" w:rsidP="008C582A">
            <w:pPr>
              <w:pStyle w:val="TableText0"/>
              <w:keepLines/>
              <w:rPr>
                <w:sz w:val="18"/>
                <w:szCs w:val="18"/>
              </w:rPr>
            </w:pPr>
            <w:r w:rsidRPr="0055624C">
              <w:rPr>
                <w:sz w:val="18"/>
                <w:szCs w:val="18"/>
              </w:rPr>
              <w:t>BKZ</w:t>
            </w:r>
          </w:p>
        </w:tc>
        <w:tc>
          <w:tcPr>
            <w:tcW w:w="1843" w:type="pct"/>
            <w:shd w:val="clear" w:color="auto" w:fill="auto"/>
            <w:tcMar>
              <w:left w:w="28" w:type="dxa"/>
              <w:right w:w="28" w:type="dxa"/>
            </w:tcMar>
            <w:vAlign w:val="center"/>
          </w:tcPr>
          <w:p w14:paraId="3ECBC7FA" w14:textId="77777777" w:rsidR="004B0519" w:rsidRPr="0055624C" w:rsidRDefault="004B0519" w:rsidP="008C582A">
            <w:pPr>
              <w:pStyle w:val="TableText0"/>
              <w:keepLines/>
              <w:rPr>
                <w:sz w:val="18"/>
                <w:szCs w:val="18"/>
              </w:rPr>
            </w:pPr>
            <w:r w:rsidRPr="0055624C">
              <w:rPr>
                <w:sz w:val="18"/>
                <w:szCs w:val="18"/>
              </w:rPr>
              <w:t>320 mg SC injections (given as 2 SC injections of 160 mg each) at Weeks 0, 4, 8, 12, 16 and Q8W thereafter</w:t>
            </w:r>
          </w:p>
        </w:tc>
        <w:tc>
          <w:tcPr>
            <w:tcW w:w="711" w:type="pct"/>
            <w:shd w:val="clear" w:color="auto" w:fill="auto"/>
            <w:vAlign w:val="center"/>
          </w:tcPr>
          <w:p w14:paraId="2AC38CC0" w14:textId="7003958B"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1"/>
                <w:sz w:val="18"/>
                <w:szCs w:val="18"/>
                <w:shd w:val="solid" w:color="000000" w:fill="000000"/>
                <w:fitText w:val="218" w:id="-1233430258"/>
                <w14:textFill>
                  <w14:solidFill>
                    <w14:srgbClr w14:val="000000">
                      <w14:alpha w14:val="100000"/>
                    </w14:srgbClr>
                  </w14:solidFill>
                </w14:textFill>
              </w:rPr>
              <w:t>||</w:t>
            </w:r>
            <w:r w:rsidR="004E39DC" w:rsidRPr="004E39DC">
              <w:rPr>
                <w:color w:val="000000"/>
                <w:spacing w:val="2"/>
                <w:sz w:val="18"/>
                <w:szCs w:val="18"/>
                <w:shd w:val="solid" w:color="000000" w:fill="000000"/>
                <w:fitText w:val="218" w:id="-1233430258"/>
                <w14:textFill>
                  <w14:solidFill>
                    <w14:srgbClr w14:val="000000">
                      <w14:alpha w14:val="100000"/>
                    </w14:srgbClr>
                  </w14:solidFill>
                </w14:textFill>
              </w:rPr>
              <w:t>|</w:t>
            </w:r>
            <w:r w:rsidRPr="0055624C">
              <w:rPr>
                <w:sz w:val="18"/>
                <w:szCs w:val="18"/>
              </w:rPr>
              <w:t xml:space="preserve"> (requested)</w:t>
            </w:r>
          </w:p>
        </w:tc>
        <w:tc>
          <w:tcPr>
            <w:tcW w:w="712" w:type="pct"/>
            <w:vAlign w:val="center"/>
          </w:tcPr>
          <w:p w14:paraId="2AFB6DCE" w14:textId="77777777" w:rsidR="004B0519" w:rsidRPr="0055624C" w:rsidRDefault="004B0519" w:rsidP="008C582A">
            <w:pPr>
              <w:pStyle w:val="TableText0"/>
              <w:keepLines/>
              <w:jc w:val="center"/>
              <w:rPr>
                <w:sz w:val="18"/>
                <w:szCs w:val="18"/>
              </w:rPr>
            </w:pPr>
            <w:r w:rsidRPr="0055624C">
              <w:rPr>
                <w:sz w:val="18"/>
                <w:szCs w:val="18"/>
              </w:rPr>
              <w:t>15</w:t>
            </w:r>
          </w:p>
        </w:tc>
        <w:tc>
          <w:tcPr>
            <w:tcW w:w="712" w:type="pct"/>
            <w:shd w:val="clear" w:color="auto" w:fill="auto"/>
            <w:tcMar>
              <w:left w:w="28" w:type="dxa"/>
              <w:right w:w="28" w:type="dxa"/>
            </w:tcMar>
            <w:vAlign w:val="center"/>
          </w:tcPr>
          <w:p w14:paraId="0AB03954" w14:textId="41F154CF"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57"/>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57"/>
                <w14:textFill>
                  <w14:solidFill>
                    <w14:srgbClr w14:val="000000">
                      <w14:alpha w14:val="100000"/>
                    </w14:srgbClr>
                  </w14:solidFill>
                </w14:textFill>
              </w:rPr>
              <w:t>|</w:t>
            </w:r>
          </w:p>
        </w:tc>
        <w:tc>
          <w:tcPr>
            <w:tcW w:w="711" w:type="pct"/>
            <w:shd w:val="clear" w:color="auto" w:fill="auto"/>
            <w:vAlign w:val="center"/>
          </w:tcPr>
          <w:p w14:paraId="2593F58D" w14:textId="77777777" w:rsidR="004B0519" w:rsidRPr="0055624C" w:rsidRDefault="004B0519" w:rsidP="008C582A">
            <w:pPr>
              <w:pStyle w:val="TableText0"/>
              <w:keepLines/>
              <w:jc w:val="center"/>
              <w:rPr>
                <w:sz w:val="18"/>
                <w:szCs w:val="18"/>
              </w:rPr>
            </w:pPr>
            <w:r w:rsidRPr="0055624C">
              <w:rPr>
                <w:sz w:val="18"/>
                <w:szCs w:val="18"/>
              </w:rPr>
              <w:t>-</w:t>
            </w:r>
          </w:p>
        </w:tc>
      </w:tr>
      <w:tr w:rsidR="004B0519" w:rsidRPr="0055624C" w14:paraId="59D96EA4" w14:textId="77777777" w:rsidTr="004B0519">
        <w:tc>
          <w:tcPr>
            <w:tcW w:w="312" w:type="pct"/>
            <w:shd w:val="clear" w:color="auto" w:fill="auto"/>
            <w:tcMar>
              <w:left w:w="28" w:type="dxa"/>
              <w:right w:w="28" w:type="dxa"/>
            </w:tcMar>
            <w:vAlign w:val="center"/>
          </w:tcPr>
          <w:p w14:paraId="09232A15" w14:textId="77777777" w:rsidR="004B0519" w:rsidRPr="0055624C" w:rsidRDefault="004B0519" w:rsidP="008C582A">
            <w:pPr>
              <w:pStyle w:val="TableText0"/>
              <w:keepLines/>
              <w:rPr>
                <w:sz w:val="18"/>
                <w:szCs w:val="18"/>
              </w:rPr>
            </w:pPr>
            <w:r w:rsidRPr="0055624C">
              <w:rPr>
                <w:sz w:val="18"/>
                <w:szCs w:val="18"/>
              </w:rPr>
              <w:t>RIS</w:t>
            </w:r>
          </w:p>
        </w:tc>
        <w:tc>
          <w:tcPr>
            <w:tcW w:w="1843" w:type="pct"/>
            <w:shd w:val="clear" w:color="auto" w:fill="auto"/>
            <w:tcMar>
              <w:left w:w="28" w:type="dxa"/>
              <w:right w:w="28" w:type="dxa"/>
            </w:tcMar>
            <w:vAlign w:val="center"/>
          </w:tcPr>
          <w:p w14:paraId="25122D04" w14:textId="77777777" w:rsidR="004B0519" w:rsidRPr="0055624C" w:rsidRDefault="004B0519" w:rsidP="008C582A">
            <w:pPr>
              <w:pStyle w:val="TableText0"/>
              <w:keepLines/>
              <w:rPr>
                <w:sz w:val="18"/>
                <w:szCs w:val="18"/>
              </w:rPr>
            </w:pPr>
            <w:r w:rsidRPr="0055624C">
              <w:rPr>
                <w:sz w:val="18"/>
                <w:szCs w:val="18"/>
              </w:rPr>
              <w:t>150 mg SC injection (2 injections of 75 mg) at Weeks 0, 4 and Q12W thereafter</w:t>
            </w:r>
          </w:p>
        </w:tc>
        <w:tc>
          <w:tcPr>
            <w:tcW w:w="711" w:type="pct"/>
            <w:shd w:val="clear" w:color="auto" w:fill="auto"/>
            <w:vAlign w:val="center"/>
          </w:tcPr>
          <w:p w14:paraId="4555AD92" w14:textId="26B2C2AB"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56"/>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56"/>
                <w14:textFill>
                  <w14:solidFill>
                    <w14:srgbClr w14:val="000000">
                      <w14:alpha w14:val="100000"/>
                    </w14:srgbClr>
                  </w14:solidFill>
                </w14:textFill>
              </w:rPr>
              <w:t>|</w:t>
            </w:r>
            <w:r w:rsidRPr="0055624C">
              <w:rPr>
                <w:sz w:val="18"/>
                <w:szCs w:val="18"/>
              </w:rPr>
              <w:t>*</w:t>
            </w:r>
          </w:p>
        </w:tc>
        <w:tc>
          <w:tcPr>
            <w:tcW w:w="712" w:type="pct"/>
            <w:vAlign w:val="center"/>
          </w:tcPr>
          <w:p w14:paraId="02F09FF2"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shd w:val="clear" w:color="auto" w:fill="auto"/>
            <w:tcMar>
              <w:left w:w="28" w:type="dxa"/>
              <w:right w:w="28" w:type="dxa"/>
            </w:tcMar>
            <w:vAlign w:val="center"/>
          </w:tcPr>
          <w:p w14:paraId="6434BB96" w14:textId="1315CF5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72"/>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72"/>
                <w14:textFill>
                  <w14:solidFill>
                    <w14:srgbClr w14:val="000000">
                      <w14:alpha w14:val="100000"/>
                    </w14:srgbClr>
                  </w14:solidFill>
                </w14:textFill>
              </w:rPr>
              <w:t>|</w:t>
            </w:r>
          </w:p>
        </w:tc>
        <w:tc>
          <w:tcPr>
            <w:tcW w:w="711" w:type="pct"/>
            <w:shd w:val="clear" w:color="auto" w:fill="auto"/>
            <w:vAlign w:val="center"/>
          </w:tcPr>
          <w:p w14:paraId="560D5DEF" w14:textId="7F89A57A"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71"/>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71"/>
                <w14:textFill>
                  <w14:solidFill>
                    <w14:srgbClr w14:val="000000">
                      <w14:alpha w14:val="100000"/>
                    </w14:srgbClr>
                  </w14:solidFill>
                </w14:textFill>
              </w:rPr>
              <w:t>|</w:t>
            </w:r>
          </w:p>
        </w:tc>
      </w:tr>
      <w:tr w:rsidR="004B0519" w:rsidRPr="0055624C" w14:paraId="3D60BE60" w14:textId="77777777" w:rsidTr="004B0519">
        <w:tc>
          <w:tcPr>
            <w:tcW w:w="312" w:type="pct"/>
            <w:shd w:val="clear" w:color="auto" w:fill="auto"/>
            <w:tcMar>
              <w:left w:w="28" w:type="dxa"/>
              <w:right w:w="28" w:type="dxa"/>
            </w:tcMar>
            <w:vAlign w:val="center"/>
          </w:tcPr>
          <w:p w14:paraId="05767B19" w14:textId="77777777" w:rsidR="004B0519" w:rsidRPr="0055624C" w:rsidRDefault="004B0519" w:rsidP="008C582A">
            <w:pPr>
              <w:pStyle w:val="TableText0"/>
              <w:keepLines/>
              <w:rPr>
                <w:sz w:val="18"/>
                <w:szCs w:val="18"/>
              </w:rPr>
            </w:pPr>
            <w:r w:rsidRPr="0055624C">
              <w:rPr>
                <w:sz w:val="18"/>
                <w:szCs w:val="18"/>
              </w:rPr>
              <w:t>GUS</w:t>
            </w:r>
          </w:p>
        </w:tc>
        <w:tc>
          <w:tcPr>
            <w:tcW w:w="1843" w:type="pct"/>
            <w:shd w:val="clear" w:color="auto" w:fill="auto"/>
            <w:tcMar>
              <w:left w:w="28" w:type="dxa"/>
              <w:right w:w="28" w:type="dxa"/>
            </w:tcMar>
            <w:vAlign w:val="center"/>
          </w:tcPr>
          <w:p w14:paraId="2D5D28AD" w14:textId="77777777" w:rsidR="004B0519" w:rsidRPr="0055624C" w:rsidRDefault="004B0519" w:rsidP="008C582A">
            <w:pPr>
              <w:pStyle w:val="TableText0"/>
              <w:keepLines/>
              <w:rPr>
                <w:sz w:val="18"/>
                <w:szCs w:val="18"/>
              </w:rPr>
            </w:pPr>
            <w:r w:rsidRPr="0055624C">
              <w:rPr>
                <w:sz w:val="18"/>
                <w:szCs w:val="18"/>
              </w:rPr>
              <w:t>100 mg SC injection at Weeks 0, 4 and Q8W thereafter</w:t>
            </w:r>
          </w:p>
        </w:tc>
        <w:tc>
          <w:tcPr>
            <w:tcW w:w="711" w:type="pct"/>
            <w:shd w:val="clear" w:color="auto" w:fill="auto"/>
            <w:vAlign w:val="center"/>
          </w:tcPr>
          <w:p w14:paraId="69EE5055" w14:textId="675CA95A"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70"/>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70"/>
                <w14:textFill>
                  <w14:solidFill>
                    <w14:srgbClr w14:val="000000">
                      <w14:alpha w14:val="100000"/>
                    </w14:srgbClr>
                  </w14:solidFill>
                </w14:textFill>
              </w:rPr>
              <w:t>|</w:t>
            </w:r>
            <w:r w:rsidRPr="0055624C">
              <w:rPr>
                <w:sz w:val="18"/>
                <w:szCs w:val="18"/>
              </w:rPr>
              <w:t>*</w:t>
            </w:r>
          </w:p>
        </w:tc>
        <w:tc>
          <w:tcPr>
            <w:tcW w:w="712" w:type="pct"/>
            <w:vAlign w:val="center"/>
          </w:tcPr>
          <w:p w14:paraId="768CC4C3" w14:textId="77777777" w:rsidR="004B0519" w:rsidRPr="0055624C" w:rsidRDefault="004B0519" w:rsidP="008C582A">
            <w:pPr>
              <w:pStyle w:val="TableText0"/>
              <w:keepLines/>
              <w:jc w:val="center"/>
              <w:rPr>
                <w:sz w:val="18"/>
                <w:szCs w:val="18"/>
              </w:rPr>
            </w:pPr>
            <w:r w:rsidRPr="0055624C">
              <w:rPr>
                <w:sz w:val="18"/>
                <w:szCs w:val="18"/>
              </w:rPr>
              <w:t>13.5</w:t>
            </w:r>
          </w:p>
        </w:tc>
        <w:tc>
          <w:tcPr>
            <w:tcW w:w="712" w:type="pct"/>
            <w:shd w:val="clear" w:color="auto" w:fill="auto"/>
            <w:tcMar>
              <w:left w:w="28" w:type="dxa"/>
              <w:right w:w="28" w:type="dxa"/>
            </w:tcMar>
            <w:vAlign w:val="center"/>
          </w:tcPr>
          <w:p w14:paraId="11655EA9" w14:textId="1828D972"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9"/>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9"/>
                <w14:textFill>
                  <w14:solidFill>
                    <w14:srgbClr w14:val="000000">
                      <w14:alpha w14:val="100000"/>
                    </w14:srgbClr>
                  </w14:solidFill>
                </w14:textFill>
              </w:rPr>
              <w:t>|</w:t>
            </w:r>
          </w:p>
        </w:tc>
        <w:tc>
          <w:tcPr>
            <w:tcW w:w="711" w:type="pct"/>
            <w:shd w:val="clear" w:color="auto" w:fill="auto"/>
            <w:vAlign w:val="center"/>
          </w:tcPr>
          <w:p w14:paraId="78ED2992" w14:textId="1B143CE2"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8"/>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8"/>
                <w14:textFill>
                  <w14:solidFill>
                    <w14:srgbClr w14:val="000000">
                      <w14:alpha w14:val="100000"/>
                    </w14:srgbClr>
                  </w14:solidFill>
                </w14:textFill>
              </w:rPr>
              <w:t>|</w:t>
            </w:r>
          </w:p>
        </w:tc>
      </w:tr>
      <w:tr w:rsidR="004B0519" w:rsidRPr="0055624C" w14:paraId="79C925DF" w14:textId="77777777" w:rsidTr="004B0519">
        <w:tc>
          <w:tcPr>
            <w:tcW w:w="312" w:type="pct"/>
            <w:shd w:val="clear" w:color="auto" w:fill="auto"/>
            <w:tcMar>
              <w:left w:w="28" w:type="dxa"/>
              <w:right w:w="28" w:type="dxa"/>
            </w:tcMar>
            <w:vAlign w:val="center"/>
          </w:tcPr>
          <w:p w14:paraId="437437ED" w14:textId="77777777" w:rsidR="004B0519" w:rsidRPr="0055624C" w:rsidRDefault="004B0519" w:rsidP="008C582A">
            <w:pPr>
              <w:pStyle w:val="TableText0"/>
              <w:keepLines/>
              <w:rPr>
                <w:sz w:val="18"/>
                <w:szCs w:val="18"/>
              </w:rPr>
            </w:pPr>
            <w:r w:rsidRPr="0055624C">
              <w:rPr>
                <w:sz w:val="18"/>
                <w:szCs w:val="18"/>
              </w:rPr>
              <w:t>TIL</w:t>
            </w:r>
          </w:p>
        </w:tc>
        <w:tc>
          <w:tcPr>
            <w:tcW w:w="1843" w:type="pct"/>
            <w:shd w:val="clear" w:color="auto" w:fill="auto"/>
            <w:tcMar>
              <w:left w:w="28" w:type="dxa"/>
              <w:right w:w="28" w:type="dxa"/>
            </w:tcMar>
            <w:vAlign w:val="center"/>
          </w:tcPr>
          <w:p w14:paraId="5C924AC6" w14:textId="77777777" w:rsidR="004B0519" w:rsidRPr="0055624C" w:rsidRDefault="004B0519" w:rsidP="008C582A">
            <w:pPr>
              <w:pStyle w:val="TableText0"/>
              <w:keepLines/>
              <w:rPr>
                <w:sz w:val="18"/>
                <w:szCs w:val="18"/>
              </w:rPr>
            </w:pPr>
            <w:r w:rsidRPr="0055624C">
              <w:rPr>
                <w:sz w:val="18"/>
                <w:szCs w:val="18"/>
              </w:rPr>
              <w:t xml:space="preserve">100 mg SC injection at Weeks 0, 4 and Q12W thereafter </w:t>
            </w:r>
            <w:r w:rsidRPr="0055624C">
              <w:rPr>
                <w:sz w:val="18"/>
                <w:szCs w:val="18"/>
                <w:vertAlign w:val="superscript"/>
              </w:rPr>
              <w:t>|</w:t>
            </w:r>
          </w:p>
        </w:tc>
        <w:tc>
          <w:tcPr>
            <w:tcW w:w="711" w:type="pct"/>
            <w:shd w:val="clear" w:color="auto" w:fill="auto"/>
            <w:vAlign w:val="center"/>
          </w:tcPr>
          <w:p w14:paraId="734B794D" w14:textId="4DF5C3D9"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7"/>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7"/>
                <w14:textFill>
                  <w14:solidFill>
                    <w14:srgbClr w14:val="000000">
                      <w14:alpha w14:val="100000"/>
                    </w14:srgbClr>
                  </w14:solidFill>
                </w14:textFill>
              </w:rPr>
              <w:t>|</w:t>
            </w:r>
            <w:r w:rsidRPr="0055624C">
              <w:rPr>
                <w:sz w:val="18"/>
                <w:szCs w:val="18"/>
                <w:vertAlign w:val="superscript"/>
              </w:rPr>
              <w:t>b</w:t>
            </w:r>
          </w:p>
        </w:tc>
        <w:tc>
          <w:tcPr>
            <w:tcW w:w="712" w:type="pct"/>
            <w:vAlign w:val="center"/>
          </w:tcPr>
          <w:p w14:paraId="317963FA"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shd w:val="clear" w:color="auto" w:fill="auto"/>
            <w:tcMar>
              <w:left w:w="28" w:type="dxa"/>
              <w:right w:w="28" w:type="dxa"/>
            </w:tcMar>
            <w:vAlign w:val="center"/>
          </w:tcPr>
          <w:p w14:paraId="18FD41F8" w14:textId="086E00E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6"/>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6"/>
                <w14:textFill>
                  <w14:solidFill>
                    <w14:srgbClr w14:val="000000">
                      <w14:alpha w14:val="100000"/>
                    </w14:srgbClr>
                  </w14:solidFill>
                </w14:textFill>
              </w:rPr>
              <w:t>|</w:t>
            </w:r>
          </w:p>
        </w:tc>
        <w:tc>
          <w:tcPr>
            <w:tcW w:w="711" w:type="pct"/>
            <w:shd w:val="clear" w:color="auto" w:fill="auto"/>
            <w:vAlign w:val="center"/>
          </w:tcPr>
          <w:p w14:paraId="46D879E5" w14:textId="30C99DAF"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5"/>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5"/>
                <w14:textFill>
                  <w14:solidFill>
                    <w14:srgbClr w14:val="000000">
                      <w14:alpha w14:val="100000"/>
                    </w14:srgbClr>
                  </w14:solidFill>
                </w14:textFill>
              </w:rPr>
              <w:t>|</w:t>
            </w:r>
          </w:p>
        </w:tc>
      </w:tr>
      <w:tr w:rsidR="004B0519" w:rsidRPr="0055624C" w14:paraId="1318F611" w14:textId="77777777" w:rsidTr="004B0519">
        <w:tc>
          <w:tcPr>
            <w:tcW w:w="312" w:type="pct"/>
            <w:shd w:val="clear" w:color="auto" w:fill="auto"/>
            <w:tcMar>
              <w:left w:w="28" w:type="dxa"/>
              <w:right w:w="28" w:type="dxa"/>
            </w:tcMar>
            <w:vAlign w:val="center"/>
          </w:tcPr>
          <w:p w14:paraId="34BEDA7E" w14:textId="77777777" w:rsidR="004B0519" w:rsidRPr="0055624C" w:rsidRDefault="004B0519" w:rsidP="008C582A">
            <w:pPr>
              <w:pStyle w:val="TableText0"/>
              <w:keepLines/>
              <w:rPr>
                <w:sz w:val="18"/>
                <w:szCs w:val="18"/>
              </w:rPr>
            </w:pPr>
            <w:r w:rsidRPr="0055624C">
              <w:rPr>
                <w:sz w:val="18"/>
                <w:szCs w:val="18"/>
              </w:rPr>
              <w:t>SEC</w:t>
            </w:r>
          </w:p>
        </w:tc>
        <w:tc>
          <w:tcPr>
            <w:tcW w:w="1843" w:type="pct"/>
            <w:shd w:val="clear" w:color="auto" w:fill="auto"/>
            <w:tcMar>
              <w:left w:w="28" w:type="dxa"/>
              <w:right w:w="28" w:type="dxa"/>
            </w:tcMar>
            <w:vAlign w:val="center"/>
          </w:tcPr>
          <w:p w14:paraId="18D0DEA1" w14:textId="77777777" w:rsidR="004B0519" w:rsidRPr="0055624C" w:rsidRDefault="004B0519" w:rsidP="008C582A">
            <w:pPr>
              <w:pStyle w:val="TableText0"/>
              <w:keepLines/>
              <w:rPr>
                <w:sz w:val="18"/>
                <w:szCs w:val="18"/>
              </w:rPr>
            </w:pPr>
            <w:r w:rsidRPr="0055624C">
              <w:rPr>
                <w:sz w:val="18"/>
                <w:szCs w:val="18"/>
              </w:rPr>
              <w:t>300 mg SC injection (2 injections of 150 mg) at Weeks 0,1,2,3,4 then 300 mg monthly</w:t>
            </w:r>
          </w:p>
        </w:tc>
        <w:tc>
          <w:tcPr>
            <w:tcW w:w="711" w:type="pct"/>
            <w:shd w:val="clear" w:color="auto" w:fill="auto"/>
            <w:vAlign w:val="center"/>
          </w:tcPr>
          <w:p w14:paraId="1FF98B93" w14:textId="738B3B66"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4"/>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4"/>
                <w14:textFill>
                  <w14:solidFill>
                    <w14:srgbClr w14:val="000000">
                      <w14:alpha w14:val="100000"/>
                    </w14:srgbClr>
                  </w14:solidFill>
                </w14:textFill>
              </w:rPr>
              <w:t>|</w:t>
            </w:r>
            <w:r w:rsidRPr="0055624C">
              <w:rPr>
                <w:sz w:val="18"/>
                <w:szCs w:val="18"/>
              </w:rPr>
              <w:t>*</w:t>
            </w:r>
          </w:p>
        </w:tc>
        <w:tc>
          <w:tcPr>
            <w:tcW w:w="712" w:type="pct"/>
            <w:vAlign w:val="center"/>
          </w:tcPr>
          <w:p w14:paraId="436C4C03" w14:textId="77777777" w:rsidR="004B0519" w:rsidRPr="0055624C" w:rsidRDefault="004B0519" w:rsidP="008C582A">
            <w:pPr>
              <w:pStyle w:val="TableText0"/>
              <w:keepLines/>
              <w:jc w:val="center"/>
              <w:rPr>
                <w:sz w:val="18"/>
                <w:szCs w:val="18"/>
              </w:rPr>
            </w:pPr>
            <w:r w:rsidRPr="0055624C">
              <w:rPr>
                <w:sz w:val="18"/>
                <w:szCs w:val="18"/>
              </w:rPr>
              <w:t>29</w:t>
            </w:r>
          </w:p>
        </w:tc>
        <w:tc>
          <w:tcPr>
            <w:tcW w:w="712" w:type="pct"/>
            <w:shd w:val="clear" w:color="auto" w:fill="auto"/>
            <w:tcMar>
              <w:left w:w="28" w:type="dxa"/>
              <w:right w:w="28" w:type="dxa"/>
            </w:tcMar>
            <w:vAlign w:val="center"/>
          </w:tcPr>
          <w:p w14:paraId="2CACDF1D" w14:textId="7ABF1489"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3"/>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3"/>
                <w14:textFill>
                  <w14:solidFill>
                    <w14:srgbClr w14:val="000000">
                      <w14:alpha w14:val="100000"/>
                    </w14:srgbClr>
                  </w14:solidFill>
                </w14:textFill>
              </w:rPr>
              <w:t>|</w:t>
            </w:r>
          </w:p>
        </w:tc>
        <w:tc>
          <w:tcPr>
            <w:tcW w:w="711" w:type="pct"/>
            <w:shd w:val="clear" w:color="auto" w:fill="auto"/>
            <w:vAlign w:val="center"/>
          </w:tcPr>
          <w:p w14:paraId="7EF83512" w14:textId="3238CD4D"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2"/>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2"/>
                <w14:textFill>
                  <w14:solidFill>
                    <w14:srgbClr w14:val="000000">
                      <w14:alpha w14:val="100000"/>
                    </w14:srgbClr>
                  </w14:solidFill>
                </w14:textFill>
              </w:rPr>
              <w:t>|</w:t>
            </w:r>
          </w:p>
        </w:tc>
      </w:tr>
      <w:tr w:rsidR="004B0519" w:rsidRPr="0055624C" w14:paraId="78433EEA" w14:textId="77777777" w:rsidTr="004B0519">
        <w:tc>
          <w:tcPr>
            <w:tcW w:w="312" w:type="pct"/>
            <w:shd w:val="clear" w:color="auto" w:fill="auto"/>
            <w:tcMar>
              <w:left w:w="28" w:type="dxa"/>
              <w:right w:w="28" w:type="dxa"/>
            </w:tcMar>
            <w:vAlign w:val="center"/>
          </w:tcPr>
          <w:p w14:paraId="3FA4ADD6" w14:textId="77777777" w:rsidR="004B0519" w:rsidRPr="0055624C" w:rsidRDefault="004B0519" w:rsidP="008C582A">
            <w:pPr>
              <w:pStyle w:val="TableText0"/>
              <w:keepLines/>
              <w:rPr>
                <w:sz w:val="18"/>
                <w:szCs w:val="18"/>
              </w:rPr>
            </w:pPr>
            <w:r w:rsidRPr="0055624C">
              <w:rPr>
                <w:sz w:val="18"/>
                <w:szCs w:val="18"/>
              </w:rPr>
              <w:t>IXE</w:t>
            </w:r>
          </w:p>
        </w:tc>
        <w:tc>
          <w:tcPr>
            <w:tcW w:w="1843" w:type="pct"/>
            <w:shd w:val="clear" w:color="auto" w:fill="auto"/>
            <w:tcMar>
              <w:left w:w="28" w:type="dxa"/>
              <w:right w:w="28" w:type="dxa"/>
            </w:tcMar>
            <w:vAlign w:val="center"/>
          </w:tcPr>
          <w:p w14:paraId="2BADC568" w14:textId="77777777" w:rsidR="004B0519" w:rsidRPr="0055624C" w:rsidRDefault="004B0519" w:rsidP="008C582A">
            <w:pPr>
              <w:pStyle w:val="TableText0"/>
              <w:keepLines/>
              <w:rPr>
                <w:sz w:val="18"/>
                <w:szCs w:val="18"/>
              </w:rPr>
            </w:pPr>
            <w:r w:rsidRPr="0055624C">
              <w:rPr>
                <w:sz w:val="18"/>
                <w:szCs w:val="18"/>
              </w:rPr>
              <w:t>160 mg SC injection (2 injections of 80 mg) at Week 0, then 80 mg Q2W from Weeks 2 to 12 and Q4W thereafter</w:t>
            </w:r>
          </w:p>
        </w:tc>
        <w:tc>
          <w:tcPr>
            <w:tcW w:w="711" w:type="pct"/>
            <w:shd w:val="clear" w:color="auto" w:fill="auto"/>
            <w:vAlign w:val="center"/>
          </w:tcPr>
          <w:p w14:paraId="447AF861" w14:textId="4A52DEA9"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1"/>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1"/>
                <w14:textFill>
                  <w14:solidFill>
                    <w14:srgbClr w14:val="000000">
                      <w14:alpha w14:val="100000"/>
                    </w14:srgbClr>
                  </w14:solidFill>
                </w14:textFill>
              </w:rPr>
              <w:t>|</w:t>
            </w:r>
            <w:r w:rsidRPr="0055624C">
              <w:rPr>
                <w:sz w:val="18"/>
                <w:szCs w:val="18"/>
              </w:rPr>
              <w:t>*</w:t>
            </w:r>
          </w:p>
        </w:tc>
        <w:tc>
          <w:tcPr>
            <w:tcW w:w="712" w:type="pct"/>
            <w:vAlign w:val="center"/>
          </w:tcPr>
          <w:p w14:paraId="3C9773A9" w14:textId="77777777" w:rsidR="004B0519" w:rsidRPr="0055624C" w:rsidRDefault="004B0519" w:rsidP="008C582A">
            <w:pPr>
              <w:pStyle w:val="TableText0"/>
              <w:keepLines/>
              <w:jc w:val="center"/>
              <w:rPr>
                <w:sz w:val="18"/>
                <w:szCs w:val="18"/>
              </w:rPr>
            </w:pPr>
            <w:r w:rsidRPr="0055624C">
              <w:rPr>
                <w:sz w:val="18"/>
                <w:szCs w:val="18"/>
              </w:rPr>
              <w:t>15</w:t>
            </w:r>
          </w:p>
        </w:tc>
        <w:tc>
          <w:tcPr>
            <w:tcW w:w="712" w:type="pct"/>
            <w:shd w:val="clear" w:color="auto" w:fill="auto"/>
            <w:tcMar>
              <w:left w:w="28" w:type="dxa"/>
              <w:right w:w="28" w:type="dxa"/>
            </w:tcMar>
            <w:vAlign w:val="center"/>
          </w:tcPr>
          <w:p w14:paraId="193CECBE" w14:textId="3C21DF14"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0"/>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0"/>
                <w14:textFill>
                  <w14:solidFill>
                    <w14:srgbClr w14:val="000000">
                      <w14:alpha w14:val="100000"/>
                    </w14:srgbClr>
                  </w14:solidFill>
                </w14:textFill>
              </w:rPr>
              <w:t>|</w:t>
            </w:r>
          </w:p>
        </w:tc>
        <w:tc>
          <w:tcPr>
            <w:tcW w:w="711" w:type="pct"/>
            <w:shd w:val="clear" w:color="auto" w:fill="auto"/>
            <w:vAlign w:val="center"/>
          </w:tcPr>
          <w:p w14:paraId="51530067" w14:textId="5845DB96"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59"/>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59"/>
                <w14:textFill>
                  <w14:solidFill>
                    <w14:srgbClr w14:val="000000">
                      <w14:alpha w14:val="100000"/>
                    </w14:srgbClr>
                  </w14:solidFill>
                </w14:textFill>
              </w:rPr>
              <w:t>|</w:t>
            </w:r>
          </w:p>
        </w:tc>
      </w:tr>
      <w:tr w:rsidR="004B0519" w:rsidRPr="0055624C" w14:paraId="66BF6D7A" w14:textId="77777777" w:rsidTr="004B0519">
        <w:tc>
          <w:tcPr>
            <w:tcW w:w="312" w:type="pct"/>
            <w:shd w:val="clear" w:color="auto" w:fill="auto"/>
            <w:tcMar>
              <w:left w:w="28" w:type="dxa"/>
              <w:right w:w="28" w:type="dxa"/>
            </w:tcMar>
            <w:vAlign w:val="center"/>
          </w:tcPr>
          <w:p w14:paraId="46D18C7F" w14:textId="77777777" w:rsidR="004B0519" w:rsidRPr="0055624C" w:rsidRDefault="004B0519" w:rsidP="008C582A">
            <w:pPr>
              <w:pStyle w:val="TableText0"/>
              <w:keepLines/>
              <w:rPr>
                <w:sz w:val="18"/>
                <w:szCs w:val="18"/>
              </w:rPr>
            </w:pPr>
            <w:r w:rsidRPr="0055624C">
              <w:rPr>
                <w:sz w:val="18"/>
                <w:szCs w:val="18"/>
              </w:rPr>
              <w:t>IFX SC</w:t>
            </w:r>
          </w:p>
        </w:tc>
        <w:tc>
          <w:tcPr>
            <w:tcW w:w="1843" w:type="pct"/>
            <w:shd w:val="clear" w:color="auto" w:fill="auto"/>
            <w:tcMar>
              <w:left w:w="28" w:type="dxa"/>
              <w:right w:w="28" w:type="dxa"/>
            </w:tcMar>
            <w:vAlign w:val="center"/>
          </w:tcPr>
          <w:p w14:paraId="7007B6C8" w14:textId="77777777" w:rsidR="004B0519" w:rsidRPr="0055624C" w:rsidRDefault="004B0519" w:rsidP="008C582A">
            <w:pPr>
              <w:pStyle w:val="TableText0"/>
              <w:keepLines/>
              <w:rPr>
                <w:sz w:val="18"/>
                <w:szCs w:val="18"/>
              </w:rPr>
            </w:pPr>
            <w:r w:rsidRPr="0055624C">
              <w:rPr>
                <w:sz w:val="18"/>
                <w:szCs w:val="18"/>
              </w:rPr>
              <w:t>120 mg SC injection Q2W (maintenance dosing assumed to start at Week 6, Week 0 and 2 doses assumed to be IFX IV)</w:t>
            </w:r>
          </w:p>
        </w:tc>
        <w:tc>
          <w:tcPr>
            <w:tcW w:w="711" w:type="pct"/>
            <w:shd w:val="clear" w:color="auto" w:fill="auto"/>
            <w:vAlign w:val="center"/>
          </w:tcPr>
          <w:p w14:paraId="72FBFDE8" w14:textId="35382867"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258"/>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58"/>
                <w14:textFill>
                  <w14:solidFill>
                    <w14:srgbClr w14:val="000000">
                      <w14:alpha w14:val="100000"/>
                    </w14:srgbClr>
                  </w14:solidFill>
                </w14:textFill>
              </w:rPr>
              <w:t>|</w:t>
            </w:r>
            <w:r w:rsidRPr="004E39DC">
              <w:rPr>
                <w:sz w:val="18"/>
                <w:szCs w:val="18"/>
                <w:vertAlign w:val="superscript"/>
              </w:rPr>
              <w:t>c</w:t>
            </w:r>
          </w:p>
        </w:tc>
        <w:tc>
          <w:tcPr>
            <w:tcW w:w="712" w:type="pct"/>
            <w:vAlign w:val="center"/>
          </w:tcPr>
          <w:p w14:paraId="484892CF" w14:textId="77777777" w:rsidR="004B0519" w:rsidRPr="0055624C" w:rsidRDefault="004B0519" w:rsidP="008C582A">
            <w:pPr>
              <w:pStyle w:val="TableText0"/>
              <w:keepLines/>
              <w:jc w:val="center"/>
              <w:rPr>
                <w:sz w:val="18"/>
                <w:szCs w:val="18"/>
                <w:lang w:val="fr-FR"/>
              </w:rPr>
            </w:pPr>
            <w:r w:rsidRPr="0055624C">
              <w:rPr>
                <w:sz w:val="18"/>
                <w:szCs w:val="18"/>
                <w:lang w:val="fr-FR"/>
              </w:rPr>
              <w:t>49 SC injections; 8.96 IV vials (2 doses x 4.48 vials per dose^)</w:t>
            </w:r>
          </w:p>
        </w:tc>
        <w:tc>
          <w:tcPr>
            <w:tcW w:w="712" w:type="pct"/>
            <w:shd w:val="clear" w:color="auto" w:fill="auto"/>
            <w:tcMar>
              <w:left w:w="28" w:type="dxa"/>
              <w:right w:w="28" w:type="dxa"/>
            </w:tcMar>
            <w:vAlign w:val="center"/>
          </w:tcPr>
          <w:p w14:paraId="2334EDD6" w14:textId="42971B8E"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257"/>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57"/>
                <w14:textFill>
                  <w14:solidFill>
                    <w14:srgbClr w14:val="000000">
                      <w14:alpha w14:val="100000"/>
                    </w14:srgbClr>
                  </w14:solidFill>
                </w14:textFill>
              </w:rPr>
              <w:t>|</w:t>
            </w:r>
            <w:r w:rsidRPr="0055624C">
              <w:rPr>
                <w:sz w:val="18"/>
                <w:szCs w:val="18"/>
              </w:rPr>
              <w:t>;</w:t>
            </w:r>
          </w:p>
          <w:p w14:paraId="4094EE07" w14:textId="5A0C32A5"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256"/>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256"/>
                <w14:textFill>
                  <w14:solidFill>
                    <w14:srgbClr w14:val="000000">
                      <w14:alpha w14:val="100000"/>
                    </w14:srgbClr>
                  </w14:solidFill>
                </w14:textFill>
              </w:rPr>
              <w:t>|</w:t>
            </w:r>
            <w:r w:rsidRPr="0055624C">
              <w:rPr>
                <w:sz w:val="18"/>
                <w:szCs w:val="18"/>
                <w:vertAlign w:val="superscript"/>
              </w:rPr>
              <w:t>d</w:t>
            </w:r>
          </w:p>
        </w:tc>
        <w:tc>
          <w:tcPr>
            <w:tcW w:w="711" w:type="pct"/>
            <w:shd w:val="clear" w:color="auto" w:fill="auto"/>
            <w:vAlign w:val="center"/>
          </w:tcPr>
          <w:p w14:paraId="2C7C60BB" w14:textId="71BCE9A1"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272"/>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72"/>
                <w14:textFill>
                  <w14:solidFill>
                    <w14:srgbClr w14:val="000000">
                      <w14:alpha w14:val="100000"/>
                    </w14:srgbClr>
                  </w14:solidFill>
                </w14:textFill>
              </w:rPr>
              <w:t>|</w:t>
            </w:r>
            <w:r w:rsidRPr="0055624C">
              <w:rPr>
                <w:sz w:val="18"/>
                <w:szCs w:val="18"/>
              </w:rPr>
              <w:t>;</w:t>
            </w:r>
          </w:p>
          <w:p w14:paraId="3A97A5C6" w14:textId="2A59BB3D"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271"/>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271"/>
                <w14:textFill>
                  <w14:solidFill>
                    <w14:srgbClr w14:val="000000">
                      <w14:alpha w14:val="100000"/>
                    </w14:srgbClr>
                  </w14:solidFill>
                </w14:textFill>
              </w:rPr>
              <w:t>|</w:t>
            </w:r>
            <w:r w:rsidRPr="0055624C">
              <w:rPr>
                <w:sz w:val="18"/>
                <w:szCs w:val="18"/>
                <w:vertAlign w:val="superscript"/>
              </w:rPr>
              <w:t>d</w:t>
            </w:r>
          </w:p>
        </w:tc>
      </w:tr>
      <w:tr w:rsidR="004B0519" w:rsidRPr="0055624C" w14:paraId="5F7A5DFE" w14:textId="77777777" w:rsidTr="004B0519">
        <w:tc>
          <w:tcPr>
            <w:tcW w:w="312" w:type="pct"/>
            <w:shd w:val="clear" w:color="auto" w:fill="auto"/>
            <w:tcMar>
              <w:left w:w="28" w:type="dxa"/>
              <w:right w:w="28" w:type="dxa"/>
            </w:tcMar>
            <w:vAlign w:val="center"/>
          </w:tcPr>
          <w:p w14:paraId="58D7C546" w14:textId="77777777" w:rsidR="004B0519" w:rsidRPr="0055624C" w:rsidRDefault="004B0519" w:rsidP="008C582A">
            <w:pPr>
              <w:pStyle w:val="TableText0"/>
              <w:keepLines/>
              <w:rPr>
                <w:sz w:val="18"/>
                <w:szCs w:val="18"/>
              </w:rPr>
            </w:pPr>
            <w:r w:rsidRPr="0055624C">
              <w:rPr>
                <w:sz w:val="18"/>
                <w:szCs w:val="18"/>
              </w:rPr>
              <w:t>UST</w:t>
            </w:r>
            <w:r w:rsidRPr="0055624C">
              <w:rPr>
                <w:sz w:val="18"/>
                <w:szCs w:val="18"/>
                <w:vertAlign w:val="superscript"/>
              </w:rPr>
              <w:t>#</w:t>
            </w:r>
          </w:p>
        </w:tc>
        <w:tc>
          <w:tcPr>
            <w:tcW w:w="1843" w:type="pct"/>
            <w:shd w:val="clear" w:color="auto" w:fill="auto"/>
            <w:tcMar>
              <w:left w:w="28" w:type="dxa"/>
              <w:right w:w="28" w:type="dxa"/>
            </w:tcMar>
            <w:vAlign w:val="center"/>
          </w:tcPr>
          <w:p w14:paraId="68B7F41B" w14:textId="77777777" w:rsidR="004B0519" w:rsidRPr="0055624C" w:rsidRDefault="004B0519" w:rsidP="008C582A">
            <w:pPr>
              <w:pStyle w:val="TableText0"/>
              <w:keepLines/>
              <w:rPr>
                <w:snapToGrid w:val="0"/>
                <w:sz w:val="18"/>
                <w:szCs w:val="18"/>
              </w:rPr>
            </w:pPr>
            <w:r w:rsidRPr="0055624C">
              <w:rPr>
                <w:sz w:val="18"/>
                <w:szCs w:val="18"/>
              </w:rPr>
              <w:t xml:space="preserve">45 mg (weight </w:t>
            </w:r>
            <w:r w:rsidRPr="0055624C">
              <w:rPr>
                <w:sz w:val="18"/>
                <w:szCs w:val="18"/>
                <w:u w:val="single"/>
              </w:rPr>
              <w:t>≤</w:t>
            </w:r>
            <w:r w:rsidRPr="0055624C">
              <w:rPr>
                <w:sz w:val="18"/>
                <w:szCs w:val="18"/>
              </w:rPr>
              <w:t xml:space="preserve"> 100 kg) or 90 mg (weight &gt; 100 kg) SC injection at Weeks 0, 4 and Q12W thereafter</w:t>
            </w:r>
          </w:p>
        </w:tc>
        <w:tc>
          <w:tcPr>
            <w:tcW w:w="711" w:type="pct"/>
            <w:shd w:val="clear" w:color="auto" w:fill="auto"/>
            <w:vAlign w:val="center"/>
          </w:tcPr>
          <w:p w14:paraId="741C9C4D" w14:textId="244558C7"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70"/>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70"/>
                <w14:textFill>
                  <w14:solidFill>
                    <w14:srgbClr w14:val="000000">
                      <w14:alpha w14:val="100000"/>
                    </w14:srgbClr>
                  </w14:solidFill>
                </w14:textFill>
              </w:rPr>
              <w:t>|</w:t>
            </w:r>
            <w:r w:rsidRPr="0055624C">
              <w:rPr>
                <w:sz w:val="18"/>
                <w:szCs w:val="18"/>
                <w:vertAlign w:val="superscript"/>
              </w:rPr>
              <w:t>b</w:t>
            </w:r>
          </w:p>
        </w:tc>
        <w:tc>
          <w:tcPr>
            <w:tcW w:w="712" w:type="pct"/>
            <w:vAlign w:val="center"/>
          </w:tcPr>
          <w:p w14:paraId="08A536C7"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shd w:val="clear" w:color="auto" w:fill="auto"/>
            <w:tcMar>
              <w:left w:w="28" w:type="dxa"/>
              <w:right w:w="28" w:type="dxa"/>
            </w:tcMar>
            <w:vAlign w:val="center"/>
          </w:tcPr>
          <w:p w14:paraId="45332D0F" w14:textId="0F700FEC"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79"/>
                <w:sz w:val="18"/>
                <w:szCs w:val="18"/>
                <w:shd w:val="solid" w:color="000000" w:fill="000000"/>
                <w:fitText w:val="256" w:id="-1233430269"/>
                <w14:textFill>
                  <w14:solidFill>
                    <w14:srgbClr w14:val="000000">
                      <w14:alpha w14:val="100000"/>
                    </w14:srgbClr>
                  </w14:solidFill>
                </w14:textFill>
              </w:rPr>
              <w:t>|</w:t>
            </w:r>
            <w:r w:rsidR="004E39DC" w:rsidRPr="004E39DC">
              <w:rPr>
                <w:color w:val="000000"/>
                <w:spacing w:val="1"/>
                <w:sz w:val="18"/>
                <w:szCs w:val="18"/>
                <w:shd w:val="solid" w:color="000000" w:fill="000000"/>
                <w:fitText w:val="256" w:id="-1233430269"/>
                <w14:textFill>
                  <w14:solidFill>
                    <w14:srgbClr w14:val="000000">
                      <w14:alpha w14:val="100000"/>
                    </w14:srgbClr>
                  </w14:solidFill>
                </w14:textFill>
              </w:rPr>
              <w:t>|</w:t>
            </w:r>
            <w:r w:rsidRPr="0055624C">
              <w:rPr>
                <w:sz w:val="18"/>
                <w:szCs w:val="18"/>
              </w:rPr>
              <w:t>#</w:t>
            </w:r>
          </w:p>
        </w:tc>
        <w:tc>
          <w:tcPr>
            <w:tcW w:w="711" w:type="pct"/>
            <w:shd w:val="clear" w:color="auto" w:fill="auto"/>
            <w:vAlign w:val="center"/>
          </w:tcPr>
          <w:p w14:paraId="57547E33" w14:textId="59CB37A9"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8"/>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8"/>
                <w14:textFill>
                  <w14:solidFill>
                    <w14:srgbClr w14:val="000000">
                      <w14:alpha w14:val="100000"/>
                    </w14:srgbClr>
                  </w14:solidFill>
                </w14:textFill>
              </w:rPr>
              <w:t>|</w:t>
            </w:r>
          </w:p>
        </w:tc>
      </w:tr>
      <w:tr w:rsidR="004B0519" w:rsidRPr="0055624C" w14:paraId="74A2A62F" w14:textId="77777777" w:rsidTr="004B0519">
        <w:tc>
          <w:tcPr>
            <w:tcW w:w="312" w:type="pct"/>
            <w:shd w:val="clear" w:color="auto" w:fill="auto"/>
            <w:tcMar>
              <w:left w:w="28" w:type="dxa"/>
              <w:right w:w="28" w:type="dxa"/>
            </w:tcMar>
            <w:vAlign w:val="center"/>
          </w:tcPr>
          <w:p w14:paraId="7474AF97" w14:textId="77777777" w:rsidR="004B0519" w:rsidRPr="0055624C" w:rsidRDefault="004B0519" w:rsidP="008C582A">
            <w:pPr>
              <w:pStyle w:val="TableText0"/>
              <w:keepLines/>
              <w:rPr>
                <w:sz w:val="18"/>
                <w:szCs w:val="18"/>
              </w:rPr>
            </w:pPr>
            <w:r w:rsidRPr="0055624C">
              <w:rPr>
                <w:sz w:val="18"/>
                <w:szCs w:val="18"/>
              </w:rPr>
              <w:t>ETN</w:t>
            </w:r>
          </w:p>
        </w:tc>
        <w:tc>
          <w:tcPr>
            <w:tcW w:w="1843" w:type="pct"/>
            <w:shd w:val="clear" w:color="auto" w:fill="auto"/>
            <w:tcMar>
              <w:left w:w="28" w:type="dxa"/>
              <w:right w:w="28" w:type="dxa"/>
            </w:tcMar>
            <w:vAlign w:val="center"/>
          </w:tcPr>
          <w:p w14:paraId="3B811749" w14:textId="77777777" w:rsidR="004B0519" w:rsidRPr="0055624C" w:rsidRDefault="004B0519" w:rsidP="008C582A">
            <w:pPr>
              <w:pStyle w:val="TableText0"/>
              <w:keepLines/>
              <w:rPr>
                <w:sz w:val="18"/>
                <w:szCs w:val="18"/>
              </w:rPr>
            </w:pPr>
            <w:r w:rsidRPr="0055624C">
              <w:rPr>
                <w:snapToGrid w:val="0"/>
                <w:sz w:val="18"/>
                <w:szCs w:val="18"/>
              </w:rPr>
              <w:t>50 mg SC injection once weekly (or 25 mg twice weekly)*</w:t>
            </w:r>
          </w:p>
        </w:tc>
        <w:tc>
          <w:tcPr>
            <w:tcW w:w="711" w:type="pct"/>
            <w:shd w:val="clear" w:color="auto" w:fill="auto"/>
            <w:vAlign w:val="center"/>
          </w:tcPr>
          <w:p w14:paraId="626726DB" w14:textId="5676DAFC"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016"/>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6"/>
                <w14:textFill>
                  <w14:solidFill>
                    <w14:srgbClr w14:val="000000">
                      <w14:alpha w14:val="100000"/>
                    </w14:srgbClr>
                  </w14:solidFill>
                </w14:textFill>
              </w:rPr>
              <w:t>|</w:t>
            </w:r>
            <w:r w:rsidRPr="0055624C">
              <w:rPr>
                <w:sz w:val="18"/>
                <w:szCs w:val="18"/>
                <w:vertAlign w:val="superscript"/>
              </w:rPr>
              <w:t>c</w:t>
            </w:r>
          </w:p>
        </w:tc>
        <w:tc>
          <w:tcPr>
            <w:tcW w:w="712" w:type="pct"/>
            <w:vAlign w:val="center"/>
          </w:tcPr>
          <w:p w14:paraId="2A4A8982" w14:textId="77777777" w:rsidR="004B0519" w:rsidRPr="0055624C" w:rsidRDefault="004B0519" w:rsidP="008C582A">
            <w:pPr>
              <w:pStyle w:val="TableText0"/>
              <w:keepLines/>
              <w:jc w:val="center"/>
              <w:rPr>
                <w:sz w:val="18"/>
                <w:szCs w:val="18"/>
              </w:rPr>
            </w:pPr>
            <w:r w:rsidRPr="0055624C">
              <w:rPr>
                <w:sz w:val="18"/>
                <w:szCs w:val="18"/>
              </w:rPr>
              <w:t>26.25</w:t>
            </w:r>
          </w:p>
        </w:tc>
        <w:tc>
          <w:tcPr>
            <w:tcW w:w="712" w:type="pct"/>
            <w:shd w:val="clear" w:color="auto" w:fill="auto"/>
            <w:tcMar>
              <w:left w:w="28" w:type="dxa"/>
              <w:right w:w="28" w:type="dxa"/>
            </w:tcMar>
            <w:vAlign w:val="center"/>
          </w:tcPr>
          <w:p w14:paraId="088A13ED" w14:textId="760C3E17"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15"/>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15"/>
                <w14:textFill>
                  <w14:solidFill>
                    <w14:srgbClr w14:val="000000">
                      <w14:alpha w14:val="100000"/>
                    </w14:srgbClr>
                  </w14:solidFill>
                </w14:textFill>
              </w:rPr>
              <w:t>|</w:t>
            </w:r>
          </w:p>
        </w:tc>
        <w:tc>
          <w:tcPr>
            <w:tcW w:w="711" w:type="pct"/>
            <w:shd w:val="clear" w:color="auto" w:fill="auto"/>
            <w:vAlign w:val="center"/>
          </w:tcPr>
          <w:p w14:paraId="342B1A74" w14:textId="69E12A8B"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14"/>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14"/>
                <w14:textFill>
                  <w14:solidFill>
                    <w14:srgbClr w14:val="000000">
                      <w14:alpha w14:val="100000"/>
                    </w14:srgbClr>
                  </w14:solidFill>
                </w14:textFill>
              </w:rPr>
              <w:t>|</w:t>
            </w:r>
          </w:p>
        </w:tc>
      </w:tr>
      <w:tr w:rsidR="004B0519" w:rsidRPr="0055624C" w14:paraId="27841E74" w14:textId="77777777" w:rsidTr="004B0519">
        <w:tc>
          <w:tcPr>
            <w:tcW w:w="312" w:type="pct"/>
            <w:shd w:val="clear" w:color="auto" w:fill="auto"/>
            <w:tcMar>
              <w:left w:w="28" w:type="dxa"/>
              <w:right w:w="28" w:type="dxa"/>
            </w:tcMar>
            <w:vAlign w:val="center"/>
          </w:tcPr>
          <w:p w14:paraId="1ECE554F" w14:textId="77777777" w:rsidR="004B0519" w:rsidRPr="0055624C" w:rsidRDefault="004B0519" w:rsidP="008C582A">
            <w:pPr>
              <w:pStyle w:val="TableText0"/>
              <w:keepLines/>
              <w:rPr>
                <w:sz w:val="18"/>
                <w:szCs w:val="18"/>
              </w:rPr>
            </w:pPr>
            <w:r w:rsidRPr="0055624C">
              <w:rPr>
                <w:sz w:val="18"/>
                <w:szCs w:val="18"/>
              </w:rPr>
              <w:t>IFX IV</w:t>
            </w:r>
          </w:p>
        </w:tc>
        <w:tc>
          <w:tcPr>
            <w:tcW w:w="1843" w:type="pct"/>
            <w:shd w:val="clear" w:color="auto" w:fill="auto"/>
            <w:tcMar>
              <w:left w:w="28" w:type="dxa"/>
              <w:right w:w="28" w:type="dxa"/>
            </w:tcMar>
            <w:vAlign w:val="center"/>
          </w:tcPr>
          <w:p w14:paraId="6CAB7177" w14:textId="77777777" w:rsidR="004B0519" w:rsidRPr="0055624C" w:rsidRDefault="004B0519" w:rsidP="008C582A">
            <w:pPr>
              <w:pStyle w:val="TableText0"/>
              <w:keepLines/>
              <w:rPr>
                <w:sz w:val="18"/>
                <w:szCs w:val="18"/>
              </w:rPr>
            </w:pPr>
            <w:r w:rsidRPr="0055624C">
              <w:rPr>
                <w:sz w:val="18"/>
                <w:szCs w:val="18"/>
              </w:rPr>
              <w:t>5 mg/kg IV infusion at Weeks 0,2,6, then Q8W thereafter</w:t>
            </w:r>
          </w:p>
        </w:tc>
        <w:tc>
          <w:tcPr>
            <w:tcW w:w="711" w:type="pct"/>
            <w:shd w:val="clear" w:color="auto" w:fill="auto"/>
            <w:vAlign w:val="center"/>
          </w:tcPr>
          <w:p w14:paraId="082CE429" w14:textId="72651986"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013"/>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3"/>
                <w14:textFill>
                  <w14:solidFill>
                    <w14:srgbClr w14:val="000000">
                      <w14:alpha w14:val="100000"/>
                    </w14:srgbClr>
                  </w14:solidFill>
                </w14:textFill>
              </w:rPr>
              <w:t>|</w:t>
            </w:r>
            <w:r w:rsidRPr="0055624C">
              <w:rPr>
                <w:sz w:val="18"/>
                <w:szCs w:val="18"/>
                <w:vertAlign w:val="superscript"/>
              </w:rPr>
              <w:t>c</w:t>
            </w:r>
          </w:p>
        </w:tc>
        <w:tc>
          <w:tcPr>
            <w:tcW w:w="712" w:type="pct"/>
            <w:vAlign w:val="center"/>
          </w:tcPr>
          <w:p w14:paraId="3D39AB2C" w14:textId="77777777" w:rsidR="004B0519" w:rsidRPr="0055624C" w:rsidRDefault="004B0519" w:rsidP="008C582A">
            <w:pPr>
              <w:pStyle w:val="TableText0"/>
              <w:keepLines/>
              <w:jc w:val="center"/>
              <w:rPr>
                <w:sz w:val="18"/>
                <w:szCs w:val="18"/>
              </w:rPr>
            </w:pPr>
            <w:r w:rsidRPr="0055624C">
              <w:rPr>
                <w:sz w:val="18"/>
                <w:szCs w:val="18"/>
              </w:rPr>
              <w:t>63.83 IV vials (14.25 doses x 4.48 vials per dose^)</w:t>
            </w:r>
          </w:p>
        </w:tc>
        <w:tc>
          <w:tcPr>
            <w:tcW w:w="712" w:type="pct"/>
            <w:shd w:val="clear" w:color="auto" w:fill="auto"/>
            <w:tcMar>
              <w:left w:w="28" w:type="dxa"/>
              <w:right w:w="28" w:type="dxa"/>
            </w:tcMar>
            <w:vAlign w:val="center"/>
          </w:tcPr>
          <w:p w14:paraId="68688C40" w14:textId="229BCA9F"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012"/>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2"/>
                <w14:textFill>
                  <w14:solidFill>
                    <w14:srgbClr w14:val="000000">
                      <w14:alpha w14:val="100000"/>
                    </w14:srgbClr>
                  </w14:solidFill>
                </w14:textFill>
              </w:rPr>
              <w:t>|</w:t>
            </w:r>
            <w:r w:rsidRPr="0055624C">
              <w:rPr>
                <w:sz w:val="18"/>
                <w:szCs w:val="18"/>
              </w:rPr>
              <w:t>;</w:t>
            </w:r>
          </w:p>
          <w:p w14:paraId="0DD96837" w14:textId="7331082B"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011"/>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011"/>
                <w14:textFill>
                  <w14:solidFill>
                    <w14:srgbClr w14:val="000000">
                      <w14:alpha w14:val="100000"/>
                    </w14:srgbClr>
                  </w14:solidFill>
                </w14:textFill>
              </w:rPr>
              <w:t>|</w:t>
            </w:r>
            <w:r w:rsidRPr="0055624C">
              <w:rPr>
                <w:sz w:val="18"/>
                <w:szCs w:val="18"/>
                <w:vertAlign w:val="superscript"/>
              </w:rPr>
              <w:t>d</w:t>
            </w:r>
          </w:p>
        </w:tc>
        <w:tc>
          <w:tcPr>
            <w:tcW w:w="711" w:type="pct"/>
            <w:shd w:val="clear" w:color="auto" w:fill="auto"/>
            <w:vAlign w:val="center"/>
          </w:tcPr>
          <w:p w14:paraId="687FCE36" w14:textId="6646C661"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010"/>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0"/>
                <w14:textFill>
                  <w14:solidFill>
                    <w14:srgbClr w14:val="000000">
                      <w14:alpha w14:val="100000"/>
                    </w14:srgbClr>
                  </w14:solidFill>
                </w14:textFill>
              </w:rPr>
              <w:t>|</w:t>
            </w:r>
            <w:r w:rsidRPr="0055624C">
              <w:rPr>
                <w:sz w:val="18"/>
                <w:szCs w:val="18"/>
              </w:rPr>
              <w:t>;</w:t>
            </w:r>
          </w:p>
          <w:p w14:paraId="0A16CB5B" w14:textId="521A253B"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009"/>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009"/>
                <w14:textFill>
                  <w14:solidFill>
                    <w14:srgbClr w14:val="000000">
                      <w14:alpha w14:val="100000"/>
                    </w14:srgbClr>
                  </w14:solidFill>
                </w14:textFill>
              </w:rPr>
              <w:t>|</w:t>
            </w:r>
            <w:r w:rsidRPr="0055624C">
              <w:rPr>
                <w:sz w:val="18"/>
                <w:szCs w:val="18"/>
                <w:vertAlign w:val="superscript"/>
              </w:rPr>
              <w:t>d</w:t>
            </w:r>
          </w:p>
        </w:tc>
      </w:tr>
      <w:tr w:rsidR="004B0519" w:rsidRPr="0055624C" w14:paraId="75EC66B4" w14:textId="77777777" w:rsidTr="004B0519">
        <w:tc>
          <w:tcPr>
            <w:tcW w:w="312" w:type="pct"/>
            <w:shd w:val="clear" w:color="auto" w:fill="auto"/>
            <w:tcMar>
              <w:left w:w="28" w:type="dxa"/>
              <w:right w:w="28" w:type="dxa"/>
            </w:tcMar>
            <w:vAlign w:val="center"/>
          </w:tcPr>
          <w:p w14:paraId="12910B0E" w14:textId="77777777" w:rsidR="004B0519" w:rsidRPr="0055624C" w:rsidRDefault="004B0519" w:rsidP="008C582A">
            <w:pPr>
              <w:pStyle w:val="TableText0"/>
              <w:keepLines/>
              <w:rPr>
                <w:sz w:val="18"/>
                <w:szCs w:val="18"/>
              </w:rPr>
            </w:pPr>
            <w:r w:rsidRPr="0055624C">
              <w:rPr>
                <w:sz w:val="18"/>
                <w:szCs w:val="18"/>
              </w:rPr>
              <w:t>ADA</w:t>
            </w:r>
          </w:p>
        </w:tc>
        <w:tc>
          <w:tcPr>
            <w:tcW w:w="1843" w:type="pct"/>
            <w:shd w:val="clear" w:color="auto" w:fill="auto"/>
            <w:tcMar>
              <w:left w:w="28" w:type="dxa"/>
              <w:right w:w="28" w:type="dxa"/>
            </w:tcMar>
            <w:vAlign w:val="center"/>
          </w:tcPr>
          <w:p w14:paraId="6161D36D" w14:textId="77777777" w:rsidR="004B0519" w:rsidRPr="0055624C" w:rsidRDefault="004B0519" w:rsidP="008C582A">
            <w:pPr>
              <w:pStyle w:val="TableText0"/>
              <w:keepLines/>
              <w:rPr>
                <w:sz w:val="18"/>
                <w:szCs w:val="18"/>
              </w:rPr>
            </w:pPr>
            <w:r w:rsidRPr="0055624C">
              <w:rPr>
                <w:sz w:val="18"/>
                <w:szCs w:val="18"/>
              </w:rPr>
              <w:t>80 mg SC injection (2 injections of 40 mg) at Week 0, then 40 mg Q2W starting at Week 1</w:t>
            </w:r>
          </w:p>
        </w:tc>
        <w:tc>
          <w:tcPr>
            <w:tcW w:w="711" w:type="pct"/>
            <w:shd w:val="clear" w:color="auto" w:fill="auto"/>
            <w:vAlign w:val="center"/>
          </w:tcPr>
          <w:p w14:paraId="00F8F769" w14:textId="423F4965"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008"/>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008"/>
                <w14:textFill>
                  <w14:solidFill>
                    <w14:srgbClr w14:val="000000">
                      <w14:alpha w14:val="100000"/>
                    </w14:srgbClr>
                  </w14:solidFill>
                </w14:textFill>
              </w:rPr>
              <w:t>|</w:t>
            </w:r>
            <w:r w:rsidRPr="0055624C">
              <w:rPr>
                <w:sz w:val="18"/>
                <w:szCs w:val="18"/>
                <w:vertAlign w:val="superscript"/>
              </w:rPr>
              <w:t>a</w:t>
            </w:r>
          </w:p>
        </w:tc>
        <w:tc>
          <w:tcPr>
            <w:tcW w:w="712" w:type="pct"/>
            <w:vAlign w:val="center"/>
          </w:tcPr>
          <w:p w14:paraId="6A381F74" w14:textId="77777777" w:rsidR="004B0519" w:rsidRPr="0055624C" w:rsidRDefault="004B0519" w:rsidP="008C582A">
            <w:pPr>
              <w:pStyle w:val="TableText0"/>
              <w:keepLines/>
              <w:jc w:val="center"/>
              <w:rPr>
                <w:sz w:val="18"/>
                <w:szCs w:val="18"/>
              </w:rPr>
            </w:pPr>
            <w:r w:rsidRPr="0055624C">
              <w:rPr>
                <w:sz w:val="18"/>
                <w:szCs w:val="18"/>
              </w:rPr>
              <w:t>26.75</w:t>
            </w:r>
          </w:p>
        </w:tc>
        <w:tc>
          <w:tcPr>
            <w:tcW w:w="712" w:type="pct"/>
            <w:shd w:val="clear" w:color="auto" w:fill="auto"/>
            <w:tcMar>
              <w:left w:w="28" w:type="dxa"/>
              <w:right w:w="28" w:type="dxa"/>
            </w:tcMar>
            <w:vAlign w:val="center"/>
          </w:tcPr>
          <w:p w14:paraId="061B9AB5" w14:textId="3DE8C8EC"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07"/>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07"/>
                <w14:textFill>
                  <w14:solidFill>
                    <w14:srgbClr w14:val="000000">
                      <w14:alpha w14:val="100000"/>
                    </w14:srgbClr>
                  </w14:solidFill>
                </w14:textFill>
              </w:rPr>
              <w:t>|</w:t>
            </w:r>
          </w:p>
        </w:tc>
        <w:tc>
          <w:tcPr>
            <w:tcW w:w="711" w:type="pct"/>
            <w:shd w:val="clear" w:color="auto" w:fill="auto"/>
            <w:vAlign w:val="center"/>
          </w:tcPr>
          <w:p w14:paraId="6C0AD077" w14:textId="309446E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06"/>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06"/>
                <w14:textFill>
                  <w14:solidFill>
                    <w14:srgbClr w14:val="000000">
                      <w14:alpha w14:val="100000"/>
                    </w14:srgbClr>
                  </w14:solidFill>
                </w14:textFill>
              </w:rPr>
              <w:t>|</w:t>
            </w:r>
          </w:p>
        </w:tc>
      </w:tr>
    </w:tbl>
    <w:p w14:paraId="092D02CD" w14:textId="77777777" w:rsidR="004B0519" w:rsidRPr="0055624C" w:rsidRDefault="004B0519" w:rsidP="008C582A">
      <w:pPr>
        <w:pStyle w:val="TableFigureFooter"/>
        <w:keepNext/>
        <w:keepLines/>
      </w:pPr>
      <w:r w:rsidRPr="0055624C">
        <w:t>Source: constructed during the evaluation based on Figure 0-1, p18 and Figure 3-1,p267 of the current submission.</w:t>
      </w:r>
    </w:p>
    <w:p w14:paraId="1ED12C3F" w14:textId="77777777" w:rsidR="004B0519" w:rsidRPr="0055624C" w:rsidRDefault="004B0519" w:rsidP="008C582A">
      <w:pPr>
        <w:pStyle w:val="TableFigureFooter"/>
        <w:keepNext/>
        <w:keepLines/>
        <w:rPr>
          <w:szCs w:val="18"/>
        </w:rPr>
      </w:pPr>
      <w:r w:rsidRPr="0055624C">
        <w:rPr>
          <w:szCs w:val="18"/>
        </w:rPr>
        <w:t>ADA = adalimumab; BKZ = bimekizumab; ETN = etanercept; GUS = guselkumab; IFX = infliximab; IXE = ixekizumab; RIS = risankizumab; SEC = secukinumab; TIL = tildrakizumab; UST = ustekinumab.</w:t>
      </w:r>
    </w:p>
    <w:p w14:paraId="599B2216" w14:textId="77777777" w:rsidR="004B0519" w:rsidRPr="00C521FB" w:rsidRDefault="004B0519" w:rsidP="008C582A">
      <w:pPr>
        <w:pStyle w:val="TableFigureFooter"/>
        <w:keepNext/>
        <w:keepLines/>
        <w:rPr>
          <w:i/>
          <w:iCs/>
          <w:szCs w:val="18"/>
        </w:rPr>
      </w:pPr>
      <w:r w:rsidRPr="0055624C">
        <w:rPr>
          <w:szCs w:val="18"/>
        </w:rPr>
        <w:t>#</w:t>
      </w:r>
      <w:r w:rsidRPr="0055624C">
        <w:rPr>
          <w:szCs w:val="18"/>
        </w:rPr>
        <w:tab/>
        <w:t>Assuming all patients are on UST 45 mg</w:t>
      </w:r>
      <w:r w:rsidRPr="00C521FB">
        <w:rPr>
          <w:i/>
          <w:iCs/>
          <w:szCs w:val="18"/>
        </w:rPr>
        <w:t>.</w:t>
      </w:r>
    </w:p>
    <w:p w14:paraId="2F777E7C" w14:textId="3FB68205" w:rsidR="004B0519" w:rsidRPr="00C521FB" w:rsidRDefault="004B0519" w:rsidP="008C582A">
      <w:pPr>
        <w:pStyle w:val="TableFigureFooter"/>
        <w:keepNext/>
        <w:keepLines/>
        <w:rPr>
          <w:szCs w:val="18"/>
        </w:rPr>
      </w:pPr>
      <w:r w:rsidRPr="00C521FB">
        <w:rPr>
          <w:i/>
          <w:iCs/>
          <w:szCs w:val="18"/>
        </w:rPr>
        <w:t>*</w:t>
      </w:r>
      <w:r>
        <w:rPr>
          <w:szCs w:val="18"/>
        </w:rPr>
        <w:tab/>
        <w:t xml:space="preserve">Imputed by the current </w:t>
      </w:r>
      <w:r w:rsidRPr="00C521FB">
        <w:rPr>
          <w:szCs w:val="18"/>
        </w:rPr>
        <w:t>submission based on time</w:t>
      </w:r>
      <w:r w:rsidR="009B0576">
        <w:rPr>
          <w:szCs w:val="18"/>
        </w:rPr>
        <w:t xml:space="preserve"> of listing and expected </w:t>
      </w:r>
      <w:r w:rsidRPr="00C521FB">
        <w:rPr>
          <w:szCs w:val="18"/>
        </w:rPr>
        <w:t>comparator at that time.</w:t>
      </w:r>
    </w:p>
    <w:p w14:paraId="163C2262" w14:textId="77777777" w:rsidR="004B0519" w:rsidRPr="00C521FB" w:rsidRDefault="004B0519" w:rsidP="008C582A">
      <w:pPr>
        <w:pStyle w:val="TableFigureFooter"/>
        <w:keepNext/>
        <w:keepLines/>
        <w:ind w:left="165" w:hanging="165"/>
        <w:rPr>
          <w:i/>
          <w:iCs/>
          <w:szCs w:val="18"/>
        </w:rPr>
      </w:pPr>
      <w:r w:rsidRPr="00C521FB">
        <w:rPr>
          <w:i/>
          <w:iCs/>
          <w:szCs w:val="18"/>
        </w:rPr>
        <w:t>^</w:t>
      </w:r>
      <w:r>
        <w:rPr>
          <w:szCs w:val="18"/>
        </w:rPr>
        <w:tab/>
        <w:t xml:space="preserve">The model in the current </w:t>
      </w:r>
      <w:r w:rsidRPr="00C521FB">
        <w:rPr>
          <w:szCs w:val="18"/>
        </w:rPr>
        <w:t xml:space="preserve">submission assumed that an average IFX patient </w:t>
      </w:r>
      <w:r w:rsidRPr="00756AB6">
        <w:rPr>
          <w:szCs w:val="18"/>
        </w:rPr>
        <w:t>weighed 89.587 kg</w:t>
      </w:r>
      <w:r w:rsidRPr="00C521FB">
        <w:rPr>
          <w:szCs w:val="18"/>
        </w:rPr>
        <w:t xml:space="preserve"> based on BKZ studies. At a dose of 5 mg/kg, an average IFX patient was assumed to require 4.48 IFX IV 100 mg vials per dose. This number of vials per dose was costed assuming no wastage. </w:t>
      </w:r>
    </w:p>
    <w:p w14:paraId="1BFFBA15" w14:textId="277BCD03" w:rsidR="004B0519" w:rsidRPr="00C521FB" w:rsidRDefault="004B0519" w:rsidP="008C582A">
      <w:pPr>
        <w:pStyle w:val="TableFigureFooter"/>
        <w:keepNext/>
        <w:keepLines/>
        <w:ind w:left="165" w:hanging="165"/>
        <w:rPr>
          <w:szCs w:val="18"/>
        </w:rPr>
      </w:pPr>
      <w:r w:rsidRPr="00C521FB">
        <w:rPr>
          <w:szCs w:val="18"/>
        </w:rPr>
        <w:t>a</w:t>
      </w:r>
      <w:r w:rsidRPr="00C521FB">
        <w:rPr>
          <w:szCs w:val="18"/>
        </w:rPr>
        <w:tab/>
        <w:t xml:space="preserve">ADA: CPP indication specific price from DOHA (April 2022). Published ADA prices were not indication specific. An indication specific discount of </w:t>
      </w:r>
      <w:r w:rsidR="004E39DC">
        <w:rPr>
          <w:szCs w:val="18"/>
        </w:rPr>
        <w:t>28.5</w:t>
      </w:r>
      <w:r w:rsidRPr="00C521FB">
        <w:rPr>
          <w:szCs w:val="18"/>
        </w:rPr>
        <w:t xml:space="preserve">% was applied by the </w:t>
      </w:r>
      <w:r>
        <w:rPr>
          <w:szCs w:val="18"/>
        </w:rPr>
        <w:t>current submission</w:t>
      </w:r>
      <w:r w:rsidRPr="00C521FB">
        <w:rPr>
          <w:szCs w:val="18"/>
        </w:rPr>
        <w:t xml:space="preserve"> to derive the effective price.</w:t>
      </w:r>
    </w:p>
    <w:p w14:paraId="3C927F1C" w14:textId="77777777" w:rsidR="004B0519" w:rsidRPr="00C521FB" w:rsidRDefault="004B0519" w:rsidP="008C582A">
      <w:pPr>
        <w:pStyle w:val="TableFigureFooter"/>
        <w:keepNext/>
        <w:keepLines/>
        <w:ind w:left="165" w:hanging="165"/>
        <w:rPr>
          <w:szCs w:val="18"/>
        </w:rPr>
      </w:pPr>
      <w:r w:rsidRPr="00C521FB">
        <w:rPr>
          <w:szCs w:val="18"/>
        </w:rPr>
        <w:t>b</w:t>
      </w:r>
      <w:r w:rsidRPr="00C521FB">
        <w:rPr>
          <w:szCs w:val="18"/>
        </w:rPr>
        <w:tab/>
        <w:t>UST and TIL: CPP indication specific price obtained during Cimzia CPP pricing negotiations (2020) and applying anniversary price reductions where appropriate.</w:t>
      </w:r>
    </w:p>
    <w:p w14:paraId="5B2339F3" w14:textId="77777777" w:rsidR="004B0519" w:rsidRPr="00C521FB" w:rsidRDefault="004B0519" w:rsidP="008C582A">
      <w:pPr>
        <w:pStyle w:val="TableFigureFooter"/>
        <w:keepNext/>
        <w:keepLines/>
        <w:ind w:left="165" w:hanging="165"/>
        <w:rPr>
          <w:szCs w:val="18"/>
        </w:rPr>
      </w:pPr>
      <w:r w:rsidRPr="00C521FB">
        <w:rPr>
          <w:szCs w:val="18"/>
        </w:rPr>
        <w:t>c</w:t>
      </w:r>
      <w:r w:rsidRPr="00C521FB">
        <w:rPr>
          <w:szCs w:val="18"/>
        </w:rPr>
        <w:tab/>
        <w:t>E</w:t>
      </w:r>
      <w:r>
        <w:rPr>
          <w:szCs w:val="18"/>
        </w:rPr>
        <w:t xml:space="preserve">TN and IFX (F2 products): The current </w:t>
      </w:r>
      <w:r w:rsidRPr="00C521FB">
        <w:rPr>
          <w:szCs w:val="18"/>
        </w:rPr>
        <w:t>submission stated that published prices from the October 2022 PBS pricing have been used</w:t>
      </w:r>
      <w:r w:rsidRPr="00C521FB">
        <w:rPr>
          <w:i/>
          <w:iCs/>
          <w:szCs w:val="18"/>
        </w:rPr>
        <w:t xml:space="preserve">. </w:t>
      </w:r>
      <w:r w:rsidRPr="00C521FB">
        <w:rPr>
          <w:szCs w:val="18"/>
        </w:rPr>
        <w:t>The ETN price has been reduced to account for indication specific pricing.</w:t>
      </w:r>
    </w:p>
    <w:p w14:paraId="7D94A3A7" w14:textId="75C6B5BF" w:rsidR="00C055A4" w:rsidRDefault="004B0519" w:rsidP="004C3BD1">
      <w:pPr>
        <w:pStyle w:val="TableFigureFooter"/>
        <w:keepNext/>
        <w:keepLines/>
        <w:ind w:left="165" w:hanging="165"/>
        <w:rPr>
          <w:szCs w:val="18"/>
        </w:rPr>
      </w:pPr>
      <w:r w:rsidRPr="00C521FB">
        <w:rPr>
          <w:i/>
          <w:iCs/>
          <w:szCs w:val="18"/>
        </w:rPr>
        <w:t>d</w:t>
      </w:r>
      <w:r w:rsidRPr="00C521FB">
        <w:rPr>
          <w:i/>
          <w:iCs/>
          <w:szCs w:val="18"/>
        </w:rPr>
        <w:tab/>
      </w:r>
      <w:r w:rsidRPr="0055624C">
        <w:rPr>
          <w:szCs w:val="18"/>
        </w:rPr>
        <w:t>Including IV administration costs for IFX IV (in calculating cost minimised price for BKZ), as done in the cost minimisation approach of IFX SC versus IFX IV in the IFX SC submission (Table 7, IFX SC PSD, November 2020 PBAC Meeting). Assumed the cost of MBS item number 14245 100% rebate ($103.55) for each IFX IV dose. The PBAC has previously accepted MBS item number 14245 as an appropriate unit cost for IV infusion up to 2 hours (paragraph 5.7 - table 1, tocilizumab PSD, March 2019 PBAC meeting).</w:t>
      </w:r>
    </w:p>
    <w:p w14:paraId="51E1300B" w14:textId="4BD8B804" w:rsidR="00BA7683" w:rsidRPr="00BB72B6" w:rsidRDefault="00BA7683" w:rsidP="00BA7683">
      <w:pPr>
        <w:pStyle w:val="3-BodyText"/>
      </w:pPr>
      <w:bookmarkStart w:id="46" w:name="_Toc22897646"/>
      <w:bookmarkStart w:id="47" w:name="_Toc124838634"/>
      <w:r w:rsidRPr="00BB72B6">
        <w:t xml:space="preserve">The PSCR stated that across the totality of evidence, whilst Armstrong 2022 supports a clinical claim of superior effectiveness of BKZ versus all PBS-listed </w:t>
      </w:r>
      <w:r w:rsidR="00C80E26" w:rsidRPr="00BB72B6">
        <w:t>bDMARDs</w:t>
      </w:r>
      <w:r w:rsidRPr="00BB72B6">
        <w:t xml:space="preserve">, it is acknowledged that the Cochrane review concluded that BKZ and RIS have the most optimal benefit-risk profiles, excluding IFX and IXE from this grouping on the grounds of their inferior safety profiles. As such, the PSCR stated it may be appropriate to </w:t>
      </w:r>
      <w:r w:rsidRPr="00BB72B6">
        <w:lastRenderedPageBreak/>
        <w:t>consider RIS the most relevant lowest cost alternative in the context of a PBAC recommendation.</w:t>
      </w:r>
      <w:r w:rsidR="008C626F" w:rsidRPr="00BB72B6">
        <w:t xml:space="preserve"> </w:t>
      </w:r>
      <w:r w:rsidR="00DB3C0E" w:rsidRPr="00BB72B6">
        <w:t>The PSCR stated the sponsor would be willing to accept the RIS price for BKZ.</w:t>
      </w:r>
      <w:r w:rsidR="008C29BA" w:rsidRPr="00BB72B6">
        <w:t xml:space="preserve"> The ESC noted that the authors of the Cochrane NMA had lower confidence in the reported safety outcomes, and that in the longer term NMA (Armstrong 2022a) BKZ had (one of) the lowest SUCRA</w:t>
      </w:r>
      <w:r w:rsidR="0035773A" w:rsidRPr="00BB72B6">
        <w:t xml:space="preserve"> scores </w:t>
      </w:r>
      <w:r w:rsidR="008C29BA" w:rsidRPr="00BB72B6">
        <w:t>for all three safety outcomes</w:t>
      </w:r>
      <w:r w:rsidR="0035773A" w:rsidRPr="00BB72B6">
        <w:t>. The ESC considered any claim that BKZ was of superior safety compared to IXE and IFX was not supported by this data</w:t>
      </w:r>
      <w:r w:rsidR="008C29BA" w:rsidRPr="00BB72B6">
        <w:t>.</w:t>
      </w:r>
      <w:r w:rsidR="000863A2" w:rsidRPr="00BB72B6">
        <w:t xml:space="preserve">  </w:t>
      </w:r>
    </w:p>
    <w:p w14:paraId="472842D7" w14:textId="13829DDC" w:rsidR="00C25D9C" w:rsidRDefault="00C25D9C" w:rsidP="00502632">
      <w:pPr>
        <w:pStyle w:val="4-SubsectionHeading"/>
      </w:pPr>
      <w:r w:rsidRPr="002C2775">
        <w:t>Drug cost/patien</w:t>
      </w:r>
      <w:r w:rsidR="006C4AF5">
        <w:t>t</w:t>
      </w:r>
      <w:bookmarkEnd w:id="46"/>
      <w:r w:rsidR="00AD53AF" w:rsidRPr="00F73C3F">
        <w:t>: $</w:t>
      </w:r>
      <w:r w:rsidR="004E39DC" w:rsidRPr="00D1530E">
        <w:rPr>
          <w:color w:val="000000"/>
          <w:spacing w:val="0"/>
          <w:w w:val="49"/>
          <w:kern w:val="0"/>
          <w:shd w:val="solid" w:color="000000" w:fill="000000"/>
          <w:fitText w:val="992" w:id="-1233430005"/>
          <w14:textFill>
            <w14:solidFill>
              <w14:srgbClr w14:val="000000">
                <w14:alpha w14:val="100000"/>
              </w14:srgbClr>
            </w14:solidFill>
          </w14:textFill>
        </w:rPr>
        <w:t>|||||||  ||||||</w:t>
      </w:r>
      <w:r w:rsidR="004E39DC" w:rsidRPr="00D1530E">
        <w:rPr>
          <w:color w:val="000000"/>
          <w:spacing w:val="18"/>
          <w:w w:val="49"/>
          <w:kern w:val="0"/>
          <w:shd w:val="solid" w:color="000000" w:fill="000000"/>
          <w:fitText w:val="992" w:id="-1233430005"/>
          <w14:textFill>
            <w14:solidFill>
              <w14:srgbClr w14:val="000000">
                <w14:alpha w14:val="100000"/>
              </w14:srgbClr>
            </w14:solidFill>
          </w14:textFill>
        </w:rPr>
        <w:t>|</w:t>
      </w:r>
      <w:r w:rsidR="00502632" w:rsidRPr="00F73C3F">
        <w:t xml:space="preserve"> </w:t>
      </w:r>
      <w:r w:rsidR="00C1028F" w:rsidRPr="00F73C3F">
        <w:t>(first two years)</w:t>
      </w:r>
      <w:bookmarkEnd w:id="47"/>
    </w:p>
    <w:p w14:paraId="08F6303A" w14:textId="0DCFC9B4" w:rsidR="00743873" w:rsidRPr="00DD5540" w:rsidRDefault="000232B8" w:rsidP="000232B8">
      <w:pPr>
        <w:pStyle w:val="3-BodyText"/>
        <w:rPr>
          <w:snapToGrid/>
        </w:rPr>
      </w:pPr>
      <w:r>
        <w:rPr>
          <w:snapToGrid/>
        </w:rPr>
        <w:t>Using the proposed effective DPMQ of $</w:t>
      </w:r>
      <w:r w:rsidR="004E39DC" w:rsidRPr="00D1530E">
        <w:rPr>
          <w:snapToGrid/>
          <w:color w:val="000000"/>
          <w:spacing w:val="1"/>
          <w:w w:val="54"/>
          <w:shd w:val="solid" w:color="000000" w:fill="000000"/>
          <w:fitText w:val="800" w:id="-1233430004"/>
          <w14:textFill>
            <w14:solidFill>
              <w14:srgbClr w14:val="000000">
                <w14:alpha w14:val="100000"/>
              </w14:srgbClr>
            </w14:solidFill>
          </w14:textFill>
        </w:rPr>
        <w:t>||||||  |||||</w:t>
      </w:r>
      <w:r w:rsidR="004E39DC" w:rsidRPr="00D1530E">
        <w:rPr>
          <w:snapToGrid/>
          <w:color w:val="000000"/>
          <w:spacing w:val="12"/>
          <w:w w:val="54"/>
          <w:shd w:val="solid" w:color="000000" w:fill="000000"/>
          <w:fitText w:val="800" w:id="-1233430004"/>
          <w14:textFill>
            <w14:solidFill>
              <w14:srgbClr w14:val="000000">
                <w14:alpha w14:val="100000"/>
              </w14:srgbClr>
            </w14:solidFill>
          </w14:textFill>
        </w:rPr>
        <w:t>|</w:t>
      </w:r>
      <w:r w:rsidR="00724B4E">
        <w:rPr>
          <w:snapToGrid/>
        </w:rPr>
        <w:t xml:space="preserve"> per pack of two 160 mg injections</w:t>
      </w:r>
      <w:r>
        <w:rPr>
          <w:snapToGrid/>
        </w:rPr>
        <w:t xml:space="preserve">, </w:t>
      </w:r>
      <w:r w:rsidR="00724B4E">
        <w:rPr>
          <w:snapToGrid/>
        </w:rPr>
        <w:t xml:space="preserve">and assuming 15 BKZ packs per patient over the first two years (including both induction and the maintenance treatment phases), </w:t>
      </w:r>
      <w:r>
        <w:rPr>
          <w:snapToGrid/>
        </w:rPr>
        <w:t>the drug cost of BKZ was estimated to be $</w:t>
      </w:r>
      <w:r w:rsidR="004E39DC" w:rsidRPr="004E39DC">
        <w:rPr>
          <w:snapToGrid/>
          <w:color w:val="000000"/>
          <w:w w:val="24"/>
          <w:shd w:val="solid" w:color="000000" w:fill="000000"/>
          <w:fitText w:val="80" w:id="-1233430003"/>
          <w14:textFill>
            <w14:solidFill>
              <w14:srgbClr w14:val="000000">
                <w14:alpha w14:val="100000"/>
              </w14:srgbClr>
            </w14:solidFill>
          </w14:textFill>
        </w:rPr>
        <w:t xml:space="preserve">|  </w:t>
      </w:r>
      <w:r w:rsidR="004E39DC" w:rsidRPr="004E39DC">
        <w:rPr>
          <w:snapToGrid/>
          <w:color w:val="000000"/>
          <w:spacing w:val="1"/>
          <w:w w:val="24"/>
          <w:shd w:val="solid" w:color="000000" w:fill="000000"/>
          <w:fitText w:val="80" w:id="-1233430003"/>
          <w14:textFill>
            <w14:solidFill>
              <w14:srgbClr w14:val="000000">
                <w14:alpha w14:val="100000"/>
              </w14:srgbClr>
            </w14:solidFill>
          </w14:textFill>
        </w:rPr>
        <w:t>|</w:t>
      </w:r>
      <w:r>
        <w:rPr>
          <w:snapToGrid/>
        </w:rPr>
        <w:t xml:space="preserve"> (over the first two years of treatment). This compares to an estimated two-year cost of $</w:t>
      </w:r>
      <w:r w:rsidRPr="00E541AE">
        <w:rPr>
          <w:snapToGrid/>
        </w:rPr>
        <w:t>58,633</w:t>
      </w:r>
      <w:r>
        <w:rPr>
          <w:snapToGrid/>
        </w:rPr>
        <w:t xml:space="preserve"> in the March 2022 submission, based on the requested published DPMQ of $3,908.88. </w:t>
      </w:r>
    </w:p>
    <w:p w14:paraId="025DFC86" w14:textId="0A16219C" w:rsidR="00DD5540" w:rsidRPr="00C9624D" w:rsidRDefault="00B60939" w:rsidP="00DD5540">
      <w:pPr>
        <w:pStyle w:val="4-SubsectionHeading"/>
      </w:pPr>
      <w:bookmarkStart w:id="48" w:name="_Toc22897647"/>
      <w:bookmarkStart w:id="49" w:name="_Toc124838635"/>
      <w:r w:rsidRPr="00C9624D">
        <w:t>Estimated PBS usage &amp; financial implications</w:t>
      </w:r>
      <w:bookmarkEnd w:id="48"/>
      <w:bookmarkEnd w:id="49"/>
    </w:p>
    <w:p w14:paraId="167F7456" w14:textId="277C31E8" w:rsidR="00DD5540" w:rsidRPr="000D3BFF" w:rsidRDefault="00DD5540" w:rsidP="000D3BFF">
      <w:pPr>
        <w:pStyle w:val="3-BodyText"/>
        <w:rPr>
          <w:iCs/>
        </w:rPr>
      </w:pPr>
      <w:r w:rsidRPr="00B80EA8">
        <w:t xml:space="preserve">This </w:t>
      </w:r>
      <w:r w:rsidR="00055304">
        <w:t xml:space="preserve">current </w:t>
      </w:r>
      <w:r w:rsidRPr="00B80EA8">
        <w:t xml:space="preserve">submission </w:t>
      </w:r>
      <w:r w:rsidR="00693823">
        <w:t>was not</w:t>
      </w:r>
      <w:r w:rsidRPr="00B80EA8">
        <w:t xml:space="preserve"> considered by DUSC. </w:t>
      </w:r>
      <w:r w:rsidR="000D3BFF">
        <w:t xml:space="preserve">The </w:t>
      </w:r>
      <w:r w:rsidR="00055304">
        <w:t xml:space="preserve">current </w:t>
      </w:r>
      <w:r w:rsidR="000D3BFF">
        <w:t>submission presented updated estimates for the utilisation and financial impact of the requested listing based on the</w:t>
      </w:r>
      <w:r w:rsidR="000D3BFF" w:rsidRPr="000D3BFF">
        <w:rPr>
          <w:iCs/>
        </w:rPr>
        <w:t xml:space="preserve"> </w:t>
      </w:r>
      <w:r w:rsidRPr="000D3BFF">
        <w:rPr>
          <w:iCs/>
        </w:rPr>
        <w:t xml:space="preserve">market share approach </w:t>
      </w:r>
      <w:r w:rsidR="000D3BFF">
        <w:rPr>
          <w:iCs/>
        </w:rPr>
        <w:t xml:space="preserve">presented in </w:t>
      </w:r>
      <w:r w:rsidRPr="000D3BFF">
        <w:rPr>
          <w:iCs/>
        </w:rPr>
        <w:t>the March 2022 submission</w:t>
      </w:r>
      <w:r w:rsidR="000D3BFF" w:rsidRPr="000D3BFF">
        <w:rPr>
          <w:iCs/>
        </w:rPr>
        <w:t xml:space="preserve"> with changes to the following parameters:</w:t>
      </w:r>
    </w:p>
    <w:p w14:paraId="329ED565" w14:textId="5E033D87" w:rsidR="00DD5540" w:rsidRPr="00B80EA8" w:rsidRDefault="00DD5540" w:rsidP="004C3BD1">
      <w:pPr>
        <w:pStyle w:val="ListParagraph"/>
        <w:numPr>
          <w:ilvl w:val="0"/>
          <w:numId w:val="14"/>
        </w:numPr>
        <w:ind w:left="1080"/>
        <w:rPr>
          <w:iCs/>
        </w:rPr>
      </w:pPr>
      <w:r w:rsidRPr="00B80EA8">
        <w:t>Drug costs for BKZ and comparators (</w:t>
      </w:r>
      <w:r w:rsidR="00BA6C51">
        <w:t xml:space="preserve">estimated </w:t>
      </w:r>
      <w:r w:rsidRPr="00B80EA8">
        <w:t>effective rather than published prices).</w:t>
      </w:r>
    </w:p>
    <w:p w14:paraId="126D487B" w14:textId="77777777" w:rsidR="00DD5540" w:rsidRPr="00B80EA8" w:rsidRDefault="00DD5540" w:rsidP="004C3BD1">
      <w:pPr>
        <w:pStyle w:val="ListParagraph"/>
        <w:numPr>
          <w:ilvl w:val="0"/>
          <w:numId w:val="14"/>
        </w:numPr>
        <w:ind w:left="1080"/>
        <w:rPr>
          <w:iCs/>
        </w:rPr>
      </w:pPr>
      <w:r w:rsidRPr="00B80EA8">
        <w:t>Estimates of the current bDMARD market size, market shares and average co-payments (updated from PBS statistics for the 12 months ending August 2022).</w:t>
      </w:r>
    </w:p>
    <w:p w14:paraId="0582406C" w14:textId="77777777" w:rsidR="00DD5540" w:rsidRPr="00B80EA8" w:rsidRDefault="00DD5540" w:rsidP="004C3BD1">
      <w:pPr>
        <w:pStyle w:val="ListParagraph"/>
        <w:numPr>
          <w:ilvl w:val="0"/>
          <w:numId w:val="14"/>
        </w:numPr>
        <w:ind w:left="1080"/>
        <w:rPr>
          <w:iCs/>
        </w:rPr>
      </w:pPr>
      <w:r w:rsidRPr="00B80EA8">
        <w:t>Correction of cross-referencing errors identified in the March 2022 evaluation.</w:t>
      </w:r>
    </w:p>
    <w:p w14:paraId="70EE2960" w14:textId="4CB2C248" w:rsidR="00DD5540" w:rsidRPr="00B80EA8" w:rsidRDefault="00C374B2" w:rsidP="00AF018A">
      <w:pPr>
        <w:pStyle w:val="3-BodyText"/>
      </w:pPr>
      <w:r>
        <w:rPr>
          <w:rFonts w:cstheme="minorHAnsi"/>
        </w:rPr>
        <w:fldChar w:fldCharType="begin"/>
      </w:r>
      <w:r>
        <w:rPr>
          <w:rFonts w:cstheme="minorHAnsi"/>
        </w:rPr>
        <w:instrText xml:space="preserve"> REF _Ref124163988 \h </w:instrText>
      </w:r>
      <w:r>
        <w:rPr>
          <w:rFonts w:cstheme="minorHAnsi"/>
        </w:rPr>
      </w:r>
      <w:r>
        <w:rPr>
          <w:rFonts w:cstheme="minorHAnsi"/>
        </w:rPr>
        <w:fldChar w:fldCharType="separate"/>
      </w:r>
      <w:r w:rsidR="003F1ED3">
        <w:t xml:space="preserve">Table </w:t>
      </w:r>
      <w:r w:rsidR="003F1ED3">
        <w:rPr>
          <w:noProof/>
        </w:rPr>
        <w:t>9</w:t>
      </w:r>
      <w:r>
        <w:rPr>
          <w:rFonts w:cstheme="minorHAnsi"/>
        </w:rPr>
        <w:fldChar w:fldCharType="end"/>
      </w:r>
      <w:r>
        <w:rPr>
          <w:rFonts w:cstheme="minorHAnsi"/>
        </w:rPr>
        <w:t xml:space="preserve"> </w:t>
      </w:r>
      <w:r w:rsidR="00DD5540" w:rsidRPr="00A278B7">
        <w:rPr>
          <w:rFonts w:cstheme="minorHAnsi"/>
        </w:rPr>
        <w:t>s</w:t>
      </w:r>
      <w:r w:rsidR="00DD5540" w:rsidRPr="00151502">
        <w:t>ummarises the key inputs in the financial estimates</w:t>
      </w:r>
      <w:r w:rsidR="00AF018A">
        <w:t>.</w:t>
      </w:r>
    </w:p>
    <w:p w14:paraId="1AB2FC1E" w14:textId="04340262" w:rsidR="00DD5540" w:rsidRDefault="00DD5540" w:rsidP="004C3BD1">
      <w:pPr>
        <w:pStyle w:val="Caption"/>
        <w:rPr>
          <w:rStyle w:val="CommentReference"/>
          <w:b/>
          <w:szCs w:val="24"/>
        </w:rPr>
      </w:pPr>
      <w:bookmarkStart w:id="50" w:name="_Ref124163988"/>
      <w:r>
        <w:lastRenderedPageBreak/>
        <w:t xml:space="preserve">Table </w:t>
      </w:r>
      <w:fldSimple w:instr=" SEQ Table \* ARABIC ">
        <w:r w:rsidR="003F1ED3">
          <w:rPr>
            <w:noProof/>
          </w:rPr>
          <w:t>9</w:t>
        </w:r>
      </w:fldSimple>
      <w:bookmarkEnd w:id="50"/>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2303"/>
        <w:gridCol w:w="2305"/>
        <w:gridCol w:w="1154"/>
        <w:gridCol w:w="2124"/>
      </w:tblGrid>
      <w:tr w:rsidR="00DD5540" w:rsidRPr="00151502" w14:paraId="38250FF4" w14:textId="77777777" w:rsidTr="005824F0">
        <w:trPr>
          <w:tblHeader/>
        </w:trPr>
        <w:tc>
          <w:tcPr>
            <w:tcW w:w="627" w:type="pct"/>
            <w:shd w:val="clear" w:color="auto" w:fill="C6D9F1" w:themeFill="text2" w:themeFillTint="33"/>
            <w:vAlign w:val="center"/>
          </w:tcPr>
          <w:p w14:paraId="5F7EDB25" w14:textId="77777777" w:rsidR="00DD5540" w:rsidRPr="00151502" w:rsidRDefault="00DD5540" w:rsidP="004C3BD1">
            <w:pPr>
              <w:keepNext/>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Data</w:t>
            </w:r>
          </w:p>
        </w:tc>
        <w:tc>
          <w:tcPr>
            <w:tcW w:w="1277" w:type="pct"/>
            <w:shd w:val="clear" w:color="auto" w:fill="C6D9F1" w:themeFill="text2" w:themeFillTint="33"/>
            <w:vAlign w:val="center"/>
          </w:tcPr>
          <w:p w14:paraId="20AA08E3" w14:textId="77777777" w:rsidR="00DD5540" w:rsidRPr="00151502" w:rsidRDefault="00DD5540"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March 2022 submission</w:t>
            </w:r>
          </w:p>
        </w:tc>
        <w:tc>
          <w:tcPr>
            <w:tcW w:w="1278" w:type="pct"/>
            <w:shd w:val="clear" w:color="auto" w:fill="C6D9F1" w:themeFill="text2" w:themeFillTint="33"/>
            <w:vAlign w:val="center"/>
          </w:tcPr>
          <w:p w14:paraId="3623BC44" w14:textId="5E098C49" w:rsidR="00DD5540" w:rsidRPr="00151502" w:rsidRDefault="007303A7"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 xml:space="preserve">Current </w:t>
            </w:r>
            <w:r w:rsidR="00DD5540">
              <w:rPr>
                <w:rFonts w:ascii="Arial Narrow" w:hAnsi="Arial Narrow" w:cs="Times New Roman"/>
                <w:b/>
                <w:sz w:val="20"/>
                <w:szCs w:val="22"/>
                <w:lang w:eastAsia="en-US"/>
              </w:rPr>
              <w:t>submission</w:t>
            </w:r>
          </w:p>
        </w:tc>
        <w:tc>
          <w:tcPr>
            <w:tcW w:w="640" w:type="pct"/>
            <w:shd w:val="clear" w:color="auto" w:fill="C6D9F1" w:themeFill="text2" w:themeFillTint="33"/>
            <w:vAlign w:val="center"/>
          </w:tcPr>
          <w:p w14:paraId="13FA4157" w14:textId="77777777" w:rsidR="00DD5540" w:rsidRPr="00151502" w:rsidRDefault="00DD5540"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Source</w:t>
            </w:r>
          </w:p>
        </w:tc>
        <w:tc>
          <w:tcPr>
            <w:tcW w:w="1178" w:type="pct"/>
            <w:shd w:val="clear" w:color="auto" w:fill="C6D9F1" w:themeFill="text2" w:themeFillTint="33"/>
            <w:vAlign w:val="center"/>
          </w:tcPr>
          <w:p w14:paraId="02A968C5" w14:textId="77777777" w:rsidR="00DD5540" w:rsidRPr="00151502" w:rsidRDefault="00DD5540" w:rsidP="004C3BD1">
            <w:pPr>
              <w:keepNext/>
              <w:jc w:val="center"/>
              <w:rPr>
                <w:rFonts w:ascii="Arial Narrow" w:hAnsi="Arial Narrow" w:cs="Times New Roman"/>
                <w:b/>
                <w:sz w:val="20"/>
                <w:szCs w:val="22"/>
                <w:lang w:eastAsia="en-US"/>
              </w:rPr>
            </w:pPr>
            <w:r w:rsidRPr="00151502">
              <w:rPr>
                <w:rFonts w:ascii="Arial Narrow" w:hAnsi="Arial Narrow" w:cs="Times New Roman"/>
                <w:b/>
                <w:sz w:val="20"/>
                <w:szCs w:val="22"/>
                <w:lang w:eastAsia="en-US"/>
              </w:rPr>
              <w:t>Comment</w:t>
            </w:r>
          </w:p>
        </w:tc>
      </w:tr>
      <w:tr w:rsidR="00DD5540" w:rsidRPr="00151502" w14:paraId="7398E4C1" w14:textId="77777777" w:rsidTr="005824F0">
        <w:tc>
          <w:tcPr>
            <w:tcW w:w="5000" w:type="pct"/>
            <w:gridSpan w:val="5"/>
            <w:shd w:val="clear" w:color="auto" w:fill="C6D9F1" w:themeFill="text2" w:themeFillTint="33"/>
          </w:tcPr>
          <w:p w14:paraId="00E1DAF0" w14:textId="77777777" w:rsidR="00DD5540" w:rsidRPr="00151502" w:rsidRDefault="00DD5540" w:rsidP="004C3BD1">
            <w:pPr>
              <w:keepNext/>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Market size and share</w:t>
            </w:r>
          </w:p>
        </w:tc>
      </w:tr>
      <w:tr w:rsidR="00DD5540" w:rsidRPr="00151502" w14:paraId="6C2FC5DC" w14:textId="77777777" w:rsidTr="00BE27E9">
        <w:tc>
          <w:tcPr>
            <w:tcW w:w="627" w:type="pct"/>
            <w:shd w:val="clear" w:color="auto" w:fill="auto"/>
          </w:tcPr>
          <w:p w14:paraId="4B8CA977"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Packs for bDMARDs</w:t>
            </w:r>
          </w:p>
          <w:p w14:paraId="6E4E0814" w14:textId="77777777" w:rsidR="00DD5540" w:rsidRPr="00151502" w:rsidRDefault="00DD5540" w:rsidP="004C3BD1">
            <w:pPr>
              <w:keepNext/>
              <w:jc w:val="left"/>
              <w:rPr>
                <w:rFonts w:ascii="Arial Narrow" w:hAnsi="Arial Narrow" w:cs="Times New Roman"/>
                <w:sz w:val="20"/>
                <w:szCs w:val="22"/>
                <w:lang w:eastAsia="en-US"/>
              </w:rPr>
            </w:pPr>
          </w:p>
        </w:tc>
        <w:tc>
          <w:tcPr>
            <w:tcW w:w="1277" w:type="pct"/>
            <w:shd w:val="clear" w:color="auto" w:fill="C6D9F1" w:themeFill="text2" w:themeFillTint="33"/>
          </w:tcPr>
          <w:p w14:paraId="4298DCE7" w14:textId="77777777" w:rsidR="00DD5540"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Yr</w:t>
            </w:r>
            <w:r w:rsidRPr="000A68D9">
              <w:rPr>
                <w:rFonts w:ascii="Arial Narrow" w:hAnsi="Arial Narrow" w:cs="Times New Roman"/>
                <w:sz w:val="20"/>
                <w:szCs w:val="22"/>
                <w:lang w:eastAsia="en-US"/>
              </w:rPr>
              <w:t xml:space="preserve"> 0 (2021)</w:t>
            </w:r>
            <w:r>
              <w:rPr>
                <w:rFonts w:ascii="Arial Narrow" w:hAnsi="Arial Narrow" w:cs="Times New Roman"/>
                <w:sz w:val="20"/>
                <w:szCs w:val="22"/>
                <w:lang w:eastAsia="en-US"/>
              </w:rPr>
              <w:t>:</w:t>
            </w:r>
          </w:p>
          <w:tbl>
            <w:tblPr>
              <w:tblStyle w:val="TableGrid"/>
              <w:tblW w:w="0" w:type="auto"/>
              <w:tblCellMar>
                <w:left w:w="28" w:type="dxa"/>
                <w:right w:w="28" w:type="dxa"/>
              </w:tblCellMar>
              <w:tblLook w:val="04A0" w:firstRow="1" w:lastRow="0" w:firstColumn="1" w:lastColumn="0" w:noHBand="0" w:noVBand="1"/>
            </w:tblPr>
            <w:tblGrid>
              <w:gridCol w:w="572"/>
              <w:gridCol w:w="718"/>
            </w:tblGrid>
            <w:tr w:rsidR="00DD5540" w:rsidRPr="00151502" w14:paraId="0B6C284A" w14:textId="77777777" w:rsidTr="005824F0">
              <w:tc>
                <w:tcPr>
                  <w:tcW w:w="572" w:type="dxa"/>
                  <w:vAlign w:val="bottom"/>
                </w:tcPr>
                <w:p w14:paraId="7D5F6AA6"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718" w:type="dxa"/>
                </w:tcPr>
                <w:p w14:paraId="508B4F4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11,725</w:t>
                  </w:r>
                </w:p>
              </w:tc>
            </w:tr>
            <w:tr w:rsidR="00DD5540" w:rsidRPr="00151502" w14:paraId="17227368" w14:textId="77777777" w:rsidTr="005824F0">
              <w:tc>
                <w:tcPr>
                  <w:tcW w:w="572" w:type="dxa"/>
                  <w:vAlign w:val="center"/>
                </w:tcPr>
                <w:p w14:paraId="4F5250C9"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718" w:type="dxa"/>
                </w:tcPr>
                <w:p w14:paraId="23F207D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18,857</w:t>
                  </w:r>
                </w:p>
              </w:tc>
            </w:tr>
            <w:tr w:rsidR="00DD5540" w:rsidRPr="00151502" w14:paraId="27324725" w14:textId="77777777" w:rsidTr="005824F0">
              <w:tc>
                <w:tcPr>
                  <w:tcW w:w="572" w:type="dxa"/>
                  <w:vAlign w:val="center"/>
                </w:tcPr>
                <w:p w14:paraId="1FB2232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718" w:type="dxa"/>
                </w:tcPr>
                <w:p w14:paraId="0FFAE51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8,439</w:t>
                  </w:r>
                </w:p>
              </w:tc>
            </w:tr>
            <w:tr w:rsidR="00DD5540" w:rsidRPr="00151502" w14:paraId="0CAB5688" w14:textId="77777777" w:rsidTr="005824F0">
              <w:tc>
                <w:tcPr>
                  <w:tcW w:w="572" w:type="dxa"/>
                  <w:vAlign w:val="center"/>
                </w:tcPr>
                <w:p w14:paraId="4EE00FFC"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718" w:type="dxa"/>
                </w:tcPr>
                <w:p w14:paraId="04D22392"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16,521</w:t>
                  </w:r>
                </w:p>
              </w:tc>
            </w:tr>
            <w:tr w:rsidR="00DD5540" w:rsidRPr="00151502" w14:paraId="3B22E2FC" w14:textId="77777777" w:rsidTr="005824F0">
              <w:tc>
                <w:tcPr>
                  <w:tcW w:w="572" w:type="dxa"/>
                  <w:vAlign w:val="center"/>
                </w:tcPr>
                <w:p w14:paraId="2423659E"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718" w:type="dxa"/>
                </w:tcPr>
                <w:p w14:paraId="7CFE1970"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3,756</w:t>
                  </w:r>
                </w:p>
              </w:tc>
            </w:tr>
            <w:tr w:rsidR="00DD5540" w:rsidRPr="00151502" w14:paraId="1CAD68BC" w14:textId="77777777" w:rsidTr="005824F0">
              <w:tc>
                <w:tcPr>
                  <w:tcW w:w="572" w:type="dxa"/>
                  <w:vAlign w:val="center"/>
                </w:tcPr>
                <w:p w14:paraId="446ABCC8"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718" w:type="dxa"/>
                </w:tcPr>
                <w:p w14:paraId="4DD91953"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5,767</w:t>
                  </w:r>
                </w:p>
              </w:tc>
            </w:tr>
            <w:tr w:rsidR="00DD5540" w:rsidRPr="00151502" w14:paraId="37E140EC" w14:textId="77777777" w:rsidTr="005824F0">
              <w:tc>
                <w:tcPr>
                  <w:tcW w:w="572" w:type="dxa"/>
                  <w:vAlign w:val="center"/>
                </w:tcPr>
                <w:p w14:paraId="4397B722"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718" w:type="dxa"/>
                </w:tcPr>
                <w:p w14:paraId="2E596E17"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9,929</w:t>
                  </w:r>
                </w:p>
              </w:tc>
            </w:tr>
            <w:tr w:rsidR="00DD5540" w:rsidRPr="00151502" w14:paraId="186F4322" w14:textId="77777777" w:rsidTr="005824F0">
              <w:tc>
                <w:tcPr>
                  <w:tcW w:w="572" w:type="dxa"/>
                  <w:vAlign w:val="center"/>
                </w:tcPr>
                <w:p w14:paraId="57846C09"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718" w:type="dxa"/>
                </w:tcPr>
                <w:p w14:paraId="0E3167FE"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5,628</w:t>
                  </w:r>
                </w:p>
              </w:tc>
            </w:tr>
          </w:tbl>
          <w:p w14:paraId="7F6F2A3E"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 xml:space="preserve">IFX </w:t>
            </w:r>
            <w:r>
              <w:rPr>
                <w:rFonts w:ascii="Arial Narrow" w:hAnsi="Arial Narrow" w:cs="Times New Roman"/>
                <w:sz w:val="20"/>
                <w:szCs w:val="22"/>
                <w:lang w:eastAsia="en-US"/>
              </w:rPr>
              <w:t xml:space="preserve">IV </w:t>
            </w:r>
            <w:r w:rsidRPr="00151502">
              <w:rPr>
                <w:rFonts w:ascii="Arial Narrow" w:hAnsi="Arial Narrow" w:cs="Times New Roman"/>
                <w:sz w:val="20"/>
                <w:szCs w:val="22"/>
                <w:lang w:eastAsia="en-US"/>
              </w:rPr>
              <w:t xml:space="preserve">was excluded </w:t>
            </w:r>
            <w:r>
              <w:rPr>
                <w:rFonts w:ascii="Arial Narrow" w:hAnsi="Arial Narrow" w:cs="Times New Roman"/>
                <w:sz w:val="20"/>
                <w:szCs w:val="22"/>
                <w:lang w:eastAsia="en-US"/>
              </w:rPr>
              <w:t xml:space="preserve">given </w:t>
            </w:r>
            <w:r w:rsidRPr="00151502">
              <w:rPr>
                <w:rFonts w:ascii="Arial Narrow" w:hAnsi="Arial Narrow" w:cs="Times New Roman"/>
                <w:sz w:val="20"/>
                <w:szCs w:val="22"/>
                <w:lang w:eastAsia="en-US"/>
              </w:rPr>
              <w:t>low market share (2%).</w:t>
            </w:r>
            <w:r>
              <w:rPr>
                <w:rFonts w:ascii="Arial Narrow" w:hAnsi="Arial Narrow" w:cs="Times New Roman"/>
                <w:sz w:val="20"/>
                <w:szCs w:val="22"/>
                <w:lang w:eastAsia="en-US"/>
              </w:rPr>
              <w:t xml:space="preserve"> </w:t>
            </w:r>
          </w:p>
        </w:tc>
        <w:tc>
          <w:tcPr>
            <w:tcW w:w="1278" w:type="pct"/>
          </w:tcPr>
          <w:p w14:paraId="66B483E2" w14:textId="77777777" w:rsidR="00DD5540"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Yr</w:t>
            </w:r>
            <w:r w:rsidRPr="000A68D9">
              <w:rPr>
                <w:rFonts w:ascii="Arial Narrow" w:hAnsi="Arial Narrow" w:cs="Times New Roman"/>
                <w:sz w:val="20"/>
                <w:szCs w:val="22"/>
                <w:lang w:eastAsia="en-US"/>
              </w:rPr>
              <w:t xml:space="preserve"> 0 (2022)</w:t>
            </w:r>
            <w:r>
              <w:rPr>
                <w:rFonts w:ascii="Arial Narrow" w:hAnsi="Arial Narrow" w:cs="Times New Roman"/>
                <w:sz w:val="20"/>
                <w:szCs w:val="22"/>
                <w:lang w:eastAsia="en-US"/>
              </w:rPr>
              <w:t>:</w:t>
            </w:r>
          </w:p>
          <w:tbl>
            <w:tblPr>
              <w:tblStyle w:val="TableGrid"/>
              <w:tblW w:w="0" w:type="auto"/>
              <w:tblCellMar>
                <w:left w:w="28" w:type="dxa"/>
                <w:right w:w="28" w:type="dxa"/>
              </w:tblCellMar>
              <w:tblLook w:val="04A0" w:firstRow="1" w:lastRow="0" w:firstColumn="1" w:lastColumn="0" w:noHBand="0" w:noVBand="1"/>
            </w:tblPr>
            <w:tblGrid>
              <w:gridCol w:w="572"/>
              <w:gridCol w:w="718"/>
            </w:tblGrid>
            <w:tr w:rsidR="00DD5540" w:rsidRPr="00151502" w14:paraId="040CBD33" w14:textId="77777777" w:rsidTr="005824F0">
              <w:tc>
                <w:tcPr>
                  <w:tcW w:w="572" w:type="dxa"/>
                  <w:vAlign w:val="bottom"/>
                </w:tcPr>
                <w:p w14:paraId="36345C9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718" w:type="dxa"/>
                </w:tcPr>
                <w:p w14:paraId="11D06DB0" w14:textId="77777777" w:rsidR="00DD5540" w:rsidRPr="00151502" w:rsidRDefault="00DD5540" w:rsidP="004C3BD1">
                  <w:pPr>
                    <w:keepNext/>
                    <w:jc w:val="left"/>
                    <w:rPr>
                      <w:rFonts w:ascii="Arial Narrow" w:hAnsi="Arial Narrow" w:cs="Calibri"/>
                      <w:color w:val="000000"/>
                      <w:sz w:val="20"/>
                      <w:szCs w:val="20"/>
                      <w:lang w:eastAsia="en-US"/>
                    </w:rPr>
                  </w:pPr>
                  <w:r>
                    <w:rPr>
                      <w:rFonts w:ascii="Arial Narrow" w:hAnsi="Arial Narrow" w:cs="Times New Roman"/>
                      <w:sz w:val="20"/>
                      <w:szCs w:val="22"/>
                      <w:lang w:eastAsia="en-US"/>
                    </w:rPr>
                    <w:t>10,935</w:t>
                  </w:r>
                </w:p>
              </w:tc>
            </w:tr>
            <w:tr w:rsidR="00DD5540" w:rsidRPr="00151502" w14:paraId="4743972A" w14:textId="77777777" w:rsidTr="005824F0">
              <w:tc>
                <w:tcPr>
                  <w:tcW w:w="572" w:type="dxa"/>
                  <w:vAlign w:val="center"/>
                </w:tcPr>
                <w:p w14:paraId="77C31335"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718" w:type="dxa"/>
                </w:tcPr>
                <w:p w14:paraId="11C4D59D"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2"/>
                      <w:lang w:eastAsia="en-US"/>
                    </w:rPr>
                    <w:t>19,931</w:t>
                  </w:r>
                </w:p>
              </w:tc>
            </w:tr>
            <w:tr w:rsidR="00DD5540" w:rsidRPr="00151502" w14:paraId="1DAC7167" w14:textId="77777777" w:rsidTr="005824F0">
              <w:tc>
                <w:tcPr>
                  <w:tcW w:w="572" w:type="dxa"/>
                  <w:vAlign w:val="center"/>
                </w:tcPr>
                <w:p w14:paraId="070B09C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718" w:type="dxa"/>
                </w:tcPr>
                <w:p w14:paraId="4D826012"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2"/>
                      <w:lang w:eastAsia="en-US"/>
                    </w:rPr>
                    <w:t>9,597</w:t>
                  </w:r>
                </w:p>
              </w:tc>
            </w:tr>
            <w:tr w:rsidR="00DD5540" w:rsidRPr="00151502" w14:paraId="5C231F14" w14:textId="77777777" w:rsidTr="005824F0">
              <w:tc>
                <w:tcPr>
                  <w:tcW w:w="572" w:type="dxa"/>
                  <w:vAlign w:val="center"/>
                </w:tcPr>
                <w:p w14:paraId="7B872E3E"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718" w:type="dxa"/>
                </w:tcPr>
                <w:p w14:paraId="0C05F8B6" w14:textId="77777777" w:rsidR="00DD5540" w:rsidRPr="00151502" w:rsidRDefault="00DD5540" w:rsidP="004C3BD1">
                  <w:pPr>
                    <w:keepNext/>
                    <w:jc w:val="left"/>
                    <w:rPr>
                      <w:rFonts w:ascii="Arial Narrow" w:hAnsi="Arial Narrow" w:cs="Calibri"/>
                      <w:color w:val="000000"/>
                      <w:sz w:val="20"/>
                      <w:szCs w:val="20"/>
                      <w:lang w:eastAsia="en-US"/>
                    </w:rPr>
                  </w:pPr>
                  <w:r>
                    <w:rPr>
                      <w:rFonts w:ascii="Arial Narrow" w:hAnsi="Arial Narrow" w:cs="Times New Roman"/>
                      <w:sz w:val="20"/>
                      <w:szCs w:val="22"/>
                      <w:lang w:eastAsia="en-US"/>
                    </w:rPr>
                    <w:t>20,802</w:t>
                  </w:r>
                </w:p>
              </w:tc>
            </w:tr>
            <w:tr w:rsidR="00DD5540" w:rsidRPr="00151502" w14:paraId="7A8BB810" w14:textId="77777777" w:rsidTr="005824F0">
              <w:tc>
                <w:tcPr>
                  <w:tcW w:w="572" w:type="dxa"/>
                  <w:vAlign w:val="center"/>
                </w:tcPr>
                <w:p w14:paraId="4A6C2E9D"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718" w:type="dxa"/>
                </w:tcPr>
                <w:p w14:paraId="3345098A"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4,767</w:t>
                  </w:r>
                </w:p>
              </w:tc>
            </w:tr>
            <w:tr w:rsidR="00DD5540" w:rsidRPr="00151502" w14:paraId="781D3BC2" w14:textId="77777777" w:rsidTr="005824F0">
              <w:tc>
                <w:tcPr>
                  <w:tcW w:w="572" w:type="dxa"/>
                  <w:vAlign w:val="center"/>
                </w:tcPr>
                <w:p w14:paraId="5D214236"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718" w:type="dxa"/>
                </w:tcPr>
                <w:p w14:paraId="5FF5E9F5" w14:textId="77777777" w:rsidR="00DD5540" w:rsidRPr="00151502"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9,755</w:t>
                  </w:r>
                </w:p>
              </w:tc>
            </w:tr>
            <w:tr w:rsidR="00DD5540" w:rsidRPr="00151502" w14:paraId="0667A8B6" w14:textId="77777777" w:rsidTr="005824F0">
              <w:tc>
                <w:tcPr>
                  <w:tcW w:w="572" w:type="dxa"/>
                  <w:vAlign w:val="center"/>
                </w:tcPr>
                <w:p w14:paraId="148A86ED"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718" w:type="dxa"/>
                </w:tcPr>
                <w:p w14:paraId="2166F8E8"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8,963</w:t>
                  </w:r>
                </w:p>
              </w:tc>
            </w:tr>
            <w:tr w:rsidR="00DD5540" w:rsidRPr="00151502" w14:paraId="3DACEDE9" w14:textId="77777777" w:rsidTr="005824F0">
              <w:tc>
                <w:tcPr>
                  <w:tcW w:w="572" w:type="dxa"/>
                  <w:vAlign w:val="center"/>
                </w:tcPr>
                <w:p w14:paraId="51C00C15"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718" w:type="dxa"/>
                </w:tcPr>
                <w:p w14:paraId="4F9C63C9"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3,523</w:t>
                  </w:r>
                </w:p>
              </w:tc>
            </w:tr>
          </w:tbl>
          <w:p w14:paraId="2E2FDFF5"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 xml:space="preserve">IFX </w:t>
            </w:r>
            <w:r>
              <w:rPr>
                <w:rFonts w:ascii="Arial Narrow" w:hAnsi="Arial Narrow" w:cs="Times New Roman"/>
                <w:sz w:val="20"/>
                <w:szCs w:val="22"/>
                <w:lang w:eastAsia="en-US"/>
              </w:rPr>
              <w:t xml:space="preserve">IV </w:t>
            </w:r>
            <w:r w:rsidRPr="00151502">
              <w:rPr>
                <w:rFonts w:ascii="Arial Narrow" w:hAnsi="Arial Narrow" w:cs="Times New Roman"/>
                <w:sz w:val="20"/>
                <w:szCs w:val="22"/>
                <w:lang w:eastAsia="en-US"/>
              </w:rPr>
              <w:t xml:space="preserve">was excluded </w:t>
            </w:r>
            <w:r>
              <w:rPr>
                <w:rFonts w:ascii="Arial Narrow" w:hAnsi="Arial Narrow" w:cs="Times New Roman"/>
                <w:sz w:val="20"/>
                <w:szCs w:val="22"/>
                <w:lang w:eastAsia="en-US"/>
              </w:rPr>
              <w:t>given</w:t>
            </w:r>
            <w:r w:rsidRPr="00151502">
              <w:rPr>
                <w:rFonts w:ascii="Arial Narrow" w:hAnsi="Arial Narrow" w:cs="Times New Roman"/>
                <w:sz w:val="20"/>
                <w:szCs w:val="22"/>
                <w:lang w:eastAsia="en-US"/>
              </w:rPr>
              <w:t xml:space="preserve"> low market share (2%).</w:t>
            </w:r>
          </w:p>
        </w:tc>
        <w:tc>
          <w:tcPr>
            <w:tcW w:w="640" w:type="pct"/>
          </w:tcPr>
          <w:p w14:paraId="7DAF8B73" w14:textId="77777777" w:rsidR="00DD5540" w:rsidRPr="00C7565E"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PBS/RPBS prescription data for 12 m</w:t>
            </w:r>
            <w:r>
              <w:rPr>
                <w:rFonts w:ascii="Arial Narrow" w:hAnsi="Arial Narrow" w:cs="Times New Roman"/>
                <w:sz w:val="20"/>
                <w:szCs w:val="22"/>
                <w:lang w:eastAsia="en-US"/>
              </w:rPr>
              <w:t xml:space="preserve">onths period from Sept. 2021 to Aug. 2022 </w:t>
            </w:r>
            <w:r w:rsidRPr="00C7565E">
              <w:rPr>
                <w:rFonts w:ascii="Arial Narrow" w:hAnsi="Arial Narrow" w:cs="Times New Roman"/>
                <w:sz w:val="20"/>
                <w:szCs w:val="22"/>
                <w:shd w:val="clear" w:color="auto" w:fill="C6D9F1" w:themeFill="text2" w:themeFillTint="33"/>
                <w:lang w:eastAsia="en-US"/>
              </w:rPr>
              <w:t xml:space="preserve">(updated from </w:t>
            </w:r>
            <w:r>
              <w:rPr>
                <w:rFonts w:ascii="Arial Narrow" w:hAnsi="Arial Narrow" w:cs="Times New Roman"/>
                <w:sz w:val="20"/>
                <w:szCs w:val="22"/>
                <w:shd w:val="clear" w:color="auto" w:fill="C6D9F1" w:themeFill="text2" w:themeFillTint="33"/>
                <w:lang w:eastAsia="en-US"/>
              </w:rPr>
              <w:t xml:space="preserve">Sept. </w:t>
            </w:r>
            <w:r w:rsidRPr="00C7565E">
              <w:rPr>
                <w:rFonts w:ascii="Arial Narrow" w:hAnsi="Arial Narrow" w:cs="Times New Roman"/>
                <w:sz w:val="20"/>
                <w:szCs w:val="22"/>
                <w:shd w:val="clear" w:color="auto" w:fill="C6D9F1" w:themeFill="text2" w:themeFillTint="33"/>
                <w:lang w:eastAsia="en-US"/>
              </w:rPr>
              <w:t>2020 to Aug</w:t>
            </w:r>
            <w:r>
              <w:rPr>
                <w:rFonts w:ascii="Arial Narrow" w:hAnsi="Arial Narrow" w:cs="Times New Roman"/>
                <w:sz w:val="20"/>
                <w:szCs w:val="22"/>
                <w:shd w:val="clear" w:color="auto" w:fill="C6D9F1" w:themeFill="text2" w:themeFillTint="33"/>
                <w:lang w:eastAsia="en-US"/>
              </w:rPr>
              <w:t>.</w:t>
            </w:r>
            <w:r w:rsidRPr="00C7565E">
              <w:rPr>
                <w:rFonts w:ascii="Arial Narrow" w:hAnsi="Arial Narrow" w:cs="Times New Roman"/>
                <w:sz w:val="20"/>
                <w:szCs w:val="22"/>
                <w:shd w:val="clear" w:color="auto" w:fill="C6D9F1" w:themeFill="text2" w:themeFillTint="33"/>
                <w:lang w:eastAsia="en-US"/>
              </w:rPr>
              <w:t xml:space="preserve"> 2021)</w:t>
            </w:r>
            <w:r>
              <w:rPr>
                <w:rFonts w:ascii="Arial Narrow" w:hAnsi="Arial Narrow" w:cs="Times New Roman"/>
                <w:sz w:val="20"/>
                <w:szCs w:val="22"/>
                <w:lang w:eastAsia="en-US"/>
              </w:rPr>
              <w:t>.</w:t>
            </w:r>
          </w:p>
        </w:tc>
        <w:tc>
          <w:tcPr>
            <w:tcW w:w="1178" w:type="pct"/>
          </w:tcPr>
          <w:p w14:paraId="5285A5A0" w14:textId="15AEA19C" w:rsidR="00DD5540" w:rsidRPr="006B468C" w:rsidRDefault="00DD5540" w:rsidP="004C3BD1">
            <w:pPr>
              <w:keepNext/>
              <w:jc w:val="left"/>
              <w:rPr>
                <w:rFonts w:ascii="Arial Narrow" w:hAnsi="Arial Narrow" w:cs="Times New Roman"/>
                <w:iCs/>
                <w:sz w:val="20"/>
                <w:szCs w:val="22"/>
                <w:lang w:eastAsia="en-US"/>
              </w:rPr>
            </w:pPr>
            <w:r w:rsidRPr="006B468C">
              <w:rPr>
                <w:rFonts w:ascii="Arial Narrow" w:hAnsi="Arial Narrow" w:cs="Times New Roman"/>
                <w:iCs/>
                <w:sz w:val="20"/>
                <w:szCs w:val="22"/>
                <w:lang w:eastAsia="en-US"/>
              </w:rPr>
              <w:t>Reasonable.</w:t>
            </w:r>
            <w:r w:rsidR="007303A7" w:rsidRPr="006B468C">
              <w:rPr>
                <w:rFonts w:ascii="Arial Narrow" w:hAnsi="Arial Narrow" w:cs="Times New Roman"/>
                <w:iCs/>
                <w:sz w:val="20"/>
                <w:szCs w:val="22"/>
                <w:lang w:eastAsia="en-US"/>
              </w:rPr>
              <w:t xml:space="preserve"> The current </w:t>
            </w:r>
            <w:r w:rsidRPr="006B468C">
              <w:rPr>
                <w:rFonts w:ascii="Arial Narrow" w:hAnsi="Arial Narrow" w:cs="Times New Roman"/>
                <w:iCs/>
                <w:sz w:val="20"/>
                <w:szCs w:val="22"/>
                <w:lang w:eastAsia="en-US"/>
              </w:rPr>
              <w:t>submission acknowledged that inclusion of IFX SC may modify the financial impact, but expected this to be minor.</w:t>
            </w:r>
          </w:p>
        </w:tc>
      </w:tr>
      <w:tr w:rsidR="00DD5540" w:rsidRPr="00151502" w14:paraId="44E7D6CE" w14:textId="77777777" w:rsidTr="005824F0">
        <w:tc>
          <w:tcPr>
            <w:tcW w:w="627" w:type="pct"/>
            <w:shd w:val="clear" w:color="auto" w:fill="C6D9F1" w:themeFill="text2" w:themeFillTint="33"/>
          </w:tcPr>
          <w:p w14:paraId="7FC687D9"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Market growth (per annum)</w:t>
            </w:r>
          </w:p>
        </w:tc>
        <w:tc>
          <w:tcPr>
            <w:tcW w:w="1277" w:type="pct"/>
            <w:shd w:val="clear" w:color="auto" w:fill="C6D9F1" w:themeFill="text2" w:themeFillTint="33"/>
          </w:tcPr>
          <w:tbl>
            <w:tblPr>
              <w:tblStyle w:val="TableGrid"/>
              <w:tblW w:w="0" w:type="auto"/>
              <w:tblCellMar>
                <w:left w:w="28" w:type="dxa"/>
                <w:right w:w="28" w:type="dxa"/>
              </w:tblCellMar>
              <w:tblLook w:val="04A0" w:firstRow="1" w:lastRow="0" w:firstColumn="1" w:lastColumn="0" w:noHBand="0" w:noVBand="1"/>
            </w:tblPr>
            <w:tblGrid>
              <w:gridCol w:w="627"/>
              <w:gridCol w:w="549"/>
              <w:gridCol w:w="549"/>
            </w:tblGrid>
            <w:tr w:rsidR="00DD5540" w:rsidRPr="00C7565E" w14:paraId="0AC9BEB8" w14:textId="77777777" w:rsidTr="005824F0">
              <w:tc>
                <w:tcPr>
                  <w:tcW w:w="627" w:type="dxa"/>
                  <w:vAlign w:val="bottom"/>
                </w:tcPr>
                <w:p w14:paraId="7E5684A4" w14:textId="77777777" w:rsidR="00DD5540" w:rsidRPr="00C7565E" w:rsidRDefault="00DD5540" w:rsidP="004C3BD1">
                  <w:pPr>
                    <w:keepNext/>
                    <w:jc w:val="left"/>
                    <w:rPr>
                      <w:rFonts w:ascii="Arial Narrow" w:hAnsi="Arial Narrow" w:cs="Times New Roman"/>
                      <w:sz w:val="18"/>
                      <w:szCs w:val="18"/>
                      <w:lang w:eastAsia="en-US"/>
                    </w:rPr>
                  </w:pPr>
                </w:p>
              </w:tc>
              <w:tc>
                <w:tcPr>
                  <w:tcW w:w="549" w:type="dxa"/>
                </w:tcPr>
                <w:p w14:paraId="582B8EAC"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Group1</w:t>
                  </w:r>
                </w:p>
              </w:tc>
              <w:tc>
                <w:tcPr>
                  <w:tcW w:w="549" w:type="dxa"/>
                </w:tcPr>
                <w:p w14:paraId="1A0D4982"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Group2</w:t>
                  </w:r>
                </w:p>
              </w:tc>
            </w:tr>
            <w:tr w:rsidR="00DD5540" w:rsidRPr="00C7565E" w14:paraId="15291BE5" w14:textId="77777777" w:rsidTr="005824F0">
              <w:tc>
                <w:tcPr>
                  <w:tcW w:w="627" w:type="dxa"/>
                  <w:vAlign w:val="bottom"/>
                </w:tcPr>
                <w:p w14:paraId="78A65F0C"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Yr0</w:t>
                  </w:r>
                </w:p>
              </w:tc>
              <w:tc>
                <w:tcPr>
                  <w:tcW w:w="549" w:type="dxa"/>
                </w:tcPr>
                <w:p w14:paraId="21995722" w14:textId="77777777" w:rsidR="00DD5540" w:rsidRPr="00C7565E" w:rsidRDefault="00DD5540" w:rsidP="004C3BD1">
                  <w:pPr>
                    <w:keepNext/>
                    <w:jc w:val="left"/>
                    <w:rPr>
                      <w:rFonts w:ascii="Arial Narrow" w:hAnsi="Arial Narrow" w:cs="Calibri"/>
                      <w:color w:val="000000"/>
                      <w:sz w:val="18"/>
                      <w:szCs w:val="18"/>
                      <w:lang w:eastAsia="en-US"/>
                    </w:rPr>
                  </w:pPr>
                  <w:r w:rsidRPr="00C7565E">
                    <w:rPr>
                      <w:rFonts w:ascii="Arial Narrow" w:hAnsi="Arial Narrow" w:cs="Times New Roman"/>
                      <w:sz w:val="18"/>
                      <w:szCs w:val="18"/>
                      <w:lang w:eastAsia="en-US"/>
                    </w:rPr>
                    <w:t>10%</w:t>
                  </w:r>
                </w:p>
              </w:tc>
              <w:tc>
                <w:tcPr>
                  <w:tcW w:w="549" w:type="dxa"/>
                </w:tcPr>
                <w:p w14:paraId="12B06BED"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29709CE9" w14:textId="77777777" w:rsidTr="005824F0">
              <w:tc>
                <w:tcPr>
                  <w:tcW w:w="627" w:type="dxa"/>
                  <w:vAlign w:val="center"/>
                </w:tcPr>
                <w:p w14:paraId="651FEDE4"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bCs/>
                      <w:sz w:val="18"/>
                      <w:szCs w:val="18"/>
                      <w:lang w:eastAsia="en-US"/>
                    </w:rPr>
                    <w:t>Yr1</w:t>
                  </w:r>
                </w:p>
              </w:tc>
              <w:tc>
                <w:tcPr>
                  <w:tcW w:w="549" w:type="dxa"/>
                </w:tcPr>
                <w:p w14:paraId="14F62B8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7%</w:t>
                  </w:r>
                </w:p>
              </w:tc>
              <w:tc>
                <w:tcPr>
                  <w:tcW w:w="549" w:type="dxa"/>
                </w:tcPr>
                <w:p w14:paraId="42F0C2DE"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4FCCBA85" w14:textId="77777777" w:rsidTr="005824F0">
              <w:tc>
                <w:tcPr>
                  <w:tcW w:w="627" w:type="dxa"/>
                  <w:vAlign w:val="center"/>
                </w:tcPr>
                <w:p w14:paraId="60405D73"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bCs/>
                      <w:sz w:val="18"/>
                      <w:szCs w:val="18"/>
                      <w:lang w:eastAsia="en-US"/>
                    </w:rPr>
                    <w:t>Yr2</w:t>
                  </w:r>
                </w:p>
              </w:tc>
              <w:tc>
                <w:tcPr>
                  <w:tcW w:w="549" w:type="dxa"/>
                </w:tcPr>
                <w:p w14:paraId="204DF792"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6%</w:t>
                  </w:r>
                </w:p>
              </w:tc>
              <w:tc>
                <w:tcPr>
                  <w:tcW w:w="549" w:type="dxa"/>
                </w:tcPr>
                <w:p w14:paraId="6A1F5A01"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4262191C" w14:textId="77777777" w:rsidTr="005824F0">
              <w:tc>
                <w:tcPr>
                  <w:tcW w:w="627" w:type="dxa"/>
                  <w:vAlign w:val="center"/>
                </w:tcPr>
                <w:p w14:paraId="7C1C5834"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Yr3</w:t>
                  </w:r>
                </w:p>
              </w:tc>
              <w:tc>
                <w:tcPr>
                  <w:tcW w:w="549" w:type="dxa"/>
                </w:tcPr>
                <w:p w14:paraId="6670C590" w14:textId="77777777" w:rsidR="00DD5540" w:rsidRPr="00C7565E" w:rsidRDefault="00DD5540" w:rsidP="004C3BD1">
                  <w:pPr>
                    <w:keepNext/>
                    <w:jc w:val="left"/>
                    <w:rPr>
                      <w:rFonts w:ascii="Arial Narrow" w:hAnsi="Arial Narrow" w:cs="Calibri"/>
                      <w:color w:val="000000"/>
                      <w:sz w:val="18"/>
                      <w:szCs w:val="18"/>
                      <w:lang w:eastAsia="en-US"/>
                    </w:rPr>
                  </w:pPr>
                  <w:r w:rsidRPr="00C7565E">
                    <w:rPr>
                      <w:rFonts w:ascii="Arial Narrow" w:hAnsi="Arial Narrow" w:cs="Times New Roman"/>
                      <w:sz w:val="18"/>
                      <w:szCs w:val="18"/>
                      <w:lang w:eastAsia="en-US"/>
                    </w:rPr>
                    <w:t>5%</w:t>
                  </w:r>
                </w:p>
              </w:tc>
              <w:tc>
                <w:tcPr>
                  <w:tcW w:w="549" w:type="dxa"/>
                </w:tcPr>
                <w:p w14:paraId="0F581D20"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247E5AB0" w14:textId="77777777" w:rsidTr="005824F0">
              <w:tc>
                <w:tcPr>
                  <w:tcW w:w="627" w:type="dxa"/>
                  <w:vAlign w:val="center"/>
                </w:tcPr>
                <w:p w14:paraId="486A21C3"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Yr4</w:t>
                  </w:r>
                </w:p>
              </w:tc>
              <w:tc>
                <w:tcPr>
                  <w:tcW w:w="549" w:type="dxa"/>
                </w:tcPr>
                <w:p w14:paraId="2A9E007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4%</w:t>
                  </w:r>
                </w:p>
              </w:tc>
              <w:tc>
                <w:tcPr>
                  <w:tcW w:w="549" w:type="dxa"/>
                </w:tcPr>
                <w:p w14:paraId="0A84D224"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75F190E1" w14:textId="77777777" w:rsidTr="005824F0">
              <w:tc>
                <w:tcPr>
                  <w:tcW w:w="627" w:type="dxa"/>
                  <w:vAlign w:val="center"/>
                </w:tcPr>
                <w:p w14:paraId="1E69E0D7"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Yr5</w:t>
                  </w:r>
                </w:p>
              </w:tc>
              <w:tc>
                <w:tcPr>
                  <w:tcW w:w="549" w:type="dxa"/>
                </w:tcPr>
                <w:p w14:paraId="5EE355D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3.5%</w:t>
                  </w:r>
                </w:p>
              </w:tc>
              <w:tc>
                <w:tcPr>
                  <w:tcW w:w="549" w:type="dxa"/>
                </w:tcPr>
                <w:p w14:paraId="52613315"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bl>
          <w:p w14:paraId="0D42D6DF" w14:textId="027B0A6D" w:rsidR="000B196A" w:rsidRDefault="000B196A"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Group1:</w:t>
            </w:r>
            <w:r w:rsidRPr="00C7565E">
              <w:rPr>
                <w:rFonts w:ascii="Arial Narrow" w:hAnsi="Arial Narrow" w:cs="Times New Roman"/>
                <w:sz w:val="18"/>
                <w:szCs w:val="18"/>
                <w:lang w:eastAsia="en-US"/>
              </w:rPr>
              <w:t xml:space="preserve"> SEC, IXE, GUS, TIL, RIS</w:t>
            </w:r>
          </w:p>
          <w:p w14:paraId="4C8137F8" w14:textId="51DB6810"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w:t>
            </w:r>
            <w:r w:rsidR="000B196A">
              <w:rPr>
                <w:rFonts w:ascii="Arial Narrow" w:hAnsi="Arial Narrow" w:cs="Times New Roman"/>
                <w:sz w:val="18"/>
                <w:szCs w:val="18"/>
                <w:lang w:eastAsia="en-US"/>
              </w:rPr>
              <w:t>2</w:t>
            </w:r>
            <w:r>
              <w:rPr>
                <w:rFonts w:ascii="Arial Narrow" w:hAnsi="Arial Narrow" w:cs="Times New Roman"/>
                <w:sz w:val="18"/>
                <w:szCs w:val="18"/>
                <w:lang w:eastAsia="en-US"/>
              </w:rPr>
              <w:t>:</w:t>
            </w:r>
            <w:r w:rsidRPr="00C7565E">
              <w:rPr>
                <w:rFonts w:ascii="Arial Narrow" w:hAnsi="Arial Narrow" w:cs="Times New Roman"/>
                <w:sz w:val="18"/>
                <w:szCs w:val="18"/>
                <w:lang w:eastAsia="en-US"/>
              </w:rPr>
              <w:t xml:space="preserve"> ETN, ADA, UST</w:t>
            </w:r>
          </w:p>
        </w:tc>
        <w:tc>
          <w:tcPr>
            <w:tcW w:w="1278" w:type="pct"/>
            <w:shd w:val="clear" w:color="auto" w:fill="C6D9F1" w:themeFill="text2" w:themeFillTint="33"/>
          </w:tcPr>
          <w:p w14:paraId="144D0801" w14:textId="77777777" w:rsidR="00DD5540" w:rsidRPr="00151502"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No change.</w:t>
            </w:r>
          </w:p>
        </w:tc>
        <w:tc>
          <w:tcPr>
            <w:tcW w:w="640" w:type="pct"/>
            <w:shd w:val="clear" w:color="auto" w:fill="C6D9F1" w:themeFill="text2" w:themeFillTint="33"/>
          </w:tcPr>
          <w:p w14:paraId="6A38B8D8" w14:textId="77777777" w:rsidR="00DD5540" w:rsidRPr="00EB61B7" w:rsidRDefault="00DD5540" w:rsidP="004C3BD1">
            <w:pPr>
              <w:pStyle w:val="ListBullet"/>
              <w:keepNext/>
              <w:numPr>
                <w:ilvl w:val="0"/>
                <w:numId w:val="0"/>
              </w:numPr>
              <w:rPr>
                <w:rFonts w:ascii="Arial Narrow" w:hAnsi="Arial Narrow" w:cs="Times New Roman"/>
                <w:i/>
                <w:sz w:val="20"/>
                <w:szCs w:val="22"/>
                <w:lang w:eastAsia="en-US"/>
              </w:rPr>
            </w:pPr>
            <w:r w:rsidRPr="00EE5E9C">
              <w:rPr>
                <w:rFonts w:ascii="Arial Narrow" w:hAnsi="Arial Narrow" w:cs="Times New Roman"/>
                <w:bCs/>
                <w:sz w:val="20"/>
                <w:szCs w:val="22"/>
                <w:lang w:eastAsia="en-US"/>
              </w:rPr>
              <w:t>PBS trends</w:t>
            </w:r>
            <w:r>
              <w:rPr>
                <w:rFonts w:ascii="Arial Narrow" w:hAnsi="Arial Narrow" w:cs="Times New Roman"/>
                <w:bCs/>
                <w:sz w:val="20"/>
                <w:szCs w:val="22"/>
                <w:lang w:eastAsia="en-US"/>
              </w:rPr>
              <w:t xml:space="preserve"> based on PBS data from Jan 2013 to Aug 2021</w:t>
            </w:r>
          </w:p>
        </w:tc>
        <w:tc>
          <w:tcPr>
            <w:tcW w:w="1178" w:type="pct"/>
            <w:shd w:val="clear" w:color="auto" w:fill="C6D9F1" w:themeFill="text2" w:themeFillTint="33"/>
          </w:tcPr>
          <w:p w14:paraId="1D18364D" w14:textId="77777777" w:rsidR="00DD5540" w:rsidRPr="006B468C" w:rsidRDefault="00DD5540" w:rsidP="004C3BD1">
            <w:pPr>
              <w:keepNext/>
              <w:jc w:val="left"/>
              <w:rPr>
                <w:rFonts w:ascii="Arial Narrow" w:hAnsi="Arial Narrow" w:cs="Times New Roman"/>
                <w:sz w:val="20"/>
                <w:szCs w:val="22"/>
                <w:lang w:eastAsia="en-US"/>
              </w:rPr>
            </w:pPr>
            <w:r w:rsidRPr="006B468C">
              <w:rPr>
                <w:rFonts w:ascii="Arial Narrow" w:hAnsi="Arial Narrow" w:cs="Times New Roman"/>
                <w:sz w:val="20"/>
                <w:szCs w:val="22"/>
                <w:lang w:eastAsia="en-US"/>
              </w:rPr>
              <w:t>May not be reasonable to split the market into two groups of drugs given PBS data shows differences in rates of growth for different bDMARDs (paragraph 6.82, BKZ PSD, March 2022 PBAC Meeting).</w:t>
            </w:r>
          </w:p>
        </w:tc>
      </w:tr>
      <w:tr w:rsidR="00DD5540" w:rsidRPr="00151502" w14:paraId="61A31BF2" w14:textId="77777777" w:rsidTr="005824F0">
        <w:tc>
          <w:tcPr>
            <w:tcW w:w="5000" w:type="pct"/>
            <w:gridSpan w:val="5"/>
            <w:shd w:val="clear" w:color="auto" w:fill="C6D9F1" w:themeFill="text2" w:themeFillTint="33"/>
          </w:tcPr>
          <w:p w14:paraId="0D286479" w14:textId="77777777" w:rsidR="00DD5540" w:rsidRPr="00151502" w:rsidRDefault="00DD5540" w:rsidP="005824F0">
            <w:pPr>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Treatment utilisation</w:t>
            </w:r>
          </w:p>
        </w:tc>
      </w:tr>
      <w:tr w:rsidR="00DD5540" w:rsidRPr="00151502" w14:paraId="0D2E4C5D" w14:textId="77777777" w:rsidTr="005824F0">
        <w:tc>
          <w:tcPr>
            <w:tcW w:w="627" w:type="pct"/>
            <w:shd w:val="clear" w:color="auto" w:fill="C6D9F1" w:themeFill="text2" w:themeFillTint="33"/>
          </w:tcPr>
          <w:p w14:paraId="4973F046"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BKZ market share (uptake)</w:t>
            </w:r>
          </w:p>
        </w:tc>
        <w:tc>
          <w:tcPr>
            <w:tcW w:w="1277" w:type="pct"/>
            <w:shd w:val="clear" w:color="auto" w:fill="C6D9F1" w:themeFill="text2" w:themeFillTint="33"/>
          </w:tcPr>
          <w:p w14:paraId="7FD593B4" w14:textId="77777777" w:rsidR="00DD5540" w:rsidRPr="003A63BD" w:rsidRDefault="00DD5540" w:rsidP="005824F0">
            <w:pPr>
              <w:jc w:val="left"/>
              <w:rPr>
                <w:rFonts w:ascii="Arial Narrow" w:hAnsi="Arial Narrow" w:cs="Times New Roman"/>
                <w:sz w:val="20"/>
                <w:szCs w:val="20"/>
                <w:lang w:eastAsia="en-US"/>
              </w:rPr>
            </w:pPr>
            <w:r w:rsidRPr="003A63BD">
              <w:rPr>
                <w:rFonts w:ascii="Arial Narrow" w:hAnsi="Arial Narrow" w:cs="Times New Roman"/>
                <w:sz w:val="20"/>
                <w:szCs w:val="20"/>
                <w:lang w:eastAsia="en-US"/>
              </w:rPr>
              <w:t>Y1: 7.5%</w:t>
            </w:r>
          </w:p>
          <w:p w14:paraId="3F905E45"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Y2: 15%</w:t>
            </w:r>
          </w:p>
          <w:p w14:paraId="207D5CE7"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Y3: 20%</w:t>
            </w:r>
          </w:p>
          <w:p w14:paraId="0461C99C"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Y4: 25%</w:t>
            </w:r>
          </w:p>
          <w:p w14:paraId="36802849"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Y5: 30%</w:t>
            </w:r>
          </w:p>
          <w:p w14:paraId="6D963E5A"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Y6: 35%</w:t>
            </w:r>
          </w:p>
          <w:p w14:paraId="37E2E7A0" w14:textId="77777777" w:rsidR="00DD5540" w:rsidRPr="003A63BD" w:rsidRDefault="00DD5540" w:rsidP="005824F0">
            <w:pPr>
              <w:jc w:val="left"/>
              <w:rPr>
                <w:rFonts w:ascii="Arial Narrow" w:hAnsi="Arial Narrow" w:cs="Times New Roman"/>
                <w:sz w:val="20"/>
                <w:szCs w:val="22"/>
              </w:rPr>
            </w:pPr>
            <w:r w:rsidRPr="00151502">
              <w:rPr>
                <w:rFonts w:ascii="Arial Narrow" w:hAnsi="Arial Narrow" w:cs="Times New Roman"/>
                <w:sz w:val="20"/>
                <w:szCs w:val="22"/>
                <w:lang w:eastAsia="en-US"/>
              </w:rPr>
              <w:t>BKZ was assumed to take market share from listed bDMARDs at the same rate</w:t>
            </w:r>
          </w:p>
        </w:tc>
        <w:tc>
          <w:tcPr>
            <w:tcW w:w="1278" w:type="pct"/>
            <w:shd w:val="clear" w:color="auto" w:fill="C6D9F1" w:themeFill="text2" w:themeFillTint="33"/>
          </w:tcPr>
          <w:p w14:paraId="16DCB261" w14:textId="77777777" w:rsidR="00DD5540" w:rsidRPr="00151502" w:rsidRDefault="00DD5540" w:rsidP="005824F0">
            <w:pPr>
              <w:jc w:val="left"/>
              <w:rPr>
                <w:rFonts w:ascii="Arial Narrow" w:hAnsi="Arial Narrow" w:cs="Times New Roman"/>
                <w:sz w:val="20"/>
                <w:szCs w:val="22"/>
              </w:rPr>
            </w:pPr>
            <w:r>
              <w:rPr>
                <w:rFonts w:ascii="Arial Narrow" w:hAnsi="Arial Narrow" w:cs="Times New Roman"/>
                <w:sz w:val="20"/>
                <w:szCs w:val="22"/>
                <w:lang w:eastAsia="en-US"/>
              </w:rPr>
              <w:t>No change.</w:t>
            </w:r>
          </w:p>
        </w:tc>
        <w:tc>
          <w:tcPr>
            <w:tcW w:w="640" w:type="pct"/>
            <w:shd w:val="clear" w:color="auto" w:fill="C6D9F1" w:themeFill="text2" w:themeFillTint="33"/>
          </w:tcPr>
          <w:p w14:paraId="2BB3F121" w14:textId="77777777" w:rsidR="00DD5540" w:rsidRPr="003C7F92" w:rsidRDefault="00DD5540" w:rsidP="005824F0">
            <w:pPr>
              <w:jc w:val="left"/>
              <w:rPr>
                <w:rFonts w:ascii="Arial Narrow" w:hAnsi="Arial Narrow" w:cs="Times New Roman"/>
                <w:sz w:val="20"/>
                <w:szCs w:val="22"/>
                <w:lang w:val="es-MX" w:eastAsia="en-US"/>
              </w:rPr>
            </w:pPr>
            <w:r>
              <w:rPr>
                <w:rFonts w:ascii="Arial Narrow" w:hAnsi="Arial Narrow" w:cs="Times New Roman"/>
                <w:sz w:val="20"/>
                <w:szCs w:val="22"/>
              </w:rPr>
              <w:t>Assumption.</w:t>
            </w:r>
          </w:p>
        </w:tc>
        <w:tc>
          <w:tcPr>
            <w:tcW w:w="1178" w:type="pct"/>
            <w:shd w:val="clear" w:color="auto" w:fill="C6D9F1" w:themeFill="text2" w:themeFillTint="33"/>
          </w:tcPr>
          <w:p w14:paraId="31365A2D" w14:textId="77777777" w:rsidR="00DD5540" w:rsidRPr="00151502" w:rsidRDefault="00DD5540" w:rsidP="005824F0">
            <w:pPr>
              <w:jc w:val="left"/>
              <w:rPr>
                <w:rFonts w:ascii="Arial Narrow" w:hAnsi="Arial Narrow" w:cs="Times New Roman"/>
                <w:i/>
                <w:sz w:val="20"/>
                <w:szCs w:val="22"/>
                <w:lang w:eastAsia="en-US"/>
              </w:rPr>
            </w:pPr>
            <w:r w:rsidRPr="006B468C">
              <w:rPr>
                <w:rFonts w:ascii="Arial Narrow" w:hAnsi="Arial Narrow" w:cs="Times New Roman"/>
                <w:sz w:val="20"/>
                <w:szCs w:val="22"/>
                <w:lang w:eastAsia="en-US"/>
              </w:rPr>
              <w:t xml:space="preserve">May not be reasonable. It was noted in the March 2022 submission that </w:t>
            </w:r>
            <w:r w:rsidRPr="006B468C">
              <w:rPr>
                <w:rFonts w:ascii="Arial Narrow" w:hAnsi="Arial Narrow" w:cs="Times New Roman"/>
                <w:sz w:val="20"/>
                <w:szCs w:val="22"/>
                <w:shd w:val="clear" w:color="auto" w:fill="C6D9F1" w:themeFill="text2" w:themeFillTint="33"/>
                <w:lang w:eastAsia="en-US"/>
              </w:rPr>
              <w:t>BKZ may be more likely to substitute products with a similar mechanism of action (paragraph 6.82, BKZ PSD</w:t>
            </w:r>
            <w:r w:rsidRPr="00544D86">
              <w:rPr>
                <w:rFonts w:ascii="Arial Narrow" w:hAnsi="Arial Narrow" w:cs="Times New Roman"/>
                <w:i/>
                <w:sz w:val="20"/>
                <w:szCs w:val="22"/>
                <w:shd w:val="clear" w:color="auto" w:fill="C6D9F1" w:themeFill="text2" w:themeFillTint="33"/>
                <w:lang w:eastAsia="en-US"/>
              </w:rPr>
              <w:t xml:space="preserve">, </w:t>
            </w:r>
            <w:r w:rsidRPr="006B468C">
              <w:rPr>
                <w:rFonts w:ascii="Arial Narrow" w:hAnsi="Arial Narrow" w:cs="Times New Roman"/>
                <w:iCs/>
                <w:sz w:val="20"/>
                <w:szCs w:val="22"/>
                <w:shd w:val="clear" w:color="auto" w:fill="C6D9F1" w:themeFill="text2" w:themeFillTint="33"/>
                <w:lang w:eastAsia="en-US"/>
              </w:rPr>
              <w:t>March 2022 PBAC Meeting).</w:t>
            </w:r>
          </w:p>
        </w:tc>
      </w:tr>
      <w:tr w:rsidR="00DD5540" w:rsidRPr="00151502" w14:paraId="645018B4" w14:textId="77777777" w:rsidTr="005824F0">
        <w:tc>
          <w:tcPr>
            <w:tcW w:w="627" w:type="pct"/>
            <w:shd w:val="clear" w:color="auto" w:fill="C6D9F1" w:themeFill="text2" w:themeFillTint="33"/>
          </w:tcPr>
          <w:p w14:paraId="37D6C079"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BKZ pack equivalence (substitution rate</w:t>
            </w:r>
            <w:r>
              <w:rPr>
                <w:rFonts w:ascii="Arial Narrow" w:hAnsi="Arial Narrow" w:cs="Times New Roman"/>
                <w:sz w:val="20"/>
                <w:szCs w:val="22"/>
                <w:lang w:eastAsia="en-US"/>
              </w:rPr>
              <w:t>)</w:t>
            </w:r>
          </w:p>
        </w:tc>
        <w:tc>
          <w:tcPr>
            <w:tcW w:w="1277" w:type="pct"/>
            <w:shd w:val="clear" w:color="auto" w:fill="C6D9F1" w:themeFill="text2" w:themeFillTint="33"/>
          </w:tcPr>
          <w:tbl>
            <w:tblPr>
              <w:tblStyle w:val="TableGrid"/>
              <w:tblW w:w="2122" w:type="dxa"/>
              <w:tblCellMar>
                <w:left w:w="28" w:type="dxa"/>
                <w:right w:w="28" w:type="dxa"/>
              </w:tblCellMar>
              <w:tblLook w:val="04A0" w:firstRow="1" w:lastRow="0" w:firstColumn="1" w:lastColumn="0" w:noHBand="0" w:noVBand="1"/>
            </w:tblPr>
            <w:tblGrid>
              <w:gridCol w:w="995"/>
              <w:gridCol w:w="560"/>
              <w:gridCol w:w="567"/>
            </w:tblGrid>
            <w:tr w:rsidR="00DD5540" w:rsidRPr="00151502" w14:paraId="45A4A898" w14:textId="77777777" w:rsidTr="005824F0">
              <w:tc>
                <w:tcPr>
                  <w:tcW w:w="995" w:type="dxa"/>
                </w:tcPr>
                <w:p w14:paraId="44A2B6A0" w14:textId="77777777" w:rsidR="00DD5540" w:rsidRPr="00151502" w:rsidRDefault="00DD5540" w:rsidP="005824F0">
                  <w:pPr>
                    <w:jc w:val="left"/>
                    <w:rPr>
                      <w:rFonts w:ascii="Arial Narrow" w:hAnsi="Arial Narrow" w:cs="Times New Roman"/>
                      <w:b/>
                      <w:bCs/>
                      <w:sz w:val="20"/>
                      <w:szCs w:val="20"/>
                      <w:lang w:eastAsia="en-US"/>
                    </w:rPr>
                  </w:pPr>
                  <w:r w:rsidRPr="00151502">
                    <w:rPr>
                      <w:rFonts w:ascii="Arial Narrow" w:hAnsi="Arial Narrow" w:cs="Times New Roman"/>
                      <w:b/>
                      <w:bCs/>
                      <w:sz w:val="20"/>
                      <w:szCs w:val="20"/>
                      <w:lang w:eastAsia="en-US"/>
                    </w:rPr>
                    <w:t>BKZ substitution</w:t>
                  </w:r>
                </w:p>
              </w:tc>
              <w:tc>
                <w:tcPr>
                  <w:tcW w:w="560" w:type="dxa"/>
                </w:tcPr>
                <w:p w14:paraId="3144FBB5" w14:textId="77777777" w:rsidR="00DD5540" w:rsidRPr="00151502" w:rsidRDefault="00DD5540" w:rsidP="005824F0">
                  <w:pPr>
                    <w:jc w:val="left"/>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Init</w:t>
                  </w:r>
                </w:p>
              </w:tc>
              <w:tc>
                <w:tcPr>
                  <w:tcW w:w="567" w:type="dxa"/>
                </w:tcPr>
                <w:p w14:paraId="3E791197" w14:textId="77777777" w:rsidR="00DD5540" w:rsidRPr="00151502" w:rsidRDefault="00DD5540" w:rsidP="005824F0">
                  <w:pPr>
                    <w:jc w:val="left"/>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Cont</w:t>
                  </w:r>
                </w:p>
              </w:tc>
            </w:tr>
            <w:tr w:rsidR="00DD5540" w:rsidRPr="00151502" w14:paraId="0A03ED73" w14:textId="77777777" w:rsidTr="005824F0">
              <w:tc>
                <w:tcPr>
                  <w:tcW w:w="995" w:type="dxa"/>
                  <w:vAlign w:val="bottom"/>
                </w:tcPr>
                <w:p w14:paraId="58E4A7C8"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560" w:type="dxa"/>
                </w:tcPr>
                <w:p w14:paraId="57059852"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0CB15483" w14:textId="77777777" w:rsidR="00DD5540" w:rsidRPr="00151502" w:rsidRDefault="00DD5540" w:rsidP="005824F0">
                  <w:pPr>
                    <w:jc w:val="left"/>
                    <w:rPr>
                      <w:rFonts w:ascii="Arial Narrow" w:hAnsi="Arial Narrow" w:cs="Calibri"/>
                      <w:color w:val="000000"/>
                      <w:sz w:val="20"/>
                      <w:szCs w:val="20"/>
                      <w:lang w:eastAsia="en-US"/>
                    </w:rPr>
                  </w:pPr>
                  <w:r w:rsidRPr="00151502">
                    <w:rPr>
                      <w:rFonts w:ascii="Arial Narrow" w:hAnsi="Arial Narrow" w:cs="Calibri"/>
                      <w:color w:val="000000"/>
                      <w:sz w:val="20"/>
                      <w:szCs w:val="20"/>
                      <w:lang w:eastAsia="en-US"/>
                    </w:rPr>
                    <w:t>1.5</w:t>
                  </w:r>
                </w:p>
              </w:tc>
            </w:tr>
            <w:tr w:rsidR="00DD5540" w:rsidRPr="00151502" w14:paraId="275330F2" w14:textId="77777777" w:rsidTr="005824F0">
              <w:tc>
                <w:tcPr>
                  <w:tcW w:w="995" w:type="dxa"/>
                  <w:vAlign w:val="center"/>
                </w:tcPr>
                <w:p w14:paraId="53B90FA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560" w:type="dxa"/>
                </w:tcPr>
                <w:p w14:paraId="7D9B0A7A"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1.53</w:t>
                  </w:r>
                </w:p>
              </w:tc>
              <w:tc>
                <w:tcPr>
                  <w:tcW w:w="567" w:type="dxa"/>
                  <w:vAlign w:val="center"/>
                </w:tcPr>
                <w:p w14:paraId="3FEDF816"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0.5</w:t>
                  </w:r>
                </w:p>
              </w:tc>
            </w:tr>
            <w:tr w:rsidR="00DD5540" w:rsidRPr="00151502" w14:paraId="6239C920" w14:textId="77777777" w:rsidTr="005824F0">
              <w:tc>
                <w:tcPr>
                  <w:tcW w:w="995" w:type="dxa"/>
                  <w:vAlign w:val="center"/>
                </w:tcPr>
                <w:p w14:paraId="3D897C4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560" w:type="dxa"/>
                </w:tcPr>
                <w:p w14:paraId="5E7234EB"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1.11</w:t>
                  </w:r>
                </w:p>
              </w:tc>
              <w:tc>
                <w:tcPr>
                  <w:tcW w:w="567" w:type="dxa"/>
                  <w:vAlign w:val="center"/>
                </w:tcPr>
                <w:p w14:paraId="5E64F5E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1.0</w:t>
                  </w:r>
                </w:p>
              </w:tc>
            </w:tr>
            <w:tr w:rsidR="00DD5540" w:rsidRPr="00151502" w14:paraId="5132FA27" w14:textId="77777777" w:rsidTr="005824F0">
              <w:tc>
                <w:tcPr>
                  <w:tcW w:w="995" w:type="dxa"/>
                  <w:vAlign w:val="center"/>
                </w:tcPr>
                <w:p w14:paraId="5DE5AB4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560" w:type="dxa"/>
                </w:tcPr>
                <w:p w14:paraId="4EE9077B"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5CD0CC1A" w14:textId="77777777" w:rsidR="00DD5540" w:rsidRPr="00151502" w:rsidRDefault="00DD5540" w:rsidP="005824F0">
                  <w:pPr>
                    <w:jc w:val="left"/>
                    <w:rPr>
                      <w:rFonts w:ascii="Arial Narrow" w:hAnsi="Arial Narrow" w:cs="Calibri"/>
                      <w:color w:val="000000"/>
                      <w:sz w:val="20"/>
                      <w:szCs w:val="20"/>
                      <w:lang w:eastAsia="en-US"/>
                    </w:rPr>
                  </w:pPr>
                  <w:r w:rsidRPr="00151502">
                    <w:rPr>
                      <w:rFonts w:ascii="Arial Narrow" w:hAnsi="Arial Narrow" w:cs="Times New Roman"/>
                      <w:sz w:val="20"/>
                      <w:szCs w:val="22"/>
                      <w:lang w:eastAsia="en-US"/>
                    </w:rPr>
                    <w:t>1.0</w:t>
                  </w:r>
                </w:p>
              </w:tc>
            </w:tr>
            <w:tr w:rsidR="00DD5540" w:rsidRPr="00151502" w14:paraId="718E5052" w14:textId="77777777" w:rsidTr="005824F0">
              <w:tc>
                <w:tcPr>
                  <w:tcW w:w="995" w:type="dxa"/>
                  <w:vAlign w:val="center"/>
                </w:tcPr>
                <w:p w14:paraId="2BB39BE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560" w:type="dxa"/>
                </w:tcPr>
                <w:p w14:paraId="24710925"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1F789F9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1.5</w:t>
                  </w:r>
                </w:p>
              </w:tc>
            </w:tr>
            <w:tr w:rsidR="00DD5540" w:rsidRPr="00151502" w14:paraId="0D7ECDB2" w14:textId="77777777" w:rsidTr="005824F0">
              <w:tc>
                <w:tcPr>
                  <w:tcW w:w="995" w:type="dxa"/>
                  <w:vAlign w:val="center"/>
                </w:tcPr>
                <w:p w14:paraId="7BAC410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560" w:type="dxa"/>
                </w:tcPr>
                <w:p w14:paraId="1A48022A"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5787BD87"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1.5</w:t>
                  </w:r>
                </w:p>
              </w:tc>
            </w:tr>
            <w:tr w:rsidR="00DD5540" w:rsidRPr="00151502" w14:paraId="7704C523" w14:textId="77777777" w:rsidTr="005824F0">
              <w:tc>
                <w:tcPr>
                  <w:tcW w:w="995" w:type="dxa"/>
                  <w:vAlign w:val="center"/>
                </w:tcPr>
                <w:p w14:paraId="54A5DD7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560" w:type="dxa"/>
                </w:tcPr>
                <w:p w14:paraId="7A2EC43F"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1.0</w:t>
                  </w:r>
                </w:p>
              </w:tc>
              <w:tc>
                <w:tcPr>
                  <w:tcW w:w="567" w:type="dxa"/>
                  <w:vAlign w:val="center"/>
                </w:tcPr>
                <w:p w14:paraId="6F2B9BCC" w14:textId="77777777" w:rsidR="00DD5540" w:rsidRPr="00151502" w:rsidRDefault="00DD5540" w:rsidP="005824F0">
                  <w:pPr>
                    <w:jc w:val="left"/>
                    <w:rPr>
                      <w:rFonts w:ascii="Arial Narrow" w:hAnsi="Arial Narrow" w:cs="Times New Roman"/>
                      <w:i/>
                      <w:iCs/>
                      <w:sz w:val="20"/>
                      <w:szCs w:val="20"/>
                      <w:lang w:eastAsia="en-US"/>
                    </w:rPr>
                  </w:pPr>
                  <w:r w:rsidRPr="00151502">
                    <w:rPr>
                      <w:rFonts w:ascii="Arial Narrow" w:hAnsi="Arial Narrow" w:cs="Times New Roman"/>
                      <w:i/>
                      <w:iCs/>
                      <w:sz w:val="20"/>
                      <w:szCs w:val="22"/>
                      <w:lang w:eastAsia="en-US"/>
                    </w:rPr>
                    <w:t>0.5</w:t>
                  </w:r>
                </w:p>
              </w:tc>
            </w:tr>
            <w:tr w:rsidR="00DD5540" w:rsidRPr="00151502" w14:paraId="494DD85C" w14:textId="77777777" w:rsidTr="005824F0">
              <w:tc>
                <w:tcPr>
                  <w:tcW w:w="995" w:type="dxa"/>
                  <w:vAlign w:val="center"/>
                </w:tcPr>
                <w:p w14:paraId="0D0BBC70"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560" w:type="dxa"/>
                </w:tcPr>
                <w:p w14:paraId="1648DDBF"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1.25</w:t>
                  </w:r>
                </w:p>
              </w:tc>
              <w:tc>
                <w:tcPr>
                  <w:tcW w:w="567" w:type="dxa"/>
                  <w:vAlign w:val="center"/>
                </w:tcPr>
                <w:p w14:paraId="046F9FB0" w14:textId="77777777" w:rsidR="00DD5540" w:rsidRPr="00151502" w:rsidRDefault="00DD5540" w:rsidP="005824F0">
                  <w:pPr>
                    <w:jc w:val="left"/>
                    <w:rPr>
                      <w:rFonts w:ascii="Arial Narrow" w:hAnsi="Arial Narrow" w:cs="Times New Roman"/>
                      <w:i/>
                      <w:iCs/>
                      <w:sz w:val="20"/>
                      <w:szCs w:val="22"/>
                      <w:lang w:eastAsia="en-US"/>
                    </w:rPr>
                  </w:pPr>
                  <w:r w:rsidRPr="00151502">
                    <w:rPr>
                      <w:rFonts w:ascii="Arial Narrow" w:hAnsi="Arial Narrow" w:cs="Times New Roman"/>
                      <w:i/>
                      <w:iCs/>
                      <w:sz w:val="20"/>
                      <w:szCs w:val="22"/>
                      <w:lang w:eastAsia="en-US"/>
                    </w:rPr>
                    <w:t>0.5</w:t>
                  </w:r>
                </w:p>
              </w:tc>
            </w:tr>
          </w:tbl>
          <w:p w14:paraId="4A722ED1" w14:textId="77777777" w:rsidR="00DD5540" w:rsidRPr="00151502" w:rsidRDefault="00DD5540" w:rsidP="005824F0">
            <w:pPr>
              <w:jc w:val="left"/>
              <w:rPr>
                <w:rFonts w:ascii="Arial Narrow" w:hAnsi="Arial Narrow" w:cs="Times New Roman"/>
                <w:b/>
                <w:bCs/>
                <w:sz w:val="20"/>
                <w:szCs w:val="20"/>
                <w:lang w:eastAsia="en-US"/>
              </w:rPr>
            </w:pPr>
          </w:p>
        </w:tc>
        <w:tc>
          <w:tcPr>
            <w:tcW w:w="1278" w:type="pct"/>
            <w:shd w:val="clear" w:color="auto" w:fill="C6D9F1" w:themeFill="text2" w:themeFillTint="33"/>
          </w:tcPr>
          <w:p w14:paraId="197AE943"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iCs/>
                <w:sz w:val="20"/>
                <w:szCs w:val="22"/>
                <w:lang w:eastAsia="en-US"/>
              </w:rPr>
              <w:t>No change.</w:t>
            </w:r>
          </w:p>
        </w:tc>
        <w:tc>
          <w:tcPr>
            <w:tcW w:w="640" w:type="pct"/>
            <w:shd w:val="clear" w:color="auto" w:fill="C6D9F1" w:themeFill="text2" w:themeFillTint="33"/>
          </w:tcPr>
          <w:p w14:paraId="1B5360F2" w14:textId="1727B77E" w:rsidR="00DD5540" w:rsidRPr="00151502" w:rsidRDefault="00F07721"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 xml:space="preserve">Number of packs supplied for initial and continuing treatment for BKZ relative </w:t>
            </w:r>
            <w:r w:rsidR="00DD5540" w:rsidRPr="00151502">
              <w:rPr>
                <w:rFonts w:ascii="Arial Narrow" w:hAnsi="Arial Narrow" w:cs="Times New Roman"/>
                <w:sz w:val="20"/>
                <w:szCs w:val="22"/>
                <w:lang w:eastAsia="en-US"/>
              </w:rPr>
              <w:t xml:space="preserve">to comparator </w:t>
            </w:r>
          </w:p>
        </w:tc>
        <w:tc>
          <w:tcPr>
            <w:tcW w:w="1178" w:type="pct"/>
            <w:shd w:val="clear" w:color="auto" w:fill="C6D9F1" w:themeFill="text2" w:themeFillTint="33"/>
          </w:tcPr>
          <w:p w14:paraId="611ED4A1" w14:textId="77777777" w:rsidR="0064282B" w:rsidRPr="0055624C" w:rsidRDefault="0064282B" w:rsidP="005824F0">
            <w:pPr>
              <w:jc w:val="left"/>
              <w:rPr>
                <w:rFonts w:ascii="Arial Narrow" w:hAnsi="Arial Narrow" w:cs="Times New Roman"/>
                <w:iCs/>
                <w:sz w:val="20"/>
                <w:szCs w:val="22"/>
                <w:lang w:eastAsia="en-US"/>
              </w:rPr>
            </w:pPr>
          </w:p>
          <w:p w14:paraId="68BAE0D4" w14:textId="0B4D71FA" w:rsidR="0064282B" w:rsidRPr="00452128" w:rsidRDefault="0064282B" w:rsidP="005824F0">
            <w:pPr>
              <w:jc w:val="left"/>
              <w:rPr>
                <w:rFonts w:ascii="Arial Narrow" w:hAnsi="Arial Narrow" w:cs="Times New Roman"/>
                <w:i/>
                <w:sz w:val="20"/>
                <w:szCs w:val="22"/>
                <w:lang w:eastAsia="en-US"/>
              </w:rPr>
            </w:pPr>
            <w:r w:rsidRPr="0055624C">
              <w:rPr>
                <w:rFonts w:ascii="Arial Narrow" w:hAnsi="Arial Narrow" w:cs="Times New Roman"/>
                <w:iCs/>
                <w:sz w:val="20"/>
                <w:szCs w:val="22"/>
                <w:lang w:eastAsia="en-US"/>
              </w:rPr>
              <w:t>The number of packs estimated to be supplied for SEC initial treatment could not be verified</w:t>
            </w:r>
          </w:p>
        </w:tc>
      </w:tr>
      <w:tr w:rsidR="00DD5540" w:rsidRPr="00151502" w14:paraId="31150A1A" w14:textId="77777777" w:rsidTr="005824F0">
        <w:tc>
          <w:tcPr>
            <w:tcW w:w="5000" w:type="pct"/>
            <w:gridSpan w:val="5"/>
            <w:shd w:val="clear" w:color="auto" w:fill="C6D9F1" w:themeFill="text2" w:themeFillTint="33"/>
          </w:tcPr>
          <w:p w14:paraId="6FD09C9C" w14:textId="77777777" w:rsidR="00DD5540" w:rsidRPr="00713B63" w:rsidRDefault="00DD5540" w:rsidP="005824F0">
            <w:pPr>
              <w:jc w:val="left"/>
              <w:rPr>
                <w:rFonts w:ascii="Arial Narrow" w:hAnsi="Arial Narrow" w:cs="Times New Roman"/>
                <w:i/>
                <w:sz w:val="20"/>
                <w:szCs w:val="22"/>
                <w:lang w:eastAsia="en-US"/>
              </w:rPr>
            </w:pPr>
            <w:r w:rsidRPr="004822A9">
              <w:rPr>
                <w:rFonts w:ascii="Arial Narrow" w:hAnsi="Arial Narrow" w:cs="Times New Roman"/>
                <w:b/>
                <w:bCs/>
                <w:sz w:val="20"/>
                <w:szCs w:val="22"/>
                <w:lang w:eastAsia="en-US"/>
              </w:rPr>
              <w:t>Costs</w:t>
            </w:r>
          </w:p>
        </w:tc>
      </w:tr>
      <w:tr w:rsidR="00DD5540" w:rsidRPr="00151502" w14:paraId="3F3CCA07" w14:textId="77777777" w:rsidTr="0055624C">
        <w:trPr>
          <w:trHeight w:val="2457"/>
        </w:trPr>
        <w:tc>
          <w:tcPr>
            <w:tcW w:w="627" w:type="pct"/>
            <w:shd w:val="clear" w:color="auto" w:fill="auto"/>
          </w:tcPr>
          <w:p w14:paraId="0F3163FC"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BKZ and c</w:t>
            </w:r>
            <w:r w:rsidRPr="00151502">
              <w:rPr>
                <w:rFonts w:ascii="Arial Narrow" w:hAnsi="Arial Narrow" w:cs="Times New Roman"/>
                <w:sz w:val="20"/>
                <w:szCs w:val="22"/>
                <w:lang w:eastAsia="en-US"/>
              </w:rPr>
              <w:t>omparators</w:t>
            </w:r>
          </w:p>
        </w:tc>
        <w:tc>
          <w:tcPr>
            <w:tcW w:w="1277" w:type="pct"/>
            <w:shd w:val="clear" w:color="auto" w:fill="C6D9F1" w:themeFill="text2" w:themeFillTint="33"/>
          </w:tcPr>
          <w:tbl>
            <w:tblPr>
              <w:tblStyle w:val="TableGrid"/>
              <w:tblW w:w="2122" w:type="dxa"/>
              <w:tblCellMar>
                <w:left w:w="28" w:type="dxa"/>
                <w:right w:w="28" w:type="dxa"/>
              </w:tblCellMar>
              <w:tblLook w:val="04A0" w:firstRow="1" w:lastRow="0" w:firstColumn="1" w:lastColumn="0" w:noHBand="0" w:noVBand="1"/>
            </w:tblPr>
            <w:tblGrid>
              <w:gridCol w:w="714"/>
              <w:gridCol w:w="1408"/>
            </w:tblGrid>
            <w:tr w:rsidR="00DD5540" w:rsidRPr="00151502" w14:paraId="480B7166" w14:textId="77777777" w:rsidTr="005824F0">
              <w:tc>
                <w:tcPr>
                  <w:tcW w:w="714" w:type="dxa"/>
                  <w:vAlign w:val="bottom"/>
                </w:tcPr>
                <w:p w14:paraId="74D57A88" w14:textId="77777777" w:rsidR="00DD5540" w:rsidRPr="00151502" w:rsidRDefault="00DD5540" w:rsidP="005824F0">
                  <w:pPr>
                    <w:jc w:val="left"/>
                    <w:rPr>
                      <w:rFonts w:ascii="Arial Narrow" w:hAnsi="Arial Narrow" w:cs="Times New Roman"/>
                      <w:sz w:val="20"/>
                      <w:szCs w:val="20"/>
                      <w:lang w:eastAsia="en-US"/>
                    </w:rPr>
                  </w:pPr>
                  <w:r>
                    <w:rPr>
                      <w:rFonts w:ascii="Arial Narrow" w:hAnsi="Arial Narrow" w:cs="Times New Roman"/>
                      <w:sz w:val="20"/>
                      <w:szCs w:val="20"/>
                      <w:lang w:eastAsia="en-US"/>
                    </w:rPr>
                    <w:t>BKZ</w:t>
                  </w:r>
                </w:p>
              </w:tc>
              <w:tc>
                <w:tcPr>
                  <w:tcW w:w="1408" w:type="dxa"/>
                </w:tcPr>
                <w:p w14:paraId="3CCAB841"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$3,908.88</w:t>
                  </w:r>
                </w:p>
              </w:tc>
            </w:tr>
            <w:tr w:rsidR="00DD5540" w:rsidRPr="00151502" w14:paraId="4FD52E36" w14:textId="77777777" w:rsidTr="005824F0">
              <w:tc>
                <w:tcPr>
                  <w:tcW w:w="714" w:type="dxa"/>
                  <w:vAlign w:val="bottom"/>
                </w:tcPr>
                <w:p w14:paraId="7A0A437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76CA741B"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$3,943.23</w:t>
                  </w:r>
                </w:p>
              </w:tc>
            </w:tr>
            <w:tr w:rsidR="00DD5540" w:rsidRPr="00151502" w14:paraId="487168AF" w14:textId="77777777" w:rsidTr="005824F0">
              <w:tc>
                <w:tcPr>
                  <w:tcW w:w="714" w:type="dxa"/>
                  <w:vAlign w:val="center"/>
                </w:tcPr>
                <w:p w14:paraId="405AB7F1" w14:textId="77777777" w:rsidR="00DD5540" w:rsidRPr="00AC5983" w:rsidRDefault="00DD5540" w:rsidP="005824F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734F68B9" w14:textId="77777777" w:rsidR="00DD5540" w:rsidRPr="00F31D81" w:rsidRDefault="00DD5540" w:rsidP="005824F0">
                  <w:pPr>
                    <w:jc w:val="left"/>
                    <w:rPr>
                      <w:rFonts w:ascii="Arial Narrow" w:hAnsi="Arial Narrow" w:cs="Times New Roman"/>
                      <w:sz w:val="20"/>
                      <w:szCs w:val="22"/>
                      <w:lang w:eastAsia="en-US"/>
                    </w:rPr>
                  </w:pPr>
                  <w:r w:rsidRPr="00F31D81">
                    <w:rPr>
                      <w:rFonts w:ascii="Arial Narrow" w:hAnsi="Arial Narrow" w:cs="Times New Roman"/>
                      <w:sz w:val="20"/>
                      <w:szCs w:val="22"/>
                      <w:lang w:eastAsia="en-US"/>
                    </w:rPr>
                    <w:t>$1,403.68</w:t>
                  </w:r>
                </w:p>
              </w:tc>
            </w:tr>
            <w:tr w:rsidR="00DD5540" w:rsidRPr="00151502" w14:paraId="30F0D1A1" w14:textId="77777777" w:rsidTr="005824F0">
              <w:tc>
                <w:tcPr>
                  <w:tcW w:w="714" w:type="dxa"/>
                  <w:vAlign w:val="center"/>
                </w:tcPr>
                <w:p w14:paraId="41C9D59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77130D44"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$3,421.22</w:t>
                  </w:r>
                </w:p>
              </w:tc>
            </w:tr>
            <w:tr w:rsidR="00DD5540" w:rsidRPr="00151502" w14:paraId="6D87F553" w14:textId="77777777" w:rsidTr="005824F0">
              <w:tc>
                <w:tcPr>
                  <w:tcW w:w="714" w:type="dxa"/>
                  <w:vAlign w:val="center"/>
                </w:tcPr>
                <w:p w14:paraId="21A6E4EF"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1AA95754"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$3,795.84</w:t>
                  </w:r>
                </w:p>
              </w:tc>
            </w:tr>
            <w:tr w:rsidR="00DD5540" w:rsidRPr="00151502" w14:paraId="191170C4" w14:textId="77777777" w:rsidTr="005824F0">
              <w:tc>
                <w:tcPr>
                  <w:tcW w:w="714" w:type="dxa"/>
                  <w:vAlign w:val="center"/>
                </w:tcPr>
                <w:p w14:paraId="13DB59C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610F0A77"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$3,271.27</w:t>
                  </w:r>
                </w:p>
              </w:tc>
            </w:tr>
            <w:tr w:rsidR="00DD5540" w:rsidRPr="00151502" w14:paraId="77C866B8" w14:textId="77777777" w:rsidTr="005824F0">
              <w:tc>
                <w:tcPr>
                  <w:tcW w:w="714" w:type="dxa"/>
                  <w:vAlign w:val="center"/>
                </w:tcPr>
                <w:p w14:paraId="4D1FDA8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5A0E75C2"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$5,400.51</w:t>
                  </w:r>
                </w:p>
              </w:tc>
            </w:tr>
            <w:tr w:rsidR="00DD5540" w:rsidRPr="00151502" w14:paraId="060BD415" w14:textId="77777777" w:rsidTr="005824F0">
              <w:tc>
                <w:tcPr>
                  <w:tcW w:w="714" w:type="dxa"/>
                  <w:vAlign w:val="center"/>
                </w:tcPr>
                <w:p w14:paraId="5E19997A"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1721C83F"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$885.50</w:t>
                  </w:r>
                </w:p>
              </w:tc>
            </w:tr>
            <w:tr w:rsidR="00DD5540" w:rsidRPr="00151502" w14:paraId="4C6C264D" w14:textId="77777777" w:rsidTr="005824F0">
              <w:tc>
                <w:tcPr>
                  <w:tcW w:w="714" w:type="dxa"/>
                  <w:vAlign w:val="center"/>
                </w:tcPr>
                <w:p w14:paraId="0ED3F024"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73B045A1"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$1,050.14</w:t>
                  </w:r>
                </w:p>
              </w:tc>
            </w:tr>
          </w:tbl>
          <w:p w14:paraId="6C0638B4" w14:textId="77777777" w:rsidR="00DD5540" w:rsidRPr="00151502" w:rsidRDefault="00DD5540" w:rsidP="005824F0">
            <w:pPr>
              <w:jc w:val="left"/>
              <w:rPr>
                <w:rFonts w:ascii="Arial Narrow" w:hAnsi="Arial Narrow" w:cs="Times New Roman"/>
                <w:sz w:val="20"/>
                <w:szCs w:val="22"/>
                <w:lang w:eastAsia="en-US"/>
              </w:rPr>
            </w:pPr>
          </w:p>
        </w:tc>
        <w:tc>
          <w:tcPr>
            <w:tcW w:w="1278" w:type="pct"/>
          </w:tcPr>
          <w:tbl>
            <w:tblPr>
              <w:tblStyle w:val="TableGrid"/>
              <w:tblW w:w="2122" w:type="dxa"/>
              <w:tblCellMar>
                <w:left w:w="28" w:type="dxa"/>
                <w:right w:w="28" w:type="dxa"/>
              </w:tblCellMar>
              <w:tblLook w:val="04A0" w:firstRow="1" w:lastRow="0" w:firstColumn="1" w:lastColumn="0" w:noHBand="0" w:noVBand="1"/>
            </w:tblPr>
            <w:tblGrid>
              <w:gridCol w:w="714"/>
              <w:gridCol w:w="1408"/>
            </w:tblGrid>
            <w:tr w:rsidR="00DD5540" w:rsidRPr="00151502" w14:paraId="4719470F" w14:textId="77777777" w:rsidTr="005824F0">
              <w:tc>
                <w:tcPr>
                  <w:tcW w:w="714" w:type="dxa"/>
                  <w:vAlign w:val="bottom"/>
                </w:tcPr>
                <w:p w14:paraId="45BA3E56" w14:textId="77777777" w:rsidR="00DD5540" w:rsidRPr="00151502" w:rsidRDefault="00DD5540" w:rsidP="005824F0">
                  <w:pPr>
                    <w:jc w:val="left"/>
                    <w:rPr>
                      <w:rFonts w:ascii="Arial Narrow" w:hAnsi="Arial Narrow" w:cs="Times New Roman"/>
                      <w:sz w:val="20"/>
                      <w:szCs w:val="20"/>
                      <w:lang w:eastAsia="en-US"/>
                    </w:rPr>
                  </w:pPr>
                  <w:r>
                    <w:rPr>
                      <w:rFonts w:ascii="Arial Narrow" w:hAnsi="Arial Narrow" w:cs="Times New Roman"/>
                      <w:sz w:val="20"/>
                      <w:szCs w:val="20"/>
                      <w:lang w:eastAsia="en-US"/>
                    </w:rPr>
                    <w:t>BKZ</w:t>
                  </w:r>
                </w:p>
              </w:tc>
              <w:tc>
                <w:tcPr>
                  <w:tcW w:w="1408" w:type="dxa"/>
                </w:tcPr>
                <w:p w14:paraId="14F64748" w14:textId="3C56250F"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2"/>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2"/>
                      <w:lang w:eastAsia="en-US"/>
                      <w14:textFill>
                        <w14:solidFill>
                          <w14:srgbClr w14:val="000000">
                            <w14:alpha w14:val="100000"/>
                          </w14:srgbClr>
                        </w14:solidFill>
                      </w14:textFill>
                    </w:rPr>
                    <w:t>|</w:t>
                  </w:r>
                </w:p>
              </w:tc>
            </w:tr>
            <w:tr w:rsidR="00DD5540" w:rsidRPr="00151502" w14:paraId="2AADA282" w14:textId="77777777" w:rsidTr="005824F0">
              <w:tc>
                <w:tcPr>
                  <w:tcW w:w="714" w:type="dxa"/>
                  <w:vAlign w:val="bottom"/>
                </w:tcPr>
                <w:p w14:paraId="2FC7E33E"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22657E5E" w14:textId="3ED7EB95"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1"/>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1"/>
                      <w:lang w:eastAsia="en-US"/>
                      <w14:textFill>
                        <w14:solidFill>
                          <w14:srgbClr w14:val="000000">
                            <w14:alpha w14:val="100000"/>
                          </w14:srgbClr>
                        </w14:solidFill>
                      </w14:textFill>
                    </w:rPr>
                    <w:t>|</w:t>
                  </w:r>
                </w:p>
              </w:tc>
            </w:tr>
            <w:tr w:rsidR="00DD5540" w:rsidRPr="00151502" w14:paraId="63C4FCD2" w14:textId="77777777" w:rsidTr="005824F0">
              <w:tc>
                <w:tcPr>
                  <w:tcW w:w="714" w:type="dxa"/>
                  <w:vAlign w:val="center"/>
                </w:tcPr>
                <w:p w14:paraId="62401E34" w14:textId="77777777" w:rsidR="00DD5540" w:rsidRPr="00AC5983" w:rsidRDefault="00DD5540" w:rsidP="005824F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50D3ADF2" w14:textId="633362DD" w:rsidR="00DD5540" w:rsidRPr="00BE13FA" w:rsidRDefault="00DD5540" w:rsidP="005824F0">
                  <w:pPr>
                    <w:jc w:val="left"/>
                    <w:rPr>
                      <w:rFonts w:ascii="Arial Narrow" w:hAnsi="Arial Narrow" w:cs="Times New Roman"/>
                      <w:sz w:val="20"/>
                      <w:szCs w:val="22"/>
                      <w:lang w:eastAsia="en-US"/>
                    </w:rPr>
                  </w:pPr>
                  <w:r w:rsidRPr="00BE13FA">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0"/>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0"/>
                      <w:lang w:eastAsia="en-US"/>
                      <w14:textFill>
                        <w14:solidFill>
                          <w14:srgbClr w14:val="000000">
                            <w14:alpha w14:val="100000"/>
                          </w14:srgbClr>
                        </w14:solidFill>
                      </w14:textFill>
                    </w:rPr>
                    <w:t>|</w:t>
                  </w:r>
                </w:p>
              </w:tc>
            </w:tr>
            <w:tr w:rsidR="00DD5540" w:rsidRPr="00151502" w14:paraId="220535CC" w14:textId="77777777" w:rsidTr="005824F0">
              <w:tc>
                <w:tcPr>
                  <w:tcW w:w="714" w:type="dxa"/>
                  <w:vAlign w:val="center"/>
                </w:tcPr>
                <w:p w14:paraId="1723F150"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58ED488D" w14:textId="5B9201AF"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6"/>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6"/>
                      <w:lang w:eastAsia="en-US"/>
                      <w14:textFill>
                        <w14:solidFill>
                          <w14:srgbClr w14:val="000000">
                            <w14:alpha w14:val="100000"/>
                          </w14:srgbClr>
                        </w14:solidFill>
                      </w14:textFill>
                    </w:rPr>
                    <w:t>|</w:t>
                  </w:r>
                </w:p>
              </w:tc>
            </w:tr>
            <w:tr w:rsidR="00DD5540" w:rsidRPr="00151502" w14:paraId="6261BD9A" w14:textId="77777777" w:rsidTr="005824F0">
              <w:tc>
                <w:tcPr>
                  <w:tcW w:w="714" w:type="dxa"/>
                  <w:vAlign w:val="center"/>
                </w:tcPr>
                <w:p w14:paraId="3CED8E27"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00734D1B" w14:textId="083DE45B"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5"/>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5"/>
                      <w:lang w:eastAsia="en-US"/>
                      <w14:textFill>
                        <w14:solidFill>
                          <w14:srgbClr w14:val="000000">
                            <w14:alpha w14:val="100000"/>
                          </w14:srgbClr>
                        </w14:solidFill>
                      </w14:textFill>
                    </w:rPr>
                    <w:t>|</w:t>
                  </w:r>
                </w:p>
              </w:tc>
            </w:tr>
            <w:tr w:rsidR="00DD5540" w:rsidRPr="00151502" w14:paraId="561BE7A2" w14:textId="77777777" w:rsidTr="005824F0">
              <w:tc>
                <w:tcPr>
                  <w:tcW w:w="714" w:type="dxa"/>
                  <w:vAlign w:val="center"/>
                </w:tcPr>
                <w:p w14:paraId="5AB3B10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3A9A8CE4" w14:textId="5E13463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4"/>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4"/>
                      <w:lang w:eastAsia="en-US"/>
                      <w14:textFill>
                        <w14:solidFill>
                          <w14:srgbClr w14:val="000000">
                            <w14:alpha w14:val="100000"/>
                          </w14:srgbClr>
                        </w14:solidFill>
                      </w14:textFill>
                    </w:rPr>
                    <w:t>|</w:t>
                  </w:r>
                </w:p>
              </w:tc>
            </w:tr>
            <w:tr w:rsidR="00DD5540" w:rsidRPr="00151502" w14:paraId="2FE859CC" w14:textId="77777777" w:rsidTr="005824F0">
              <w:tc>
                <w:tcPr>
                  <w:tcW w:w="714" w:type="dxa"/>
                  <w:vAlign w:val="center"/>
                </w:tcPr>
                <w:p w14:paraId="079225C5"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0CBFA9F8" w14:textId="067607A5"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3"/>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3"/>
                      <w:lang w:eastAsia="en-US"/>
                      <w14:textFill>
                        <w14:solidFill>
                          <w14:srgbClr w14:val="000000">
                            <w14:alpha w14:val="100000"/>
                          </w14:srgbClr>
                        </w14:solidFill>
                      </w14:textFill>
                    </w:rPr>
                    <w:t>|</w:t>
                  </w:r>
                </w:p>
              </w:tc>
            </w:tr>
            <w:tr w:rsidR="00DD5540" w:rsidRPr="00151502" w14:paraId="6E77B762" w14:textId="77777777" w:rsidTr="005824F0">
              <w:tc>
                <w:tcPr>
                  <w:tcW w:w="714" w:type="dxa"/>
                  <w:vAlign w:val="center"/>
                </w:tcPr>
                <w:p w14:paraId="7FC9C49E"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7A88D59C" w14:textId="3FA523D3"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2"/>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2"/>
                      <w:lang w:eastAsia="en-US"/>
                      <w14:textFill>
                        <w14:solidFill>
                          <w14:srgbClr w14:val="000000">
                            <w14:alpha w14:val="100000"/>
                          </w14:srgbClr>
                        </w14:solidFill>
                      </w14:textFill>
                    </w:rPr>
                    <w:t>|</w:t>
                  </w:r>
                </w:p>
              </w:tc>
            </w:tr>
            <w:tr w:rsidR="00DD5540" w:rsidRPr="00151502" w14:paraId="7A287259" w14:textId="77777777" w:rsidTr="005824F0">
              <w:tc>
                <w:tcPr>
                  <w:tcW w:w="714" w:type="dxa"/>
                  <w:vAlign w:val="center"/>
                </w:tcPr>
                <w:p w14:paraId="01C3123B"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339F1D01" w14:textId="74A7092C"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1"/>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1"/>
                      <w:lang w:eastAsia="en-US"/>
                      <w14:textFill>
                        <w14:solidFill>
                          <w14:srgbClr w14:val="000000">
                            <w14:alpha w14:val="100000"/>
                          </w14:srgbClr>
                        </w14:solidFill>
                      </w14:textFill>
                    </w:rPr>
                    <w:t>|</w:t>
                  </w:r>
                </w:p>
              </w:tc>
            </w:tr>
          </w:tbl>
          <w:p w14:paraId="7CB7C002" w14:textId="77777777" w:rsidR="00DD5540" w:rsidRDefault="00DD5540" w:rsidP="005824F0">
            <w:pPr>
              <w:jc w:val="left"/>
              <w:rPr>
                <w:rFonts w:ascii="Arial Narrow" w:hAnsi="Arial Narrow" w:cs="Times New Roman"/>
                <w:sz w:val="20"/>
                <w:szCs w:val="22"/>
                <w:lang w:eastAsia="en-US"/>
              </w:rPr>
            </w:pPr>
          </w:p>
          <w:p w14:paraId="304DFA59" w14:textId="77777777" w:rsidR="00DD5540" w:rsidRDefault="00DD5540" w:rsidP="005824F0">
            <w:pPr>
              <w:jc w:val="left"/>
              <w:rPr>
                <w:rFonts w:ascii="Arial Narrow" w:hAnsi="Arial Narrow" w:cs="Times New Roman"/>
                <w:sz w:val="20"/>
                <w:szCs w:val="22"/>
                <w:lang w:eastAsia="en-US"/>
              </w:rPr>
            </w:pPr>
          </w:p>
        </w:tc>
        <w:tc>
          <w:tcPr>
            <w:tcW w:w="640" w:type="pct"/>
            <w:shd w:val="clear" w:color="auto" w:fill="auto"/>
          </w:tcPr>
          <w:p w14:paraId="3A89F848"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lastRenderedPageBreak/>
              <w:t>Requested effective DPMQ for BKZ and estimated effective DPMQs for comparators (updated from published prices in March 2022).</w:t>
            </w:r>
          </w:p>
        </w:tc>
        <w:tc>
          <w:tcPr>
            <w:tcW w:w="1178" w:type="pct"/>
            <w:shd w:val="clear" w:color="auto" w:fill="auto"/>
          </w:tcPr>
          <w:p w14:paraId="5A06B4BA" w14:textId="15E7FBF3" w:rsidR="00DD5540" w:rsidRPr="0055624C" w:rsidRDefault="00DD5540" w:rsidP="00BA6C51">
            <w:pPr>
              <w:jc w:val="left"/>
              <w:rPr>
                <w:rFonts w:ascii="Arial Narrow" w:hAnsi="Arial Narrow" w:cs="Times New Roman"/>
                <w:sz w:val="20"/>
                <w:szCs w:val="22"/>
                <w:lang w:eastAsia="en-US"/>
              </w:rPr>
            </w:pPr>
            <w:r w:rsidRPr="00BA6C51">
              <w:rPr>
                <w:rFonts w:ascii="Arial Narrow" w:hAnsi="Arial Narrow" w:cs="Times New Roman"/>
                <w:sz w:val="20"/>
                <w:szCs w:val="22"/>
                <w:lang w:eastAsia="en-US"/>
              </w:rPr>
              <w:t xml:space="preserve">The </w:t>
            </w:r>
            <w:r w:rsidR="007303A7">
              <w:rPr>
                <w:rFonts w:ascii="Arial Narrow" w:hAnsi="Arial Narrow" w:cs="Times New Roman"/>
                <w:sz w:val="20"/>
                <w:szCs w:val="22"/>
                <w:lang w:eastAsia="en-US"/>
              </w:rPr>
              <w:t xml:space="preserve">current </w:t>
            </w:r>
            <w:r w:rsidR="00BA6C51">
              <w:rPr>
                <w:rFonts w:ascii="Arial Narrow" w:hAnsi="Arial Narrow" w:cs="Times New Roman"/>
                <w:sz w:val="20"/>
                <w:szCs w:val="22"/>
                <w:lang w:eastAsia="en-US"/>
              </w:rPr>
              <w:t xml:space="preserve">submission noted that </w:t>
            </w:r>
            <w:r w:rsidR="00BA6C51" w:rsidRPr="00BA6C51">
              <w:rPr>
                <w:rFonts w:ascii="Arial Narrow" w:hAnsi="Arial Narrow" w:cs="Times New Roman"/>
                <w:sz w:val="20"/>
                <w:szCs w:val="22"/>
                <w:lang w:eastAsia="en-US"/>
              </w:rPr>
              <w:t xml:space="preserve">estimated effective </w:t>
            </w:r>
            <w:r w:rsidRPr="00BA6C51">
              <w:rPr>
                <w:rFonts w:ascii="Arial Narrow" w:hAnsi="Arial Narrow" w:cs="Times New Roman"/>
                <w:sz w:val="20"/>
                <w:szCs w:val="22"/>
                <w:lang w:eastAsia="en-US"/>
              </w:rPr>
              <w:t>prices of ADA and ETN used in the financial estimates are higher than the prices used in</w:t>
            </w:r>
            <w:r w:rsidR="006B468C">
              <w:rPr>
                <w:rFonts w:ascii="Arial Narrow" w:hAnsi="Arial Narrow" w:cs="Times New Roman"/>
                <w:sz w:val="20"/>
                <w:szCs w:val="22"/>
                <w:lang w:eastAsia="en-US"/>
              </w:rPr>
              <w:t xml:space="preserve"> the economic analysis</w:t>
            </w:r>
            <w:r w:rsidR="00BA6C51">
              <w:rPr>
                <w:rFonts w:ascii="Arial Narrow" w:hAnsi="Arial Narrow" w:cs="Times New Roman"/>
                <w:sz w:val="20"/>
                <w:szCs w:val="22"/>
                <w:lang w:eastAsia="en-US"/>
              </w:rPr>
              <w:t xml:space="preserve">, because they do not account for the indication </w:t>
            </w:r>
            <w:r w:rsidR="00BA6C51" w:rsidRPr="0055624C">
              <w:rPr>
                <w:rFonts w:ascii="Arial Narrow" w:hAnsi="Arial Narrow" w:cs="Times New Roman"/>
                <w:sz w:val="20"/>
                <w:szCs w:val="22"/>
                <w:lang w:eastAsia="en-US"/>
              </w:rPr>
              <w:t xml:space="preserve">specific discount. </w:t>
            </w:r>
          </w:p>
          <w:p w14:paraId="39E5C82A" w14:textId="13D9C251" w:rsidR="00DD5540" w:rsidRPr="00246EE6" w:rsidRDefault="00BA6C51" w:rsidP="00F8704E">
            <w:pPr>
              <w:jc w:val="left"/>
              <w:rPr>
                <w:rFonts w:ascii="Arial Narrow" w:hAnsi="Arial Narrow" w:cs="Times New Roman"/>
                <w:i/>
                <w:sz w:val="20"/>
                <w:szCs w:val="22"/>
                <w:lang w:eastAsia="en-US"/>
              </w:rPr>
            </w:pPr>
            <w:r w:rsidRPr="0055624C">
              <w:rPr>
                <w:rFonts w:ascii="Arial Narrow" w:hAnsi="Arial Narrow" w:cs="Times New Roman"/>
                <w:sz w:val="20"/>
                <w:szCs w:val="22"/>
                <w:lang w:eastAsia="en-US"/>
              </w:rPr>
              <w:lastRenderedPageBreak/>
              <w:t>The estimated effective price for SEC also differed slightly</w:t>
            </w:r>
            <w:r w:rsidR="006B468C">
              <w:rPr>
                <w:rFonts w:ascii="Arial Narrow" w:hAnsi="Arial Narrow" w:cs="Times New Roman"/>
                <w:sz w:val="20"/>
                <w:szCs w:val="22"/>
                <w:lang w:eastAsia="en-US"/>
              </w:rPr>
              <w:t>.</w:t>
            </w:r>
          </w:p>
        </w:tc>
      </w:tr>
    </w:tbl>
    <w:p w14:paraId="0FDCCDAB" w14:textId="7D57665A" w:rsidR="00DD5540" w:rsidRPr="003C7F92" w:rsidRDefault="007303A7" w:rsidP="00DD5540">
      <w:pPr>
        <w:widowControl w:val="0"/>
        <w:rPr>
          <w:rFonts w:ascii="Arial Narrow" w:hAnsi="Arial Narrow"/>
          <w:snapToGrid w:val="0"/>
          <w:sz w:val="18"/>
          <w:szCs w:val="18"/>
          <w:lang w:eastAsia="en-US"/>
        </w:rPr>
      </w:pPr>
      <w:r>
        <w:rPr>
          <w:rFonts w:ascii="Arial Narrow" w:hAnsi="Arial Narrow"/>
          <w:snapToGrid w:val="0"/>
          <w:sz w:val="18"/>
          <w:szCs w:val="18"/>
          <w:lang w:eastAsia="en-US"/>
        </w:rPr>
        <w:lastRenderedPageBreak/>
        <w:t xml:space="preserve">Source: p272 of the current </w:t>
      </w:r>
      <w:r w:rsidR="00DD5540" w:rsidRPr="003C7F92">
        <w:rPr>
          <w:rFonts w:ascii="Arial Narrow" w:hAnsi="Arial Narrow"/>
          <w:snapToGrid w:val="0"/>
          <w:sz w:val="18"/>
          <w:szCs w:val="18"/>
          <w:lang w:eastAsia="en-US"/>
        </w:rPr>
        <w:t>submission; Section 4 spreadsheet</w:t>
      </w:r>
    </w:p>
    <w:p w14:paraId="24CAC7BA" w14:textId="77777777" w:rsidR="00DD5540" w:rsidRPr="003C7F92" w:rsidRDefault="00DD5540" w:rsidP="00DD5540">
      <w:pPr>
        <w:pStyle w:val="TableFigureFooter"/>
        <w:rPr>
          <w:szCs w:val="18"/>
        </w:rPr>
      </w:pPr>
      <w:r w:rsidRPr="003C7F92">
        <w:rPr>
          <w:szCs w:val="18"/>
        </w:rPr>
        <w:t>ADA = adalimumab; BSC = best supportive care; BKZ = bimekizumab; ETN = etanercept; GUS = guselkumab; IFX = infliximab; IXE = ixekizumab; RIS = risankizumab; SEC = secukinumab; TIL = tildrakizumab; UST = ustekinumab.</w:t>
      </w:r>
    </w:p>
    <w:bookmarkStart w:id="51" w:name="_Ref104805295"/>
    <w:p w14:paraId="49BD4AFD" w14:textId="5270AFEB" w:rsidR="00AF018A" w:rsidRDefault="00D30B8D" w:rsidP="00D30B8D">
      <w:pPr>
        <w:pStyle w:val="3-BodyText"/>
      </w:pPr>
      <w:r>
        <w:fldChar w:fldCharType="begin"/>
      </w:r>
      <w:r>
        <w:instrText xml:space="preserve"> REF _Ref124164027 \h </w:instrText>
      </w:r>
      <w:r>
        <w:fldChar w:fldCharType="separate"/>
      </w:r>
      <w:r w:rsidR="003F1ED3">
        <w:t xml:space="preserve">Table </w:t>
      </w:r>
      <w:r w:rsidR="003F1ED3">
        <w:rPr>
          <w:noProof/>
        </w:rPr>
        <w:t>10</w:t>
      </w:r>
      <w:r>
        <w:fldChar w:fldCharType="end"/>
      </w:r>
      <w:r>
        <w:t xml:space="preserve"> </w:t>
      </w:r>
      <w:r w:rsidR="00AF018A">
        <w:t>presents</w:t>
      </w:r>
      <w:r w:rsidR="00AF018A" w:rsidRPr="00151502">
        <w:t xml:space="preserve"> the estimated use and financial implications of BKZ listing.</w:t>
      </w:r>
    </w:p>
    <w:p w14:paraId="75B56568" w14:textId="3DA68F40" w:rsidR="00DD5540" w:rsidRPr="00606FBA" w:rsidRDefault="00DD5540" w:rsidP="00DD5540">
      <w:pPr>
        <w:pStyle w:val="Caption"/>
      </w:pPr>
      <w:bookmarkStart w:id="52" w:name="_Ref124164027"/>
      <w:r>
        <w:t xml:space="preserve">Table </w:t>
      </w:r>
      <w:fldSimple w:instr=" SEQ Table \* ARABIC ">
        <w:r w:rsidR="003F1ED3">
          <w:rPr>
            <w:noProof/>
          </w:rPr>
          <w:t>10</w:t>
        </w:r>
      </w:fldSimple>
      <w:bookmarkEnd w:id="51"/>
      <w:bookmarkEnd w:id="52"/>
      <w:r>
        <w:t>:</w:t>
      </w:r>
      <w:r w:rsidRPr="00606FBA">
        <w:rPr>
          <w:rStyle w:val="CommentReference"/>
          <w:b/>
          <w:szCs w:val="24"/>
        </w:rPr>
        <w:t xml:space="preserve"> Estimated use and financial implications</w:t>
      </w:r>
      <w:r>
        <w:rPr>
          <w:rStyle w:val="CommentReference"/>
          <w:b/>
          <w:szCs w:val="24"/>
        </w:rPr>
        <w:t xml:space="preserve"> (using effective prices)</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6"/>
        <w:gridCol w:w="1103"/>
        <w:gridCol w:w="1103"/>
        <w:gridCol w:w="1103"/>
        <w:gridCol w:w="1103"/>
        <w:gridCol w:w="1261"/>
        <w:gridCol w:w="1272"/>
      </w:tblGrid>
      <w:tr w:rsidR="00DD5540" w:rsidRPr="00BE27E9" w14:paraId="6AB24954" w14:textId="77777777" w:rsidTr="006054BB">
        <w:trPr>
          <w:tblHeader/>
        </w:trPr>
        <w:tc>
          <w:tcPr>
            <w:tcW w:w="1286" w:type="pct"/>
            <w:shd w:val="clear" w:color="auto" w:fill="auto"/>
            <w:vAlign w:val="center"/>
          </w:tcPr>
          <w:p w14:paraId="4B00379F" w14:textId="77777777" w:rsidR="00DD5540" w:rsidRPr="00BE27E9" w:rsidRDefault="00DD5540" w:rsidP="005824F0">
            <w:pPr>
              <w:pStyle w:val="In-tableHeading"/>
              <w:jc w:val="center"/>
              <w:rPr>
                <w:szCs w:val="20"/>
              </w:rPr>
            </w:pPr>
          </w:p>
        </w:tc>
        <w:tc>
          <w:tcPr>
            <w:tcW w:w="590" w:type="pct"/>
            <w:shd w:val="clear" w:color="auto" w:fill="auto"/>
            <w:vAlign w:val="center"/>
          </w:tcPr>
          <w:p w14:paraId="6262BDE1" w14:textId="77777777" w:rsidR="00DD5540" w:rsidRPr="00BE27E9" w:rsidRDefault="00DD5540" w:rsidP="005824F0">
            <w:pPr>
              <w:pStyle w:val="In-tableHeading"/>
              <w:jc w:val="center"/>
              <w:rPr>
                <w:szCs w:val="20"/>
              </w:rPr>
            </w:pPr>
            <w:r w:rsidRPr="00BE27E9">
              <w:rPr>
                <w:szCs w:val="20"/>
              </w:rPr>
              <w:t>Year 1</w:t>
            </w:r>
          </w:p>
        </w:tc>
        <w:tc>
          <w:tcPr>
            <w:tcW w:w="590" w:type="pct"/>
            <w:shd w:val="clear" w:color="auto" w:fill="auto"/>
            <w:vAlign w:val="center"/>
          </w:tcPr>
          <w:p w14:paraId="011B48E5" w14:textId="77777777" w:rsidR="00DD5540" w:rsidRPr="00BE27E9" w:rsidRDefault="00DD5540" w:rsidP="005824F0">
            <w:pPr>
              <w:pStyle w:val="In-tableHeading"/>
              <w:jc w:val="center"/>
              <w:rPr>
                <w:szCs w:val="20"/>
              </w:rPr>
            </w:pPr>
            <w:r w:rsidRPr="00BE27E9">
              <w:rPr>
                <w:szCs w:val="20"/>
              </w:rPr>
              <w:t>Year 2</w:t>
            </w:r>
          </w:p>
        </w:tc>
        <w:tc>
          <w:tcPr>
            <w:tcW w:w="590" w:type="pct"/>
            <w:shd w:val="clear" w:color="auto" w:fill="auto"/>
            <w:vAlign w:val="center"/>
          </w:tcPr>
          <w:p w14:paraId="0EC818BD" w14:textId="77777777" w:rsidR="00DD5540" w:rsidRPr="00BE27E9" w:rsidRDefault="00DD5540" w:rsidP="005824F0">
            <w:pPr>
              <w:pStyle w:val="In-tableHeading"/>
              <w:jc w:val="center"/>
              <w:rPr>
                <w:szCs w:val="20"/>
              </w:rPr>
            </w:pPr>
            <w:r w:rsidRPr="00BE27E9">
              <w:rPr>
                <w:szCs w:val="20"/>
              </w:rPr>
              <w:t>Year 3</w:t>
            </w:r>
          </w:p>
        </w:tc>
        <w:tc>
          <w:tcPr>
            <w:tcW w:w="590" w:type="pct"/>
            <w:shd w:val="clear" w:color="auto" w:fill="auto"/>
            <w:vAlign w:val="center"/>
          </w:tcPr>
          <w:p w14:paraId="2D69D032" w14:textId="77777777" w:rsidR="00DD5540" w:rsidRPr="00BE27E9" w:rsidRDefault="00DD5540" w:rsidP="005824F0">
            <w:pPr>
              <w:pStyle w:val="In-tableHeading"/>
              <w:jc w:val="center"/>
              <w:rPr>
                <w:szCs w:val="20"/>
              </w:rPr>
            </w:pPr>
            <w:r w:rsidRPr="00BE27E9">
              <w:rPr>
                <w:szCs w:val="20"/>
              </w:rPr>
              <w:t>Year 4</w:t>
            </w:r>
          </w:p>
        </w:tc>
        <w:tc>
          <w:tcPr>
            <w:tcW w:w="674" w:type="pct"/>
            <w:shd w:val="clear" w:color="auto" w:fill="auto"/>
            <w:vAlign w:val="center"/>
          </w:tcPr>
          <w:p w14:paraId="4F64E2B8" w14:textId="77777777" w:rsidR="00DD5540" w:rsidRPr="00BE27E9" w:rsidRDefault="00DD5540" w:rsidP="005824F0">
            <w:pPr>
              <w:pStyle w:val="In-tableHeading"/>
              <w:jc w:val="center"/>
              <w:rPr>
                <w:szCs w:val="20"/>
              </w:rPr>
            </w:pPr>
            <w:r w:rsidRPr="00BE27E9">
              <w:rPr>
                <w:szCs w:val="20"/>
              </w:rPr>
              <w:t>Year 5</w:t>
            </w:r>
          </w:p>
        </w:tc>
        <w:tc>
          <w:tcPr>
            <w:tcW w:w="680" w:type="pct"/>
          </w:tcPr>
          <w:p w14:paraId="6C5A9926" w14:textId="77777777" w:rsidR="00DD5540" w:rsidRPr="00BE27E9" w:rsidRDefault="00DD5540" w:rsidP="005824F0">
            <w:pPr>
              <w:pStyle w:val="In-tableHeading"/>
              <w:jc w:val="center"/>
              <w:rPr>
                <w:szCs w:val="20"/>
              </w:rPr>
            </w:pPr>
            <w:r w:rsidRPr="00BE27E9">
              <w:rPr>
                <w:szCs w:val="20"/>
              </w:rPr>
              <w:t>Year 6</w:t>
            </w:r>
          </w:p>
        </w:tc>
      </w:tr>
      <w:tr w:rsidR="00DD5540" w:rsidRPr="00BE27E9" w14:paraId="194559CC" w14:textId="77777777" w:rsidTr="006054BB">
        <w:tc>
          <w:tcPr>
            <w:tcW w:w="5000" w:type="pct"/>
            <w:gridSpan w:val="7"/>
            <w:shd w:val="clear" w:color="auto" w:fill="auto"/>
            <w:vAlign w:val="center"/>
          </w:tcPr>
          <w:p w14:paraId="54B4058A" w14:textId="77777777" w:rsidR="00DD5540" w:rsidRPr="00BE27E9" w:rsidRDefault="00DD5540" w:rsidP="005824F0">
            <w:pPr>
              <w:pStyle w:val="In-tableHeading"/>
              <w:rPr>
                <w:bCs/>
                <w:color w:val="000000"/>
                <w:szCs w:val="20"/>
              </w:rPr>
            </w:pPr>
            <w:r w:rsidRPr="00BE27E9">
              <w:rPr>
                <w:bCs/>
                <w:color w:val="000000"/>
                <w:szCs w:val="20"/>
              </w:rPr>
              <w:t>Estimated extent of use</w:t>
            </w:r>
          </w:p>
        </w:tc>
      </w:tr>
      <w:tr w:rsidR="00DD5540" w:rsidRPr="00BE27E9" w14:paraId="7748B0DF" w14:textId="77777777" w:rsidTr="006054BB">
        <w:tc>
          <w:tcPr>
            <w:tcW w:w="1286" w:type="pct"/>
            <w:vMerge w:val="restart"/>
            <w:shd w:val="clear" w:color="auto" w:fill="auto"/>
            <w:vAlign w:val="center"/>
          </w:tcPr>
          <w:p w14:paraId="1492B8B6" w14:textId="77777777" w:rsidR="00DD5540" w:rsidRPr="00BE27E9" w:rsidRDefault="00DD5540" w:rsidP="005824F0">
            <w:pPr>
              <w:pStyle w:val="TableText0"/>
              <w:rPr>
                <w:szCs w:val="20"/>
              </w:rPr>
            </w:pPr>
            <w:r w:rsidRPr="00BE27E9">
              <w:rPr>
                <w:szCs w:val="20"/>
              </w:rPr>
              <w:t>Number of scripts dispensed</w:t>
            </w:r>
          </w:p>
        </w:tc>
        <w:tc>
          <w:tcPr>
            <w:tcW w:w="590" w:type="pct"/>
            <w:shd w:val="clear" w:color="auto" w:fill="C6D9F1" w:themeFill="text2" w:themeFillTint="33"/>
            <w:vAlign w:val="center"/>
          </w:tcPr>
          <w:p w14:paraId="5BC4CA2C" w14:textId="2EB90F3C"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10"/>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10"/>
                <w:lang w:eastAsia="en-US"/>
                <w14:textFill>
                  <w14:solidFill>
                    <w14:srgbClr w14:val="000000">
                      <w14:alpha w14:val="100000"/>
                    </w14:srgbClr>
                  </w14:solidFill>
                </w14:textFill>
              </w:rPr>
              <w:t>|</w:t>
            </w:r>
            <w:r w:rsidR="00A6377F" w:rsidRPr="009A6D58">
              <w:rPr>
                <w:i/>
                <w:sz w:val="18"/>
                <w:szCs w:val="18"/>
                <w:vertAlign w:val="superscript"/>
              </w:rPr>
              <w:t>1</w:t>
            </w:r>
          </w:p>
        </w:tc>
        <w:tc>
          <w:tcPr>
            <w:tcW w:w="590" w:type="pct"/>
            <w:shd w:val="clear" w:color="auto" w:fill="C6D9F1" w:themeFill="text2" w:themeFillTint="33"/>
            <w:vAlign w:val="center"/>
          </w:tcPr>
          <w:p w14:paraId="278CF2B2" w14:textId="4219DF8E"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9"/>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9"/>
                <w:lang w:eastAsia="en-US"/>
                <w14:textFill>
                  <w14:solidFill>
                    <w14:srgbClr w14:val="000000">
                      <w14:alpha w14:val="100000"/>
                    </w14:srgbClr>
                  </w14:solidFill>
                </w14:textFill>
              </w:rPr>
              <w:t>|</w:t>
            </w:r>
            <w:r w:rsidR="001E5AF9">
              <w:rPr>
                <w:i/>
                <w:sz w:val="18"/>
                <w:szCs w:val="18"/>
                <w:vertAlign w:val="superscript"/>
              </w:rPr>
              <w:t>6</w:t>
            </w:r>
          </w:p>
        </w:tc>
        <w:tc>
          <w:tcPr>
            <w:tcW w:w="590" w:type="pct"/>
            <w:shd w:val="clear" w:color="auto" w:fill="C6D9F1" w:themeFill="text2" w:themeFillTint="33"/>
            <w:vAlign w:val="center"/>
          </w:tcPr>
          <w:p w14:paraId="6547620A" w14:textId="1E84F1C4"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2" w:id="-1233430008"/>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82" w:id="-1233430008"/>
                <w:lang w:eastAsia="en-US"/>
                <w14:textFill>
                  <w14:solidFill>
                    <w14:srgbClr w14:val="000000">
                      <w14:alpha w14:val="100000"/>
                    </w14:srgbClr>
                  </w14:solidFill>
                </w14:textFill>
              </w:rPr>
              <w:t>|</w:t>
            </w:r>
            <w:r w:rsidR="001E5AF9">
              <w:rPr>
                <w:i/>
                <w:sz w:val="18"/>
                <w:szCs w:val="18"/>
                <w:vertAlign w:val="superscript"/>
              </w:rPr>
              <w:t>6</w:t>
            </w:r>
          </w:p>
        </w:tc>
        <w:tc>
          <w:tcPr>
            <w:tcW w:w="590" w:type="pct"/>
            <w:shd w:val="clear" w:color="auto" w:fill="C6D9F1" w:themeFill="text2" w:themeFillTint="33"/>
            <w:vAlign w:val="center"/>
          </w:tcPr>
          <w:p w14:paraId="7E890F7E" w14:textId="5F1197FD"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7"/>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7"/>
                <w:lang w:eastAsia="en-US"/>
                <w14:textFill>
                  <w14:solidFill>
                    <w14:srgbClr w14:val="000000">
                      <w14:alpha w14:val="100000"/>
                    </w14:srgbClr>
                  </w14:solidFill>
                </w14:textFill>
              </w:rPr>
              <w:t>|</w:t>
            </w:r>
            <w:r w:rsidR="001E5AF9">
              <w:rPr>
                <w:i/>
                <w:sz w:val="18"/>
                <w:szCs w:val="18"/>
                <w:vertAlign w:val="superscript"/>
              </w:rPr>
              <w:t>8</w:t>
            </w:r>
          </w:p>
        </w:tc>
        <w:tc>
          <w:tcPr>
            <w:tcW w:w="674" w:type="pct"/>
            <w:shd w:val="clear" w:color="auto" w:fill="C6D9F1" w:themeFill="text2" w:themeFillTint="33"/>
            <w:vAlign w:val="center"/>
          </w:tcPr>
          <w:p w14:paraId="6B244A42" w14:textId="329FEBE6" w:rsidR="00DD5540" w:rsidRPr="00A6377F" w:rsidRDefault="004E39DC" w:rsidP="005824F0">
            <w:pPr>
              <w:pStyle w:val="TableText0"/>
              <w:jc w:val="center"/>
              <w:rPr>
                <w:bCs w:val="0"/>
                <w:color w:val="000000"/>
                <w:szCs w:val="20"/>
                <w:highlight w:val="darkGray"/>
              </w:rPr>
            </w:pPr>
            <w:r w:rsidRPr="0002685D">
              <w:rPr>
                <w:rFonts w:cs="Times New Roman"/>
                <w:bCs w:val="0"/>
                <w:color w:val="000000"/>
                <w:spacing w:val="40"/>
                <w:szCs w:val="20"/>
                <w:shd w:val="solid" w:color="000000" w:fill="000000"/>
                <w:fitText w:val="301" w:id="-1233430006"/>
                <w:lang w:eastAsia="en-US"/>
                <w14:textFill>
                  <w14:solidFill>
                    <w14:srgbClr w14:val="000000">
                      <w14:alpha w14:val="100000"/>
                    </w14:srgbClr>
                  </w14:solidFill>
                </w14:textFill>
              </w:rPr>
              <w:t>|||</w:t>
            </w:r>
            <w:r w:rsidRPr="0002685D">
              <w:rPr>
                <w:rFonts w:cs="Times New Roman"/>
                <w:bCs w:val="0"/>
                <w:color w:val="000000"/>
                <w:spacing w:val="20"/>
                <w:szCs w:val="20"/>
                <w:shd w:val="solid" w:color="000000" w:fill="000000"/>
                <w:fitText w:val="301" w:id="-1233430006"/>
                <w:lang w:eastAsia="en-US"/>
                <w14:textFill>
                  <w14:solidFill>
                    <w14:srgbClr w14:val="000000">
                      <w14:alpha w14:val="100000"/>
                    </w14:srgbClr>
                  </w14:solidFill>
                </w14:textFill>
              </w:rPr>
              <w:t>|</w:t>
            </w:r>
            <w:r w:rsidR="001E5AF9">
              <w:rPr>
                <w:i/>
                <w:sz w:val="18"/>
                <w:szCs w:val="18"/>
                <w:vertAlign w:val="superscript"/>
              </w:rPr>
              <w:t>8</w:t>
            </w:r>
          </w:p>
        </w:tc>
        <w:tc>
          <w:tcPr>
            <w:tcW w:w="680" w:type="pct"/>
            <w:shd w:val="clear" w:color="auto" w:fill="C6D9F1" w:themeFill="text2" w:themeFillTint="33"/>
            <w:vAlign w:val="center"/>
          </w:tcPr>
          <w:p w14:paraId="6A41BEFC" w14:textId="73AA94EE"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49"/>
                <w:szCs w:val="20"/>
                <w:shd w:val="solid" w:color="000000" w:fill="000000"/>
                <w:fitText w:val="319" w:id="-1233430005"/>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19" w:id="-1233430005"/>
                <w:lang w:eastAsia="en-US"/>
                <w14:textFill>
                  <w14:solidFill>
                    <w14:srgbClr w14:val="000000">
                      <w14:alpha w14:val="100000"/>
                    </w14:srgbClr>
                  </w14:solidFill>
                </w14:textFill>
              </w:rPr>
              <w:t>|</w:t>
            </w:r>
            <w:r w:rsidR="006054BB">
              <w:rPr>
                <w:i/>
                <w:sz w:val="18"/>
                <w:szCs w:val="18"/>
                <w:vertAlign w:val="superscript"/>
              </w:rPr>
              <w:t>13</w:t>
            </w:r>
          </w:p>
        </w:tc>
      </w:tr>
      <w:tr w:rsidR="00DD5540" w:rsidRPr="00BE27E9" w14:paraId="2BBCD058" w14:textId="77777777" w:rsidTr="006054BB">
        <w:tc>
          <w:tcPr>
            <w:tcW w:w="1286" w:type="pct"/>
            <w:vMerge/>
            <w:shd w:val="clear" w:color="auto" w:fill="auto"/>
            <w:vAlign w:val="center"/>
          </w:tcPr>
          <w:p w14:paraId="3AB6475C" w14:textId="77777777" w:rsidR="00DD5540" w:rsidRPr="00BE27E9" w:rsidRDefault="00DD5540" w:rsidP="005824F0">
            <w:pPr>
              <w:pStyle w:val="TableText0"/>
              <w:rPr>
                <w:rFonts w:ascii="Times" w:hAnsi="Times"/>
                <w:szCs w:val="20"/>
              </w:rPr>
            </w:pPr>
          </w:p>
        </w:tc>
        <w:tc>
          <w:tcPr>
            <w:tcW w:w="590" w:type="pct"/>
            <w:tcBorders>
              <w:bottom w:val="single" w:sz="4" w:space="0" w:color="auto"/>
            </w:tcBorders>
            <w:shd w:val="clear" w:color="auto" w:fill="auto"/>
            <w:vAlign w:val="center"/>
          </w:tcPr>
          <w:p w14:paraId="7DDC6112" w14:textId="03E5D380"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4"/>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4"/>
                <w:lang w:eastAsia="en-US"/>
                <w14:textFill>
                  <w14:solidFill>
                    <w14:srgbClr w14:val="000000">
                      <w14:alpha w14:val="100000"/>
                    </w14:srgbClr>
                  </w14:solidFill>
                </w14:textFill>
              </w:rPr>
              <w:t>|</w:t>
            </w:r>
            <w:r w:rsidR="00A6377F" w:rsidRPr="009A6D58">
              <w:rPr>
                <w:i/>
                <w:sz w:val="18"/>
                <w:szCs w:val="18"/>
                <w:vertAlign w:val="superscript"/>
              </w:rPr>
              <w:t>1</w:t>
            </w:r>
          </w:p>
        </w:tc>
        <w:tc>
          <w:tcPr>
            <w:tcW w:w="590" w:type="pct"/>
            <w:tcBorders>
              <w:bottom w:val="single" w:sz="4" w:space="0" w:color="auto"/>
            </w:tcBorders>
            <w:shd w:val="clear" w:color="auto" w:fill="auto"/>
            <w:vAlign w:val="center"/>
          </w:tcPr>
          <w:p w14:paraId="0A84E8C7" w14:textId="0E642DB8"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3"/>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3"/>
                <w:lang w:eastAsia="en-US"/>
                <w14:textFill>
                  <w14:solidFill>
                    <w14:srgbClr w14:val="000000">
                      <w14:alpha w14:val="100000"/>
                    </w14:srgbClr>
                  </w14:solidFill>
                </w14:textFill>
              </w:rPr>
              <w:t>|</w:t>
            </w:r>
            <w:r w:rsidR="001E5AF9">
              <w:rPr>
                <w:i/>
                <w:sz w:val="18"/>
                <w:szCs w:val="18"/>
                <w:vertAlign w:val="superscript"/>
              </w:rPr>
              <w:t>6</w:t>
            </w:r>
          </w:p>
        </w:tc>
        <w:tc>
          <w:tcPr>
            <w:tcW w:w="590" w:type="pct"/>
            <w:tcBorders>
              <w:bottom w:val="single" w:sz="4" w:space="0" w:color="auto"/>
            </w:tcBorders>
            <w:shd w:val="clear" w:color="auto" w:fill="auto"/>
            <w:vAlign w:val="center"/>
          </w:tcPr>
          <w:p w14:paraId="27E2C9E0" w14:textId="63A5F223"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2" w:id="-1233430002"/>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82" w:id="-1233430002"/>
                <w:lang w:eastAsia="en-US"/>
                <w14:textFill>
                  <w14:solidFill>
                    <w14:srgbClr w14:val="000000">
                      <w14:alpha w14:val="100000"/>
                    </w14:srgbClr>
                  </w14:solidFill>
                </w14:textFill>
              </w:rPr>
              <w:t>|</w:t>
            </w:r>
            <w:r w:rsidR="001E5AF9">
              <w:rPr>
                <w:i/>
                <w:sz w:val="18"/>
                <w:szCs w:val="18"/>
                <w:vertAlign w:val="superscript"/>
              </w:rPr>
              <w:t>8</w:t>
            </w:r>
          </w:p>
        </w:tc>
        <w:tc>
          <w:tcPr>
            <w:tcW w:w="590" w:type="pct"/>
            <w:tcBorders>
              <w:bottom w:val="single" w:sz="4" w:space="0" w:color="auto"/>
            </w:tcBorders>
            <w:shd w:val="clear" w:color="auto" w:fill="auto"/>
            <w:vAlign w:val="center"/>
          </w:tcPr>
          <w:p w14:paraId="426756F7" w14:textId="798DF1DD"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1"/>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1"/>
                <w:lang w:eastAsia="en-US"/>
                <w14:textFill>
                  <w14:solidFill>
                    <w14:srgbClr w14:val="000000">
                      <w14:alpha w14:val="100000"/>
                    </w14:srgbClr>
                  </w14:solidFill>
                </w14:textFill>
              </w:rPr>
              <w:t>|</w:t>
            </w:r>
            <w:r w:rsidR="001E5AF9">
              <w:rPr>
                <w:i/>
                <w:sz w:val="18"/>
                <w:szCs w:val="18"/>
                <w:vertAlign w:val="superscript"/>
              </w:rPr>
              <w:t>8</w:t>
            </w:r>
          </w:p>
        </w:tc>
        <w:tc>
          <w:tcPr>
            <w:tcW w:w="674" w:type="pct"/>
            <w:tcBorders>
              <w:bottom w:val="single" w:sz="4" w:space="0" w:color="auto"/>
            </w:tcBorders>
            <w:shd w:val="clear" w:color="auto" w:fill="auto"/>
            <w:vAlign w:val="center"/>
          </w:tcPr>
          <w:p w14:paraId="11800B3D" w14:textId="7B6D0359"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52"/>
                <w:szCs w:val="20"/>
                <w:shd w:val="solid" w:color="000000" w:fill="000000"/>
                <w:fitText w:val="328" w:id="-1233430000"/>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28" w:id="-1233430000"/>
                <w:lang w:eastAsia="en-US"/>
                <w14:textFill>
                  <w14:solidFill>
                    <w14:srgbClr w14:val="000000">
                      <w14:alpha w14:val="100000"/>
                    </w14:srgbClr>
                  </w14:solidFill>
                </w14:textFill>
              </w:rPr>
              <w:t>|</w:t>
            </w:r>
            <w:r w:rsidR="006054BB">
              <w:rPr>
                <w:i/>
                <w:sz w:val="18"/>
                <w:szCs w:val="18"/>
                <w:vertAlign w:val="superscript"/>
              </w:rPr>
              <w:t>13</w:t>
            </w:r>
          </w:p>
        </w:tc>
        <w:tc>
          <w:tcPr>
            <w:tcW w:w="680" w:type="pct"/>
            <w:tcBorders>
              <w:bottom w:val="single" w:sz="4" w:space="0" w:color="auto"/>
            </w:tcBorders>
            <w:shd w:val="clear" w:color="auto" w:fill="auto"/>
            <w:vAlign w:val="center"/>
          </w:tcPr>
          <w:p w14:paraId="783BDDE7" w14:textId="7C01E388"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49"/>
                <w:szCs w:val="20"/>
                <w:shd w:val="solid" w:color="000000" w:fill="000000"/>
                <w:fitText w:val="319" w:id="-1233430016"/>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19" w:id="-1233430016"/>
                <w:lang w:eastAsia="en-US"/>
                <w14:textFill>
                  <w14:solidFill>
                    <w14:srgbClr w14:val="000000">
                      <w14:alpha w14:val="100000"/>
                    </w14:srgbClr>
                  </w14:solidFill>
                </w14:textFill>
              </w:rPr>
              <w:t>|</w:t>
            </w:r>
            <w:r w:rsidR="006054BB">
              <w:rPr>
                <w:i/>
                <w:sz w:val="18"/>
                <w:szCs w:val="18"/>
                <w:vertAlign w:val="superscript"/>
              </w:rPr>
              <w:t>13</w:t>
            </w:r>
          </w:p>
        </w:tc>
      </w:tr>
      <w:tr w:rsidR="00DD5540" w:rsidRPr="00BE27E9" w14:paraId="3B4E0853" w14:textId="77777777" w:rsidTr="006054BB">
        <w:tc>
          <w:tcPr>
            <w:tcW w:w="5000" w:type="pct"/>
            <w:gridSpan w:val="7"/>
            <w:shd w:val="clear" w:color="auto" w:fill="auto"/>
            <w:vAlign w:val="center"/>
          </w:tcPr>
          <w:p w14:paraId="05918954" w14:textId="77777777" w:rsidR="00DD5540" w:rsidRPr="00BE27E9" w:rsidRDefault="00DD5540" w:rsidP="005824F0">
            <w:pPr>
              <w:pStyle w:val="In-tableHeading"/>
              <w:rPr>
                <w:szCs w:val="20"/>
              </w:rPr>
            </w:pPr>
            <w:r w:rsidRPr="00BE27E9">
              <w:rPr>
                <w:szCs w:val="20"/>
              </w:rPr>
              <w:t>Estimated financial implications of BKZ</w:t>
            </w:r>
          </w:p>
        </w:tc>
      </w:tr>
      <w:tr w:rsidR="00DD5540" w:rsidRPr="00BE27E9" w14:paraId="16CA9E2A" w14:textId="77777777" w:rsidTr="006054BB">
        <w:tc>
          <w:tcPr>
            <w:tcW w:w="1286" w:type="pct"/>
            <w:vMerge w:val="restart"/>
            <w:shd w:val="clear" w:color="auto" w:fill="auto"/>
            <w:vAlign w:val="center"/>
          </w:tcPr>
          <w:p w14:paraId="3BA22375" w14:textId="77777777" w:rsidR="00DD5540" w:rsidRPr="00BE27E9" w:rsidRDefault="00DD5540" w:rsidP="005824F0">
            <w:pPr>
              <w:pStyle w:val="TableText0"/>
              <w:rPr>
                <w:szCs w:val="20"/>
              </w:rPr>
            </w:pPr>
            <w:r w:rsidRPr="00BE27E9">
              <w:rPr>
                <w:szCs w:val="20"/>
              </w:rPr>
              <w:t>Cost to PBS/RPBS less copayments</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56370809" w14:textId="32DB2336"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15"/>
                <w14:textFill>
                  <w14:solidFill>
                    <w14:srgbClr w14:val="000000">
                      <w14:alpha w14:val="100000"/>
                    </w14:srgbClr>
                  </w14:solidFill>
                </w14:textFill>
              </w:rPr>
              <w:t>||||||</w:t>
            </w:r>
            <w:r w:rsidR="00A6377F">
              <w:rPr>
                <w:i/>
                <w:sz w:val="18"/>
                <w:szCs w:val="18"/>
                <w:vertAlign w:val="superscript"/>
              </w:rPr>
              <w:t>2</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3C1485" w14:textId="6A886118"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4"/>
                <w:szCs w:val="20"/>
                <w:shd w:val="solid" w:color="000000" w:fill="000000"/>
                <w:fitText w:val="429" w:id="-1233430014"/>
                <w14:textFill>
                  <w14:solidFill>
                    <w14:srgbClr w14:val="000000">
                      <w14:alpha w14:val="100000"/>
                    </w14:srgbClr>
                  </w14:solidFill>
                </w14:textFill>
              </w:rPr>
              <w:t>|||||</w:t>
            </w:r>
            <w:r w:rsidR="004E39DC" w:rsidRPr="004E39DC">
              <w:rPr>
                <w:bCs w:val="0"/>
                <w:color w:val="000000"/>
                <w:spacing w:val="4"/>
                <w:szCs w:val="20"/>
                <w:shd w:val="solid" w:color="000000" w:fill="000000"/>
                <w:fitText w:val="429" w:id="-1233430014"/>
                <w14:textFill>
                  <w14:solidFill>
                    <w14:srgbClr w14:val="000000">
                      <w14:alpha w14:val="100000"/>
                    </w14:srgbClr>
                  </w14:solidFill>
                </w14:textFill>
              </w:rPr>
              <w:t>|</w:t>
            </w:r>
            <w:r w:rsidR="001E5AF9">
              <w:rPr>
                <w:i/>
                <w:sz w:val="18"/>
                <w:szCs w:val="18"/>
                <w:vertAlign w:val="superscript"/>
              </w:rPr>
              <w:t>7</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BDE39" w14:textId="2BA94555"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13"/>
                <w14:textFill>
                  <w14:solidFill>
                    <w14:srgbClr w14:val="000000">
                      <w14:alpha w14:val="100000"/>
                    </w14:srgbClr>
                  </w14:solidFill>
                </w14:textFill>
              </w:rPr>
              <w:t>||||||</w:t>
            </w:r>
            <w:r w:rsidR="001E5AF9">
              <w:rPr>
                <w:i/>
                <w:sz w:val="18"/>
                <w:szCs w:val="18"/>
                <w:vertAlign w:val="superscript"/>
              </w:rPr>
              <w:t>9</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91B7C" w14:textId="4ED79F1D"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12"/>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12"/>
                <w14:textFill>
                  <w14:solidFill>
                    <w14:srgbClr w14:val="000000">
                      <w14:alpha w14:val="100000"/>
                    </w14:srgbClr>
                  </w14:solidFill>
                </w14:textFill>
              </w:rPr>
              <w:t>|</w:t>
            </w:r>
            <w:r w:rsidR="001E5AF9">
              <w:rPr>
                <w:i/>
                <w:sz w:val="18"/>
                <w:szCs w:val="18"/>
                <w:vertAlign w:val="superscript"/>
              </w:rPr>
              <w:t>11</w:t>
            </w:r>
          </w:p>
        </w:tc>
        <w:tc>
          <w:tcPr>
            <w:tcW w:w="67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60114E" w14:textId="4F61D363"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7"/>
                <w:szCs w:val="20"/>
                <w:shd w:val="solid" w:color="000000" w:fill="000000"/>
                <w:fitText w:val="374" w:id="-1233430011"/>
                <w14:textFill>
                  <w14:solidFill>
                    <w14:srgbClr w14:val="000000">
                      <w14:alpha w14:val="100000"/>
                    </w14:srgbClr>
                  </w14:solidFill>
                </w14:textFill>
              </w:rPr>
              <w:t>|||</w:t>
            </w:r>
            <w:r w:rsidR="004E39DC" w:rsidRPr="004E39DC">
              <w:rPr>
                <w:bCs w:val="0"/>
                <w:color w:val="000000"/>
                <w:spacing w:val="3"/>
                <w:szCs w:val="20"/>
                <w:shd w:val="solid" w:color="000000" w:fill="000000"/>
                <w:fitText w:val="374" w:id="-1233430011"/>
                <w14:textFill>
                  <w14:solidFill>
                    <w14:srgbClr w14:val="000000">
                      <w14:alpha w14:val="100000"/>
                    </w14:srgbClr>
                  </w14:solidFill>
                </w14:textFill>
              </w:rPr>
              <w:t>|</w:t>
            </w:r>
            <w:r w:rsidR="006054BB">
              <w:rPr>
                <w:i/>
                <w:sz w:val="18"/>
                <w:szCs w:val="18"/>
                <w:vertAlign w:val="superscript"/>
              </w:rPr>
              <w:t>14</w:t>
            </w:r>
          </w:p>
        </w:tc>
        <w:tc>
          <w:tcPr>
            <w:tcW w:w="6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84AC15" w14:textId="50F9B855"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4"/>
                <w:szCs w:val="20"/>
                <w:shd w:val="solid" w:color="000000" w:fill="000000"/>
                <w:fitText w:val="365" w:id="-1233430010"/>
                <w14:textFill>
                  <w14:solidFill>
                    <w14:srgbClr w14:val="000000">
                      <w14:alpha w14:val="100000"/>
                    </w14:srgbClr>
                  </w14:solidFill>
                </w14:textFill>
              </w:rPr>
              <w:t>|||</w:t>
            </w:r>
            <w:r w:rsidR="004E39DC" w:rsidRPr="004E39DC">
              <w:rPr>
                <w:bCs w:val="0"/>
                <w:color w:val="000000"/>
                <w:spacing w:val="3"/>
                <w:szCs w:val="20"/>
                <w:shd w:val="solid" w:color="000000" w:fill="000000"/>
                <w:fitText w:val="365" w:id="-1233430010"/>
                <w14:textFill>
                  <w14:solidFill>
                    <w14:srgbClr w14:val="000000">
                      <w14:alpha w14:val="100000"/>
                    </w14:srgbClr>
                  </w14:solidFill>
                </w14:textFill>
              </w:rPr>
              <w:t>|</w:t>
            </w:r>
            <w:r w:rsidR="006054BB">
              <w:rPr>
                <w:i/>
                <w:sz w:val="18"/>
                <w:szCs w:val="18"/>
                <w:vertAlign w:val="superscript"/>
              </w:rPr>
              <w:t>14</w:t>
            </w:r>
          </w:p>
        </w:tc>
      </w:tr>
      <w:tr w:rsidR="00DD5540" w:rsidRPr="00BE27E9" w14:paraId="204B474A" w14:textId="77777777" w:rsidTr="006054BB">
        <w:tc>
          <w:tcPr>
            <w:tcW w:w="1286" w:type="pct"/>
            <w:vMerge/>
            <w:shd w:val="clear" w:color="auto" w:fill="auto"/>
            <w:vAlign w:val="center"/>
          </w:tcPr>
          <w:p w14:paraId="76226062" w14:textId="77777777" w:rsidR="00DD5540" w:rsidRPr="00BE27E9" w:rsidRDefault="00DD5540" w:rsidP="005824F0">
            <w:pPr>
              <w:pStyle w:val="TableText0"/>
              <w:rPr>
                <w:szCs w:val="20"/>
              </w:rPr>
            </w:pPr>
          </w:p>
        </w:tc>
        <w:tc>
          <w:tcPr>
            <w:tcW w:w="590" w:type="pct"/>
            <w:tcBorders>
              <w:top w:val="single" w:sz="4" w:space="0" w:color="auto"/>
              <w:left w:val="nil"/>
              <w:bottom w:val="single" w:sz="4" w:space="0" w:color="auto"/>
              <w:right w:val="single" w:sz="4" w:space="0" w:color="auto"/>
            </w:tcBorders>
            <w:shd w:val="clear" w:color="auto" w:fill="auto"/>
            <w:vAlign w:val="center"/>
          </w:tcPr>
          <w:p w14:paraId="1FD89979" w14:textId="5F05D009"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09"/>
                <w14:textFill>
                  <w14:solidFill>
                    <w14:srgbClr w14:val="000000">
                      <w14:alpha w14:val="100000"/>
                    </w14:srgbClr>
                  </w14:solidFill>
                </w14:textFill>
              </w:rPr>
              <w:t>||||||</w:t>
            </w:r>
            <w:r w:rsidR="00A6377F">
              <w:rPr>
                <w:i/>
                <w:sz w:val="18"/>
                <w:szCs w:val="18"/>
                <w:vertAlign w:val="superscript"/>
              </w:rPr>
              <w:t>3</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38472D3" w14:textId="19D9F8A1"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9" w:id="-1233430008"/>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B35E784" w14:textId="61CD230C"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07"/>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07"/>
                <w14:textFill>
                  <w14:solidFill>
                    <w14:srgbClr w14:val="000000">
                      <w14:alpha w14:val="100000"/>
                    </w14:srgbClr>
                  </w14:solidFill>
                </w14:textFill>
              </w:rPr>
              <w:t>|</w:t>
            </w:r>
            <w:r w:rsidR="001E5AF9">
              <w:rPr>
                <w:i/>
                <w:sz w:val="18"/>
                <w:szCs w:val="18"/>
                <w:vertAlign w:val="superscript"/>
              </w:rPr>
              <w:t>10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DFF64C7" w14:textId="78FE1A2D"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06"/>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06"/>
                <w14:textFill>
                  <w14:solidFill>
                    <w14:srgbClr w14:val="000000">
                      <w14:alpha w14:val="100000"/>
                    </w14:srgbClr>
                  </w14:solidFill>
                </w14:textFill>
              </w:rPr>
              <w:t>|</w:t>
            </w:r>
            <w:r w:rsidR="001E5AF9">
              <w:rPr>
                <w:i/>
                <w:sz w:val="18"/>
                <w:szCs w:val="18"/>
                <w:vertAlign w:val="superscript"/>
              </w:rPr>
              <w:t>12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49CA1E7A" w14:textId="6DFA48EF"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58"/>
                <w:szCs w:val="20"/>
                <w:shd w:val="solid" w:color="000000" w:fill="000000"/>
                <w:fitText w:val="346" w:id="-1233430005"/>
                <w14:textFill>
                  <w14:solidFill>
                    <w14:srgbClr w14:val="000000">
                      <w14:alpha w14:val="100000"/>
                    </w14:srgbClr>
                  </w14:solidFill>
                </w14:textFill>
              </w:rPr>
              <w:t>|||</w:t>
            </w:r>
            <w:r w:rsidR="004E39DC" w:rsidRPr="004E39DC">
              <w:rPr>
                <w:bCs w:val="0"/>
                <w:color w:val="000000"/>
                <w:spacing w:val="2"/>
                <w:szCs w:val="20"/>
                <w:shd w:val="solid" w:color="000000" w:fill="000000"/>
                <w:fitText w:val="346" w:id="-1233430005"/>
                <w14:textFill>
                  <w14:solidFill>
                    <w14:srgbClr w14:val="000000">
                      <w14:alpha w14:val="100000"/>
                    </w14:srgbClr>
                  </w14:solidFill>
                </w14:textFill>
              </w:rPr>
              <w:t>|</w:t>
            </w:r>
            <w:r w:rsidR="006054BB">
              <w:rPr>
                <w:i/>
                <w:sz w:val="18"/>
                <w:szCs w:val="18"/>
                <w:vertAlign w:val="superscript"/>
              </w:rPr>
              <w:t>7</w:t>
            </w:r>
          </w:p>
        </w:tc>
        <w:tc>
          <w:tcPr>
            <w:tcW w:w="680" w:type="pct"/>
            <w:tcBorders>
              <w:top w:val="single" w:sz="4" w:space="0" w:color="auto"/>
              <w:left w:val="single" w:sz="4" w:space="0" w:color="auto"/>
              <w:bottom w:val="single" w:sz="4" w:space="0" w:color="auto"/>
              <w:right w:val="single" w:sz="4" w:space="0" w:color="auto"/>
            </w:tcBorders>
            <w:shd w:val="clear" w:color="auto" w:fill="auto"/>
            <w:vAlign w:val="center"/>
          </w:tcPr>
          <w:p w14:paraId="6A0015A5" w14:textId="5686CDC7"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4"/>
                <w:szCs w:val="20"/>
                <w:shd w:val="solid" w:color="000000" w:fill="000000"/>
                <w:fitText w:val="365" w:id="-1233430004"/>
                <w14:textFill>
                  <w14:solidFill>
                    <w14:srgbClr w14:val="000000">
                      <w14:alpha w14:val="100000"/>
                    </w14:srgbClr>
                  </w14:solidFill>
                </w14:textFill>
              </w:rPr>
              <w:t>|||</w:t>
            </w:r>
            <w:r w:rsidR="004E39DC" w:rsidRPr="004E39DC">
              <w:rPr>
                <w:bCs w:val="0"/>
                <w:color w:val="000000"/>
                <w:spacing w:val="3"/>
                <w:szCs w:val="20"/>
                <w:shd w:val="solid" w:color="000000" w:fill="000000"/>
                <w:fitText w:val="365" w:id="-1233430004"/>
                <w14:textFill>
                  <w14:solidFill>
                    <w14:srgbClr w14:val="000000">
                      <w14:alpha w14:val="100000"/>
                    </w14:srgbClr>
                  </w14:solidFill>
                </w14:textFill>
              </w:rPr>
              <w:t>|</w:t>
            </w:r>
            <w:r w:rsidR="006054BB">
              <w:rPr>
                <w:i/>
                <w:sz w:val="18"/>
                <w:szCs w:val="18"/>
                <w:vertAlign w:val="superscript"/>
              </w:rPr>
              <w:t>15</w:t>
            </w:r>
          </w:p>
        </w:tc>
      </w:tr>
      <w:tr w:rsidR="00DD5540" w:rsidRPr="00BE27E9" w14:paraId="6600D0E6" w14:textId="77777777" w:rsidTr="006054BB">
        <w:tc>
          <w:tcPr>
            <w:tcW w:w="5000" w:type="pct"/>
            <w:gridSpan w:val="7"/>
            <w:shd w:val="clear" w:color="auto" w:fill="auto"/>
            <w:vAlign w:val="center"/>
          </w:tcPr>
          <w:p w14:paraId="02FAAE63" w14:textId="77777777" w:rsidR="00DD5540" w:rsidRPr="00BE27E9" w:rsidRDefault="00DD5540" w:rsidP="005824F0">
            <w:pPr>
              <w:pStyle w:val="TableText0"/>
              <w:rPr>
                <w:b/>
                <w:bCs w:val="0"/>
                <w:szCs w:val="20"/>
              </w:rPr>
            </w:pPr>
            <w:r w:rsidRPr="00BE27E9">
              <w:rPr>
                <w:b/>
                <w:bCs w:val="0"/>
                <w:szCs w:val="20"/>
              </w:rPr>
              <w:t>Estimated financial implications for UST, SEC, IXE, GUS, TIL, RIS, ADA, ETN</w:t>
            </w:r>
          </w:p>
        </w:tc>
      </w:tr>
      <w:tr w:rsidR="00DD5540" w:rsidRPr="00BE27E9" w14:paraId="39C32FCF" w14:textId="77777777" w:rsidTr="006054BB">
        <w:tc>
          <w:tcPr>
            <w:tcW w:w="1286" w:type="pct"/>
            <w:vMerge w:val="restart"/>
            <w:shd w:val="clear" w:color="auto" w:fill="auto"/>
            <w:vAlign w:val="center"/>
          </w:tcPr>
          <w:p w14:paraId="485AE598" w14:textId="77777777" w:rsidR="00DD5540" w:rsidRPr="00BE27E9" w:rsidRDefault="00DD5540" w:rsidP="005824F0">
            <w:pPr>
              <w:pStyle w:val="TableText0"/>
              <w:rPr>
                <w:szCs w:val="20"/>
              </w:rPr>
            </w:pPr>
            <w:r w:rsidRPr="00BE27E9">
              <w:rPr>
                <w:szCs w:val="20"/>
              </w:rPr>
              <w:t>Cost to PBS/RPBS less copayments</w:t>
            </w:r>
            <w:r w:rsidRPr="00BE27E9">
              <w:rPr>
                <w:szCs w:val="20"/>
                <w:vertAlign w:val="superscript"/>
              </w:rPr>
              <w:t>a</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26C11F" w14:textId="27C5FC5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3"/>
                <w14:textFill>
                  <w14:solidFill>
                    <w14:srgbClr w14:val="000000">
                      <w14:alpha w14:val="100000"/>
                    </w14:srgbClr>
                  </w14:solidFill>
                </w14:textFill>
              </w:rPr>
              <w:t>|||</w:t>
            </w:r>
            <w:r w:rsidRPr="004E39DC">
              <w:rPr>
                <w:color w:val="000000"/>
                <w:spacing w:val="3"/>
                <w:szCs w:val="20"/>
                <w:shd w:val="solid" w:color="000000" w:fill="000000"/>
                <w:fitText w:val="383" w:id="-1233430003"/>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3CBB85A" w14:textId="4D22BE7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2"/>
                <w14:textFill>
                  <w14:solidFill>
                    <w14:srgbClr w14:val="000000">
                      <w14:alpha w14:val="100000"/>
                    </w14:srgbClr>
                  </w14:solidFill>
                </w14:textFill>
              </w:rPr>
              <w:t>|||</w:t>
            </w:r>
            <w:r w:rsidRPr="004E39DC">
              <w:rPr>
                <w:color w:val="000000"/>
                <w:spacing w:val="3"/>
                <w:szCs w:val="20"/>
                <w:shd w:val="solid" w:color="000000" w:fill="000000"/>
                <w:fitText w:val="383" w:id="-1233430002"/>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96C125D" w14:textId="0F3D683B"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2" w:id="-1233430001"/>
                <w14:textFill>
                  <w14:solidFill>
                    <w14:srgbClr w14:val="000000">
                      <w14:alpha w14:val="100000"/>
                    </w14:srgbClr>
                  </w14:solidFill>
                </w14:textFill>
              </w:rPr>
              <w:t>|||</w:t>
            </w:r>
            <w:r w:rsidRPr="004E39DC">
              <w:rPr>
                <w:color w:val="000000"/>
                <w:spacing w:val="2"/>
                <w:szCs w:val="20"/>
                <w:shd w:val="solid" w:color="000000" w:fill="000000"/>
                <w:fitText w:val="382" w:id="-1233430001"/>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2094012" w14:textId="3B716C61"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0"/>
                <w14:textFill>
                  <w14:solidFill>
                    <w14:srgbClr w14:val="000000">
                      <w14:alpha w14:val="100000"/>
                    </w14:srgbClr>
                  </w14:solidFill>
                </w14:textFill>
              </w:rPr>
              <w:t>|||</w:t>
            </w:r>
            <w:r w:rsidRPr="004E39DC">
              <w:rPr>
                <w:color w:val="000000"/>
                <w:spacing w:val="3"/>
                <w:szCs w:val="20"/>
                <w:shd w:val="solid" w:color="000000" w:fill="000000"/>
                <w:fitText w:val="383" w:id="-1233430000"/>
                <w14:textFill>
                  <w14:solidFill>
                    <w14:srgbClr w14:val="000000">
                      <w14:alpha w14:val="100000"/>
                    </w14:srgbClr>
                  </w14:solidFill>
                </w14:textFill>
              </w:rPr>
              <w:t>|</w:t>
            </w:r>
            <w:r w:rsidR="001E5AF9">
              <w:rPr>
                <w:i/>
                <w:sz w:val="18"/>
                <w:szCs w:val="18"/>
                <w:vertAlign w:val="superscript"/>
              </w:rPr>
              <w:t>4</w:t>
            </w:r>
          </w:p>
        </w:tc>
        <w:tc>
          <w:tcPr>
            <w:tcW w:w="67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7EBB48D" w14:textId="4A1AAF0C" w:rsidR="00DD5540" w:rsidRPr="00A6377F" w:rsidRDefault="004E39DC" w:rsidP="005824F0">
            <w:pPr>
              <w:pStyle w:val="TableText0"/>
              <w:jc w:val="center"/>
              <w:rPr>
                <w:szCs w:val="20"/>
                <w:highlight w:val="darkGray"/>
              </w:rPr>
            </w:pPr>
            <w:r w:rsidRPr="0002685D">
              <w:rPr>
                <w:color w:val="000000"/>
                <w:spacing w:val="40"/>
                <w:szCs w:val="20"/>
                <w:shd w:val="solid" w:color="000000" w:fill="000000"/>
                <w:fitText w:val="301" w:id="-1233430016"/>
                <w14:textFill>
                  <w14:solidFill>
                    <w14:srgbClr w14:val="000000">
                      <w14:alpha w14:val="100000"/>
                    </w14:srgbClr>
                  </w14:solidFill>
                </w14:textFill>
              </w:rPr>
              <w:t>|||</w:t>
            </w:r>
            <w:r w:rsidRPr="0002685D">
              <w:rPr>
                <w:color w:val="000000"/>
                <w:spacing w:val="20"/>
                <w:szCs w:val="20"/>
                <w:shd w:val="solid" w:color="000000" w:fill="000000"/>
                <w:fitText w:val="301" w:id="-1233430016"/>
                <w14:textFill>
                  <w14:solidFill>
                    <w14:srgbClr w14:val="000000">
                      <w14:alpha w14:val="100000"/>
                    </w14:srgbClr>
                  </w14:solidFill>
                </w14:textFill>
              </w:rPr>
              <w:t>|</w:t>
            </w:r>
            <w:r w:rsidR="001E5AF9">
              <w:rPr>
                <w:i/>
                <w:sz w:val="18"/>
                <w:szCs w:val="18"/>
                <w:vertAlign w:val="superscript"/>
              </w:rPr>
              <w:t>4</w:t>
            </w:r>
          </w:p>
        </w:tc>
        <w:tc>
          <w:tcPr>
            <w:tcW w:w="68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687A6009" w14:textId="791EFABF" w:rsidR="00DD5540" w:rsidRPr="00A6377F" w:rsidRDefault="004E39DC" w:rsidP="005824F0">
            <w:pPr>
              <w:pStyle w:val="TableText0"/>
              <w:jc w:val="center"/>
              <w:rPr>
                <w:szCs w:val="20"/>
                <w:highlight w:val="darkGray"/>
              </w:rPr>
            </w:pPr>
            <w:r w:rsidRPr="004E39DC">
              <w:rPr>
                <w:color w:val="000000"/>
                <w:spacing w:val="206"/>
                <w:szCs w:val="20"/>
                <w:shd w:val="solid" w:color="000000" w:fill="000000"/>
                <w:fitText w:val="292" w:id="-1233430015"/>
                <w14:textFill>
                  <w14:solidFill>
                    <w14:srgbClr w14:val="000000">
                      <w14:alpha w14:val="100000"/>
                    </w14:srgbClr>
                  </w14:solidFill>
                </w14:textFill>
              </w:rPr>
              <w:t>|</w:t>
            </w:r>
            <w:r w:rsidRPr="004E39DC">
              <w:rPr>
                <w:color w:val="000000"/>
                <w:spacing w:val="1"/>
                <w:szCs w:val="20"/>
                <w:shd w:val="solid" w:color="000000" w:fill="000000"/>
                <w:fitText w:val="292" w:id="-1233430015"/>
                <w14:textFill>
                  <w14:solidFill>
                    <w14:srgbClr w14:val="000000">
                      <w14:alpha w14:val="100000"/>
                    </w14:srgbClr>
                  </w14:solidFill>
                </w14:textFill>
              </w:rPr>
              <w:t>|</w:t>
            </w:r>
            <w:r w:rsidR="001E5AF9">
              <w:rPr>
                <w:i/>
                <w:sz w:val="18"/>
                <w:szCs w:val="18"/>
                <w:vertAlign w:val="superscript"/>
              </w:rPr>
              <w:t>4</w:t>
            </w:r>
          </w:p>
        </w:tc>
      </w:tr>
      <w:tr w:rsidR="00DD5540" w:rsidRPr="00BE27E9" w14:paraId="5C3223F9" w14:textId="77777777" w:rsidTr="006054BB">
        <w:tc>
          <w:tcPr>
            <w:tcW w:w="1286" w:type="pct"/>
            <w:vMerge/>
            <w:shd w:val="clear" w:color="auto" w:fill="auto"/>
            <w:vAlign w:val="center"/>
          </w:tcPr>
          <w:p w14:paraId="100DD951" w14:textId="77777777" w:rsidR="00DD5540" w:rsidRPr="00BE27E9" w:rsidRDefault="00DD5540" w:rsidP="005824F0">
            <w:pPr>
              <w:pStyle w:val="TableText0"/>
              <w:rPr>
                <w:szCs w:val="20"/>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E56A5FB" w14:textId="1B7B4D6D"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4"/>
                <w14:textFill>
                  <w14:solidFill>
                    <w14:srgbClr w14:val="000000">
                      <w14:alpha w14:val="100000"/>
                    </w14:srgbClr>
                  </w14:solidFill>
                </w14:textFill>
              </w:rPr>
              <w:t>|||</w:t>
            </w:r>
            <w:r w:rsidRPr="004E39DC">
              <w:rPr>
                <w:color w:val="000000"/>
                <w:spacing w:val="3"/>
                <w:szCs w:val="20"/>
                <w:shd w:val="solid" w:color="000000" w:fill="000000"/>
                <w:fitText w:val="383" w:id="-1233430014"/>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auto"/>
            <w:vAlign w:val="center"/>
          </w:tcPr>
          <w:p w14:paraId="5D2A78CE" w14:textId="790E10DE"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3"/>
                <w14:textFill>
                  <w14:solidFill>
                    <w14:srgbClr w14:val="000000">
                      <w14:alpha w14:val="100000"/>
                    </w14:srgbClr>
                  </w14:solidFill>
                </w14:textFill>
              </w:rPr>
              <w:t>|||</w:t>
            </w:r>
            <w:r w:rsidRPr="004E39DC">
              <w:rPr>
                <w:color w:val="000000"/>
                <w:spacing w:val="3"/>
                <w:szCs w:val="20"/>
                <w:shd w:val="solid" w:color="000000" w:fill="000000"/>
                <w:fitText w:val="383" w:id="-1233430013"/>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auto"/>
            <w:vAlign w:val="center"/>
          </w:tcPr>
          <w:p w14:paraId="416962F5" w14:textId="62DA9D7F"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2" w:id="-1233430012"/>
                <w14:textFill>
                  <w14:solidFill>
                    <w14:srgbClr w14:val="000000">
                      <w14:alpha w14:val="100000"/>
                    </w14:srgbClr>
                  </w14:solidFill>
                </w14:textFill>
              </w:rPr>
              <w:t>|||</w:t>
            </w:r>
            <w:r w:rsidRPr="004E39DC">
              <w:rPr>
                <w:color w:val="000000"/>
                <w:spacing w:val="2"/>
                <w:szCs w:val="20"/>
                <w:shd w:val="solid" w:color="000000" w:fill="000000"/>
                <w:fitText w:val="382" w:id="-1233430012"/>
                <w14:textFill>
                  <w14:solidFill>
                    <w14:srgbClr w14:val="000000">
                      <w14:alpha w14:val="100000"/>
                    </w14:srgbClr>
                  </w14:solidFill>
                </w14:textFill>
              </w:rPr>
              <w:t>|</w:t>
            </w:r>
            <w:r w:rsidR="001E5AF9">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auto"/>
            <w:vAlign w:val="center"/>
          </w:tcPr>
          <w:p w14:paraId="03062EF8" w14:textId="40EE8D2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1"/>
                <w14:textFill>
                  <w14:solidFill>
                    <w14:srgbClr w14:val="000000">
                      <w14:alpha w14:val="100000"/>
                    </w14:srgbClr>
                  </w14:solidFill>
                </w14:textFill>
              </w:rPr>
              <w:t>|||</w:t>
            </w:r>
            <w:r w:rsidRPr="004E39DC">
              <w:rPr>
                <w:color w:val="000000"/>
                <w:spacing w:val="3"/>
                <w:szCs w:val="20"/>
                <w:shd w:val="solid" w:color="000000" w:fill="000000"/>
                <w:fitText w:val="383" w:id="-1233430011"/>
                <w14:textFill>
                  <w14:solidFill>
                    <w14:srgbClr w14:val="000000">
                      <w14:alpha w14:val="100000"/>
                    </w14:srgbClr>
                  </w14:solidFill>
                </w14:textFill>
              </w:rPr>
              <w:t>|</w:t>
            </w:r>
            <w:r w:rsidR="001E5AF9">
              <w:rPr>
                <w:i/>
                <w:sz w:val="18"/>
                <w:szCs w:val="18"/>
                <w:vertAlign w:val="superscript"/>
              </w:rPr>
              <w:t>4</w:t>
            </w:r>
          </w:p>
        </w:tc>
        <w:tc>
          <w:tcPr>
            <w:tcW w:w="674" w:type="pct"/>
            <w:tcBorders>
              <w:top w:val="single" w:sz="4" w:space="0" w:color="auto"/>
              <w:left w:val="nil"/>
              <w:bottom w:val="single" w:sz="4" w:space="0" w:color="auto"/>
              <w:right w:val="single" w:sz="4" w:space="0" w:color="auto"/>
            </w:tcBorders>
            <w:shd w:val="clear" w:color="auto" w:fill="auto"/>
            <w:vAlign w:val="center"/>
          </w:tcPr>
          <w:p w14:paraId="1F448B08" w14:textId="62BE0047" w:rsidR="00DD5540" w:rsidRPr="00A6377F" w:rsidRDefault="004E39DC" w:rsidP="005824F0">
            <w:pPr>
              <w:pStyle w:val="TableText0"/>
              <w:jc w:val="center"/>
              <w:rPr>
                <w:szCs w:val="20"/>
                <w:highlight w:val="darkGray"/>
              </w:rPr>
            </w:pPr>
            <w:r w:rsidRPr="0002685D">
              <w:rPr>
                <w:color w:val="000000"/>
                <w:spacing w:val="40"/>
                <w:szCs w:val="20"/>
                <w:shd w:val="solid" w:color="000000" w:fill="000000"/>
                <w:fitText w:val="301" w:id="-1233430010"/>
                <w14:textFill>
                  <w14:solidFill>
                    <w14:srgbClr w14:val="000000">
                      <w14:alpha w14:val="100000"/>
                    </w14:srgbClr>
                  </w14:solidFill>
                </w14:textFill>
              </w:rPr>
              <w:t>|||</w:t>
            </w:r>
            <w:r w:rsidRPr="0002685D">
              <w:rPr>
                <w:color w:val="000000"/>
                <w:spacing w:val="20"/>
                <w:szCs w:val="20"/>
                <w:shd w:val="solid" w:color="000000" w:fill="000000"/>
                <w:fitText w:val="301" w:id="-1233430010"/>
                <w14:textFill>
                  <w14:solidFill>
                    <w14:srgbClr w14:val="000000">
                      <w14:alpha w14:val="100000"/>
                    </w14:srgbClr>
                  </w14:solidFill>
                </w14:textFill>
              </w:rPr>
              <w:t>|</w:t>
            </w:r>
            <w:r w:rsidR="001E5AF9">
              <w:rPr>
                <w:i/>
                <w:sz w:val="18"/>
                <w:szCs w:val="18"/>
                <w:vertAlign w:val="superscript"/>
              </w:rPr>
              <w:t>4</w:t>
            </w:r>
          </w:p>
        </w:tc>
        <w:tc>
          <w:tcPr>
            <w:tcW w:w="680" w:type="pct"/>
            <w:tcBorders>
              <w:top w:val="single" w:sz="4" w:space="0" w:color="auto"/>
              <w:left w:val="nil"/>
              <w:bottom w:val="single" w:sz="4" w:space="0" w:color="auto"/>
              <w:right w:val="single" w:sz="4" w:space="0" w:color="auto"/>
            </w:tcBorders>
            <w:shd w:val="clear" w:color="auto" w:fill="auto"/>
            <w:vAlign w:val="center"/>
          </w:tcPr>
          <w:p w14:paraId="23966875" w14:textId="6DB2493D" w:rsidR="00DD5540" w:rsidRPr="00A6377F" w:rsidRDefault="004E39DC" w:rsidP="005824F0">
            <w:pPr>
              <w:pStyle w:val="TableText0"/>
              <w:jc w:val="center"/>
              <w:rPr>
                <w:szCs w:val="20"/>
                <w:highlight w:val="darkGray"/>
              </w:rPr>
            </w:pPr>
            <w:r w:rsidRPr="004E39DC">
              <w:rPr>
                <w:color w:val="000000"/>
                <w:spacing w:val="206"/>
                <w:szCs w:val="20"/>
                <w:shd w:val="solid" w:color="000000" w:fill="000000"/>
                <w:fitText w:val="292" w:id="-1233430009"/>
                <w14:textFill>
                  <w14:solidFill>
                    <w14:srgbClr w14:val="000000">
                      <w14:alpha w14:val="100000"/>
                    </w14:srgbClr>
                  </w14:solidFill>
                </w14:textFill>
              </w:rPr>
              <w:t>|</w:t>
            </w:r>
            <w:r w:rsidRPr="004E39DC">
              <w:rPr>
                <w:color w:val="000000"/>
                <w:spacing w:val="1"/>
                <w:szCs w:val="20"/>
                <w:shd w:val="solid" w:color="000000" w:fill="000000"/>
                <w:fitText w:val="292" w:id="-1233430009"/>
                <w14:textFill>
                  <w14:solidFill>
                    <w14:srgbClr w14:val="000000">
                      <w14:alpha w14:val="100000"/>
                    </w14:srgbClr>
                  </w14:solidFill>
                </w14:textFill>
              </w:rPr>
              <w:t>|</w:t>
            </w:r>
            <w:r w:rsidR="001E5AF9">
              <w:rPr>
                <w:i/>
                <w:sz w:val="18"/>
                <w:szCs w:val="18"/>
                <w:vertAlign w:val="superscript"/>
              </w:rPr>
              <w:t>4</w:t>
            </w:r>
          </w:p>
        </w:tc>
      </w:tr>
      <w:tr w:rsidR="00DD5540" w:rsidRPr="00BE27E9" w14:paraId="74C19B42" w14:textId="77777777" w:rsidTr="006054BB">
        <w:tc>
          <w:tcPr>
            <w:tcW w:w="5000" w:type="pct"/>
            <w:gridSpan w:val="7"/>
            <w:shd w:val="clear" w:color="auto" w:fill="auto"/>
            <w:vAlign w:val="center"/>
          </w:tcPr>
          <w:p w14:paraId="0A9AEEA3" w14:textId="086B2C84" w:rsidR="00DD5540" w:rsidRPr="00BE27E9" w:rsidRDefault="00DD5540" w:rsidP="005824F0">
            <w:pPr>
              <w:pStyle w:val="In-tableHeading"/>
              <w:rPr>
                <w:szCs w:val="20"/>
              </w:rPr>
            </w:pPr>
            <w:r w:rsidRPr="00BE27E9">
              <w:rPr>
                <w:szCs w:val="20"/>
              </w:rPr>
              <w:t>Net financial implications</w:t>
            </w:r>
          </w:p>
        </w:tc>
      </w:tr>
      <w:tr w:rsidR="00DD5540" w:rsidRPr="00BE27E9" w14:paraId="4EB06390" w14:textId="77777777" w:rsidTr="006054BB">
        <w:tc>
          <w:tcPr>
            <w:tcW w:w="1286" w:type="pct"/>
            <w:vMerge w:val="restart"/>
            <w:shd w:val="clear" w:color="auto" w:fill="auto"/>
            <w:vAlign w:val="center"/>
          </w:tcPr>
          <w:p w14:paraId="426E2E15" w14:textId="77777777" w:rsidR="00DD5540" w:rsidRPr="00BE27E9" w:rsidRDefault="00DD5540" w:rsidP="005824F0">
            <w:pPr>
              <w:pStyle w:val="TableText0"/>
              <w:rPr>
                <w:szCs w:val="20"/>
              </w:rPr>
            </w:pPr>
            <w:r w:rsidRPr="00BE27E9">
              <w:rPr>
                <w:szCs w:val="20"/>
              </w:rPr>
              <w:t>Net cost to PBS/RPBS/MBS</w:t>
            </w:r>
            <w:r w:rsidRPr="00BE27E9">
              <w:rPr>
                <w:szCs w:val="20"/>
                <w:vertAlign w:val="superscript"/>
              </w:rPr>
              <w:t>a</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EAC641" w14:textId="4388D814"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2" w:id="-1233430008"/>
                <w14:textFill>
                  <w14:solidFill>
                    <w14:srgbClr w14:val="000000">
                      <w14:alpha w14:val="100000"/>
                    </w14:srgbClr>
                  </w14:solidFill>
                </w14:textFill>
              </w:rPr>
              <w:t>|||||</w:t>
            </w:r>
            <w:r w:rsidR="004E39DC" w:rsidRPr="0002685D">
              <w:rPr>
                <w:b/>
                <w:color w:val="000000"/>
                <w:spacing w:val="2"/>
                <w:szCs w:val="20"/>
                <w:shd w:val="solid" w:color="000000" w:fill="000000"/>
                <w:fitText w:val="502" w:id="-1233430008"/>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24C4714C" w14:textId="12F9F0C6"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7"/>
                <w14:textFill>
                  <w14:solidFill>
                    <w14:srgbClr w14:val="000000">
                      <w14:alpha w14:val="100000"/>
                    </w14:srgbClr>
                  </w14:solidFill>
                </w14:textFill>
              </w:rPr>
              <w:t>|||||</w:t>
            </w:r>
            <w:r w:rsidR="004E39DC" w:rsidRPr="0002685D">
              <w:rPr>
                <w:b/>
                <w:color w:val="000000"/>
                <w:spacing w:val="1"/>
                <w:szCs w:val="20"/>
                <w:shd w:val="solid" w:color="000000" w:fill="000000"/>
                <w:fitText w:val="501" w:id="-1233430007"/>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1F3B479A" w14:textId="047F23AF"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6"/>
                <w14:textFill>
                  <w14:solidFill>
                    <w14:srgbClr w14:val="000000">
                      <w14:alpha w14:val="100000"/>
                    </w14:srgbClr>
                  </w14:solidFill>
                </w14:textFill>
              </w:rPr>
              <w:t>|||||</w:t>
            </w:r>
            <w:r w:rsidR="004E39DC" w:rsidRPr="0002685D">
              <w:rPr>
                <w:b/>
                <w:color w:val="000000"/>
                <w:spacing w:val="1"/>
                <w:szCs w:val="20"/>
                <w:shd w:val="solid" w:color="000000" w:fill="000000"/>
                <w:fitText w:val="501" w:id="-1233430006"/>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4036B45D" w14:textId="7BDBFE91"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5"/>
                <w14:textFill>
                  <w14:solidFill>
                    <w14:srgbClr w14:val="000000">
                      <w14:alpha w14:val="100000"/>
                    </w14:srgbClr>
                  </w14:solidFill>
                </w14:textFill>
              </w:rPr>
              <w:t>|||||</w:t>
            </w:r>
            <w:r w:rsidR="004E39DC" w:rsidRPr="0002685D">
              <w:rPr>
                <w:b/>
                <w:color w:val="000000"/>
                <w:spacing w:val="1"/>
                <w:szCs w:val="20"/>
                <w:shd w:val="solid" w:color="000000" w:fill="000000"/>
                <w:fitText w:val="501" w:id="-1233430005"/>
                <w14:textFill>
                  <w14:solidFill>
                    <w14:srgbClr w14:val="000000">
                      <w14:alpha w14:val="100000"/>
                    </w14:srgbClr>
                  </w14:solidFill>
                </w14:textFill>
              </w:rPr>
              <w:t>|</w:t>
            </w:r>
            <w:r w:rsidR="001E5AF9">
              <w:rPr>
                <w:i/>
                <w:sz w:val="18"/>
                <w:szCs w:val="18"/>
                <w:vertAlign w:val="superscript"/>
              </w:rPr>
              <w:t>2</w:t>
            </w:r>
          </w:p>
        </w:tc>
        <w:tc>
          <w:tcPr>
            <w:tcW w:w="67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DB23053" w14:textId="47282CCD"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28"/>
                <w:szCs w:val="20"/>
                <w:shd w:val="solid" w:color="000000" w:fill="000000"/>
                <w:fitText w:val="420" w:id="-1233430004"/>
                <w14:textFill>
                  <w14:solidFill>
                    <w14:srgbClr w14:val="000000">
                      <w14:alpha w14:val="100000"/>
                    </w14:srgbClr>
                  </w14:solidFill>
                </w14:textFill>
              </w:rPr>
              <w:t>|||||</w:t>
            </w:r>
            <w:r w:rsidR="004E39DC" w:rsidRPr="0002685D">
              <w:rPr>
                <w:b/>
                <w:color w:val="000000"/>
                <w:spacing w:val="5"/>
                <w:szCs w:val="20"/>
                <w:shd w:val="solid" w:color="000000" w:fill="000000"/>
                <w:fitText w:val="420" w:id="-1233430004"/>
                <w14:textFill>
                  <w14:solidFill>
                    <w14:srgbClr w14:val="000000">
                      <w14:alpha w14:val="100000"/>
                    </w14:srgbClr>
                  </w14:solidFill>
                </w14:textFill>
              </w:rPr>
              <w:t>|</w:t>
            </w:r>
            <w:r w:rsidR="001E5AF9">
              <w:rPr>
                <w:i/>
                <w:sz w:val="18"/>
                <w:szCs w:val="18"/>
                <w:vertAlign w:val="superscript"/>
              </w:rPr>
              <w:t>2</w:t>
            </w:r>
          </w:p>
        </w:tc>
        <w:tc>
          <w:tcPr>
            <w:tcW w:w="68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7F4A025" w14:textId="0473F1E6"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32"/>
                <w:szCs w:val="20"/>
                <w:shd w:val="solid" w:color="000000" w:fill="000000"/>
                <w:fitText w:val="438" w:id="-1233430003"/>
                <w14:textFill>
                  <w14:solidFill>
                    <w14:srgbClr w14:val="000000">
                      <w14:alpha w14:val="100000"/>
                    </w14:srgbClr>
                  </w14:solidFill>
                </w14:textFill>
              </w:rPr>
              <w:t>|||||</w:t>
            </w:r>
            <w:r w:rsidR="004E39DC" w:rsidRPr="0002685D">
              <w:rPr>
                <w:b/>
                <w:color w:val="000000"/>
                <w:spacing w:val="3"/>
                <w:szCs w:val="20"/>
                <w:shd w:val="solid" w:color="000000" w:fill="000000"/>
                <w:fitText w:val="438" w:id="-1233430003"/>
                <w14:textFill>
                  <w14:solidFill>
                    <w14:srgbClr w14:val="000000">
                      <w14:alpha w14:val="100000"/>
                    </w14:srgbClr>
                  </w14:solidFill>
                </w14:textFill>
              </w:rPr>
              <w:t>|</w:t>
            </w:r>
            <w:r w:rsidR="006054BB">
              <w:rPr>
                <w:i/>
                <w:sz w:val="18"/>
                <w:szCs w:val="18"/>
                <w:vertAlign w:val="superscript"/>
              </w:rPr>
              <w:t>10</w:t>
            </w:r>
          </w:p>
        </w:tc>
      </w:tr>
      <w:tr w:rsidR="00DD5540" w:rsidRPr="00BE27E9" w14:paraId="2383F44B" w14:textId="77777777" w:rsidTr="006054BB">
        <w:tc>
          <w:tcPr>
            <w:tcW w:w="1286" w:type="pct"/>
            <w:vMerge/>
            <w:shd w:val="clear" w:color="auto" w:fill="auto"/>
            <w:vAlign w:val="center"/>
          </w:tcPr>
          <w:p w14:paraId="5FE86706" w14:textId="77777777" w:rsidR="00DD5540" w:rsidRPr="00BE27E9" w:rsidRDefault="00DD5540" w:rsidP="005824F0">
            <w:pPr>
              <w:pStyle w:val="TableText0"/>
              <w:rPr>
                <w:szCs w:val="20"/>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71C5379B" w14:textId="701C9A4B"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2" w:id="-1233430002"/>
                <w14:textFill>
                  <w14:solidFill>
                    <w14:srgbClr w14:val="000000">
                      <w14:alpha w14:val="100000"/>
                    </w14:srgbClr>
                  </w14:solidFill>
                </w14:textFill>
              </w:rPr>
              <w:t>|||||</w:t>
            </w:r>
            <w:r w:rsidR="004E39DC" w:rsidRPr="0002685D">
              <w:rPr>
                <w:b/>
                <w:color w:val="000000"/>
                <w:spacing w:val="2"/>
                <w:szCs w:val="20"/>
                <w:shd w:val="solid" w:color="000000" w:fill="000000"/>
                <w:fitText w:val="502" w:id="-1233430002"/>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shd w:val="clear" w:color="auto" w:fill="auto"/>
            <w:vAlign w:val="center"/>
          </w:tcPr>
          <w:p w14:paraId="35F31AC3" w14:textId="47DD6B1B"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01"/>
                <w14:textFill>
                  <w14:solidFill>
                    <w14:srgbClr w14:val="000000">
                      <w14:alpha w14:val="100000"/>
                    </w14:srgbClr>
                  </w14:solidFill>
                </w14:textFill>
              </w:rPr>
              <w:t>|||||</w:t>
            </w:r>
            <w:r w:rsidR="004E39DC" w:rsidRPr="0002685D">
              <w:rPr>
                <w:b/>
                <w:color w:val="000000"/>
                <w:spacing w:val="1"/>
                <w:szCs w:val="20"/>
                <w:shd w:val="solid" w:color="000000" w:fill="000000"/>
                <w:fitText w:val="501" w:id="-1233430001"/>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shd w:val="clear" w:color="auto" w:fill="auto"/>
            <w:vAlign w:val="center"/>
          </w:tcPr>
          <w:p w14:paraId="4A568295" w14:textId="33FED333"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00"/>
                <w14:textFill>
                  <w14:solidFill>
                    <w14:srgbClr w14:val="000000">
                      <w14:alpha w14:val="100000"/>
                    </w14:srgbClr>
                  </w14:solidFill>
                </w14:textFill>
              </w:rPr>
              <w:t>|||||</w:t>
            </w:r>
            <w:r w:rsidR="004E39DC" w:rsidRPr="0002685D">
              <w:rPr>
                <w:b/>
                <w:color w:val="000000"/>
                <w:spacing w:val="1"/>
                <w:szCs w:val="20"/>
                <w:shd w:val="solid" w:color="000000" w:fill="000000"/>
                <w:fitText w:val="501" w:id="-1233430000"/>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shd w:val="clear" w:color="auto" w:fill="auto"/>
            <w:vAlign w:val="center"/>
          </w:tcPr>
          <w:p w14:paraId="73DC5C80" w14:textId="7EB89AB9"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16"/>
                <w14:textFill>
                  <w14:solidFill>
                    <w14:srgbClr w14:val="000000">
                      <w14:alpha w14:val="100000"/>
                    </w14:srgbClr>
                  </w14:solidFill>
                </w14:textFill>
              </w:rPr>
              <w:t>|||||</w:t>
            </w:r>
            <w:r w:rsidR="004E39DC" w:rsidRPr="0002685D">
              <w:rPr>
                <w:b/>
                <w:color w:val="000000"/>
                <w:spacing w:val="1"/>
                <w:szCs w:val="20"/>
                <w:shd w:val="solid" w:color="000000" w:fill="000000"/>
                <w:fitText w:val="501" w:id="-1233430016"/>
                <w14:textFill>
                  <w14:solidFill>
                    <w14:srgbClr w14:val="000000">
                      <w14:alpha w14:val="100000"/>
                    </w14:srgbClr>
                  </w14:solidFill>
                </w14:textFill>
              </w:rPr>
              <w:t>|</w:t>
            </w:r>
            <w:r w:rsidR="00A6377F">
              <w:rPr>
                <w:i/>
                <w:sz w:val="18"/>
                <w:szCs w:val="18"/>
                <w:vertAlign w:val="superscript"/>
              </w:rPr>
              <w:t>5</w:t>
            </w:r>
          </w:p>
        </w:tc>
        <w:tc>
          <w:tcPr>
            <w:tcW w:w="674" w:type="pct"/>
            <w:tcBorders>
              <w:top w:val="single" w:sz="4" w:space="0" w:color="auto"/>
              <w:left w:val="nil"/>
              <w:bottom w:val="single" w:sz="4" w:space="0" w:color="auto"/>
              <w:right w:val="single" w:sz="4" w:space="0" w:color="auto"/>
            </w:tcBorders>
            <w:shd w:val="clear" w:color="auto" w:fill="auto"/>
            <w:vAlign w:val="center"/>
          </w:tcPr>
          <w:p w14:paraId="67D59A8D" w14:textId="69BD27C5" w:rsidR="00DD5540" w:rsidRPr="00CE59A0" w:rsidRDefault="00DD5540" w:rsidP="005824F0">
            <w:pPr>
              <w:pStyle w:val="TableText0"/>
              <w:jc w:val="center"/>
              <w:rPr>
                <w:szCs w:val="20"/>
              </w:rPr>
            </w:pPr>
            <w:r w:rsidRPr="00CE59A0">
              <w:rPr>
                <w:b/>
                <w:color w:val="000000"/>
                <w:szCs w:val="20"/>
              </w:rPr>
              <w:t>$</w:t>
            </w:r>
            <w:r w:rsidR="004E39DC" w:rsidRPr="004E39DC">
              <w:rPr>
                <w:b/>
                <w:color w:val="000000"/>
                <w:spacing w:val="28"/>
                <w:szCs w:val="20"/>
                <w:shd w:val="solid" w:color="000000" w:fill="000000"/>
                <w:fitText w:val="420" w:id="-1233430015"/>
                <w14:textFill>
                  <w14:solidFill>
                    <w14:srgbClr w14:val="000000">
                      <w14:alpha w14:val="100000"/>
                    </w14:srgbClr>
                  </w14:solidFill>
                </w14:textFill>
              </w:rPr>
              <w:t>|||||</w:t>
            </w:r>
            <w:r w:rsidR="004E39DC" w:rsidRPr="004E39DC">
              <w:rPr>
                <w:b/>
                <w:color w:val="000000"/>
                <w:spacing w:val="5"/>
                <w:szCs w:val="20"/>
                <w:shd w:val="solid" w:color="000000" w:fill="000000"/>
                <w:fitText w:val="420" w:id="-1233430015"/>
                <w14:textFill>
                  <w14:solidFill>
                    <w14:srgbClr w14:val="000000">
                      <w14:alpha w14:val="100000"/>
                    </w14:srgbClr>
                  </w14:solidFill>
                </w14:textFill>
              </w:rPr>
              <w:t>|</w:t>
            </w:r>
            <w:r w:rsidR="00A6377F">
              <w:rPr>
                <w:i/>
                <w:sz w:val="18"/>
                <w:szCs w:val="18"/>
                <w:vertAlign w:val="superscript"/>
              </w:rPr>
              <w:t>5</w:t>
            </w:r>
          </w:p>
        </w:tc>
        <w:tc>
          <w:tcPr>
            <w:tcW w:w="680" w:type="pct"/>
            <w:tcBorders>
              <w:top w:val="single" w:sz="4" w:space="0" w:color="auto"/>
              <w:left w:val="nil"/>
              <w:bottom w:val="single" w:sz="4" w:space="0" w:color="auto"/>
              <w:right w:val="single" w:sz="4" w:space="0" w:color="auto"/>
            </w:tcBorders>
            <w:shd w:val="clear" w:color="auto" w:fill="auto"/>
            <w:vAlign w:val="center"/>
          </w:tcPr>
          <w:p w14:paraId="0896FD66" w14:textId="620519D0" w:rsidR="00DD5540" w:rsidRPr="00CE59A0" w:rsidRDefault="00DD5540" w:rsidP="005824F0">
            <w:pPr>
              <w:pStyle w:val="TableText0"/>
              <w:jc w:val="center"/>
              <w:rPr>
                <w:szCs w:val="20"/>
              </w:rPr>
            </w:pPr>
            <w:r w:rsidRPr="00CE59A0">
              <w:rPr>
                <w:b/>
                <w:color w:val="000000"/>
                <w:szCs w:val="20"/>
              </w:rPr>
              <w:t>$</w:t>
            </w:r>
            <w:r w:rsidR="004E39DC" w:rsidRPr="004E39DC">
              <w:rPr>
                <w:b/>
                <w:color w:val="000000"/>
                <w:spacing w:val="75"/>
                <w:szCs w:val="20"/>
                <w:shd w:val="solid" w:color="000000" w:fill="000000"/>
                <w:fitText w:val="411" w:id="-1233430014"/>
                <w14:textFill>
                  <w14:solidFill>
                    <w14:srgbClr w14:val="000000">
                      <w14:alpha w14:val="100000"/>
                    </w14:srgbClr>
                  </w14:solidFill>
                </w14:textFill>
              </w:rPr>
              <w:t>|||</w:t>
            </w:r>
            <w:r w:rsidR="004E39DC" w:rsidRPr="004E39DC">
              <w:rPr>
                <w:b/>
                <w:color w:val="000000"/>
                <w:spacing w:val="3"/>
                <w:szCs w:val="20"/>
                <w:shd w:val="solid" w:color="000000" w:fill="000000"/>
                <w:fitText w:val="411" w:id="-1233430014"/>
                <w14:textFill>
                  <w14:solidFill>
                    <w14:srgbClr w14:val="000000">
                      <w14:alpha w14:val="100000"/>
                    </w14:srgbClr>
                  </w14:solidFill>
                </w14:textFill>
              </w:rPr>
              <w:t>|</w:t>
            </w:r>
            <w:r w:rsidR="00A6377F">
              <w:rPr>
                <w:i/>
                <w:sz w:val="18"/>
                <w:szCs w:val="18"/>
                <w:vertAlign w:val="superscript"/>
              </w:rPr>
              <w:t>5</w:t>
            </w:r>
          </w:p>
        </w:tc>
      </w:tr>
    </w:tbl>
    <w:p w14:paraId="34B2AE6B" w14:textId="34A6F3A7" w:rsidR="00DD5540" w:rsidRPr="00F35EF4" w:rsidRDefault="00DD5540" w:rsidP="00DD5540">
      <w:pPr>
        <w:pStyle w:val="TableFigureFooter"/>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 xml:space="preserve">shading indicates data previously seen by the PBAC. </w:t>
      </w:r>
    </w:p>
    <w:p w14:paraId="45D9FDE3" w14:textId="4A62E15A" w:rsidR="00DD5540" w:rsidRPr="003F1656" w:rsidRDefault="00DD5540" w:rsidP="00DD5540">
      <w:pPr>
        <w:widowControl w:val="0"/>
        <w:rPr>
          <w:rFonts w:ascii="Arial Narrow" w:hAnsi="Arial Narrow"/>
          <w:snapToGrid w:val="0"/>
          <w:sz w:val="18"/>
          <w:szCs w:val="22"/>
          <w:lang w:eastAsia="en-US"/>
        </w:rPr>
      </w:pPr>
      <w:r w:rsidRPr="00151502">
        <w:rPr>
          <w:rFonts w:ascii="Arial Narrow" w:hAnsi="Arial Narrow"/>
          <w:snapToGrid w:val="0"/>
          <w:sz w:val="18"/>
          <w:szCs w:val="22"/>
          <w:lang w:eastAsia="en-US"/>
        </w:rPr>
        <w:t>Source:</w:t>
      </w:r>
      <w:r w:rsidRPr="0055624C">
        <w:rPr>
          <w:rFonts w:ascii="Arial Narrow" w:hAnsi="Arial Narrow"/>
          <w:i/>
          <w:iCs/>
          <w:snapToGrid w:val="0"/>
          <w:sz w:val="18"/>
          <w:szCs w:val="22"/>
          <w:lang w:eastAsia="en-US"/>
        </w:rPr>
        <w:t xml:space="preserve">  </w:t>
      </w:r>
      <w:r w:rsidRPr="003F1656">
        <w:rPr>
          <w:rFonts w:ascii="Arial Narrow" w:hAnsi="Arial Narrow"/>
          <w:snapToGrid w:val="0"/>
          <w:sz w:val="18"/>
          <w:szCs w:val="22"/>
          <w:lang w:eastAsia="en-US"/>
        </w:rPr>
        <w:t>‘3c. Impact – proposed (eff)’ worksheet and ‘5.Impact – net’’ worksheet of</w:t>
      </w:r>
      <w:r w:rsidR="007303A7" w:rsidRPr="003F1656">
        <w:rPr>
          <w:rFonts w:ascii="Arial Narrow" w:hAnsi="Arial Narrow"/>
          <w:snapToGrid w:val="0"/>
          <w:sz w:val="18"/>
          <w:szCs w:val="22"/>
          <w:lang w:eastAsia="en-US"/>
        </w:rPr>
        <w:t xml:space="preserve"> the model submitted with the current </w:t>
      </w:r>
      <w:r w:rsidRPr="003F1656">
        <w:rPr>
          <w:rFonts w:ascii="Arial Narrow" w:hAnsi="Arial Narrow"/>
          <w:snapToGrid w:val="0"/>
          <w:sz w:val="18"/>
          <w:szCs w:val="22"/>
          <w:lang w:eastAsia="en-US"/>
        </w:rPr>
        <w:t>submission.</w:t>
      </w:r>
    </w:p>
    <w:p w14:paraId="79A23CE9" w14:textId="4353BE2F" w:rsidR="00DD5540" w:rsidRDefault="00DD5540" w:rsidP="00A6377F">
      <w:pPr>
        <w:pStyle w:val="TableFigureFooter"/>
        <w:keepNext/>
        <w:keepLines/>
        <w:spacing w:after="0"/>
        <w:ind w:left="165" w:hanging="165"/>
        <w:rPr>
          <w:rFonts w:cs="Times New Roman"/>
          <w:sz w:val="20"/>
          <w:lang w:eastAsia="en-US"/>
        </w:rPr>
      </w:pPr>
      <w:r w:rsidRPr="00CE59A0">
        <w:rPr>
          <w:vertAlign w:val="superscript"/>
          <w:lang w:eastAsia="en-US"/>
        </w:rPr>
        <w:t>a</w:t>
      </w:r>
      <w:r w:rsidRPr="00CE59A0">
        <w:rPr>
          <w:vertAlign w:val="superscript"/>
          <w:lang w:eastAsia="en-US"/>
        </w:rPr>
        <w:tab/>
      </w:r>
      <w:r w:rsidRPr="00CE59A0">
        <w:rPr>
          <w:lang w:eastAsia="en-US"/>
        </w:rPr>
        <w:t>An error in</w:t>
      </w:r>
      <w:r w:rsidR="004D554E" w:rsidRPr="00CE59A0">
        <w:rPr>
          <w:lang w:eastAsia="en-US"/>
        </w:rPr>
        <w:t xml:space="preserve"> the model submitted with the current </w:t>
      </w:r>
      <w:r w:rsidRPr="00CE59A0">
        <w:rPr>
          <w:lang w:eastAsia="en-US"/>
        </w:rPr>
        <w:t>submission in calculating the wholesale markup for SEC was corrected in the ‘4c. Impact – affected (eff)’ worksheet, cell E302</w:t>
      </w:r>
      <w:r w:rsidRPr="00CE59A0">
        <w:rPr>
          <w:rFonts w:cs="Times New Roman"/>
          <w:sz w:val="20"/>
          <w:lang w:eastAsia="en-US"/>
        </w:rPr>
        <w:t>.</w:t>
      </w:r>
    </w:p>
    <w:p w14:paraId="7427B7BB" w14:textId="77777777" w:rsidR="00A6377F" w:rsidRPr="009A6D58" w:rsidRDefault="00A6377F" w:rsidP="00A6377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55C97F" w14:textId="77777777" w:rsidR="00A6377F" w:rsidRDefault="00A6377F" w:rsidP="00A6377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w:t>
      </w:r>
      <w:r w:rsidRPr="00206B8D">
        <w:rPr>
          <w:rFonts w:ascii="Arial Narrow" w:hAnsi="Arial Narrow"/>
          <w:i/>
          <w:sz w:val="18"/>
          <w:szCs w:val="18"/>
        </w:rPr>
        <w:t>,000 to &lt; </w:t>
      </w:r>
      <w:r>
        <w:rPr>
          <w:rFonts w:ascii="Arial Narrow" w:hAnsi="Arial Narrow"/>
          <w:i/>
          <w:sz w:val="18"/>
          <w:szCs w:val="18"/>
        </w:rPr>
        <w:t>1</w:t>
      </w:r>
      <w:r w:rsidRPr="00206B8D">
        <w:rPr>
          <w:rFonts w:ascii="Arial Narrow" w:hAnsi="Arial Narrow"/>
          <w:i/>
          <w:sz w:val="18"/>
          <w:szCs w:val="18"/>
        </w:rPr>
        <w:t>0,000</w:t>
      </w:r>
      <w:r>
        <w:rPr>
          <w:rFonts w:ascii="Arial Narrow" w:hAnsi="Arial Narrow"/>
          <w:i/>
          <w:sz w:val="18"/>
          <w:szCs w:val="18"/>
        </w:rPr>
        <w:t xml:space="preserve"> </w:t>
      </w:r>
    </w:p>
    <w:p w14:paraId="0517270F" w14:textId="77777777" w:rsidR="00A6377F" w:rsidRPr="00A6377F" w:rsidRDefault="00A6377F" w:rsidP="00A6377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6377F">
        <w:rPr>
          <w:rFonts w:ascii="Arial Narrow" w:hAnsi="Arial Narrow"/>
          <w:i/>
          <w:sz w:val="18"/>
          <w:szCs w:val="18"/>
        </w:rPr>
        <w:t>$20 million to &lt; $30 million</w:t>
      </w:r>
    </w:p>
    <w:p w14:paraId="3DFF7856" w14:textId="77777777" w:rsidR="00A6377F" w:rsidRPr="00A6377F" w:rsidRDefault="00A6377F" w:rsidP="00A6377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6377F">
        <w:rPr>
          <w:rFonts w:ascii="Arial Narrow" w:hAnsi="Arial Narrow"/>
          <w:i/>
          <w:sz w:val="18"/>
          <w:szCs w:val="18"/>
        </w:rPr>
        <w:t>$10 million to &lt; $20 million</w:t>
      </w:r>
    </w:p>
    <w:p w14:paraId="66C93F0B" w14:textId="77777777" w:rsidR="00A6377F" w:rsidRDefault="00A6377F" w:rsidP="00A6377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N</w:t>
      </w:r>
      <w:r w:rsidRPr="00CF47B7">
        <w:rPr>
          <w:rFonts w:ascii="Arial Narrow" w:hAnsi="Arial Narrow"/>
          <w:i/>
          <w:sz w:val="18"/>
          <w:szCs w:val="18"/>
        </w:rPr>
        <w:t>et cost</w:t>
      </w:r>
      <w:r>
        <w:rPr>
          <w:rFonts w:ascii="Arial Narrow" w:hAnsi="Arial Narrow"/>
          <w:i/>
          <w:sz w:val="18"/>
          <w:szCs w:val="18"/>
        </w:rPr>
        <w:t xml:space="preserve"> saving</w:t>
      </w:r>
    </w:p>
    <w:p w14:paraId="2D625888" w14:textId="0575FBF2" w:rsidR="00A6377F" w:rsidRPr="009A6D58" w:rsidRDefault="00A6377F" w:rsidP="00A6377F">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060989">
        <w:rPr>
          <w:rFonts w:ascii="Arial Narrow" w:hAnsi="Arial Narrow"/>
          <w:i/>
          <w:sz w:val="18"/>
          <w:szCs w:val="18"/>
        </w:rPr>
        <w:t>$0 to &lt; $10 million</w:t>
      </w:r>
      <w:r w:rsidRPr="00206B8D">
        <w:rPr>
          <w:rFonts w:ascii="Arial Narrow" w:hAnsi="Arial Narrow"/>
          <w:i/>
          <w:sz w:val="18"/>
          <w:szCs w:val="18"/>
        </w:rPr>
        <w:t xml:space="preserve"> </w:t>
      </w:r>
    </w:p>
    <w:p w14:paraId="58B61FBF" w14:textId="77777777" w:rsidR="001E5AF9" w:rsidRPr="001E5AF9" w:rsidRDefault="00A6377F" w:rsidP="001E5AF9">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1E5AF9" w:rsidRPr="001E5AF9">
        <w:rPr>
          <w:rFonts w:ascii="Arial Narrow" w:hAnsi="Arial Narrow"/>
          <w:i/>
          <w:sz w:val="18"/>
          <w:szCs w:val="18"/>
        </w:rPr>
        <w:t>10,000 to &lt; 20,000</w:t>
      </w:r>
    </w:p>
    <w:p w14:paraId="341F69CB" w14:textId="77777777" w:rsidR="001E5AF9" w:rsidRDefault="00A6377F" w:rsidP="001E5AF9">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1E5AF9" w:rsidRPr="00206B8D">
        <w:rPr>
          <w:rFonts w:ascii="Arial Narrow" w:hAnsi="Arial Narrow"/>
          <w:i/>
          <w:sz w:val="18"/>
          <w:szCs w:val="18"/>
        </w:rPr>
        <w:t xml:space="preserve">$50 million to &lt; $60 million </w:t>
      </w:r>
    </w:p>
    <w:p w14:paraId="23AF5A62" w14:textId="1E900BC3" w:rsidR="001E5AF9" w:rsidRPr="001E5AF9" w:rsidRDefault="001E5AF9" w:rsidP="001E5AF9">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1E5AF9">
        <w:rPr>
          <w:rFonts w:ascii="Arial Narrow" w:hAnsi="Arial Narrow"/>
          <w:i/>
          <w:sz w:val="18"/>
          <w:szCs w:val="18"/>
        </w:rPr>
        <w:t>20,000 to &lt; 30,000</w:t>
      </w:r>
    </w:p>
    <w:p w14:paraId="78CC976B"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1E5AF9">
        <w:rPr>
          <w:rFonts w:ascii="Arial Narrow" w:hAnsi="Arial Narrow"/>
          <w:i/>
          <w:sz w:val="18"/>
          <w:szCs w:val="18"/>
        </w:rPr>
        <w:t>$70 million to &lt; $80 million</w:t>
      </w:r>
    </w:p>
    <w:p w14:paraId="74A19C67"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1E5AF9">
        <w:rPr>
          <w:rFonts w:ascii="Arial Narrow" w:hAnsi="Arial Narrow"/>
          <w:i/>
          <w:sz w:val="18"/>
          <w:szCs w:val="18"/>
        </w:rPr>
        <w:t>$30 million to &lt; $40 million</w:t>
      </w:r>
    </w:p>
    <w:p w14:paraId="654A3BAD"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1E5AF9">
        <w:rPr>
          <w:rFonts w:ascii="Arial Narrow" w:hAnsi="Arial Narrow"/>
          <w:i/>
          <w:sz w:val="18"/>
          <w:szCs w:val="18"/>
        </w:rPr>
        <w:t>$90 million to &lt; $100 million</w:t>
      </w:r>
    </w:p>
    <w:p w14:paraId="53C04F79" w14:textId="55CDCB70" w:rsidR="001E5AF9" w:rsidRPr="001E5AF9" w:rsidRDefault="001E5AF9" w:rsidP="001E5AF9">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1E5AF9">
        <w:rPr>
          <w:rFonts w:ascii="Arial Narrow" w:hAnsi="Arial Narrow"/>
          <w:i/>
          <w:sz w:val="18"/>
          <w:szCs w:val="18"/>
        </w:rPr>
        <w:t>$40 million to &lt; $50 million</w:t>
      </w:r>
    </w:p>
    <w:p w14:paraId="0AE5EB1B" w14:textId="77777777" w:rsidR="006054BB" w:rsidRPr="006054BB" w:rsidRDefault="006054BB" w:rsidP="006054BB">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Pr="006054BB">
        <w:rPr>
          <w:rFonts w:ascii="Arial Narrow" w:hAnsi="Arial Narrow"/>
          <w:i/>
          <w:sz w:val="18"/>
          <w:szCs w:val="18"/>
        </w:rPr>
        <w:t>30,000 to &lt; 40,000</w:t>
      </w:r>
    </w:p>
    <w:p w14:paraId="363A000C" w14:textId="77777777" w:rsidR="006054BB" w:rsidRPr="006054BB" w:rsidRDefault="006054BB" w:rsidP="006054BB">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6054BB">
        <w:rPr>
          <w:rFonts w:ascii="Arial Narrow" w:hAnsi="Arial Narrow"/>
          <w:i/>
          <w:sz w:val="18"/>
          <w:szCs w:val="18"/>
        </w:rPr>
        <w:t>$100 million to &lt; $200 million</w:t>
      </w:r>
    </w:p>
    <w:p w14:paraId="41E523AC" w14:textId="4E958A88" w:rsidR="00A6377F" w:rsidRDefault="006054BB" w:rsidP="006054BB">
      <w:pPr>
        <w:spacing w:after="120"/>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Pr="00206B8D">
        <w:rPr>
          <w:rFonts w:ascii="Arial Narrow" w:hAnsi="Arial Narrow"/>
          <w:i/>
          <w:sz w:val="18"/>
          <w:szCs w:val="18"/>
        </w:rPr>
        <w:t>$</w:t>
      </w:r>
      <w:r>
        <w:rPr>
          <w:rFonts w:ascii="Arial Narrow" w:hAnsi="Arial Narrow"/>
          <w:i/>
          <w:sz w:val="18"/>
          <w:szCs w:val="18"/>
        </w:rPr>
        <w:t>6</w:t>
      </w:r>
      <w:r w:rsidRPr="00206B8D">
        <w:rPr>
          <w:rFonts w:ascii="Arial Narrow" w:hAnsi="Arial Narrow"/>
          <w:i/>
          <w:sz w:val="18"/>
          <w:szCs w:val="18"/>
        </w:rPr>
        <w:t>0 million to &lt; $</w:t>
      </w:r>
      <w:r>
        <w:rPr>
          <w:rFonts w:ascii="Arial Narrow" w:hAnsi="Arial Narrow"/>
          <w:i/>
          <w:sz w:val="18"/>
          <w:szCs w:val="18"/>
        </w:rPr>
        <w:t>7</w:t>
      </w:r>
      <w:r w:rsidRPr="00206B8D">
        <w:rPr>
          <w:rFonts w:ascii="Arial Narrow" w:hAnsi="Arial Narrow"/>
          <w:i/>
          <w:sz w:val="18"/>
          <w:szCs w:val="18"/>
        </w:rPr>
        <w:t>0 million</w:t>
      </w:r>
    </w:p>
    <w:p w14:paraId="66AB1489" w14:textId="7FEE3585" w:rsidR="00A573D4" w:rsidRDefault="00DD5540" w:rsidP="0071342E">
      <w:pPr>
        <w:pStyle w:val="3-BodyText"/>
      </w:pPr>
      <w:r w:rsidRPr="00917AF1">
        <w:t xml:space="preserve">The total </w:t>
      </w:r>
      <w:r w:rsidR="0015113B" w:rsidRPr="00917AF1">
        <w:t xml:space="preserve">net </w:t>
      </w:r>
      <w:r w:rsidRPr="00917AF1">
        <w:t>cost to the PBS/RPBS of listing BKZ was estimated to be $4.0 million in Year 6</w:t>
      </w:r>
      <w:r w:rsidR="00A573D4" w:rsidRPr="00917AF1">
        <w:t xml:space="preserve"> (compared to $31.7m in the March 2022 submission)</w:t>
      </w:r>
      <w:r w:rsidRPr="00917AF1">
        <w:t>, and a total of $20.4 million in the first 6 years of listing</w:t>
      </w:r>
      <w:r w:rsidR="00A573D4" w:rsidRPr="00917AF1">
        <w:t xml:space="preserve"> (compared to $128.9m in the March 2022 submission)</w:t>
      </w:r>
      <w:r w:rsidRPr="00917AF1">
        <w:t xml:space="preserve">. </w:t>
      </w:r>
      <w:r w:rsidR="0071342E" w:rsidRPr="0055624C">
        <w:t>Compared to the March 2022, t</w:t>
      </w:r>
      <w:r w:rsidR="00F8704E" w:rsidRPr="0055624C">
        <w:t xml:space="preserve">he reduction in the estimated net cost to </w:t>
      </w:r>
      <w:r w:rsidR="00F8704E" w:rsidRPr="0055624C">
        <w:lastRenderedPageBreak/>
        <w:t xml:space="preserve">the PBS/RPBS for the proposed listing of BKZ was driven almost entirely by the use of the estimated effective prices in the </w:t>
      </w:r>
      <w:r w:rsidR="00043AB5" w:rsidRPr="0055624C">
        <w:t xml:space="preserve">current </w:t>
      </w:r>
      <w:r w:rsidR="00F8704E" w:rsidRPr="0055624C">
        <w:t>submission rather</w:t>
      </w:r>
      <w:r w:rsidR="00F8704E">
        <w:rPr>
          <w:i/>
          <w:iCs/>
        </w:rPr>
        <w:t xml:space="preserve"> </w:t>
      </w:r>
      <w:r w:rsidR="00F8704E" w:rsidRPr="00480906">
        <w:t xml:space="preserve">than </w:t>
      </w:r>
      <w:r w:rsidR="00A573D4" w:rsidRPr="00480906">
        <w:t>published prices</w:t>
      </w:r>
      <w:r w:rsidR="00A573D4" w:rsidRPr="00480906">
        <w:rPr>
          <w:lang w:eastAsia="en-US"/>
        </w:rPr>
        <w:t>.</w:t>
      </w:r>
    </w:p>
    <w:p w14:paraId="7088209B" w14:textId="69389576" w:rsidR="0006033C" w:rsidRPr="0006033C" w:rsidRDefault="0006033C" w:rsidP="0006033C">
      <w:pPr>
        <w:pStyle w:val="3-BodyText"/>
        <w:numPr>
          <w:ilvl w:val="0"/>
          <w:numId w:val="0"/>
        </w:numPr>
        <w:ind w:left="720"/>
        <w:rPr>
          <w:i/>
          <w:iCs/>
        </w:rPr>
      </w:pPr>
      <w:r w:rsidRPr="0006033C">
        <w:rPr>
          <w:i/>
          <w:iCs/>
        </w:rPr>
        <w:t>For more detail on PBAC’s view, see section 7 PBAC outcome.</w:t>
      </w:r>
    </w:p>
    <w:p w14:paraId="09406F20" w14:textId="77777777" w:rsidR="004F180B" w:rsidRPr="00A8466E" w:rsidRDefault="004F180B" w:rsidP="000D1307">
      <w:pPr>
        <w:pStyle w:val="2-SectionHeading"/>
      </w:pPr>
      <w:r w:rsidRPr="00A8466E">
        <w:t>PBAC Outcome</w:t>
      </w:r>
    </w:p>
    <w:p w14:paraId="441077AA" w14:textId="45614DE6" w:rsidR="004F180B" w:rsidRDefault="004F180B" w:rsidP="004F180B">
      <w:pPr>
        <w:pStyle w:val="3-BodyText"/>
      </w:pPr>
      <w:r w:rsidRPr="00077AF8">
        <w:rPr>
          <w:lang w:val="en-GB"/>
        </w:rPr>
        <w:t>The PBAC recommended the Authority Required listing of bimekizumab (BKZ) for the treatment of severe chronic plaque psoriasis (CPP).</w:t>
      </w:r>
      <w:r w:rsidR="008600A7">
        <w:rPr>
          <w:lang w:val="en-GB"/>
        </w:rPr>
        <w:t xml:space="preserve"> The PBAC’s recommendation for listing was based on, among other matters, its assessment that the cost-effectiveness of BKZ would be acceptable if it were cost minimised to the least costly alternative therapy of infliximab (IFX), </w:t>
      </w:r>
      <w:r w:rsidR="009203ED">
        <w:rPr>
          <w:lang w:val="en-GB"/>
        </w:rPr>
        <w:t>guselkumab (GUS), ixekizumab (IXE), risankizumab (RIS)</w:t>
      </w:r>
      <w:r w:rsidR="00DD50BD">
        <w:rPr>
          <w:lang w:val="en-GB"/>
        </w:rPr>
        <w:t>,</w:t>
      </w:r>
      <w:r w:rsidR="009203ED">
        <w:rPr>
          <w:lang w:val="en-GB"/>
        </w:rPr>
        <w:t xml:space="preserve"> </w:t>
      </w:r>
      <w:r w:rsidR="00DD50BD">
        <w:rPr>
          <w:lang w:val="en-GB"/>
        </w:rPr>
        <w:t xml:space="preserve">tildrakizumab (TIL) </w:t>
      </w:r>
      <w:r w:rsidR="009203ED">
        <w:rPr>
          <w:lang w:val="en-GB"/>
        </w:rPr>
        <w:t xml:space="preserve">and secukinumab (SEC). </w:t>
      </w:r>
      <w:r w:rsidR="008600A7">
        <w:rPr>
          <w:lang w:val="en-GB"/>
        </w:rPr>
        <w:t xml:space="preserve">The PBAC considered there is sufficient evidence to conclude that </w:t>
      </w:r>
      <w:r w:rsidR="009203ED">
        <w:rPr>
          <w:lang w:val="en-GB"/>
        </w:rPr>
        <w:t xml:space="preserve">BKZ </w:t>
      </w:r>
      <w:r w:rsidR="008600A7">
        <w:rPr>
          <w:lang w:val="en-GB"/>
        </w:rPr>
        <w:t>provides</w:t>
      </w:r>
      <w:r w:rsidR="009203ED">
        <w:rPr>
          <w:lang w:val="en-GB"/>
        </w:rPr>
        <w:t xml:space="preserve">, for some patients, </w:t>
      </w:r>
      <w:r w:rsidR="008600A7">
        <w:rPr>
          <w:lang w:val="en-GB"/>
        </w:rPr>
        <w:t>a significant improvement in efficacy compared to adalimumab (ADA)</w:t>
      </w:r>
      <w:r w:rsidR="009203ED">
        <w:rPr>
          <w:lang w:val="en-GB"/>
        </w:rPr>
        <w:t>, etanercept (ETN) and ustekinumab (UST)</w:t>
      </w:r>
      <w:r w:rsidR="008600A7">
        <w:rPr>
          <w:lang w:val="en-GB"/>
        </w:rPr>
        <w:t>.</w:t>
      </w:r>
    </w:p>
    <w:p w14:paraId="4184620F" w14:textId="75D2D928" w:rsidR="00E94CDA" w:rsidRDefault="00E94CDA" w:rsidP="005064D8">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recall</w:t>
      </w:r>
      <w:r w:rsidR="00AF4C7E">
        <w:rPr>
          <w:rFonts w:asciiTheme="minorHAnsi" w:hAnsiTheme="minorHAnsi"/>
          <w:bCs/>
          <w:snapToGrid w:val="0"/>
          <w:lang w:val="en-GB"/>
        </w:rPr>
        <w:t>ed</w:t>
      </w:r>
      <w:r>
        <w:rPr>
          <w:rFonts w:asciiTheme="minorHAnsi" w:hAnsiTheme="minorHAnsi"/>
          <w:bCs/>
          <w:snapToGrid w:val="0"/>
          <w:lang w:val="en-GB"/>
        </w:rPr>
        <w:t xml:space="preserve"> that BKZ was recommended at the March 2022 PBAC meeting on the basis of cost minimisation to the least costly alternative bDMARD for severe CPP</w:t>
      </w:r>
      <w:r w:rsidR="00111AD8">
        <w:rPr>
          <w:rFonts w:asciiTheme="minorHAnsi" w:hAnsiTheme="minorHAnsi"/>
          <w:bCs/>
          <w:snapToGrid w:val="0"/>
          <w:lang w:val="en-GB"/>
        </w:rPr>
        <w:t>, consistent with previous recommendations for GUS, RIS and IXE</w:t>
      </w:r>
      <w:r>
        <w:rPr>
          <w:rFonts w:asciiTheme="minorHAnsi" w:hAnsiTheme="minorHAnsi"/>
          <w:bCs/>
          <w:snapToGrid w:val="0"/>
          <w:lang w:val="en-GB"/>
        </w:rPr>
        <w:t>.  Compared to the submission considered in March 2022, the current</w:t>
      </w:r>
      <w:r w:rsidR="003D1DA9">
        <w:rPr>
          <w:rFonts w:asciiTheme="minorHAnsi" w:hAnsiTheme="minorHAnsi"/>
          <w:bCs/>
          <w:snapToGrid w:val="0"/>
          <w:lang w:val="en-GB"/>
        </w:rPr>
        <w:t xml:space="preserve"> submission</w:t>
      </w:r>
      <w:r>
        <w:rPr>
          <w:rFonts w:asciiTheme="minorHAnsi" w:hAnsiTheme="minorHAnsi"/>
          <w:bCs/>
          <w:snapToGrid w:val="0"/>
          <w:lang w:val="en-GB"/>
        </w:rPr>
        <w:t xml:space="preserve">: </w:t>
      </w:r>
    </w:p>
    <w:p w14:paraId="37F54AD5" w14:textId="3839A293" w:rsidR="005064D8" w:rsidRDefault="00E94CDA" w:rsidP="004C3BD1">
      <w:pPr>
        <w:pStyle w:val="ListParagraph"/>
        <w:widowControl w:val="0"/>
        <w:numPr>
          <w:ilvl w:val="0"/>
          <w:numId w:val="41"/>
        </w:numPr>
        <w:ind w:left="1080"/>
        <w:rPr>
          <w:bCs/>
          <w:lang w:val="en-GB"/>
        </w:rPr>
      </w:pPr>
      <w:r>
        <w:rPr>
          <w:bCs/>
          <w:lang w:val="en-GB"/>
        </w:rPr>
        <w:t>Requested a</w:t>
      </w:r>
      <w:r w:rsidR="005064D8">
        <w:rPr>
          <w:bCs/>
          <w:lang w:val="en-GB"/>
        </w:rPr>
        <w:t xml:space="preserve"> lower </w:t>
      </w:r>
      <w:r w:rsidR="003D1DA9">
        <w:rPr>
          <w:bCs/>
          <w:lang w:val="en-GB"/>
        </w:rPr>
        <w:t xml:space="preserve">price </w:t>
      </w:r>
      <w:r w:rsidR="005064D8">
        <w:rPr>
          <w:bCs/>
          <w:lang w:val="en-GB"/>
        </w:rPr>
        <w:t>($23,923 vs $58,633 per patient over 2 years);</w:t>
      </w:r>
    </w:p>
    <w:p w14:paraId="5844AB1D" w14:textId="6811CAE2" w:rsidR="005064D8" w:rsidRPr="006613EF" w:rsidRDefault="005064D8" w:rsidP="004C3BD1">
      <w:pPr>
        <w:pStyle w:val="ListParagraph"/>
        <w:widowControl w:val="0"/>
        <w:numPr>
          <w:ilvl w:val="0"/>
          <w:numId w:val="41"/>
        </w:numPr>
        <w:ind w:left="1080"/>
        <w:rPr>
          <w:bCs/>
          <w:lang w:val="en-GB"/>
        </w:rPr>
      </w:pPr>
      <w:r>
        <w:rPr>
          <w:bCs/>
          <w:lang w:val="en-GB"/>
        </w:rPr>
        <w:t>Presented additional clinical data (</w:t>
      </w:r>
      <w:r w:rsidR="003D1DA9">
        <w:rPr>
          <w:bCs/>
          <w:lang w:val="en-GB"/>
        </w:rPr>
        <w:t xml:space="preserve">one </w:t>
      </w:r>
      <w:r>
        <w:rPr>
          <w:bCs/>
          <w:lang w:val="en-GB"/>
        </w:rPr>
        <w:t xml:space="preserve">additional </w:t>
      </w:r>
      <w:r w:rsidR="003D1DA9">
        <w:rPr>
          <w:bCs/>
          <w:lang w:val="en-GB"/>
        </w:rPr>
        <w:t xml:space="preserve">short term </w:t>
      </w:r>
      <w:r>
        <w:rPr>
          <w:bCs/>
          <w:lang w:val="en-GB"/>
        </w:rPr>
        <w:t>NMA</w:t>
      </w:r>
      <w:r w:rsidR="003D1DA9">
        <w:rPr>
          <w:bCs/>
          <w:lang w:val="en-GB"/>
        </w:rPr>
        <w:t xml:space="preserve">, one long term NMA, </w:t>
      </w:r>
      <w:r>
        <w:rPr>
          <w:bCs/>
          <w:lang w:val="en-GB"/>
        </w:rPr>
        <w:t xml:space="preserve">subgroup analyses, </w:t>
      </w:r>
      <w:r w:rsidRPr="006613EF">
        <w:rPr>
          <w:bCs/>
          <w:lang w:val="en-GB"/>
        </w:rPr>
        <w:t>data with longer term follow-up)</w:t>
      </w:r>
      <w:r>
        <w:rPr>
          <w:bCs/>
          <w:lang w:val="en-GB"/>
        </w:rPr>
        <w:t>;</w:t>
      </w:r>
      <w:r w:rsidRPr="006613EF">
        <w:rPr>
          <w:bCs/>
          <w:lang w:val="en-GB"/>
        </w:rPr>
        <w:t xml:space="preserve"> </w:t>
      </w:r>
    </w:p>
    <w:p w14:paraId="5D655A4A" w14:textId="3DB6CF5D" w:rsidR="005064D8" w:rsidRDefault="003D1DA9" w:rsidP="004C3BD1">
      <w:pPr>
        <w:pStyle w:val="ListParagraph"/>
        <w:widowControl w:val="0"/>
        <w:numPr>
          <w:ilvl w:val="0"/>
          <w:numId w:val="41"/>
        </w:numPr>
        <w:ind w:left="1080"/>
        <w:rPr>
          <w:bCs/>
          <w:lang w:val="en-GB"/>
        </w:rPr>
      </w:pPr>
      <w:r>
        <w:rPr>
          <w:bCs/>
          <w:lang w:val="en-GB"/>
        </w:rPr>
        <w:t>Provided a</w:t>
      </w:r>
      <w:r w:rsidR="005064D8">
        <w:rPr>
          <w:bCs/>
          <w:lang w:val="en-GB"/>
        </w:rPr>
        <w:t xml:space="preserve"> comparison vs IFX;</w:t>
      </w:r>
      <w:r w:rsidR="00E32168">
        <w:rPr>
          <w:bCs/>
          <w:lang w:val="en-GB"/>
        </w:rPr>
        <w:t xml:space="preserve"> and</w:t>
      </w:r>
    </w:p>
    <w:p w14:paraId="1445B229" w14:textId="3A267337" w:rsidR="005064D8" w:rsidRDefault="005064D8" w:rsidP="004C3BD1">
      <w:pPr>
        <w:pStyle w:val="ListParagraph"/>
        <w:widowControl w:val="0"/>
        <w:numPr>
          <w:ilvl w:val="0"/>
          <w:numId w:val="41"/>
        </w:numPr>
        <w:ind w:left="1080"/>
        <w:rPr>
          <w:bCs/>
          <w:lang w:val="en-GB"/>
        </w:rPr>
      </w:pPr>
      <w:r w:rsidRPr="006613EF">
        <w:rPr>
          <w:bCs/>
          <w:lang w:val="en-GB"/>
        </w:rPr>
        <w:t>Presented a</w:t>
      </w:r>
      <w:r w:rsidR="003D1DA9">
        <w:rPr>
          <w:bCs/>
          <w:lang w:val="en-GB"/>
        </w:rPr>
        <w:t xml:space="preserve"> cost minimisation approach (excluding ADA, TIL and UST) as an alternative </w:t>
      </w:r>
      <w:r w:rsidRPr="006613EF">
        <w:rPr>
          <w:bCs/>
          <w:lang w:val="en-GB"/>
        </w:rPr>
        <w:t xml:space="preserve">to the </w:t>
      </w:r>
      <w:r w:rsidR="003D1DA9">
        <w:rPr>
          <w:bCs/>
          <w:lang w:val="en-GB"/>
        </w:rPr>
        <w:t>cost utility analysis</w:t>
      </w:r>
      <w:r w:rsidRPr="006613EF">
        <w:rPr>
          <w:bCs/>
          <w:lang w:val="en-GB"/>
        </w:rPr>
        <w:t>, in the event the PBAC not accept the superiority claim</w:t>
      </w:r>
      <w:r w:rsidR="003D1DA9">
        <w:rPr>
          <w:bCs/>
          <w:lang w:val="en-GB"/>
        </w:rPr>
        <w:t xml:space="preserve"> versus all currently PBS-listed bDMARDs</w:t>
      </w:r>
      <w:r w:rsidR="00E32168">
        <w:rPr>
          <w:bCs/>
          <w:lang w:val="en-GB"/>
        </w:rPr>
        <w:t>.</w:t>
      </w:r>
    </w:p>
    <w:p w14:paraId="0074A3CE" w14:textId="1A025A02" w:rsidR="0064565B" w:rsidRPr="00D8553E" w:rsidRDefault="0064565B" w:rsidP="0064565B">
      <w:pPr>
        <w:widowControl w:val="0"/>
        <w:numPr>
          <w:ilvl w:val="1"/>
          <w:numId w:val="1"/>
        </w:numPr>
        <w:spacing w:after="120"/>
        <w:rPr>
          <w:rFonts w:asciiTheme="minorHAnsi" w:hAnsiTheme="minorHAnsi"/>
          <w:bCs/>
          <w:snapToGrid w:val="0"/>
          <w:lang w:val="en-GB"/>
        </w:rPr>
      </w:pPr>
      <w:r w:rsidRPr="00D8553E">
        <w:rPr>
          <w:rFonts w:asciiTheme="minorHAnsi" w:hAnsiTheme="minorHAnsi"/>
          <w:bCs/>
          <w:snapToGrid w:val="0"/>
          <w:lang w:val="en-GB"/>
        </w:rPr>
        <w:t xml:space="preserve">The PBAC is satisfied that </w:t>
      </w:r>
      <w:r>
        <w:rPr>
          <w:rFonts w:asciiTheme="minorHAnsi" w:hAnsiTheme="minorHAnsi"/>
          <w:bCs/>
          <w:snapToGrid w:val="0"/>
          <w:lang w:val="en-GB"/>
        </w:rPr>
        <w:t xml:space="preserve">BKZ </w:t>
      </w:r>
      <w:r w:rsidRPr="00D8553E">
        <w:rPr>
          <w:rFonts w:asciiTheme="minorHAnsi" w:hAnsiTheme="minorHAnsi"/>
          <w:bCs/>
          <w:snapToGrid w:val="0"/>
          <w:lang w:val="en-GB"/>
        </w:rPr>
        <w:t>provides, for some patients, a significant improvement in efficacy over</w:t>
      </w:r>
      <w:r>
        <w:rPr>
          <w:rFonts w:asciiTheme="minorHAnsi" w:hAnsiTheme="minorHAnsi"/>
          <w:bCs/>
          <w:snapToGrid w:val="0"/>
          <w:lang w:val="en-GB"/>
        </w:rPr>
        <w:t xml:space="preserve"> ADA, ETN and UST</w:t>
      </w:r>
      <w:r w:rsidRPr="00D8553E">
        <w:rPr>
          <w:rFonts w:asciiTheme="minorHAnsi" w:hAnsiTheme="minorHAnsi"/>
          <w:bCs/>
          <w:snapToGrid w:val="0"/>
          <w:lang w:val="en-GB"/>
        </w:rPr>
        <w:t>.</w:t>
      </w:r>
    </w:p>
    <w:p w14:paraId="54DD2FC4" w14:textId="33BC312A" w:rsidR="007A79BE" w:rsidRDefault="007A79BE" w:rsidP="00CE59A0">
      <w:pPr>
        <w:pStyle w:val="3-BodyText"/>
      </w:pPr>
      <w:r w:rsidRPr="007A79BE">
        <w:t>The PBAC noted the c</w:t>
      </w:r>
      <w:r w:rsidR="00EB7AD3" w:rsidRPr="007A79BE">
        <w:t>onsumer comments</w:t>
      </w:r>
      <w:r w:rsidRPr="007A79BE">
        <w:t xml:space="preserve"> regarding the </w:t>
      </w:r>
      <w:r>
        <w:t xml:space="preserve">significant </w:t>
      </w:r>
      <w:r w:rsidRPr="007A79BE">
        <w:t>quality of life impact</w:t>
      </w:r>
      <w:r>
        <w:t xml:space="preserve"> </w:t>
      </w:r>
      <w:r w:rsidR="00947B2C">
        <w:t xml:space="preserve">severe CPP </w:t>
      </w:r>
      <w:r>
        <w:t xml:space="preserve">has on patients </w:t>
      </w:r>
      <w:r w:rsidRPr="007A79BE">
        <w:t xml:space="preserve">and the importance of having additional treatment options available.  </w:t>
      </w:r>
    </w:p>
    <w:p w14:paraId="0182896D" w14:textId="26E6E1E1" w:rsidR="004F180B" w:rsidRDefault="007A79BE" w:rsidP="007A79BE">
      <w:pPr>
        <w:pStyle w:val="3-BodyText"/>
      </w:pPr>
      <w:r>
        <w:t xml:space="preserve">The PBAC agreed with the ESC </w:t>
      </w:r>
      <w:r w:rsidRPr="007A79BE">
        <w:t>that the mechanism of action and mode of administration of BKZ was not unique and the clinical need for additional treatment options for severe CPP was low</w:t>
      </w:r>
      <w:r>
        <w:t>. However, acknowledging the consumer comments (see paragraph above), t</w:t>
      </w:r>
      <w:r w:rsidRPr="007A79BE">
        <w:t>he PBAC reiterated its previous consideration that the addition of another option which may offer a higher chance of achieving a PASI 90 response compared with some of the alternative bDMARDs, may be useful in particular patients</w:t>
      </w:r>
      <w:r w:rsidR="00151617">
        <w:t xml:space="preserve">. </w:t>
      </w:r>
    </w:p>
    <w:p w14:paraId="66807D5B" w14:textId="2EB503FE" w:rsidR="001341D2" w:rsidRDefault="001341D2" w:rsidP="007A79BE">
      <w:pPr>
        <w:pStyle w:val="3-BodyText"/>
      </w:pPr>
      <w:r>
        <w:t xml:space="preserve">The PBAC noted the current submission nominated all currently PBS-listed bDMARDs for </w:t>
      </w:r>
      <w:r w:rsidR="00055D88">
        <w:t xml:space="preserve">severe </w:t>
      </w:r>
      <w:r>
        <w:t xml:space="preserve">CPP as comparators.  </w:t>
      </w:r>
      <w:r w:rsidR="00984E9E" w:rsidRPr="00984E9E">
        <w:rPr>
          <w:lang w:val="en-GB"/>
        </w:rPr>
        <w:t>The PBAC</w:t>
      </w:r>
      <w:r w:rsidR="00984E9E">
        <w:rPr>
          <w:lang w:val="en-GB"/>
        </w:rPr>
        <w:t xml:space="preserve"> reaffirmed its previous consider</w:t>
      </w:r>
      <w:r w:rsidR="00055D88">
        <w:rPr>
          <w:lang w:val="en-GB"/>
        </w:rPr>
        <w:t>ation</w:t>
      </w:r>
      <w:r w:rsidR="00984E9E">
        <w:rPr>
          <w:lang w:val="en-GB"/>
        </w:rPr>
        <w:t xml:space="preserve"> that </w:t>
      </w:r>
      <w:r w:rsidR="00984E9E" w:rsidRPr="00984E9E">
        <w:rPr>
          <w:lang w:val="en-GB"/>
        </w:rPr>
        <w:lastRenderedPageBreak/>
        <w:t>BKZ was more likely to substitute for the recently listed bDMARDs that tended to be the more effective treatment options (i.e., IXE and RIS)</w:t>
      </w:r>
      <w:r w:rsidR="00BA4024">
        <w:rPr>
          <w:lang w:val="en-GB"/>
        </w:rPr>
        <w:t xml:space="preserve">; however, </w:t>
      </w:r>
      <w:r w:rsidR="00984E9E" w:rsidRPr="00984E9E">
        <w:rPr>
          <w:lang w:val="en-GB"/>
        </w:rPr>
        <w:t xml:space="preserve">all currently PBS-subsidised bDMARDs for </w:t>
      </w:r>
      <w:r w:rsidR="005477BD">
        <w:rPr>
          <w:lang w:val="en-GB"/>
        </w:rPr>
        <w:t xml:space="preserve">severe </w:t>
      </w:r>
      <w:r w:rsidR="00984E9E" w:rsidRPr="00984E9E">
        <w:rPr>
          <w:lang w:val="en-GB"/>
        </w:rPr>
        <w:t>CPP were relevant alternative therapies.</w:t>
      </w:r>
    </w:p>
    <w:p w14:paraId="02744690" w14:textId="7E0DAAEB" w:rsidR="00151617" w:rsidRDefault="00151617" w:rsidP="007A79BE">
      <w:pPr>
        <w:pStyle w:val="3-BodyText"/>
      </w:pPr>
      <w:r>
        <w:t xml:space="preserve">The PBAC noted the clinical claim in the current submission </w:t>
      </w:r>
      <w:r w:rsidR="001341D2">
        <w:t>was that BKZ is more effective than all currently PBS-listed bDMARDs at achieving a PASI 90 and PASI 100 response and similar in safety. This is consistent with the clinical claim in the previous submission with the exception of the removal of reference to the PASI 75 outcome</w:t>
      </w:r>
      <w:r w:rsidR="009C1203">
        <w:t xml:space="preserve"> as part of the claim</w:t>
      </w:r>
      <w:r w:rsidR="001341D2">
        <w:t xml:space="preserve">. </w:t>
      </w:r>
    </w:p>
    <w:p w14:paraId="2B55D3DB" w14:textId="1B7E96F3" w:rsidR="00151617" w:rsidRDefault="00151617" w:rsidP="007A79BE">
      <w:pPr>
        <w:pStyle w:val="3-BodyText"/>
      </w:pPr>
      <w:r>
        <w:t xml:space="preserve">The PBAC noted the key clinical evidence presented to support the clinical claim </w:t>
      </w:r>
      <w:r w:rsidR="00947B2C">
        <w:t>consisted of 3 direct randomised controlled trials of BKZ vs ADA, UST and SEC, two short term NMAs</w:t>
      </w:r>
      <w:r w:rsidR="00050DFF">
        <w:t xml:space="preserve"> [</w:t>
      </w:r>
      <w:r w:rsidR="00947B2C">
        <w:t>Armstrong 2022</w:t>
      </w:r>
      <w:r w:rsidR="00050DFF">
        <w:t xml:space="preserve"> (86 studies, 34,476 patients)</w:t>
      </w:r>
      <w:r w:rsidR="00947B2C">
        <w:t>, Sbidian 2022</w:t>
      </w:r>
      <w:r w:rsidR="00050DFF">
        <w:t xml:space="preserve"> (167 studies, 58,912 patients)] and </w:t>
      </w:r>
      <w:r w:rsidR="00947B2C">
        <w:t xml:space="preserve">one long term NMA </w:t>
      </w:r>
      <w:r w:rsidR="00050DFF">
        <w:t>[</w:t>
      </w:r>
      <w:r w:rsidR="00947B2C">
        <w:t>Armstrong 2002a</w:t>
      </w:r>
      <w:r w:rsidR="00050DFF">
        <w:t xml:space="preserve"> (14 studies)]. The current submission also presented clinical data from a subgroup of patients with </w:t>
      </w:r>
      <w:r w:rsidR="00055D88">
        <w:t xml:space="preserve">severe </w:t>
      </w:r>
      <w:r w:rsidR="00050DFF">
        <w:t>CPP in high impact areas (scalp, nails and palmoplantar)</w:t>
      </w:r>
      <w:r w:rsidR="00534310">
        <w:t>.</w:t>
      </w:r>
      <w:r w:rsidR="002D2DBB">
        <w:t xml:space="preserve"> </w:t>
      </w:r>
    </w:p>
    <w:p w14:paraId="49549952" w14:textId="5A2E79DC" w:rsidR="00534310" w:rsidRPr="00DD50BD" w:rsidRDefault="002D2DBB" w:rsidP="007A79BE">
      <w:pPr>
        <w:pStyle w:val="3-BodyText"/>
      </w:pPr>
      <w:r>
        <w:t xml:space="preserve">The PBAC noted </w:t>
      </w:r>
      <w:r w:rsidR="009B63AE">
        <w:t>the interpretation of the results from the indirect treatment comparisons and the NMAs w</w:t>
      </w:r>
      <w:r w:rsidR="001F4D78">
        <w:t xml:space="preserve">as </w:t>
      </w:r>
      <w:r w:rsidR="009B63AE">
        <w:t>inconsistent and varied</w:t>
      </w:r>
      <w:r w:rsidR="001F4D78">
        <w:t xml:space="preserve"> based</w:t>
      </w:r>
      <w:r w:rsidR="009B63AE">
        <w:t xml:space="preserve"> on the risk statistic (see paragraph </w:t>
      </w:r>
      <w:r w:rsidR="009B63AE">
        <w:fldChar w:fldCharType="begin"/>
      </w:r>
      <w:r w:rsidR="009B63AE">
        <w:instrText xml:space="preserve"> REF _Ref130198894 \r \h </w:instrText>
      </w:r>
      <w:r w:rsidR="009B63AE">
        <w:fldChar w:fldCharType="separate"/>
      </w:r>
      <w:r w:rsidR="003F1ED3">
        <w:t>6.17</w:t>
      </w:r>
      <w:r w:rsidR="009B63AE">
        <w:fldChar w:fldCharType="end"/>
      </w:r>
      <w:r w:rsidR="009B63AE">
        <w:t>).</w:t>
      </w:r>
      <w:r>
        <w:t xml:space="preserve"> </w:t>
      </w:r>
      <w:r w:rsidR="00BA4024">
        <w:t>The P</w:t>
      </w:r>
      <w:r w:rsidR="00C60436">
        <w:t>BA</w:t>
      </w:r>
      <w:r w:rsidR="00BA4024">
        <w:t xml:space="preserve">C considered the evidence presented did not support the claim that BKZ is more effective that all currently PBS-listed bDMARDs at achieving a PASI 90 response. The PBAC considered that PASI 75 remained a relevant outcome for severe CPP and the evidence also did not support a claim that BKZ is superior to all currently PBS-listed bDMARDs based on the PASI 75 response.   </w:t>
      </w:r>
    </w:p>
    <w:p w14:paraId="4AF1500D" w14:textId="2D171378" w:rsidR="0070692C" w:rsidRPr="00DD50BD" w:rsidRDefault="0070692C" w:rsidP="0070692C">
      <w:pPr>
        <w:pStyle w:val="3-BodyText"/>
      </w:pPr>
      <w:r w:rsidRPr="00DD50BD">
        <w:t>The PBAC considered that, based on the totality of evidence, with a consistent conclusion across direct trials, two short term NMAs and one long term NMA, BKZ provides, for some patients, a significant improvement in efficacy (as measured by PASI 75</w:t>
      </w:r>
      <w:r w:rsidR="00A635D0">
        <w:t xml:space="preserve"> and PASI 90</w:t>
      </w:r>
      <w:r w:rsidRPr="00DD50BD">
        <w:t>) compared to ADA and UST.</w:t>
      </w:r>
      <w:r w:rsidR="00DD50BD" w:rsidRPr="00DD50BD">
        <w:t xml:space="preserve"> The PBAC noted there was no direct evidence comparing BKZ and ETN but considered that, based on previous </w:t>
      </w:r>
      <w:r w:rsidR="00E32168">
        <w:t xml:space="preserve">consideration </w:t>
      </w:r>
      <w:r w:rsidR="00DD50BD" w:rsidRPr="00DD50BD">
        <w:t>of the efficacy of ETN</w:t>
      </w:r>
      <w:r w:rsidR="00C75D20">
        <w:t xml:space="preserve"> (see paragraph </w:t>
      </w:r>
      <w:r w:rsidR="00E32168">
        <w:rPr>
          <w:highlight w:val="green"/>
        </w:rPr>
        <w:fldChar w:fldCharType="begin"/>
      </w:r>
      <w:r w:rsidR="00E32168">
        <w:instrText xml:space="preserve"> REF _Ref130386800 \r \h </w:instrText>
      </w:r>
      <w:r w:rsidR="00E32168">
        <w:rPr>
          <w:highlight w:val="green"/>
        </w:rPr>
      </w:r>
      <w:r w:rsidR="00E32168">
        <w:rPr>
          <w:highlight w:val="green"/>
        </w:rPr>
        <w:fldChar w:fldCharType="separate"/>
      </w:r>
      <w:r w:rsidR="003F1ED3">
        <w:t>6.17</w:t>
      </w:r>
      <w:r w:rsidR="00E32168">
        <w:rPr>
          <w:highlight w:val="green"/>
        </w:rPr>
        <w:fldChar w:fldCharType="end"/>
      </w:r>
      <w:r w:rsidR="00C75D20" w:rsidRPr="00E32168">
        <w:t>)</w:t>
      </w:r>
      <w:r w:rsidR="00DD50BD" w:rsidRPr="00DD50BD">
        <w:t>, and supported by the conclusion in the two short term NMAs and one long term NMA, BKZ provides, for some patients, a significant improvement in efficacy (as measured by PASI 75</w:t>
      </w:r>
      <w:r w:rsidR="00A635D0">
        <w:t xml:space="preserve"> and PASI 90</w:t>
      </w:r>
      <w:r w:rsidR="00DD50BD" w:rsidRPr="00DD50BD">
        <w:t xml:space="preserve">) compared to ETN. </w:t>
      </w:r>
    </w:p>
    <w:p w14:paraId="49D8788F" w14:textId="699C1D68" w:rsidR="00BF463A" w:rsidRDefault="00BF463A" w:rsidP="00BF463A">
      <w:pPr>
        <w:pStyle w:val="3-BodyText"/>
      </w:pPr>
      <w:r w:rsidRPr="00BF463A">
        <w:t xml:space="preserve">The PBAC </w:t>
      </w:r>
      <w:r>
        <w:t xml:space="preserve">recalled it had previously </w:t>
      </w:r>
      <w:r w:rsidRPr="00BF463A">
        <w:t xml:space="preserve">considered a claim of non-inferior safety compared to all currently PBS-listed bDMARDs </w:t>
      </w:r>
      <w:r>
        <w:t xml:space="preserve">to be </w:t>
      </w:r>
      <w:r w:rsidRPr="00BF463A">
        <w:t>reasonable</w:t>
      </w:r>
      <w:r>
        <w:t xml:space="preserve"> (paragraph 7.9, BKZ </w:t>
      </w:r>
      <w:r w:rsidR="00C16E6F">
        <w:t>PSD</w:t>
      </w:r>
      <w:r>
        <w:t>, March 2022 PBAC meeting)</w:t>
      </w:r>
      <w:r w:rsidRPr="00BF463A">
        <w:t>.</w:t>
      </w:r>
      <w:r>
        <w:t xml:space="preserve">  </w:t>
      </w:r>
    </w:p>
    <w:p w14:paraId="63F419C5" w14:textId="0D5B586E" w:rsidR="00186291" w:rsidRDefault="00186291" w:rsidP="00BF463A">
      <w:pPr>
        <w:pStyle w:val="3-BodyText"/>
      </w:pPr>
      <w:r>
        <w:t xml:space="preserve">The PBAC agreed with the ESC that the economic model </w:t>
      </w:r>
      <w:r w:rsidRPr="00186291">
        <w:t>was not informative given the clinical evidence presented in the current submission did not support the clinical claim that BKZ was superior to all PBS-listed bDMARDs.</w:t>
      </w:r>
    </w:p>
    <w:p w14:paraId="045C3F31" w14:textId="7091B07B" w:rsidR="00A635D0" w:rsidRPr="00BF463A" w:rsidRDefault="00A635D0" w:rsidP="00BF463A">
      <w:pPr>
        <w:pStyle w:val="3-BodyText"/>
      </w:pPr>
      <w:r>
        <w:t xml:space="preserve">The PBAC noted the </w:t>
      </w:r>
      <w:r w:rsidR="00C75D20">
        <w:t>PSCR</w:t>
      </w:r>
      <w:r>
        <w:t xml:space="preserve"> </w:t>
      </w:r>
      <w:r w:rsidR="00C75D20">
        <w:t xml:space="preserve">proposed a cost minimisation approach versus RIS, excluding ADA, ETN, UST, SEC, TIL, GUS, IFX and IXE on the basis that BKZ has demonstrated a significant improvement in efficacy and/ or toxicity versus these </w:t>
      </w:r>
      <w:r w:rsidR="00C75D20">
        <w:lastRenderedPageBreak/>
        <w:t xml:space="preserve">bDMARDs. However, the PBAC accepted a superiority claim versus ADA, ETN and UST only.  </w:t>
      </w:r>
    </w:p>
    <w:p w14:paraId="533431BD" w14:textId="113A4E15" w:rsidR="00BF463A" w:rsidRPr="00871EE1" w:rsidRDefault="00BF463A" w:rsidP="00BF463A">
      <w:pPr>
        <w:pStyle w:val="3-BodyText"/>
      </w:pPr>
      <w:r w:rsidRPr="00871EE1">
        <w:t xml:space="preserve">The PBAC considered a standard cost minimisation approach with costs over two years was appropriate, consistent with </w:t>
      </w:r>
      <w:r w:rsidR="00111AD8">
        <w:t xml:space="preserve">the </w:t>
      </w:r>
      <w:r w:rsidRPr="00871EE1">
        <w:t xml:space="preserve">previous approach for bDMARDs. The PBAC </w:t>
      </w:r>
      <w:r w:rsidR="000D3B25">
        <w:t xml:space="preserve">considered the cost minimisation approach should be based on an equi-effective dose of BKZ of 320 mg at weeks 0, 4, 8, 12, 16 and then every 8 weeks </w:t>
      </w:r>
      <w:r w:rsidRPr="00871EE1">
        <w:t xml:space="preserve">and </w:t>
      </w:r>
      <w:r w:rsidR="009B4B02">
        <w:t xml:space="preserve">the doses of </w:t>
      </w:r>
      <w:r w:rsidRPr="00871EE1">
        <w:t xml:space="preserve">alternative bDMARDs </w:t>
      </w:r>
      <w:r w:rsidR="00871EE1">
        <w:t xml:space="preserve">(excluding ADA, ETN and UST) </w:t>
      </w:r>
      <w:r w:rsidRPr="00871EE1">
        <w:t>could be derived with reference to the relevant Product Information documents.</w:t>
      </w:r>
      <w:r w:rsidR="00551336" w:rsidRPr="00551336">
        <w:t xml:space="preserve"> The PBAC considered the cost of </w:t>
      </w:r>
      <w:r w:rsidR="00551336">
        <w:t>BKZ</w:t>
      </w:r>
      <w:r w:rsidR="00551336" w:rsidRPr="00551336">
        <w:t xml:space="preserve"> should be no greater than the least costly of the</w:t>
      </w:r>
      <w:r w:rsidR="00551336">
        <w:t xml:space="preserve"> alternative therapies (excluding ADA, ETN and UST)</w:t>
      </w:r>
      <w:r w:rsidR="00551336" w:rsidRPr="00551336">
        <w:t>.</w:t>
      </w:r>
    </w:p>
    <w:p w14:paraId="6641D68E" w14:textId="02EDB861" w:rsidR="00BF463A" w:rsidRPr="00871EE1" w:rsidRDefault="00BF463A" w:rsidP="00BF463A">
      <w:pPr>
        <w:pStyle w:val="3-BodyText"/>
      </w:pPr>
      <w:r w:rsidRPr="00871EE1">
        <w:t xml:space="preserve">The PBAC considered the listing </w:t>
      </w:r>
      <w:r w:rsidR="007D1CD9">
        <w:t xml:space="preserve">included in Section 8 of the March 2022 </w:t>
      </w:r>
      <w:r w:rsidR="00C16E6F">
        <w:t xml:space="preserve">PSD </w:t>
      </w:r>
      <w:r w:rsidR="007D1CD9">
        <w:t xml:space="preserve">remained appropriate (including a reduction in the number of repeats from 5 to 4) </w:t>
      </w:r>
      <w:r w:rsidRPr="00871EE1">
        <w:t xml:space="preserve">with flow-on changes to the other bDMARD listings to include BKZ in the list of eligible treatments as part of a treatment cycle. The PBAC considered it </w:t>
      </w:r>
      <w:r w:rsidR="007D1CD9">
        <w:t xml:space="preserve">remained </w:t>
      </w:r>
      <w:r w:rsidRPr="00871EE1">
        <w:t>reasonable to apply a grandfather restriction for the listing of BKZ, which should be reviewed after 12 months, as per standard practice.</w:t>
      </w:r>
    </w:p>
    <w:p w14:paraId="28307834" w14:textId="7301D1C4" w:rsidR="00871EE1" w:rsidRPr="00871EE1" w:rsidRDefault="00BF463A" w:rsidP="00F35E73">
      <w:pPr>
        <w:widowControl w:val="0"/>
        <w:numPr>
          <w:ilvl w:val="1"/>
          <w:numId w:val="1"/>
        </w:numPr>
        <w:spacing w:after="120"/>
        <w:rPr>
          <w:rFonts w:asciiTheme="minorHAnsi" w:hAnsiTheme="minorHAnsi"/>
          <w:bCs/>
          <w:snapToGrid w:val="0"/>
          <w:lang w:val="en-GB"/>
        </w:rPr>
      </w:pPr>
      <w:r w:rsidRPr="00871EE1">
        <w:rPr>
          <w:rFonts w:asciiTheme="minorHAnsi" w:hAnsiTheme="minorHAnsi"/>
          <w:snapToGrid w:val="0"/>
          <w:lang w:val="en-GB"/>
        </w:rPr>
        <w:t>The PBAC considered that, given its recommendation was on a cost minimisation basis to the least costly alternative bDMARD</w:t>
      </w:r>
      <w:r w:rsidR="00871EE1" w:rsidRPr="00871EE1">
        <w:rPr>
          <w:rFonts w:asciiTheme="minorHAnsi" w:hAnsiTheme="minorHAnsi"/>
          <w:snapToGrid w:val="0"/>
          <w:lang w:val="en-GB"/>
        </w:rPr>
        <w:t xml:space="preserve"> (excluding ADA, ETN and UST)</w:t>
      </w:r>
      <w:r w:rsidRPr="00871EE1">
        <w:rPr>
          <w:rFonts w:asciiTheme="minorHAnsi" w:hAnsiTheme="minorHAnsi"/>
          <w:snapToGrid w:val="0"/>
          <w:lang w:val="en-GB"/>
        </w:rPr>
        <w:t>, the listing of BKZ on this basis was likely to be cost neutral or modestly cost saving to the PBS</w:t>
      </w:r>
      <w:r w:rsidR="00A635D0" w:rsidRPr="00A635D0">
        <w:rPr>
          <w:rFonts w:asciiTheme="minorHAnsi" w:hAnsiTheme="minorHAnsi"/>
          <w:snapToGrid w:val="0"/>
          <w:lang w:val="en-GB"/>
        </w:rPr>
        <w:t xml:space="preserve"> </w:t>
      </w:r>
      <w:r w:rsidR="00A635D0" w:rsidRPr="00871EE1">
        <w:rPr>
          <w:rFonts w:asciiTheme="minorHAnsi" w:hAnsiTheme="minorHAnsi"/>
          <w:snapToGrid w:val="0"/>
          <w:lang w:val="en-GB"/>
        </w:rPr>
        <w:t>as it may substitute for more costly bDMARDs</w:t>
      </w:r>
      <w:r w:rsidR="005064D8">
        <w:rPr>
          <w:rFonts w:asciiTheme="minorHAnsi" w:hAnsiTheme="minorHAnsi"/>
          <w:snapToGrid w:val="0"/>
          <w:lang w:val="en-GB"/>
        </w:rPr>
        <w:t>. The PBAC noted</w:t>
      </w:r>
      <w:r w:rsidR="00A635D0">
        <w:rPr>
          <w:rFonts w:asciiTheme="minorHAnsi" w:hAnsiTheme="minorHAnsi"/>
          <w:snapToGrid w:val="0"/>
          <w:lang w:val="en-GB"/>
        </w:rPr>
        <w:t xml:space="preserve"> BKZ may be more costly than ADA, ETN and UST but considered BKZ was less likely to substitute for these therapies</w:t>
      </w:r>
      <w:r w:rsidRPr="00871EE1">
        <w:rPr>
          <w:rFonts w:asciiTheme="minorHAnsi" w:hAnsiTheme="minorHAnsi"/>
          <w:snapToGrid w:val="0"/>
          <w:lang w:val="en-GB"/>
        </w:rPr>
        <w:t xml:space="preserve">. The PBAC </w:t>
      </w:r>
      <w:r w:rsidR="005064D8">
        <w:rPr>
          <w:rFonts w:asciiTheme="minorHAnsi" w:hAnsiTheme="minorHAnsi"/>
          <w:snapToGrid w:val="0"/>
          <w:lang w:val="en-GB"/>
        </w:rPr>
        <w:t xml:space="preserve">reiterated its previous consideration </w:t>
      </w:r>
      <w:r w:rsidRPr="00871EE1">
        <w:rPr>
          <w:rFonts w:asciiTheme="minorHAnsi" w:hAnsiTheme="minorHAnsi"/>
          <w:snapToGrid w:val="0"/>
          <w:lang w:val="en-GB"/>
        </w:rPr>
        <w:t xml:space="preserve">that, as BKZ would be the tenth bDMARD available on the PBS, the listing was unlikely to accelerate growth in the market.  </w:t>
      </w:r>
    </w:p>
    <w:p w14:paraId="5ACEF6F5" w14:textId="6A4496A4" w:rsidR="00F35E73" w:rsidRPr="000861EB" w:rsidRDefault="00F35E73" w:rsidP="00F35E73">
      <w:pPr>
        <w:widowControl w:val="0"/>
        <w:numPr>
          <w:ilvl w:val="1"/>
          <w:numId w:val="1"/>
        </w:numPr>
        <w:spacing w:after="120"/>
        <w:rPr>
          <w:rFonts w:asciiTheme="minorHAnsi" w:hAnsiTheme="minorHAnsi"/>
          <w:bCs/>
          <w:snapToGrid w:val="0"/>
          <w:lang w:val="en-GB"/>
        </w:rPr>
      </w:pPr>
      <w:r w:rsidRPr="000861EB">
        <w:rPr>
          <w:rFonts w:asciiTheme="minorHAnsi" w:hAnsiTheme="minorHAnsi"/>
          <w:bCs/>
          <w:snapToGrid w:val="0"/>
          <w:lang w:val="en-GB"/>
        </w:rPr>
        <w:t>The PBAC recommended that BKZ should be treated as interchangeable on an individual patient basis with</w:t>
      </w:r>
      <w:r w:rsidR="0049372E" w:rsidRPr="000861EB">
        <w:rPr>
          <w:rFonts w:asciiTheme="minorHAnsi" w:hAnsiTheme="minorHAnsi"/>
          <w:bCs/>
          <w:snapToGrid w:val="0"/>
          <w:lang w:val="en-GB"/>
        </w:rPr>
        <w:t xml:space="preserve"> </w:t>
      </w:r>
      <w:r w:rsidR="000861EB" w:rsidRPr="000861EB">
        <w:rPr>
          <w:rFonts w:asciiTheme="minorHAnsi" w:hAnsiTheme="minorHAnsi"/>
          <w:bCs/>
          <w:snapToGrid w:val="0"/>
          <w:lang w:val="en-GB"/>
        </w:rPr>
        <w:t>IFX, GUS, IXE, RIS, TIL and SEC.</w:t>
      </w:r>
      <w:r w:rsidR="000861EB">
        <w:rPr>
          <w:rFonts w:asciiTheme="minorHAnsi" w:hAnsiTheme="minorHAnsi"/>
          <w:bCs/>
          <w:snapToGrid w:val="0"/>
          <w:lang w:val="en-GB"/>
        </w:rPr>
        <w:t xml:space="preserve"> </w:t>
      </w:r>
    </w:p>
    <w:p w14:paraId="50E4F67C" w14:textId="4164FE59" w:rsidR="00F35E73" w:rsidRPr="00525B39" w:rsidRDefault="00F35E73" w:rsidP="00F35E7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w:t>
      </w:r>
      <w:r>
        <w:rPr>
          <w:rFonts w:asciiTheme="minorHAnsi" w:hAnsiTheme="minorHAnsi"/>
          <w:bCs/>
          <w:snapToGrid w:val="0"/>
          <w:lang w:val="en-GB"/>
        </w:rPr>
        <w:t>that BKZ</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consistent with other bDMARD listings for </w:t>
      </w:r>
      <w:r w:rsidR="000C69E2">
        <w:rPr>
          <w:rFonts w:asciiTheme="minorHAnsi" w:hAnsiTheme="minorHAnsi"/>
          <w:bCs/>
          <w:snapToGrid w:val="0"/>
          <w:lang w:val="en-GB"/>
        </w:rPr>
        <w:t xml:space="preserve">severe </w:t>
      </w:r>
      <w:r>
        <w:rPr>
          <w:rFonts w:asciiTheme="minorHAnsi" w:hAnsiTheme="minorHAnsi"/>
          <w:bCs/>
          <w:snapToGrid w:val="0"/>
          <w:lang w:val="en-GB"/>
        </w:rPr>
        <w:t>CPP.</w:t>
      </w:r>
    </w:p>
    <w:p w14:paraId="7AD0D8F2" w14:textId="77777777" w:rsidR="00F35E73" w:rsidRPr="00525B39" w:rsidRDefault="00F35E73" w:rsidP="00F35E7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should apply. </w:t>
      </w:r>
    </w:p>
    <w:p w14:paraId="391FBD51" w14:textId="44A3A9EE" w:rsidR="00F35E73" w:rsidRPr="00B82C31" w:rsidRDefault="00F35E73" w:rsidP="00F35E73">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 xml:space="preserve">The PBAC noted that its recommendation was on a cost-minimisation basis and advised that, because </w:t>
      </w:r>
      <w:r w:rsidR="000861EB">
        <w:rPr>
          <w:rFonts w:asciiTheme="minorHAnsi" w:hAnsiTheme="minorHAnsi"/>
          <w:bCs/>
          <w:snapToGrid w:val="0"/>
          <w:lang w:val="en-GB"/>
        </w:rPr>
        <w:t>BKZ</w:t>
      </w:r>
      <w:r w:rsidR="000861EB" w:rsidRPr="00B82C31">
        <w:rPr>
          <w:rFonts w:asciiTheme="minorHAnsi" w:hAnsiTheme="minorHAnsi"/>
          <w:bCs/>
          <w:snapToGrid w:val="0"/>
          <w:lang w:val="en-GB"/>
        </w:rPr>
        <w:t xml:space="preserve"> </w:t>
      </w:r>
      <w:r w:rsidRPr="00B82C31">
        <w:rPr>
          <w:rFonts w:asciiTheme="minorHAnsi" w:hAnsiTheme="minorHAnsi"/>
          <w:bCs/>
          <w:snapToGrid w:val="0"/>
          <w:lang w:val="en-GB"/>
        </w:rPr>
        <w:t>is not expected to provide a substantial and clinically relevant improvement in efficacy, or reduction of toxicity, over</w:t>
      </w:r>
      <w:r>
        <w:rPr>
          <w:rFonts w:asciiTheme="minorHAnsi" w:hAnsiTheme="minorHAnsi"/>
          <w:bCs/>
          <w:snapToGrid w:val="0"/>
          <w:lang w:val="en-GB"/>
        </w:rPr>
        <w:t xml:space="preserve"> all the PBS-listed bDMARDs</w:t>
      </w:r>
      <w:r w:rsidRPr="00B82C31">
        <w:rPr>
          <w:rFonts w:asciiTheme="minorHAnsi" w:hAnsiTheme="minorHAnsi"/>
          <w:bCs/>
          <w:snapToGrid w:val="0"/>
          <w:lang w:val="en-GB"/>
        </w:rPr>
        <w:t>, or not expected to address a high and urgent unmet clinical need given the presence of alternative therap</w:t>
      </w:r>
      <w:r w:rsidR="0017184A">
        <w:rPr>
          <w:rFonts w:asciiTheme="minorHAnsi" w:hAnsiTheme="minorHAnsi"/>
          <w:bCs/>
          <w:snapToGrid w:val="0"/>
          <w:lang w:val="en-GB"/>
        </w:rPr>
        <w:t>ies</w:t>
      </w:r>
      <w:r w:rsidRPr="00B82C31">
        <w:rPr>
          <w:rFonts w:asciiTheme="minorHAnsi" w:hAnsiTheme="minorHAnsi"/>
          <w:bCs/>
          <w:snapToGrid w:val="0"/>
          <w:lang w:val="en-GB"/>
        </w:rPr>
        <w:t>, the criteria prescribed by the National Health (Pharmaceuticals and Vaccines – Cost Recovery) Regulations 2009 for Pricing Pathway A were not met.</w:t>
      </w:r>
    </w:p>
    <w:p w14:paraId="11AE9A94" w14:textId="77777777" w:rsidR="00F35E73" w:rsidRPr="00B82C31" w:rsidRDefault="00F35E73" w:rsidP="00F35E73">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 xml:space="preserve">The PBAC noted that this submission is not eligible for an Independent Review as it received a positive recommendation. </w:t>
      </w:r>
    </w:p>
    <w:p w14:paraId="13C01F0B" w14:textId="77777777" w:rsidR="00E8341E" w:rsidRPr="00E8341E" w:rsidRDefault="00E8341E" w:rsidP="007B17AB">
      <w:pPr>
        <w:keepNext/>
        <w:jc w:val="left"/>
        <w:rPr>
          <w:b/>
          <w:bCs/>
        </w:rPr>
      </w:pPr>
      <w:r w:rsidRPr="00E8341E">
        <w:rPr>
          <w:b/>
          <w:bCs/>
        </w:rPr>
        <w:lastRenderedPageBreak/>
        <w:t>Outcome:</w:t>
      </w:r>
    </w:p>
    <w:p w14:paraId="51A771F2" w14:textId="1D47AE73" w:rsidR="00E8341E" w:rsidRDefault="00E8341E">
      <w:pPr>
        <w:jc w:val="left"/>
      </w:pPr>
      <w:r>
        <w:t>Recommended</w:t>
      </w:r>
    </w:p>
    <w:p w14:paraId="77450716" w14:textId="77777777" w:rsidR="004F180B" w:rsidRPr="00F237A4" w:rsidRDefault="004F180B" w:rsidP="000D1307">
      <w:pPr>
        <w:pStyle w:val="2-SectionHeading"/>
        <w:rPr>
          <w:b w:val="0"/>
          <w:iCs/>
          <w:lang w:val="en-GB"/>
        </w:rPr>
      </w:pPr>
      <w:r w:rsidRPr="000D1307">
        <w:t>Recommended</w:t>
      </w:r>
      <w:r w:rsidRPr="00525B39">
        <w:rPr>
          <w:lang w:val="en-GB"/>
        </w:rPr>
        <w:t xml:space="preserve"> listing</w:t>
      </w:r>
    </w:p>
    <w:p w14:paraId="2BE5561B" w14:textId="76140A8D" w:rsidR="004F180B" w:rsidRPr="0002685D" w:rsidRDefault="004F180B" w:rsidP="0002685D">
      <w:pPr>
        <w:widowControl w:val="0"/>
        <w:numPr>
          <w:ilvl w:val="1"/>
          <w:numId w:val="1"/>
        </w:numPr>
        <w:spacing w:after="120"/>
        <w:rPr>
          <w:rFonts w:asciiTheme="minorHAnsi" w:hAnsiTheme="minorHAnsi"/>
          <w:b/>
          <w:bCs/>
          <w:iCs/>
          <w:snapToGrid w:val="0"/>
        </w:rPr>
      </w:pPr>
      <w:r w:rsidRPr="004A0EE8">
        <w:rPr>
          <w:rFonts w:asciiTheme="minorHAnsi" w:hAnsiTheme="minorHAnsi" w:cstheme="minorHAnsi"/>
          <w:iCs/>
        </w:rPr>
        <w:t>Add new item/s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4F180B" w:rsidRPr="009A610D" w14:paraId="53487082" w14:textId="77777777" w:rsidTr="008370C3">
        <w:trPr>
          <w:cantSplit/>
          <w:trHeight w:val="471"/>
        </w:trPr>
        <w:tc>
          <w:tcPr>
            <w:tcW w:w="2689" w:type="dxa"/>
          </w:tcPr>
          <w:p w14:paraId="18252586"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641D45BE"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1275" w:type="dxa"/>
          </w:tcPr>
          <w:p w14:paraId="52096F7A"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Pr>
          <w:p w14:paraId="4F0672E9"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14:paraId="45733B72"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70BC6658"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06AF2752"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gridSpan w:val="2"/>
          </w:tcPr>
          <w:p w14:paraId="08843741"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0AC059F6" w14:textId="77777777" w:rsidTr="004C3BD1">
        <w:trPr>
          <w:cantSplit/>
          <w:trHeight w:val="314"/>
        </w:trPr>
        <w:tc>
          <w:tcPr>
            <w:tcW w:w="2689" w:type="dxa"/>
          </w:tcPr>
          <w:p w14:paraId="33E1CD7C" w14:textId="0E9AF876"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7894CC02"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1275" w:type="dxa"/>
          </w:tcPr>
          <w:p w14:paraId="7F794F6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851" w:type="dxa"/>
          </w:tcPr>
          <w:p w14:paraId="0221A2B7" w14:textId="77777777" w:rsidR="004F180B" w:rsidRPr="009A610D" w:rsidRDefault="004F180B" w:rsidP="008370C3">
            <w:pPr>
              <w:keepNext/>
              <w:jc w:val="center"/>
              <w:rPr>
                <w:rFonts w:ascii="Arial Narrow" w:hAnsi="Arial Narrow"/>
                <w:sz w:val="18"/>
                <w:szCs w:val="18"/>
              </w:rPr>
            </w:pPr>
            <w:r w:rsidRPr="009A610D">
              <w:rPr>
                <w:rFonts w:ascii="Arial Narrow" w:hAnsi="Arial Narrow"/>
                <w:sz w:val="18"/>
                <w:szCs w:val="18"/>
              </w:rPr>
              <w:t>1</w:t>
            </w:r>
          </w:p>
        </w:tc>
        <w:tc>
          <w:tcPr>
            <w:tcW w:w="850" w:type="dxa"/>
          </w:tcPr>
          <w:p w14:paraId="6AE0659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709" w:type="dxa"/>
          </w:tcPr>
          <w:p w14:paraId="25F4FB35" w14:textId="6A3A8FD8" w:rsidR="004F180B" w:rsidRPr="009A610D" w:rsidRDefault="004F180B" w:rsidP="004C3BD1">
            <w:pPr>
              <w:keepNext/>
              <w:ind w:left="-108"/>
              <w:jc w:val="center"/>
              <w:rPr>
                <w:rFonts w:ascii="Arial Narrow" w:hAnsi="Arial Narrow"/>
                <w:sz w:val="18"/>
                <w:szCs w:val="18"/>
              </w:rPr>
            </w:pPr>
            <w:r w:rsidRPr="00DE7AAD">
              <w:rPr>
                <w:rFonts w:ascii="Arial Narrow" w:hAnsi="Arial Narrow"/>
                <w:sz w:val="18"/>
                <w:szCs w:val="18"/>
              </w:rPr>
              <w:t>4</w:t>
            </w:r>
          </w:p>
        </w:tc>
        <w:tc>
          <w:tcPr>
            <w:tcW w:w="1134" w:type="dxa"/>
            <w:vMerge w:val="restart"/>
          </w:tcPr>
          <w:p w14:paraId="6ABE6BFC"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1417" w:type="dxa"/>
            <w:vMerge w:val="restart"/>
          </w:tcPr>
          <w:p w14:paraId="4C98534C"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0BFB2CED" w14:textId="77777777" w:rsidTr="008370C3">
        <w:trPr>
          <w:cantSplit/>
          <w:trHeight w:val="347"/>
        </w:trPr>
        <w:tc>
          <w:tcPr>
            <w:tcW w:w="2689" w:type="dxa"/>
          </w:tcPr>
          <w:p w14:paraId="1047F38F"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1275" w:type="dxa"/>
          </w:tcPr>
          <w:p w14:paraId="3357697A"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851" w:type="dxa"/>
          </w:tcPr>
          <w:p w14:paraId="3B762D76"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850" w:type="dxa"/>
          </w:tcPr>
          <w:p w14:paraId="3FBACDED"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709" w:type="dxa"/>
          </w:tcPr>
          <w:p w14:paraId="7C7AD090"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4</w:t>
            </w:r>
          </w:p>
        </w:tc>
        <w:tc>
          <w:tcPr>
            <w:tcW w:w="1134" w:type="dxa"/>
            <w:vMerge/>
          </w:tcPr>
          <w:p w14:paraId="0EA031DB" w14:textId="77777777" w:rsidR="004F180B" w:rsidRDefault="004F180B" w:rsidP="008370C3">
            <w:pPr>
              <w:keepNext/>
              <w:rPr>
                <w:rFonts w:ascii="Arial Narrow" w:hAnsi="Arial Narrow"/>
                <w:sz w:val="18"/>
                <w:szCs w:val="18"/>
              </w:rPr>
            </w:pPr>
          </w:p>
        </w:tc>
        <w:tc>
          <w:tcPr>
            <w:tcW w:w="1417" w:type="dxa"/>
            <w:vMerge/>
          </w:tcPr>
          <w:p w14:paraId="32A556AE" w14:textId="77777777" w:rsidR="004F180B" w:rsidRDefault="004F180B" w:rsidP="008370C3">
            <w:pPr>
              <w:keepNext/>
              <w:rPr>
                <w:rFonts w:ascii="Arial Narrow" w:hAnsi="Arial Narrow"/>
                <w:sz w:val="18"/>
                <w:szCs w:val="18"/>
              </w:rPr>
            </w:pPr>
          </w:p>
        </w:tc>
      </w:tr>
    </w:tbl>
    <w:p w14:paraId="51654A59" w14:textId="77777777" w:rsidR="004F180B" w:rsidRPr="006E6F07" w:rsidRDefault="004F180B" w:rsidP="004F180B">
      <w:pPr>
        <w:rPr>
          <w:rFonts w:ascii="Arial Narrow" w:hAnsi="Arial Narrow"/>
          <w:b/>
          <w:sz w:val="18"/>
          <w:szCs w:val="18"/>
          <w:lang w:val="en-GB"/>
        </w:rPr>
      </w:pPr>
      <w:r>
        <w:rPr>
          <w:rFonts w:ascii="Arial Narrow" w:hAnsi="Arial Narrow"/>
          <w:b/>
          <w:sz w:val="18"/>
          <w:szCs w:val="18"/>
          <w:lang w:val="en-GB"/>
        </w:rPr>
        <w:t>Minor amendments based on Benefit Type 49345 (guselkumab)</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1701"/>
        <w:gridCol w:w="1275"/>
        <w:gridCol w:w="852"/>
        <w:gridCol w:w="850"/>
        <w:gridCol w:w="709"/>
        <w:gridCol w:w="1134"/>
        <w:gridCol w:w="1419"/>
      </w:tblGrid>
      <w:tr w:rsidR="004F180B" w:rsidRPr="00120A12" w14:paraId="291C9061" w14:textId="77777777" w:rsidTr="008370C3">
        <w:tc>
          <w:tcPr>
            <w:tcW w:w="553" w:type="pct"/>
            <w:tcBorders>
              <w:top w:val="single" w:sz="4" w:space="0" w:color="auto"/>
              <w:left w:val="single" w:sz="4" w:space="0" w:color="auto"/>
              <w:bottom w:val="single" w:sz="4" w:space="0" w:color="auto"/>
              <w:right w:val="single" w:sz="4" w:space="0" w:color="auto"/>
            </w:tcBorders>
          </w:tcPr>
          <w:p w14:paraId="35E20FED" w14:textId="77777777" w:rsidR="004F180B" w:rsidRPr="00507253" w:rsidRDefault="004F180B" w:rsidP="008370C3">
            <w:pPr>
              <w:jc w:val="center"/>
              <w:rPr>
                <w:rFonts w:ascii="Arial Narrow" w:hAnsi="Arial Narrow"/>
                <w:b/>
                <w:sz w:val="18"/>
                <w:szCs w:val="18"/>
              </w:rPr>
            </w:pPr>
            <w:r w:rsidRPr="00507253">
              <w:rPr>
                <w:rFonts w:ascii="Arial Narrow" w:hAnsi="Arial Narrow"/>
                <w:b/>
                <w:sz w:val="18"/>
                <w:szCs w:val="18"/>
              </w:rPr>
              <w:t>Concept ID</w:t>
            </w:r>
          </w:p>
        </w:tc>
        <w:tc>
          <w:tcPr>
            <w:tcW w:w="4447" w:type="pct"/>
            <w:gridSpan w:val="7"/>
            <w:tcBorders>
              <w:top w:val="single" w:sz="4" w:space="0" w:color="auto"/>
              <w:left w:val="single" w:sz="4" w:space="0" w:color="auto"/>
              <w:bottom w:val="single" w:sz="4" w:space="0" w:color="auto"/>
              <w:right w:val="single" w:sz="4" w:space="0" w:color="auto"/>
            </w:tcBorders>
          </w:tcPr>
          <w:p w14:paraId="3C89B789" w14:textId="77777777" w:rsidR="004F180B" w:rsidRDefault="004F180B" w:rsidP="008370C3">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p>
          <w:p w14:paraId="0A52E4B4" w14:textId="77777777" w:rsidR="004F180B" w:rsidRPr="00120A12" w:rsidRDefault="004F180B" w:rsidP="008370C3">
            <w:pPr>
              <w:rPr>
                <w:rFonts w:ascii="Arial Narrow" w:hAnsi="Arial Narrow"/>
                <w:sz w:val="18"/>
                <w:szCs w:val="18"/>
              </w:rPr>
            </w:pPr>
            <w:r w:rsidRPr="003D201F">
              <w:rPr>
                <w:rFonts w:ascii="Arial Narrow" w:hAnsi="Arial Narrow"/>
                <w:sz w:val="18"/>
                <w:szCs w:val="18"/>
              </w:rPr>
              <w:t>GENERAL – General Schedule (Code GE)</w:t>
            </w:r>
          </w:p>
        </w:tc>
      </w:tr>
      <w:tr w:rsidR="004F180B" w:rsidRPr="00120A12" w14:paraId="321809E9" w14:textId="77777777" w:rsidTr="004C3BD1">
        <w:trPr>
          <w:trHeight w:val="119"/>
        </w:trPr>
        <w:tc>
          <w:tcPr>
            <w:tcW w:w="553" w:type="pct"/>
            <w:tcBorders>
              <w:top w:val="single" w:sz="4" w:space="0" w:color="auto"/>
              <w:left w:val="single" w:sz="4" w:space="0" w:color="auto"/>
              <w:bottom w:val="single" w:sz="4" w:space="0" w:color="auto"/>
              <w:right w:val="single" w:sz="4" w:space="0" w:color="auto"/>
            </w:tcBorders>
          </w:tcPr>
          <w:p w14:paraId="47DB9B8D" w14:textId="77777777" w:rsidR="004F180B" w:rsidRPr="0020649C" w:rsidRDefault="004F180B" w:rsidP="008370C3">
            <w:pPr>
              <w:rPr>
                <w:rFonts w:ascii="Arial Narrow" w:hAnsi="Arial Narrow"/>
                <w:sz w:val="18"/>
                <w:szCs w:val="18"/>
              </w:rPr>
            </w:pPr>
          </w:p>
        </w:tc>
        <w:tc>
          <w:tcPr>
            <w:tcW w:w="4447" w:type="pct"/>
            <w:gridSpan w:val="7"/>
            <w:tcBorders>
              <w:top w:val="single" w:sz="4" w:space="0" w:color="auto"/>
              <w:left w:val="single" w:sz="4" w:space="0" w:color="auto"/>
              <w:bottom w:val="single" w:sz="4" w:space="0" w:color="auto"/>
              <w:right w:val="single" w:sz="4" w:space="0" w:color="auto"/>
            </w:tcBorders>
          </w:tcPr>
          <w:p w14:paraId="4EEB408C" w14:textId="77777777" w:rsidR="004F180B" w:rsidRPr="00120A12" w:rsidRDefault="004F180B" w:rsidP="008370C3">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3F1ED3">
              <w:rPr>
                <w:rFonts w:ascii="Arial Narrow" w:hAnsi="Arial Narrow"/>
                <w:sz w:val="18"/>
                <w:szCs w:val="18"/>
              </w:rPr>
            </w:r>
            <w:r w:rsidR="003F1ED3">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 xml:space="preserve">Medical Practitioners  </w:t>
            </w:r>
          </w:p>
        </w:tc>
      </w:tr>
      <w:tr w:rsidR="004F180B" w:rsidRPr="00120A12" w14:paraId="37FEF031" w14:textId="77777777" w:rsidTr="008370C3">
        <w:tc>
          <w:tcPr>
            <w:tcW w:w="553" w:type="pct"/>
            <w:tcBorders>
              <w:top w:val="single" w:sz="4" w:space="0" w:color="auto"/>
              <w:left w:val="single" w:sz="4" w:space="0" w:color="auto"/>
              <w:bottom w:val="single" w:sz="4" w:space="0" w:color="auto"/>
              <w:right w:val="single" w:sz="4" w:space="0" w:color="auto"/>
            </w:tcBorders>
          </w:tcPr>
          <w:p w14:paraId="5F40FB52" w14:textId="77777777" w:rsidR="004F180B" w:rsidRPr="00120A12" w:rsidRDefault="004F180B" w:rsidP="008370C3">
            <w:pPr>
              <w:rPr>
                <w:rFonts w:ascii="Arial Narrow" w:hAnsi="Arial Narrow"/>
                <w:i/>
                <w:sz w:val="18"/>
                <w:szCs w:val="18"/>
              </w:rPr>
            </w:pPr>
          </w:p>
          <w:p w14:paraId="5AF66429" w14:textId="77777777" w:rsidR="004F180B" w:rsidRPr="0020649C" w:rsidRDefault="004F180B" w:rsidP="008370C3">
            <w:pPr>
              <w:rPr>
                <w:rFonts w:ascii="Arial Narrow" w:hAnsi="Arial Narrow"/>
                <w:sz w:val="18"/>
                <w:szCs w:val="18"/>
              </w:rPr>
            </w:pPr>
          </w:p>
        </w:tc>
        <w:tc>
          <w:tcPr>
            <w:tcW w:w="4447" w:type="pct"/>
            <w:gridSpan w:val="7"/>
            <w:tcBorders>
              <w:top w:val="single" w:sz="4" w:space="0" w:color="auto"/>
              <w:left w:val="single" w:sz="4" w:space="0" w:color="auto"/>
              <w:bottom w:val="single" w:sz="4" w:space="0" w:color="auto"/>
              <w:right w:val="single" w:sz="4" w:space="0" w:color="auto"/>
            </w:tcBorders>
          </w:tcPr>
          <w:p w14:paraId="396D5DE6" w14:textId="77777777" w:rsidR="004F180B" w:rsidRPr="0020649C" w:rsidRDefault="004F180B" w:rsidP="008370C3">
            <w:pPr>
              <w:rPr>
                <w:rFonts w:ascii="Arial Narrow" w:hAnsi="Arial Narrow"/>
                <w:b/>
                <w:sz w:val="18"/>
                <w:szCs w:val="18"/>
              </w:rPr>
            </w:pPr>
            <w:r w:rsidRPr="0020649C">
              <w:rPr>
                <w:rFonts w:ascii="Arial Narrow" w:hAnsi="Arial Narrow"/>
                <w:b/>
                <w:sz w:val="18"/>
                <w:szCs w:val="18"/>
              </w:rPr>
              <w:t>Restriction Level / Method:</w:t>
            </w:r>
          </w:p>
          <w:p w14:paraId="33B814B3" w14:textId="77777777" w:rsidR="004F180B" w:rsidRPr="00120A12" w:rsidRDefault="004F180B" w:rsidP="008370C3">
            <w:pPr>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3F1ED3">
              <w:rPr>
                <w:rFonts w:ascii="Arial Narrow" w:hAnsi="Arial Narrow"/>
                <w:sz w:val="18"/>
                <w:szCs w:val="18"/>
              </w:rPr>
            </w:r>
            <w:r w:rsidR="003F1ED3">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In Writing</w:t>
            </w:r>
          </w:p>
        </w:tc>
      </w:tr>
      <w:tr w:rsidR="004F180B" w:rsidRPr="00120A12" w14:paraId="0978B39F" w14:textId="77777777" w:rsidTr="008370C3">
        <w:tc>
          <w:tcPr>
            <w:tcW w:w="553" w:type="pct"/>
            <w:vAlign w:val="center"/>
          </w:tcPr>
          <w:p w14:paraId="4A51677C"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tcPr>
          <w:p w14:paraId="2FFBD82A"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Administrative Advice:</w:t>
            </w:r>
          </w:p>
          <w:p w14:paraId="6BA08E1C" w14:textId="77777777" w:rsidR="004F180B" w:rsidRPr="00111AD8" w:rsidRDefault="004F180B" w:rsidP="008370C3">
            <w:pPr>
              <w:rPr>
                <w:rFonts w:ascii="Arial Narrow" w:hAnsi="Arial Narrow"/>
                <w:color w:val="333333"/>
                <w:sz w:val="18"/>
                <w:szCs w:val="18"/>
              </w:rPr>
            </w:pPr>
            <w:r w:rsidRPr="00111AD8">
              <w:rPr>
                <w:rFonts w:ascii="Arial Narrow" w:hAnsi="Arial Narrow"/>
                <w:color w:val="333333"/>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20A12" w14:paraId="542E313D" w14:textId="77777777" w:rsidTr="008370C3">
        <w:tc>
          <w:tcPr>
            <w:tcW w:w="553" w:type="pct"/>
            <w:vAlign w:val="center"/>
          </w:tcPr>
          <w:p w14:paraId="768FA084"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F0DEC46" w14:textId="77777777" w:rsidR="004F180B" w:rsidRPr="001A310D" w:rsidRDefault="004F180B" w:rsidP="008370C3">
            <w:pPr>
              <w:rPr>
                <w:rFonts w:ascii="Arial Narrow" w:hAnsi="Arial Narrow"/>
                <w:bCs/>
                <w:color w:val="333333"/>
                <w:sz w:val="18"/>
                <w:szCs w:val="18"/>
              </w:rPr>
            </w:pPr>
            <w:r>
              <w:rPr>
                <w:rFonts w:ascii="Arial Narrow" w:hAnsi="Arial Narrow"/>
                <w:b/>
                <w:bCs/>
                <w:color w:val="333333"/>
                <w:sz w:val="18"/>
                <w:szCs w:val="18"/>
              </w:rPr>
              <w:t xml:space="preserve">Episodicity: </w:t>
            </w:r>
          </w:p>
        </w:tc>
      </w:tr>
      <w:tr w:rsidR="004F180B" w:rsidRPr="00120A12" w14:paraId="2D843EF2" w14:textId="77777777" w:rsidTr="008370C3">
        <w:tc>
          <w:tcPr>
            <w:tcW w:w="553" w:type="pct"/>
            <w:vAlign w:val="center"/>
          </w:tcPr>
          <w:p w14:paraId="0B23DC16"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9BEF32F"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Severity: </w:t>
            </w:r>
            <w:r>
              <w:rPr>
                <w:rFonts w:ascii="Arial Narrow" w:hAnsi="Arial Narrow"/>
                <w:bCs/>
                <w:color w:val="333333"/>
                <w:sz w:val="18"/>
                <w:szCs w:val="18"/>
              </w:rPr>
              <w:t>Severe</w:t>
            </w:r>
          </w:p>
        </w:tc>
      </w:tr>
      <w:tr w:rsidR="004F180B" w:rsidRPr="00120A12" w14:paraId="59ECE490" w14:textId="77777777" w:rsidTr="008370C3">
        <w:tc>
          <w:tcPr>
            <w:tcW w:w="553" w:type="pct"/>
            <w:vAlign w:val="center"/>
          </w:tcPr>
          <w:p w14:paraId="456FA0E8"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667CB9B3"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Chronic plaque psoriasis</w:t>
            </w:r>
          </w:p>
        </w:tc>
      </w:tr>
      <w:tr w:rsidR="004F180B" w:rsidRPr="00120A12" w14:paraId="30F85C50" w14:textId="77777777" w:rsidTr="00D63605">
        <w:tc>
          <w:tcPr>
            <w:tcW w:w="553" w:type="pct"/>
            <w:vAlign w:val="center"/>
          </w:tcPr>
          <w:p w14:paraId="70094EA9" w14:textId="0B62D1CF"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301BAE3E"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ED0784">
              <w:rPr>
                <w:rFonts w:ascii="Arial Narrow" w:hAnsi="Arial Narrow"/>
                <w:color w:val="333333"/>
                <w:sz w:val="18"/>
                <w:szCs w:val="18"/>
              </w:rPr>
              <w:t>Severe chronic plaque psoriasis</w:t>
            </w:r>
          </w:p>
        </w:tc>
      </w:tr>
      <w:tr w:rsidR="004F180B" w:rsidRPr="00120A12" w14:paraId="7E06CCAF" w14:textId="77777777" w:rsidTr="008370C3">
        <w:tc>
          <w:tcPr>
            <w:tcW w:w="553" w:type="pct"/>
            <w:shd w:val="clear" w:color="auto" w:fill="BFBFBF" w:themeFill="background1" w:themeFillShade="BF"/>
            <w:vAlign w:val="center"/>
          </w:tcPr>
          <w:p w14:paraId="42FA3018"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1313EA0E"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11141/ToC 11114 with the following differences</w:t>
            </w:r>
          </w:p>
        </w:tc>
      </w:tr>
      <w:tr w:rsidR="004F180B" w:rsidRPr="00120A12" w14:paraId="4BEECF37" w14:textId="77777777" w:rsidTr="00D63605">
        <w:tc>
          <w:tcPr>
            <w:tcW w:w="553" w:type="pct"/>
            <w:vAlign w:val="center"/>
          </w:tcPr>
          <w:p w14:paraId="65E75F37"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783CB4BE"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ED0784">
              <w:rPr>
                <w:rFonts w:ascii="Arial Narrow" w:hAnsi="Arial Narrow"/>
                <w:color w:val="333333"/>
                <w:sz w:val="18"/>
                <w:szCs w:val="18"/>
              </w:rPr>
              <w:t>Initial treatment - Initial 1, Whole body (new patient)</w:t>
            </w:r>
          </w:p>
        </w:tc>
      </w:tr>
      <w:tr w:rsidR="004F180B" w:rsidRPr="00120A12" w14:paraId="14BC47D2" w14:textId="77777777" w:rsidTr="00D63605">
        <w:tc>
          <w:tcPr>
            <w:tcW w:w="553" w:type="pct"/>
            <w:vAlign w:val="center"/>
          </w:tcPr>
          <w:p w14:paraId="239043EE" w14:textId="6917A42D"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708AB7DB"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4F180B" w:rsidRPr="00120A12" w14:paraId="5725CFEA" w14:textId="77777777" w:rsidTr="00D63605">
        <w:tc>
          <w:tcPr>
            <w:tcW w:w="553" w:type="pct"/>
            <w:vAlign w:val="center"/>
          </w:tcPr>
          <w:p w14:paraId="161BEF20" w14:textId="4B02321B"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48B15C11" w14:textId="77777777" w:rsidR="004F180B" w:rsidRPr="00111AD8" w:rsidRDefault="004F180B" w:rsidP="008370C3">
            <w:pPr>
              <w:rPr>
                <w:rFonts w:ascii="Arial Narrow" w:hAnsi="Arial Narrow"/>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29230155" w14:textId="77777777" w:rsidTr="00D63605">
        <w:tc>
          <w:tcPr>
            <w:tcW w:w="553" w:type="pct"/>
            <w:vAlign w:val="center"/>
          </w:tcPr>
          <w:p w14:paraId="60A638BF"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63DBD11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69CD1A1" w14:textId="0745D2D0" w:rsidR="004F180B" w:rsidRPr="00120A12" w:rsidRDefault="004F180B" w:rsidP="008370C3">
            <w:pPr>
              <w:rPr>
                <w:rFonts w:ascii="Arial Narrow" w:hAnsi="Arial Narrow"/>
                <w:color w:val="333333"/>
                <w:sz w:val="18"/>
                <w:szCs w:val="18"/>
              </w:rPr>
            </w:pPr>
            <w:r>
              <w:rPr>
                <w:rFonts w:ascii="Arial Narrow" w:hAnsi="Arial Narrow"/>
                <w:color w:val="333333"/>
                <w:sz w:val="18"/>
                <w:szCs w:val="18"/>
              </w:rPr>
              <w:t>Items 26651, 26652, 26653, 26386, 23217, 25769, 23934 and 23935 should apply</w:t>
            </w:r>
          </w:p>
        </w:tc>
      </w:tr>
      <w:tr w:rsidR="004F180B" w:rsidRPr="00120A12" w14:paraId="3924C496" w14:textId="77777777" w:rsidTr="00D63605">
        <w:tc>
          <w:tcPr>
            <w:tcW w:w="553" w:type="pct"/>
            <w:vAlign w:val="center"/>
          </w:tcPr>
          <w:p w14:paraId="3EF6DD51"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1F953230"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5EE1192" w14:textId="1CB535EE" w:rsidR="004F180B" w:rsidRPr="00120A12" w:rsidRDefault="004F180B" w:rsidP="008370C3">
            <w:pPr>
              <w:rPr>
                <w:rFonts w:ascii="Arial Narrow" w:hAnsi="Arial Narrow"/>
                <w:color w:val="333333"/>
                <w:sz w:val="18"/>
                <w:szCs w:val="18"/>
              </w:rPr>
            </w:pPr>
            <w:r>
              <w:rPr>
                <w:rFonts w:ascii="Arial Narrow" w:hAnsi="Arial Narrow"/>
                <w:color w:val="333333"/>
                <w:sz w:val="18"/>
                <w:szCs w:val="18"/>
              </w:rPr>
              <w:t>26654 and 25744 should apply.</w:t>
            </w:r>
          </w:p>
        </w:tc>
      </w:tr>
      <w:tr w:rsidR="004F180B" w:rsidRPr="00120A12" w14:paraId="6218FB7D" w14:textId="77777777" w:rsidTr="008370C3">
        <w:tc>
          <w:tcPr>
            <w:tcW w:w="553" w:type="pct"/>
            <w:shd w:val="clear" w:color="auto" w:fill="BFBFBF" w:themeFill="background1" w:themeFillShade="BF"/>
            <w:vAlign w:val="center"/>
          </w:tcPr>
          <w:p w14:paraId="52969152"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7551E707"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10856/ToC 10742 with the following differences</w:t>
            </w:r>
          </w:p>
        </w:tc>
      </w:tr>
      <w:tr w:rsidR="004F180B" w:rsidRPr="00120A12" w14:paraId="7BD25E5B" w14:textId="77777777" w:rsidTr="008370C3">
        <w:tc>
          <w:tcPr>
            <w:tcW w:w="553" w:type="pct"/>
            <w:shd w:val="clear" w:color="auto" w:fill="auto"/>
            <w:vAlign w:val="center"/>
          </w:tcPr>
          <w:p w14:paraId="7374E5AA"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669BA33E"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150DB9">
              <w:rPr>
                <w:rFonts w:ascii="Arial Narrow" w:hAnsi="Arial Narrow"/>
                <w:color w:val="333333"/>
                <w:sz w:val="18"/>
                <w:szCs w:val="18"/>
              </w:rPr>
              <w:t>Initial treatment - Initial 2, Whole body (change or re-commencement of treatment after a break in biological medicine of less than 5 years)</w:t>
            </w:r>
          </w:p>
        </w:tc>
      </w:tr>
      <w:tr w:rsidR="004F180B" w:rsidRPr="00120A12" w14:paraId="4642F445" w14:textId="77777777" w:rsidTr="008370C3">
        <w:tc>
          <w:tcPr>
            <w:tcW w:w="553" w:type="pct"/>
            <w:shd w:val="clear" w:color="auto" w:fill="auto"/>
            <w:vAlign w:val="center"/>
          </w:tcPr>
          <w:p w14:paraId="507ACB49" w14:textId="2E4914E5"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11D57DAC"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96A393F" w14:textId="77777777" w:rsidTr="008370C3">
        <w:tc>
          <w:tcPr>
            <w:tcW w:w="553" w:type="pct"/>
            <w:shd w:val="clear" w:color="auto" w:fill="auto"/>
            <w:vAlign w:val="center"/>
          </w:tcPr>
          <w:p w14:paraId="11A1CB2B" w14:textId="44B35BEC"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06FBEAC5"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5D9BBED2" w14:textId="77777777" w:rsidTr="008370C3">
        <w:tc>
          <w:tcPr>
            <w:tcW w:w="553" w:type="pct"/>
            <w:shd w:val="clear" w:color="auto" w:fill="auto"/>
            <w:vAlign w:val="center"/>
          </w:tcPr>
          <w:p w14:paraId="4B22E9C5"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156F1A2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24A75F2" w14:textId="77777777" w:rsidR="004F180B" w:rsidRPr="00150DB9" w:rsidRDefault="004F180B" w:rsidP="008370C3">
            <w:pPr>
              <w:rPr>
                <w:rFonts w:ascii="Arial Narrow" w:hAnsi="Arial Narrow"/>
                <w:color w:val="333333"/>
                <w:sz w:val="18"/>
                <w:szCs w:val="18"/>
              </w:rPr>
            </w:pPr>
            <w:r>
              <w:rPr>
                <w:rFonts w:ascii="Arial Narrow" w:hAnsi="Arial Narrow"/>
                <w:color w:val="333333"/>
                <w:sz w:val="18"/>
                <w:szCs w:val="18"/>
              </w:rPr>
              <w:t>Items 24057, 22873, 25769, 23934, 23954, 23935 and 23943 should apply</w:t>
            </w:r>
          </w:p>
        </w:tc>
      </w:tr>
      <w:tr w:rsidR="004F180B" w:rsidRPr="00120A12" w14:paraId="0EC8A333" w14:textId="77777777" w:rsidTr="008370C3">
        <w:tc>
          <w:tcPr>
            <w:tcW w:w="553" w:type="pct"/>
            <w:shd w:val="clear" w:color="auto" w:fill="auto"/>
            <w:vAlign w:val="center"/>
          </w:tcPr>
          <w:p w14:paraId="3AF46C6F"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4DF0B89D"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6E73428" w14:textId="77777777" w:rsidR="004F180B" w:rsidRPr="00150DB9" w:rsidRDefault="004F180B" w:rsidP="008370C3">
            <w:pPr>
              <w:rPr>
                <w:rFonts w:ascii="Arial Narrow" w:hAnsi="Arial Narrow"/>
                <w:color w:val="333333"/>
                <w:sz w:val="18"/>
                <w:szCs w:val="18"/>
              </w:rPr>
            </w:pPr>
            <w:r>
              <w:rPr>
                <w:rFonts w:ascii="Arial Narrow" w:hAnsi="Arial Narrow"/>
                <w:color w:val="333333"/>
                <w:sz w:val="18"/>
                <w:szCs w:val="18"/>
              </w:rPr>
              <w:t>25744 should apply.</w:t>
            </w:r>
          </w:p>
        </w:tc>
      </w:tr>
      <w:tr w:rsidR="004F180B" w:rsidRPr="00120A12" w14:paraId="5566DD53" w14:textId="77777777" w:rsidTr="008370C3">
        <w:tc>
          <w:tcPr>
            <w:tcW w:w="553" w:type="pct"/>
            <w:shd w:val="clear" w:color="auto" w:fill="BFBFBF" w:themeFill="background1" w:themeFillShade="BF"/>
            <w:vAlign w:val="center"/>
          </w:tcPr>
          <w:p w14:paraId="422985A3"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DF89B33"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11150/ToC 11097 with the following differences</w:t>
            </w:r>
          </w:p>
        </w:tc>
      </w:tr>
      <w:tr w:rsidR="004F180B" w:rsidRPr="00120A12" w14:paraId="3C9969A0" w14:textId="77777777" w:rsidTr="008370C3">
        <w:tc>
          <w:tcPr>
            <w:tcW w:w="553" w:type="pct"/>
            <w:shd w:val="clear" w:color="auto" w:fill="auto"/>
            <w:vAlign w:val="center"/>
          </w:tcPr>
          <w:p w14:paraId="6645A546"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18E24C64"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9C62FA">
              <w:rPr>
                <w:rFonts w:ascii="Arial Narrow" w:hAnsi="Arial Narrow"/>
                <w:color w:val="333333"/>
                <w:sz w:val="18"/>
                <w:szCs w:val="18"/>
              </w:rPr>
              <w:t>Initial treatment - Initial 3, Whole body (re-commencement of treatment after a break in biological medicine of more than 5 years)</w:t>
            </w:r>
          </w:p>
        </w:tc>
      </w:tr>
      <w:tr w:rsidR="004F180B" w:rsidRPr="00120A12" w14:paraId="0BD35754" w14:textId="77777777" w:rsidTr="008370C3">
        <w:tc>
          <w:tcPr>
            <w:tcW w:w="553" w:type="pct"/>
            <w:shd w:val="clear" w:color="auto" w:fill="auto"/>
            <w:vAlign w:val="center"/>
          </w:tcPr>
          <w:p w14:paraId="6475FC09" w14:textId="2FDA588F"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1D52C81A"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8AB8CD7" w14:textId="77777777" w:rsidTr="008370C3">
        <w:tc>
          <w:tcPr>
            <w:tcW w:w="553" w:type="pct"/>
            <w:shd w:val="clear" w:color="auto" w:fill="auto"/>
            <w:vAlign w:val="center"/>
          </w:tcPr>
          <w:p w14:paraId="45C9E8BD" w14:textId="66842809" w:rsidR="004F180B" w:rsidRPr="00111AD8"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6DF26F7A"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73E89CF9" w14:textId="77777777" w:rsidTr="008370C3">
        <w:tc>
          <w:tcPr>
            <w:tcW w:w="553" w:type="pct"/>
            <w:shd w:val="clear" w:color="auto" w:fill="auto"/>
            <w:vAlign w:val="center"/>
          </w:tcPr>
          <w:p w14:paraId="3846CEC6"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0F77646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7252F75D"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26387, 23957, 25769, 23934 and 23935 should apply</w:t>
            </w:r>
          </w:p>
        </w:tc>
      </w:tr>
      <w:tr w:rsidR="004F180B" w:rsidRPr="00120A12" w14:paraId="0AFCCA24" w14:textId="77777777" w:rsidTr="008370C3">
        <w:tc>
          <w:tcPr>
            <w:tcW w:w="553" w:type="pct"/>
            <w:shd w:val="clear" w:color="auto" w:fill="auto"/>
            <w:vAlign w:val="center"/>
          </w:tcPr>
          <w:p w14:paraId="3DDAF5C4"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14133D0B"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4119847F"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203D3973" w14:textId="77777777" w:rsidTr="008370C3">
        <w:tc>
          <w:tcPr>
            <w:tcW w:w="553" w:type="pct"/>
            <w:shd w:val="clear" w:color="auto" w:fill="BFBFBF" w:themeFill="background1" w:themeFillShade="BF"/>
            <w:vAlign w:val="center"/>
          </w:tcPr>
          <w:p w14:paraId="1EE37DEE"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1862C571"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11150/ToC 11097 with the following differences</w:t>
            </w:r>
          </w:p>
        </w:tc>
      </w:tr>
      <w:tr w:rsidR="004F180B" w:rsidRPr="00120A12" w14:paraId="18727542" w14:textId="77777777" w:rsidTr="008370C3">
        <w:tc>
          <w:tcPr>
            <w:tcW w:w="553" w:type="pct"/>
            <w:shd w:val="clear" w:color="auto" w:fill="auto"/>
            <w:vAlign w:val="center"/>
          </w:tcPr>
          <w:p w14:paraId="67D1A97F"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71605A3B"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627808">
              <w:rPr>
                <w:rFonts w:ascii="Arial Narrow" w:hAnsi="Arial Narrow"/>
                <w:color w:val="333333"/>
                <w:sz w:val="18"/>
                <w:szCs w:val="18"/>
              </w:rPr>
              <w:t>Initial treatment - Initial 1, Face, hand, foot (new patient)</w:t>
            </w:r>
          </w:p>
        </w:tc>
      </w:tr>
      <w:tr w:rsidR="004F180B" w:rsidRPr="00120A12" w14:paraId="4E7B76AC" w14:textId="77777777" w:rsidTr="008370C3">
        <w:tc>
          <w:tcPr>
            <w:tcW w:w="553" w:type="pct"/>
            <w:shd w:val="clear" w:color="auto" w:fill="auto"/>
            <w:vAlign w:val="center"/>
          </w:tcPr>
          <w:p w14:paraId="7A092723" w14:textId="7700C30C"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4C2F5277"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D78A28B" w14:textId="77777777" w:rsidTr="008370C3">
        <w:tc>
          <w:tcPr>
            <w:tcW w:w="553" w:type="pct"/>
            <w:shd w:val="clear" w:color="auto" w:fill="auto"/>
            <w:vAlign w:val="center"/>
          </w:tcPr>
          <w:p w14:paraId="71847D59" w14:textId="7347A522"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02C9A982"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3289E039" w14:textId="77777777" w:rsidTr="008370C3">
        <w:tc>
          <w:tcPr>
            <w:tcW w:w="553" w:type="pct"/>
            <w:shd w:val="clear" w:color="auto" w:fill="auto"/>
            <w:vAlign w:val="center"/>
          </w:tcPr>
          <w:p w14:paraId="68005875"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704E668E"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0AC13E90"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26651, 26652, 26653, 26388, 16804, 24055, 25769, 23934 and 23935 should apply</w:t>
            </w:r>
          </w:p>
        </w:tc>
      </w:tr>
      <w:tr w:rsidR="004F180B" w:rsidRPr="00120A12" w14:paraId="41736B41" w14:textId="77777777" w:rsidTr="008370C3">
        <w:tc>
          <w:tcPr>
            <w:tcW w:w="553" w:type="pct"/>
            <w:shd w:val="clear" w:color="auto" w:fill="auto"/>
            <w:vAlign w:val="center"/>
          </w:tcPr>
          <w:p w14:paraId="6E6BB03D"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3455039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3C772280"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26654 and 25744 should apply.</w:t>
            </w:r>
          </w:p>
        </w:tc>
      </w:tr>
      <w:tr w:rsidR="004F180B" w:rsidRPr="00120A12" w14:paraId="6C70676D" w14:textId="77777777" w:rsidTr="008370C3">
        <w:tc>
          <w:tcPr>
            <w:tcW w:w="553" w:type="pct"/>
            <w:shd w:val="clear" w:color="auto" w:fill="BFBFBF" w:themeFill="background1" w:themeFillShade="BF"/>
            <w:vAlign w:val="center"/>
          </w:tcPr>
          <w:p w14:paraId="03E685E4"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3DAB372C"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11175/ToC 11130 with the following differences</w:t>
            </w:r>
          </w:p>
        </w:tc>
      </w:tr>
      <w:tr w:rsidR="004F180B" w:rsidRPr="00120A12" w14:paraId="71DC64DC" w14:textId="77777777" w:rsidTr="008370C3">
        <w:tc>
          <w:tcPr>
            <w:tcW w:w="553" w:type="pct"/>
            <w:shd w:val="clear" w:color="auto" w:fill="auto"/>
            <w:vAlign w:val="center"/>
          </w:tcPr>
          <w:p w14:paraId="2F3CB5A3"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4710FD90"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627808">
              <w:rPr>
                <w:rFonts w:ascii="Arial Narrow" w:hAnsi="Arial Narrow"/>
                <w:color w:val="333333"/>
                <w:sz w:val="18"/>
                <w:szCs w:val="18"/>
              </w:rPr>
              <w:t>Initial treatment - Initial 2, Face, hand, foot (change or re-commencement of treatment after a break in biological medicine of less than 5 years)</w:t>
            </w:r>
          </w:p>
        </w:tc>
      </w:tr>
      <w:tr w:rsidR="004F180B" w:rsidRPr="00120A12" w14:paraId="38469C57" w14:textId="77777777" w:rsidTr="008370C3">
        <w:tc>
          <w:tcPr>
            <w:tcW w:w="553" w:type="pct"/>
            <w:shd w:val="clear" w:color="auto" w:fill="auto"/>
            <w:vAlign w:val="center"/>
          </w:tcPr>
          <w:p w14:paraId="2F164D2D" w14:textId="1E96FA45"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059B7791"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2EE06EB1" w14:textId="77777777" w:rsidTr="008370C3">
        <w:tc>
          <w:tcPr>
            <w:tcW w:w="553" w:type="pct"/>
            <w:shd w:val="clear" w:color="auto" w:fill="auto"/>
            <w:vAlign w:val="center"/>
          </w:tcPr>
          <w:p w14:paraId="07E884F5" w14:textId="210BF8B8"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7E416C30"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7842E4F4" w14:textId="77777777" w:rsidTr="008370C3">
        <w:tc>
          <w:tcPr>
            <w:tcW w:w="553" w:type="pct"/>
            <w:shd w:val="clear" w:color="auto" w:fill="auto"/>
            <w:vAlign w:val="center"/>
          </w:tcPr>
          <w:p w14:paraId="73033C83"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5E3560F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40D64C88"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23226, 16804, 22873, 25769, 23934, 23942, 23935 and 23943 should apply</w:t>
            </w:r>
          </w:p>
        </w:tc>
      </w:tr>
      <w:tr w:rsidR="004F180B" w:rsidRPr="00120A12" w14:paraId="4E20C08C" w14:textId="77777777" w:rsidTr="008370C3">
        <w:tc>
          <w:tcPr>
            <w:tcW w:w="553" w:type="pct"/>
            <w:shd w:val="clear" w:color="auto" w:fill="auto"/>
            <w:vAlign w:val="center"/>
          </w:tcPr>
          <w:p w14:paraId="395665E5"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428FC268"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021DCCF"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7EF32668" w14:textId="77777777" w:rsidTr="008370C3">
        <w:tc>
          <w:tcPr>
            <w:tcW w:w="553" w:type="pct"/>
            <w:shd w:val="clear" w:color="auto" w:fill="BFBFBF" w:themeFill="background1" w:themeFillShade="BF"/>
            <w:vAlign w:val="center"/>
          </w:tcPr>
          <w:p w14:paraId="5987A269"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36E710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10907/ToC 10901 with the following differences</w:t>
            </w:r>
          </w:p>
        </w:tc>
      </w:tr>
      <w:tr w:rsidR="004F180B" w:rsidRPr="00120A12" w14:paraId="16DAC679" w14:textId="77777777" w:rsidTr="008370C3">
        <w:tc>
          <w:tcPr>
            <w:tcW w:w="553" w:type="pct"/>
            <w:shd w:val="clear" w:color="auto" w:fill="auto"/>
            <w:vAlign w:val="center"/>
          </w:tcPr>
          <w:p w14:paraId="51155034"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39B2AE70"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EC3C2A">
              <w:rPr>
                <w:rFonts w:ascii="Arial Narrow" w:hAnsi="Arial Narrow"/>
                <w:color w:val="333333"/>
                <w:sz w:val="18"/>
                <w:szCs w:val="18"/>
              </w:rPr>
              <w:t>Initial treatment - Initial 3, Face, hand, foot (re-commencement of treatment after a break in biological medicine of more than 5 years)</w:t>
            </w:r>
          </w:p>
        </w:tc>
      </w:tr>
      <w:tr w:rsidR="004F180B" w:rsidRPr="00120A12" w14:paraId="720A6D5E" w14:textId="77777777" w:rsidTr="008370C3">
        <w:tc>
          <w:tcPr>
            <w:tcW w:w="553" w:type="pct"/>
            <w:shd w:val="clear" w:color="auto" w:fill="auto"/>
            <w:vAlign w:val="center"/>
          </w:tcPr>
          <w:p w14:paraId="61FCC3E1" w14:textId="6351618A"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38F38A39"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6ABFB7F2" w14:textId="77777777" w:rsidTr="008370C3">
        <w:tc>
          <w:tcPr>
            <w:tcW w:w="553" w:type="pct"/>
            <w:shd w:val="clear" w:color="auto" w:fill="auto"/>
            <w:vAlign w:val="center"/>
          </w:tcPr>
          <w:p w14:paraId="1512A5FD" w14:textId="4417DBE6"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077691B0" w14:textId="77777777" w:rsidR="004F180B" w:rsidRPr="00120A12"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r w:rsidRPr="00150DB9">
              <w:rPr>
                <w:rFonts w:ascii="Arial Narrow" w:hAnsi="Arial Narrow"/>
                <w:i/>
                <w:iCs/>
                <w:color w:val="333333"/>
                <w:sz w:val="18"/>
                <w:szCs w:val="18"/>
              </w:rPr>
              <w:t>.</w:t>
            </w:r>
          </w:p>
        </w:tc>
      </w:tr>
      <w:tr w:rsidR="004F180B" w:rsidRPr="00120A12" w14:paraId="328BFA8B" w14:textId="77777777" w:rsidTr="008370C3">
        <w:tc>
          <w:tcPr>
            <w:tcW w:w="553" w:type="pct"/>
            <w:shd w:val="clear" w:color="auto" w:fill="auto"/>
            <w:vAlign w:val="center"/>
          </w:tcPr>
          <w:p w14:paraId="5800A2CB"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2B722475"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54ED66C2"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26387, 16804, 23948, 25769, 23934, and 23935 should apply</w:t>
            </w:r>
          </w:p>
        </w:tc>
      </w:tr>
      <w:tr w:rsidR="004F180B" w:rsidRPr="00120A12" w14:paraId="54D4C802" w14:textId="77777777" w:rsidTr="008370C3">
        <w:tc>
          <w:tcPr>
            <w:tcW w:w="553" w:type="pct"/>
            <w:shd w:val="clear" w:color="auto" w:fill="auto"/>
            <w:vAlign w:val="center"/>
          </w:tcPr>
          <w:p w14:paraId="3F1766B6"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7FCC212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552057CA"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37A60C07" w14:textId="77777777" w:rsidTr="008370C3">
        <w:tc>
          <w:tcPr>
            <w:tcW w:w="553" w:type="pct"/>
            <w:shd w:val="clear" w:color="auto" w:fill="BFBFBF" w:themeFill="background1" w:themeFillShade="BF"/>
            <w:vAlign w:val="center"/>
          </w:tcPr>
          <w:p w14:paraId="0209D696"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E79F482"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10874/ToC 8877 with the following differences</w:t>
            </w:r>
          </w:p>
        </w:tc>
      </w:tr>
      <w:tr w:rsidR="004F180B" w:rsidRPr="00120A12" w14:paraId="2CDFA0BE" w14:textId="77777777" w:rsidTr="008370C3">
        <w:tc>
          <w:tcPr>
            <w:tcW w:w="553" w:type="pct"/>
            <w:shd w:val="clear" w:color="auto" w:fill="auto"/>
            <w:vAlign w:val="center"/>
          </w:tcPr>
          <w:p w14:paraId="78282921"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37BEC6DB"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E63126">
              <w:rPr>
                <w:rFonts w:ascii="Arial Narrow" w:hAnsi="Arial Narrow"/>
                <w:color w:val="333333"/>
                <w:sz w:val="18"/>
                <w:szCs w:val="18"/>
              </w:rP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p>
        </w:tc>
      </w:tr>
      <w:tr w:rsidR="004F180B" w:rsidRPr="00120A12" w14:paraId="60AB9E76" w14:textId="77777777" w:rsidTr="008370C3">
        <w:tc>
          <w:tcPr>
            <w:tcW w:w="553" w:type="pct"/>
            <w:shd w:val="clear" w:color="auto" w:fill="auto"/>
            <w:vAlign w:val="center"/>
          </w:tcPr>
          <w:p w14:paraId="1A26630E" w14:textId="625BEE8E"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4DB2D53F"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523B7258" w14:textId="77777777" w:rsidTr="008370C3">
        <w:tc>
          <w:tcPr>
            <w:tcW w:w="553" w:type="pct"/>
            <w:shd w:val="clear" w:color="auto" w:fill="auto"/>
            <w:vAlign w:val="center"/>
          </w:tcPr>
          <w:p w14:paraId="32EB0722" w14:textId="7BDB9BEB"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7D7D7D43" w14:textId="77777777" w:rsidR="004F180B" w:rsidRPr="00120A12" w:rsidRDefault="004F180B" w:rsidP="008370C3">
            <w:pPr>
              <w:rPr>
                <w:rFonts w:ascii="Arial Narrow" w:hAnsi="Arial Narrow"/>
                <w:b/>
                <w:bCs/>
                <w:color w:val="333333"/>
                <w:sz w:val="18"/>
                <w:szCs w:val="18"/>
              </w:rPr>
            </w:pPr>
            <w:r w:rsidRPr="00111AD8">
              <w:rPr>
                <w:rFonts w:ascii="Arial Narrow" w:hAnsi="Arial Narrow"/>
                <w:color w:val="333333"/>
                <w:sz w:val="18"/>
                <w:szCs w:val="18"/>
              </w:rPr>
              <w:t>The treatment must provide no more than the balance of up to 24 weeks treatment available under the above restrictions</w:t>
            </w:r>
            <w:r w:rsidRPr="00E63126">
              <w:rPr>
                <w:rFonts w:ascii="Arial Narrow" w:hAnsi="Arial Narrow"/>
                <w:i/>
                <w:iCs/>
                <w:color w:val="333333"/>
                <w:sz w:val="18"/>
                <w:szCs w:val="18"/>
              </w:rPr>
              <w:t>.</w:t>
            </w:r>
          </w:p>
        </w:tc>
      </w:tr>
      <w:tr w:rsidR="004F180B" w:rsidRPr="00120A12" w14:paraId="06796A7B" w14:textId="77777777" w:rsidTr="008370C3">
        <w:tc>
          <w:tcPr>
            <w:tcW w:w="553" w:type="pct"/>
            <w:shd w:val="clear" w:color="auto" w:fill="auto"/>
            <w:vAlign w:val="center"/>
          </w:tcPr>
          <w:p w14:paraId="4D9E6F50" w14:textId="77777777" w:rsidR="004F180B" w:rsidRDefault="004F180B" w:rsidP="008370C3">
            <w:pPr>
              <w:jc w:val="center"/>
              <w:rPr>
                <w:rFonts w:ascii="Arial Narrow" w:hAnsi="Arial Narrow"/>
                <w:color w:val="333333"/>
                <w:sz w:val="18"/>
                <w:szCs w:val="18"/>
              </w:rPr>
            </w:pPr>
          </w:p>
        </w:tc>
        <w:tc>
          <w:tcPr>
            <w:tcW w:w="4447" w:type="pct"/>
            <w:gridSpan w:val="7"/>
            <w:shd w:val="clear" w:color="auto" w:fill="auto"/>
            <w:vAlign w:val="center"/>
          </w:tcPr>
          <w:p w14:paraId="522125A1"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5CAD7BF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25745 should apply.</w:t>
            </w:r>
          </w:p>
        </w:tc>
      </w:tr>
      <w:tr w:rsidR="004F180B" w:rsidRPr="009A610D" w14:paraId="3735BBF6" w14:textId="77777777" w:rsidTr="008370C3">
        <w:tblPrEx>
          <w:tblCellMar>
            <w:top w:w="0" w:type="dxa"/>
            <w:left w:w="108" w:type="dxa"/>
            <w:bottom w:w="0" w:type="dxa"/>
            <w:right w:w="108" w:type="dxa"/>
          </w:tblCellMar>
          <w:tblLook w:val="0000" w:firstRow="0" w:lastRow="0" w:firstColumn="0" w:lastColumn="0" w:noHBand="0" w:noVBand="0"/>
        </w:tblPrEx>
        <w:trPr>
          <w:cantSplit/>
          <w:trHeight w:val="471"/>
        </w:trPr>
        <w:tc>
          <w:tcPr>
            <w:tcW w:w="1506" w:type="pct"/>
            <w:gridSpan w:val="2"/>
          </w:tcPr>
          <w:p w14:paraId="7AF6A98D"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63D38141"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714" w:type="pct"/>
          </w:tcPr>
          <w:p w14:paraId="44127E58"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477" w:type="pct"/>
          </w:tcPr>
          <w:p w14:paraId="1485C6BF"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476" w:type="pct"/>
          </w:tcPr>
          <w:p w14:paraId="6B263984"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397" w:type="pct"/>
          </w:tcPr>
          <w:p w14:paraId="34797CA2"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33AF1A1C"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1429" w:type="pct"/>
            <w:gridSpan w:val="2"/>
          </w:tcPr>
          <w:p w14:paraId="5F89740B"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62597111" w14:textId="77777777" w:rsidTr="004C3BD1">
        <w:tblPrEx>
          <w:tblCellMar>
            <w:top w:w="0" w:type="dxa"/>
            <w:left w:w="108" w:type="dxa"/>
            <w:bottom w:w="0" w:type="dxa"/>
            <w:right w:w="108" w:type="dxa"/>
          </w:tblCellMar>
          <w:tblLook w:val="0000" w:firstRow="0" w:lastRow="0" w:firstColumn="0" w:lastColumn="0" w:noHBand="0" w:noVBand="0"/>
        </w:tblPrEx>
        <w:trPr>
          <w:cantSplit/>
          <w:trHeight w:val="158"/>
        </w:trPr>
        <w:tc>
          <w:tcPr>
            <w:tcW w:w="1506" w:type="pct"/>
            <w:gridSpan w:val="2"/>
          </w:tcPr>
          <w:p w14:paraId="68225EB0" w14:textId="30A28751"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09978013"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714" w:type="pct"/>
          </w:tcPr>
          <w:p w14:paraId="1B7599E2" w14:textId="77777777"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NEW</w:t>
            </w:r>
          </w:p>
        </w:tc>
        <w:tc>
          <w:tcPr>
            <w:tcW w:w="477" w:type="pct"/>
          </w:tcPr>
          <w:p w14:paraId="27BF9541" w14:textId="77777777" w:rsidR="004F180B" w:rsidRPr="009A610D" w:rsidRDefault="004F180B" w:rsidP="004C3BD1">
            <w:pPr>
              <w:keepNext/>
              <w:jc w:val="center"/>
              <w:rPr>
                <w:rFonts w:ascii="Arial Narrow" w:hAnsi="Arial Narrow"/>
                <w:sz w:val="18"/>
                <w:szCs w:val="18"/>
              </w:rPr>
            </w:pPr>
            <w:r w:rsidRPr="009A610D">
              <w:rPr>
                <w:rFonts w:ascii="Arial Narrow" w:hAnsi="Arial Narrow"/>
                <w:sz w:val="18"/>
                <w:szCs w:val="18"/>
              </w:rPr>
              <w:t>1</w:t>
            </w:r>
          </w:p>
        </w:tc>
        <w:tc>
          <w:tcPr>
            <w:tcW w:w="476" w:type="pct"/>
          </w:tcPr>
          <w:p w14:paraId="5EC081E5" w14:textId="77777777"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2</w:t>
            </w:r>
          </w:p>
        </w:tc>
        <w:tc>
          <w:tcPr>
            <w:tcW w:w="397" w:type="pct"/>
          </w:tcPr>
          <w:p w14:paraId="2E6CAE52" w14:textId="6C14B6E0" w:rsidR="004F180B" w:rsidRPr="009A610D" w:rsidRDefault="004C3BD1" w:rsidP="004C3BD1">
            <w:pPr>
              <w:keepNext/>
              <w:ind w:left="-108"/>
              <w:jc w:val="center"/>
              <w:rPr>
                <w:rFonts w:ascii="Arial Narrow" w:hAnsi="Arial Narrow"/>
                <w:sz w:val="18"/>
                <w:szCs w:val="18"/>
              </w:rPr>
            </w:pPr>
            <w:r>
              <w:rPr>
                <w:rFonts w:ascii="Arial Narrow" w:hAnsi="Arial Narrow"/>
                <w:sz w:val="18"/>
                <w:szCs w:val="18"/>
              </w:rPr>
              <w:t>2</w:t>
            </w:r>
          </w:p>
        </w:tc>
        <w:tc>
          <w:tcPr>
            <w:tcW w:w="635" w:type="pct"/>
            <w:vMerge w:val="restart"/>
          </w:tcPr>
          <w:p w14:paraId="3504CAFD"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794" w:type="pct"/>
            <w:vMerge w:val="restart"/>
          </w:tcPr>
          <w:p w14:paraId="4230B9EC"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7DC4F0BD" w14:textId="77777777" w:rsidTr="008370C3">
        <w:tblPrEx>
          <w:tblCellMar>
            <w:top w:w="0" w:type="dxa"/>
            <w:left w:w="108" w:type="dxa"/>
            <w:bottom w:w="0" w:type="dxa"/>
            <w:right w:w="108" w:type="dxa"/>
          </w:tblCellMar>
          <w:tblLook w:val="0000" w:firstRow="0" w:lastRow="0" w:firstColumn="0" w:lastColumn="0" w:noHBand="0" w:noVBand="0"/>
        </w:tblPrEx>
        <w:trPr>
          <w:cantSplit/>
          <w:trHeight w:val="347"/>
        </w:trPr>
        <w:tc>
          <w:tcPr>
            <w:tcW w:w="1506" w:type="pct"/>
            <w:gridSpan w:val="2"/>
          </w:tcPr>
          <w:p w14:paraId="1C538D51"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714" w:type="pct"/>
          </w:tcPr>
          <w:p w14:paraId="4C6124BB"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45CAFEA3"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476" w:type="pct"/>
          </w:tcPr>
          <w:p w14:paraId="179791DA"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2CC31B7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635" w:type="pct"/>
            <w:vMerge/>
          </w:tcPr>
          <w:p w14:paraId="54021BDE" w14:textId="77777777" w:rsidR="004F180B" w:rsidRDefault="004F180B" w:rsidP="008370C3">
            <w:pPr>
              <w:keepNext/>
              <w:rPr>
                <w:rFonts w:ascii="Arial Narrow" w:hAnsi="Arial Narrow"/>
                <w:sz w:val="18"/>
                <w:szCs w:val="18"/>
              </w:rPr>
            </w:pPr>
          </w:p>
        </w:tc>
        <w:tc>
          <w:tcPr>
            <w:tcW w:w="794" w:type="pct"/>
            <w:vMerge/>
          </w:tcPr>
          <w:p w14:paraId="6FF3F9D9" w14:textId="77777777" w:rsidR="004F180B" w:rsidRDefault="004F180B" w:rsidP="008370C3">
            <w:pPr>
              <w:keepNext/>
              <w:rPr>
                <w:rFonts w:ascii="Arial Narrow" w:hAnsi="Arial Narrow"/>
                <w:sz w:val="18"/>
                <w:szCs w:val="18"/>
              </w:rPr>
            </w:pPr>
          </w:p>
        </w:tc>
      </w:tr>
    </w:tbl>
    <w:p w14:paraId="265F8FE0" w14:textId="77777777" w:rsidR="00EE1A22" w:rsidRDefault="00EE1A22" w:rsidP="004F180B">
      <w:pPr>
        <w:rPr>
          <w:rFonts w:ascii="Arial Narrow" w:hAnsi="Arial Narrow"/>
          <w:b/>
          <w:sz w:val="18"/>
          <w:szCs w:val="18"/>
          <w:lang w:val="en-GB"/>
        </w:rPr>
      </w:pPr>
    </w:p>
    <w:p w14:paraId="07548D0E" w14:textId="7397ECAD" w:rsidR="004F180B" w:rsidRDefault="004F180B" w:rsidP="004F180B">
      <w:pPr>
        <w:rPr>
          <w:rFonts w:ascii="Arial Narrow" w:hAnsi="Arial Narrow"/>
          <w:b/>
          <w:sz w:val="18"/>
          <w:szCs w:val="18"/>
          <w:lang w:val="en-GB"/>
        </w:rPr>
      </w:pPr>
      <w:r>
        <w:rPr>
          <w:rFonts w:ascii="Arial Narrow" w:hAnsi="Arial Narrow"/>
          <w:b/>
          <w:sz w:val="18"/>
          <w:szCs w:val="18"/>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F180B" w:rsidRPr="00120A12" w14:paraId="27D8CA83"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1B41871" w14:textId="77777777" w:rsidR="004F180B" w:rsidRPr="0037448D" w:rsidRDefault="004F180B" w:rsidP="008370C3">
            <w:pPr>
              <w:jc w:val="center"/>
              <w:rPr>
                <w:rFonts w:ascii="Arial Narrow" w:hAnsi="Arial Narrow"/>
                <w:color w:val="333333"/>
                <w:sz w:val="18"/>
                <w:szCs w:val="18"/>
              </w:rPr>
            </w:pPr>
            <w:r w:rsidRPr="0037448D">
              <w:rPr>
                <w:rFonts w:ascii="Arial Narrow" w:hAnsi="Arial Narrow"/>
                <w:color w:val="333333"/>
                <w:sz w:val="18"/>
                <w:szCs w:val="18"/>
              </w:rPr>
              <w:t>Concept ID</w:t>
            </w: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051A9666"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 xml:space="preserve">Category / Program:   </w:t>
            </w:r>
          </w:p>
          <w:p w14:paraId="6808776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GENERAL – General Schedule (Code GE)</w:t>
            </w:r>
          </w:p>
        </w:tc>
      </w:tr>
      <w:tr w:rsidR="004F180B" w:rsidRPr="00120A12" w14:paraId="3729BA3B"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2DDCA3F"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51A4B7BD"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 xml:space="preserve">Prescriber type:  </w:t>
            </w: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003F1ED3">
              <w:rPr>
                <w:rFonts w:ascii="Arial Narrow" w:hAnsi="Arial Narrow"/>
                <w:b/>
                <w:bCs/>
                <w:color w:val="333333"/>
                <w:sz w:val="18"/>
                <w:szCs w:val="18"/>
              </w:rPr>
            </w:r>
            <w:r w:rsidR="003F1ED3">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Medical Practitioners</w:t>
            </w:r>
            <w:r w:rsidRPr="0037448D">
              <w:rPr>
                <w:rFonts w:ascii="Arial Narrow" w:hAnsi="Arial Narrow"/>
                <w:b/>
                <w:bCs/>
                <w:color w:val="333333"/>
                <w:sz w:val="18"/>
                <w:szCs w:val="18"/>
              </w:rPr>
              <w:t xml:space="preserve">  </w:t>
            </w:r>
          </w:p>
        </w:tc>
      </w:tr>
      <w:tr w:rsidR="004F180B" w:rsidRPr="00120A12" w14:paraId="12CB5D1E"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6DA4AD7" w14:textId="77777777" w:rsidR="004F180B" w:rsidRPr="0037448D" w:rsidRDefault="004F180B" w:rsidP="008370C3">
            <w:pPr>
              <w:jc w:val="center"/>
              <w:rPr>
                <w:rFonts w:ascii="Arial Narrow" w:hAnsi="Arial Narrow"/>
                <w:color w:val="333333"/>
                <w:sz w:val="18"/>
                <w:szCs w:val="18"/>
              </w:rPr>
            </w:pPr>
          </w:p>
          <w:p w14:paraId="0F75F90B"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BDFD3CB"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Restriction Level / Method:</w:t>
            </w:r>
          </w:p>
          <w:p w14:paraId="14CCE073"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003F1ED3">
              <w:rPr>
                <w:rFonts w:ascii="Arial Narrow" w:hAnsi="Arial Narrow"/>
                <w:b/>
                <w:bCs/>
                <w:color w:val="333333"/>
                <w:sz w:val="18"/>
                <w:szCs w:val="18"/>
              </w:rPr>
            </w:r>
            <w:r w:rsidR="003F1ED3">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Authority Required – In Writing</w:t>
            </w:r>
          </w:p>
        </w:tc>
      </w:tr>
      <w:tr w:rsidR="004F180B" w:rsidRPr="00150DB9" w14:paraId="300ECD08"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EC00A5D" w14:textId="77777777" w:rsidR="004F180B" w:rsidRPr="00120A12"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485A49AE" w14:textId="77777777" w:rsidR="004F180B" w:rsidRPr="0037448D"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Administrative Advice:</w:t>
            </w:r>
          </w:p>
          <w:p w14:paraId="4AC9856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A310D" w14:paraId="69E6B382"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2DC69DF"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1CD6722C" w14:textId="77777777" w:rsidR="004F180B" w:rsidRPr="0037448D"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Episodicity: </w:t>
            </w:r>
          </w:p>
        </w:tc>
      </w:tr>
      <w:tr w:rsidR="004F180B" w:rsidRPr="00120A12" w14:paraId="67F4D1A1"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28184E7"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4DD4635D"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Severity: </w:t>
            </w:r>
            <w:r w:rsidRPr="0037448D">
              <w:rPr>
                <w:rFonts w:ascii="Arial Narrow" w:hAnsi="Arial Narrow"/>
                <w:color w:val="333333"/>
                <w:sz w:val="18"/>
                <w:szCs w:val="18"/>
              </w:rPr>
              <w:t>Severe</w:t>
            </w:r>
          </w:p>
        </w:tc>
      </w:tr>
      <w:tr w:rsidR="004F180B" w:rsidRPr="00120A12" w14:paraId="44FD1CC1" w14:textId="77777777" w:rsidTr="008370C3">
        <w:trPr>
          <w:trHeight w:val="118"/>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61B0E71"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4705CFAE"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Condition: </w:t>
            </w:r>
            <w:r w:rsidRPr="0037448D">
              <w:rPr>
                <w:rFonts w:ascii="Arial Narrow" w:hAnsi="Arial Narrow"/>
                <w:color w:val="333333"/>
                <w:sz w:val="18"/>
                <w:szCs w:val="18"/>
              </w:rPr>
              <w:t>Chronic plaque psoriasis</w:t>
            </w:r>
          </w:p>
        </w:tc>
      </w:tr>
      <w:tr w:rsidR="004F180B" w:rsidRPr="00120A12" w14:paraId="65C23AEE"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D44EA16" w14:textId="32F97A83" w:rsidR="004F180B" w:rsidRPr="00120A12"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17D51CE5" w14:textId="77777777" w:rsidR="004F180B" w:rsidRPr="0037448D"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Indication:</w:t>
            </w:r>
            <w:r w:rsidRPr="0037448D">
              <w:rPr>
                <w:rFonts w:ascii="Arial Narrow" w:hAnsi="Arial Narrow"/>
                <w:b/>
                <w:bCs/>
                <w:color w:val="333333"/>
                <w:sz w:val="18"/>
                <w:szCs w:val="18"/>
              </w:rPr>
              <w:t xml:space="preserve"> </w:t>
            </w:r>
            <w:r w:rsidRPr="0037448D">
              <w:rPr>
                <w:rFonts w:ascii="Arial Narrow" w:hAnsi="Arial Narrow"/>
                <w:color w:val="333333"/>
                <w:sz w:val="18"/>
                <w:szCs w:val="18"/>
              </w:rPr>
              <w:t>Severe chronic plaque psoriasis</w:t>
            </w:r>
          </w:p>
        </w:tc>
      </w:tr>
      <w:tr w:rsidR="004F180B" w:rsidRPr="00120A12" w14:paraId="6DC5B2B7" w14:textId="77777777" w:rsidTr="008370C3">
        <w:tc>
          <w:tcPr>
            <w:tcW w:w="553" w:type="pct"/>
            <w:shd w:val="clear" w:color="auto" w:fill="BFBFBF" w:themeFill="background1" w:themeFillShade="BF"/>
            <w:vAlign w:val="center"/>
          </w:tcPr>
          <w:p w14:paraId="675BB013"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437EAD2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10736/ToC 10806 </w:t>
            </w:r>
          </w:p>
        </w:tc>
      </w:tr>
      <w:tr w:rsidR="004F180B" w:rsidRPr="00120A12" w14:paraId="4E468E1B" w14:textId="77777777" w:rsidTr="008370C3">
        <w:tc>
          <w:tcPr>
            <w:tcW w:w="553" w:type="pct"/>
            <w:shd w:val="clear" w:color="auto" w:fill="auto"/>
            <w:vAlign w:val="center"/>
          </w:tcPr>
          <w:p w14:paraId="546618DB"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6BD4657E"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Pr>
                <w:rFonts w:ascii="Arial Narrow" w:hAnsi="Arial Narrow"/>
                <w:color w:val="333333"/>
                <w:sz w:val="18"/>
                <w:szCs w:val="18"/>
              </w:rPr>
              <w:t>Continuing treatment, Whole body</w:t>
            </w:r>
          </w:p>
        </w:tc>
      </w:tr>
      <w:tr w:rsidR="004F180B" w:rsidRPr="00120A12" w14:paraId="629BE115" w14:textId="77777777" w:rsidTr="008370C3">
        <w:tc>
          <w:tcPr>
            <w:tcW w:w="553" w:type="pct"/>
            <w:shd w:val="clear" w:color="auto" w:fill="auto"/>
            <w:vAlign w:val="center"/>
          </w:tcPr>
          <w:p w14:paraId="03C67B0D"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706B620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restriction.</w:t>
            </w:r>
          </w:p>
        </w:tc>
      </w:tr>
      <w:tr w:rsidR="004F180B" w:rsidRPr="00120A12" w14:paraId="7E904A6C" w14:textId="77777777" w:rsidTr="008370C3">
        <w:tc>
          <w:tcPr>
            <w:tcW w:w="553" w:type="pct"/>
            <w:shd w:val="clear" w:color="auto" w:fill="auto"/>
            <w:vAlign w:val="center"/>
          </w:tcPr>
          <w:p w14:paraId="1116D44C"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33DB302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7AD2A852"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24057, 26389, 26394, 23934, 23935 and 23943 should apply</w:t>
            </w:r>
          </w:p>
        </w:tc>
      </w:tr>
      <w:tr w:rsidR="004F180B" w:rsidRPr="00120A12" w14:paraId="6B4E8E8E" w14:textId="77777777" w:rsidTr="008370C3">
        <w:tc>
          <w:tcPr>
            <w:tcW w:w="553" w:type="pct"/>
            <w:shd w:val="clear" w:color="auto" w:fill="auto"/>
            <w:vAlign w:val="center"/>
          </w:tcPr>
          <w:p w14:paraId="0083FC29"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626D6C29"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1ADB54BD"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0C13A21F" w14:textId="77777777" w:rsidTr="008370C3">
        <w:tc>
          <w:tcPr>
            <w:tcW w:w="553" w:type="pct"/>
            <w:shd w:val="clear" w:color="auto" w:fill="BFBFBF" w:themeFill="background1" w:themeFillShade="BF"/>
            <w:vAlign w:val="center"/>
          </w:tcPr>
          <w:p w14:paraId="3FBFCAC2"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3BD240FB"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10737/ToC 10889 </w:t>
            </w:r>
          </w:p>
        </w:tc>
      </w:tr>
      <w:tr w:rsidR="004F180B" w:rsidRPr="00120A12" w14:paraId="03531626" w14:textId="77777777" w:rsidTr="008370C3">
        <w:tc>
          <w:tcPr>
            <w:tcW w:w="553" w:type="pct"/>
            <w:shd w:val="clear" w:color="auto" w:fill="auto"/>
            <w:vAlign w:val="center"/>
          </w:tcPr>
          <w:p w14:paraId="683F36EE"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5C2B4717"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37448D">
              <w:rPr>
                <w:rFonts w:ascii="Arial Narrow" w:hAnsi="Arial Narrow"/>
                <w:color w:val="333333"/>
                <w:sz w:val="18"/>
                <w:szCs w:val="18"/>
              </w:rPr>
              <w:t>Continuing treatment, Face, hand, foot</w:t>
            </w:r>
          </w:p>
        </w:tc>
      </w:tr>
      <w:tr w:rsidR="004F180B" w:rsidRPr="00120A12" w14:paraId="18F573BE" w14:textId="77777777" w:rsidTr="008370C3">
        <w:tc>
          <w:tcPr>
            <w:tcW w:w="553" w:type="pct"/>
            <w:shd w:val="clear" w:color="auto" w:fill="auto"/>
            <w:vAlign w:val="center"/>
          </w:tcPr>
          <w:p w14:paraId="25856CA6"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0AA5E2AB" w14:textId="77777777" w:rsidR="004F180B" w:rsidRPr="00120A12" w:rsidRDefault="004F180B" w:rsidP="008370C3">
            <w:pPr>
              <w:rPr>
                <w:rFonts w:ascii="Arial Narrow" w:hAnsi="Arial Narrow"/>
                <w:b/>
                <w:bCs/>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restriction.</w:t>
            </w:r>
          </w:p>
        </w:tc>
      </w:tr>
      <w:tr w:rsidR="004F180B" w:rsidRPr="00120A12" w14:paraId="36F053DE" w14:textId="77777777" w:rsidTr="008370C3">
        <w:tc>
          <w:tcPr>
            <w:tcW w:w="553" w:type="pct"/>
            <w:shd w:val="clear" w:color="auto" w:fill="auto"/>
            <w:vAlign w:val="center"/>
          </w:tcPr>
          <w:p w14:paraId="1B660DA7"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35267A0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20249838"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23226, 23240, 26387, 23239, 16804, 26394, 23934, 23935 and 23943 should apply</w:t>
            </w:r>
          </w:p>
        </w:tc>
      </w:tr>
      <w:tr w:rsidR="004F180B" w:rsidRPr="00120A12" w14:paraId="23D06512" w14:textId="77777777" w:rsidTr="008370C3">
        <w:tc>
          <w:tcPr>
            <w:tcW w:w="553" w:type="pct"/>
            <w:shd w:val="clear" w:color="auto" w:fill="auto"/>
            <w:vAlign w:val="center"/>
          </w:tcPr>
          <w:p w14:paraId="3CCE35FA"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4DF998D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7B69C5A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52DD6B5F" w14:textId="77777777" w:rsidTr="008370C3">
        <w:tc>
          <w:tcPr>
            <w:tcW w:w="553" w:type="pct"/>
            <w:shd w:val="clear" w:color="auto" w:fill="BFBFBF" w:themeFill="background1" w:themeFillShade="BF"/>
            <w:vAlign w:val="center"/>
          </w:tcPr>
          <w:p w14:paraId="0CC22F72"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10A2DBF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10805/ToC 10807 </w:t>
            </w:r>
          </w:p>
        </w:tc>
      </w:tr>
      <w:tr w:rsidR="004F180B" w:rsidRPr="00120A12" w14:paraId="10E36736" w14:textId="77777777" w:rsidTr="008370C3">
        <w:tc>
          <w:tcPr>
            <w:tcW w:w="553" w:type="pct"/>
            <w:shd w:val="clear" w:color="auto" w:fill="auto"/>
            <w:vAlign w:val="center"/>
          </w:tcPr>
          <w:p w14:paraId="136CF0C8"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555DF741"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37448D">
              <w:rPr>
                <w:rFonts w:ascii="Arial Narrow" w:hAnsi="Arial Narrow"/>
                <w:color w:val="333333"/>
                <w:sz w:val="18"/>
                <w:szCs w:val="18"/>
              </w:rPr>
              <w:t>Continuing treatment, Whole body or Continuing treatment, Face, hand, foot - balance of supply</w:t>
            </w:r>
          </w:p>
        </w:tc>
      </w:tr>
      <w:tr w:rsidR="004F180B" w:rsidRPr="00120A12" w14:paraId="3A37402F" w14:textId="77777777" w:rsidTr="008370C3">
        <w:tc>
          <w:tcPr>
            <w:tcW w:w="553" w:type="pct"/>
            <w:shd w:val="clear" w:color="auto" w:fill="auto"/>
            <w:vAlign w:val="center"/>
          </w:tcPr>
          <w:p w14:paraId="7EFB39FC"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06EC81AB" w14:textId="77777777" w:rsidR="004F180B" w:rsidRPr="00120A12" w:rsidRDefault="004F180B" w:rsidP="008370C3">
            <w:pPr>
              <w:rPr>
                <w:rFonts w:ascii="Arial Narrow" w:hAnsi="Arial Narrow"/>
                <w:b/>
                <w:bCs/>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balance of supply restriction</w:t>
            </w:r>
          </w:p>
        </w:tc>
      </w:tr>
      <w:tr w:rsidR="004F180B" w:rsidRPr="00120A12" w14:paraId="7642673A" w14:textId="77777777" w:rsidTr="008370C3">
        <w:tc>
          <w:tcPr>
            <w:tcW w:w="553" w:type="pct"/>
            <w:shd w:val="clear" w:color="auto" w:fill="auto"/>
            <w:vAlign w:val="center"/>
          </w:tcPr>
          <w:p w14:paraId="74A6145A" w14:textId="77777777" w:rsidR="004F180B" w:rsidRDefault="004F180B" w:rsidP="008370C3">
            <w:pPr>
              <w:jc w:val="center"/>
              <w:rPr>
                <w:rFonts w:ascii="Arial Narrow" w:hAnsi="Arial Narrow"/>
                <w:color w:val="333333"/>
                <w:sz w:val="18"/>
                <w:szCs w:val="18"/>
              </w:rPr>
            </w:pPr>
          </w:p>
        </w:tc>
        <w:tc>
          <w:tcPr>
            <w:tcW w:w="4447" w:type="pct"/>
            <w:shd w:val="clear" w:color="auto" w:fill="auto"/>
            <w:vAlign w:val="center"/>
          </w:tcPr>
          <w:p w14:paraId="2267B34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7F54E0D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bl>
    <w:p w14:paraId="6C7F1514" w14:textId="77777777" w:rsidR="004F180B" w:rsidRDefault="004F180B" w:rsidP="004F180B"/>
    <w:p w14:paraId="62588797" w14:textId="77777777" w:rsidR="004F180B" w:rsidRPr="00585DBC" w:rsidRDefault="004F180B" w:rsidP="004F180B">
      <w:pPr>
        <w:rPr>
          <w:rFonts w:asciiTheme="minorHAnsi" w:hAnsiTheme="minorHAnsi" w:cstheme="minorHAnsi"/>
          <w:i/>
          <w:iCs/>
        </w:rPr>
      </w:pPr>
      <w:r w:rsidRPr="00585DBC">
        <w:rPr>
          <w:rFonts w:asciiTheme="minorHAnsi" w:hAnsiTheme="minorHAnsi" w:cstheme="minorHAnsi"/>
          <w:i/>
          <w:iCs/>
        </w:rPr>
        <w:t>Grandfather restriction: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275"/>
        <w:gridCol w:w="852"/>
        <w:gridCol w:w="850"/>
        <w:gridCol w:w="709"/>
        <w:gridCol w:w="1134"/>
        <w:gridCol w:w="1418"/>
      </w:tblGrid>
      <w:tr w:rsidR="004F180B" w:rsidRPr="009A610D" w14:paraId="57500769" w14:textId="77777777" w:rsidTr="008370C3">
        <w:trPr>
          <w:cantSplit/>
          <w:trHeight w:val="471"/>
        </w:trPr>
        <w:tc>
          <w:tcPr>
            <w:tcW w:w="1506" w:type="pct"/>
          </w:tcPr>
          <w:p w14:paraId="79569846"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0A1CAF44"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714" w:type="pct"/>
          </w:tcPr>
          <w:p w14:paraId="097C84AB"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477" w:type="pct"/>
          </w:tcPr>
          <w:p w14:paraId="08FA5A1C"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476" w:type="pct"/>
          </w:tcPr>
          <w:p w14:paraId="075F8A50"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397" w:type="pct"/>
          </w:tcPr>
          <w:p w14:paraId="7749E3FE"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68BC8BAB"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1429" w:type="pct"/>
            <w:gridSpan w:val="2"/>
          </w:tcPr>
          <w:p w14:paraId="24471DD4"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748C953B" w14:textId="77777777" w:rsidTr="004C3BD1">
        <w:trPr>
          <w:cantSplit/>
          <w:trHeight w:val="314"/>
        </w:trPr>
        <w:tc>
          <w:tcPr>
            <w:tcW w:w="1506" w:type="pct"/>
          </w:tcPr>
          <w:p w14:paraId="0F7C6C2B" w14:textId="71B8A4DC"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334E7315"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714" w:type="pct"/>
          </w:tcPr>
          <w:p w14:paraId="5DB6D9C0"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1ECFF8C2" w14:textId="77777777" w:rsidR="004F180B" w:rsidRPr="009A610D" w:rsidRDefault="004F180B" w:rsidP="008370C3">
            <w:pPr>
              <w:keepNext/>
              <w:jc w:val="center"/>
              <w:rPr>
                <w:rFonts w:ascii="Arial Narrow" w:hAnsi="Arial Narrow"/>
                <w:sz w:val="18"/>
                <w:szCs w:val="18"/>
              </w:rPr>
            </w:pPr>
            <w:r w:rsidRPr="009A610D">
              <w:rPr>
                <w:rFonts w:ascii="Arial Narrow" w:hAnsi="Arial Narrow"/>
                <w:sz w:val="18"/>
                <w:szCs w:val="18"/>
              </w:rPr>
              <w:t>1</w:t>
            </w:r>
          </w:p>
        </w:tc>
        <w:tc>
          <w:tcPr>
            <w:tcW w:w="476" w:type="pct"/>
          </w:tcPr>
          <w:p w14:paraId="72ED47F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453AF721" w14:textId="539984EE"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2</w:t>
            </w:r>
          </w:p>
        </w:tc>
        <w:tc>
          <w:tcPr>
            <w:tcW w:w="635" w:type="pct"/>
            <w:vMerge w:val="restart"/>
          </w:tcPr>
          <w:p w14:paraId="4C6BF456"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794" w:type="pct"/>
            <w:vMerge w:val="restart"/>
          </w:tcPr>
          <w:p w14:paraId="79BA20E3"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5BA0D1DA" w14:textId="77777777" w:rsidTr="008370C3">
        <w:trPr>
          <w:cantSplit/>
          <w:trHeight w:val="347"/>
        </w:trPr>
        <w:tc>
          <w:tcPr>
            <w:tcW w:w="1506" w:type="pct"/>
          </w:tcPr>
          <w:p w14:paraId="5045E082"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714" w:type="pct"/>
          </w:tcPr>
          <w:p w14:paraId="23C2C09B"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0163CAF0"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476" w:type="pct"/>
          </w:tcPr>
          <w:p w14:paraId="6C6CF762"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2B5B4C29"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635" w:type="pct"/>
            <w:vMerge/>
          </w:tcPr>
          <w:p w14:paraId="688592F0" w14:textId="77777777" w:rsidR="004F180B" w:rsidRDefault="004F180B" w:rsidP="008370C3">
            <w:pPr>
              <w:keepNext/>
              <w:rPr>
                <w:rFonts w:ascii="Arial Narrow" w:hAnsi="Arial Narrow"/>
                <w:sz w:val="18"/>
                <w:szCs w:val="18"/>
              </w:rPr>
            </w:pPr>
          </w:p>
        </w:tc>
        <w:tc>
          <w:tcPr>
            <w:tcW w:w="794" w:type="pct"/>
            <w:vMerge/>
          </w:tcPr>
          <w:p w14:paraId="6762FD6B" w14:textId="77777777" w:rsidR="004F180B" w:rsidRDefault="004F180B" w:rsidP="008370C3">
            <w:pPr>
              <w:keepNext/>
              <w:rPr>
                <w:rFonts w:ascii="Arial Narrow" w:hAnsi="Arial Narrow"/>
                <w:sz w:val="18"/>
                <w:szCs w:val="18"/>
              </w:rPr>
            </w:pPr>
          </w:p>
        </w:tc>
      </w:tr>
    </w:tbl>
    <w:p w14:paraId="439F8C2F" w14:textId="77777777" w:rsidR="004F180B" w:rsidRDefault="004F180B" w:rsidP="004F180B">
      <w:pPr>
        <w:rPr>
          <w:rFonts w:ascii="Arial Narrow" w:hAnsi="Arial Narrow"/>
          <w:b/>
          <w:sz w:val="18"/>
          <w:szCs w:val="18"/>
          <w:lang w:val="en-GB"/>
        </w:rPr>
      </w:pPr>
      <w:r>
        <w:rPr>
          <w:rFonts w:ascii="Arial Narrow" w:hAnsi="Arial Narrow"/>
          <w:b/>
          <w:sz w:val="18"/>
          <w:szCs w:val="18"/>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F180B" w:rsidRPr="00120A12" w14:paraId="2347A2D4"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AD1C7CE" w14:textId="77777777" w:rsidR="004F180B" w:rsidRPr="0037448D" w:rsidRDefault="004F180B" w:rsidP="008370C3">
            <w:pPr>
              <w:jc w:val="center"/>
              <w:rPr>
                <w:rFonts w:ascii="Arial Narrow" w:hAnsi="Arial Narrow"/>
                <w:color w:val="333333"/>
                <w:sz w:val="18"/>
                <w:szCs w:val="18"/>
              </w:rPr>
            </w:pPr>
            <w:r w:rsidRPr="0037448D">
              <w:rPr>
                <w:rFonts w:ascii="Arial Narrow" w:hAnsi="Arial Narrow"/>
                <w:color w:val="333333"/>
                <w:sz w:val="18"/>
                <w:szCs w:val="18"/>
              </w:rPr>
              <w:t>Concept ID</w:t>
            </w: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CEB16C8"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 xml:space="preserve">Category / Program:   </w:t>
            </w:r>
          </w:p>
          <w:p w14:paraId="21D5D48B"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GENERAL – General Schedule (Code GE)</w:t>
            </w:r>
          </w:p>
        </w:tc>
      </w:tr>
      <w:tr w:rsidR="004F180B" w:rsidRPr="00120A12" w14:paraId="64140D4E"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E3E59B0"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09037109"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 xml:space="preserve">Prescriber type:  </w:t>
            </w: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003F1ED3">
              <w:rPr>
                <w:rFonts w:ascii="Arial Narrow" w:hAnsi="Arial Narrow"/>
                <w:b/>
                <w:bCs/>
                <w:color w:val="333333"/>
                <w:sz w:val="18"/>
                <w:szCs w:val="18"/>
              </w:rPr>
            </w:r>
            <w:r w:rsidR="003F1ED3">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Medical Practitioners</w:t>
            </w:r>
            <w:r w:rsidRPr="0037448D">
              <w:rPr>
                <w:rFonts w:ascii="Arial Narrow" w:hAnsi="Arial Narrow"/>
                <w:b/>
                <w:bCs/>
                <w:color w:val="333333"/>
                <w:sz w:val="18"/>
                <w:szCs w:val="18"/>
              </w:rPr>
              <w:t xml:space="preserve">  </w:t>
            </w:r>
          </w:p>
        </w:tc>
      </w:tr>
      <w:tr w:rsidR="004F180B" w:rsidRPr="00120A12" w14:paraId="41A91640"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771CFD"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079FF2C0"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Restriction Level / Method:</w:t>
            </w:r>
          </w:p>
          <w:p w14:paraId="1E306540"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003F1ED3">
              <w:rPr>
                <w:rFonts w:ascii="Arial Narrow" w:hAnsi="Arial Narrow"/>
                <w:b/>
                <w:bCs/>
                <w:color w:val="333333"/>
                <w:sz w:val="18"/>
                <w:szCs w:val="18"/>
              </w:rPr>
            </w:r>
            <w:r w:rsidR="003F1ED3">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Authority Required – In Writing</w:t>
            </w:r>
          </w:p>
        </w:tc>
      </w:tr>
      <w:tr w:rsidR="004F180B" w:rsidRPr="00150DB9" w14:paraId="273B782D"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EC77277"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147EF136"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Administrative Advice:</w:t>
            </w:r>
          </w:p>
          <w:p w14:paraId="64F85E03"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A310D" w14:paraId="55285871"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F7E1D15"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142E7417"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Episodicity: </w:t>
            </w:r>
          </w:p>
        </w:tc>
      </w:tr>
      <w:tr w:rsidR="004F180B" w:rsidRPr="00120A12" w14:paraId="53552C4D"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7D5C8D6"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2F866ECB"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Severity: </w:t>
            </w:r>
            <w:r w:rsidRPr="00C06063">
              <w:rPr>
                <w:rFonts w:ascii="Arial Narrow" w:hAnsi="Arial Narrow"/>
                <w:color w:val="000000" w:themeColor="text1"/>
                <w:sz w:val="18"/>
                <w:szCs w:val="18"/>
              </w:rPr>
              <w:t>Severe</w:t>
            </w:r>
          </w:p>
        </w:tc>
      </w:tr>
      <w:tr w:rsidR="004F180B" w:rsidRPr="00120A12" w14:paraId="1136AC2B" w14:textId="77777777" w:rsidTr="008370C3">
        <w:trPr>
          <w:trHeight w:val="118"/>
        </w:trPr>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591558D"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38BB1F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Condition: </w:t>
            </w:r>
            <w:r w:rsidRPr="00C06063">
              <w:rPr>
                <w:rFonts w:ascii="Arial Narrow" w:hAnsi="Arial Narrow"/>
                <w:color w:val="000000" w:themeColor="text1"/>
                <w:sz w:val="18"/>
                <w:szCs w:val="18"/>
              </w:rPr>
              <w:t>Chronic plaque psoriasis</w:t>
            </w:r>
          </w:p>
        </w:tc>
      </w:tr>
      <w:tr w:rsidR="004F180B" w:rsidRPr="00120A12" w14:paraId="77F49A88"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7977AEE1" w14:textId="27DDBC0C"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7F7CF5F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Indication: </w:t>
            </w:r>
            <w:r w:rsidRPr="00C06063">
              <w:rPr>
                <w:rFonts w:ascii="Arial Narrow" w:hAnsi="Arial Narrow"/>
                <w:color w:val="000000" w:themeColor="text1"/>
                <w:sz w:val="18"/>
                <w:szCs w:val="18"/>
              </w:rPr>
              <w:t>Severe chronic plaque psoriasis</w:t>
            </w:r>
          </w:p>
        </w:tc>
      </w:tr>
      <w:tr w:rsidR="004F180B" w:rsidRPr="00120A12" w14:paraId="01CA762E" w14:textId="77777777" w:rsidTr="008370C3">
        <w:tc>
          <w:tcPr>
            <w:tcW w:w="553" w:type="pct"/>
            <w:shd w:val="clear" w:color="auto" w:fill="BFBFBF" w:themeFill="background1" w:themeFillShade="BF"/>
            <w:vAlign w:val="center"/>
          </w:tcPr>
          <w:p w14:paraId="7DD94E36"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BFBFBF" w:themeFill="background1" w:themeFillShade="BF"/>
            <w:vAlign w:val="center"/>
          </w:tcPr>
          <w:p w14:paraId="149A62BC"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Same as RS 10736/ToC 10806 </w:t>
            </w:r>
          </w:p>
        </w:tc>
      </w:tr>
      <w:tr w:rsidR="004F180B" w:rsidRPr="00120A12" w14:paraId="162759BE" w14:textId="77777777" w:rsidTr="008370C3">
        <w:tc>
          <w:tcPr>
            <w:tcW w:w="553" w:type="pct"/>
            <w:shd w:val="clear" w:color="auto" w:fill="auto"/>
            <w:vAlign w:val="center"/>
          </w:tcPr>
          <w:p w14:paraId="4F2478CF"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53B7C96"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Treatment Phase:</w:t>
            </w:r>
            <w:r w:rsidRPr="00C06063">
              <w:rPr>
                <w:rFonts w:ascii="Arial Narrow" w:hAnsi="Arial Narrow"/>
                <w:color w:val="000000" w:themeColor="text1"/>
                <w:sz w:val="18"/>
                <w:szCs w:val="18"/>
              </w:rPr>
              <w:t xml:space="preserve"> Initial treatment, Whole body – Grandfather patients</w:t>
            </w:r>
          </w:p>
        </w:tc>
      </w:tr>
      <w:tr w:rsidR="004F180B" w:rsidRPr="00120A12" w14:paraId="4807F37E" w14:textId="77777777" w:rsidTr="008370C3">
        <w:tc>
          <w:tcPr>
            <w:tcW w:w="553" w:type="pct"/>
            <w:shd w:val="clear" w:color="auto" w:fill="auto"/>
            <w:vAlign w:val="center"/>
          </w:tcPr>
          <w:p w14:paraId="7EAA79EE"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D148A3B"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3E8A2D0C" w14:textId="77777777" w:rsidTr="008370C3">
        <w:tc>
          <w:tcPr>
            <w:tcW w:w="553" w:type="pct"/>
            <w:shd w:val="clear" w:color="auto" w:fill="auto"/>
            <w:vAlign w:val="center"/>
          </w:tcPr>
          <w:p w14:paraId="7414FE90" w14:textId="0083E4A4"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476D9B0" w14:textId="683B41BC" w:rsidR="004F180B" w:rsidRPr="00111AD8" w:rsidRDefault="004F180B" w:rsidP="008370C3">
            <w:pPr>
              <w:rPr>
                <w:rFonts w:ascii="Arial Narrow" w:hAnsi="Arial Narrow" w:cstheme="minorHAnsi"/>
                <w:color w:val="000000" w:themeColor="text1"/>
                <w:sz w:val="18"/>
                <w:szCs w:val="18"/>
              </w:rPr>
            </w:pPr>
            <w:r w:rsidRPr="00111AD8">
              <w:rPr>
                <w:rFonts w:ascii="Arial Narrow" w:eastAsia="Calibri" w:hAnsi="Arial Narrow" w:cstheme="minorHAnsi"/>
                <w:color w:val="000000" w:themeColor="text1"/>
                <w:sz w:val="18"/>
                <w:szCs w:val="18"/>
              </w:rPr>
              <w:t>Patient must have</w:t>
            </w:r>
            <w:r w:rsidR="00551336" w:rsidRPr="00111AD8">
              <w:rPr>
                <w:rFonts w:ascii="Arial Narrow" w:eastAsia="Calibri" w:hAnsi="Arial Narrow" w:cstheme="minorHAnsi"/>
                <w:color w:val="000000" w:themeColor="text1"/>
                <w:sz w:val="18"/>
                <w:szCs w:val="18"/>
              </w:rPr>
              <w:t xml:space="preserve"> </w:t>
            </w:r>
            <w:r w:rsidRPr="00111AD8">
              <w:rPr>
                <w:rFonts w:ascii="Arial Narrow" w:eastAsia="Calibri" w:hAnsi="Arial Narrow" w:cstheme="minorHAnsi"/>
                <w:color w:val="000000" w:themeColor="text1"/>
                <w:sz w:val="18"/>
                <w:szCs w:val="18"/>
              </w:rPr>
              <w:t>a documented severe chronic plaque psoriasis where lesions have been present for at least 6 months prior to commencing non-PBS-subsidised treatment with this drug for this condition</w:t>
            </w:r>
          </w:p>
        </w:tc>
      </w:tr>
      <w:tr w:rsidR="004F180B" w:rsidRPr="00120A12" w14:paraId="20DE8F68" w14:textId="77777777" w:rsidTr="008370C3">
        <w:tc>
          <w:tcPr>
            <w:tcW w:w="553" w:type="pct"/>
            <w:shd w:val="clear" w:color="auto" w:fill="auto"/>
            <w:vAlign w:val="center"/>
          </w:tcPr>
          <w:p w14:paraId="55EF05B7"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DBB2DF3"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71726814" w14:textId="77777777" w:rsidTr="008370C3">
        <w:tc>
          <w:tcPr>
            <w:tcW w:w="553" w:type="pct"/>
            <w:shd w:val="clear" w:color="auto" w:fill="auto"/>
            <w:vAlign w:val="center"/>
          </w:tcPr>
          <w:p w14:paraId="1530513D"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79A95D6F"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3C42ADAC" w14:textId="77777777" w:rsidTr="008370C3">
        <w:tc>
          <w:tcPr>
            <w:tcW w:w="553" w:type="pct"/>
            <w:shd w:val="clear" w:color="auto" w:fill="auto"/>
            <w:vAlign w:val="center"/>
          </w:tcPr>
          <w:p w14:paraId="4D0FB1BD"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E227DD8"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Patient must have received non-PBS subsidised therapy with this drug for this condition prior to [</w:t>
            </w:r>
            <w:r w:rsidRPr="00C06063">
              <w:rPr>
                <w:rFonts w:ascii="Arial Narrow" w:eastAsia="Calibri" w:hAnsi="Arial Narrow" w:cs="Calibri"/>
                <w:i/>
                <w:iCs/>
                <w:color w:val="000000" w:themeColor="text1"/>
                <w:sz w:val="18"/>
                <w:szCs w:val="18"/>
              </w:rPr>
              <w:t>list date</w:t>
            </w:r>
            <w:r w:rsidRPr="00C06063">
              <w:rPr>
                <w:rFonts w:ascii="Arial Narrow" w:eastAsia="Calibri" w:hAnsi="Arial Narrow" w:cs="Calibri"/>
                <w:color w:val="000000" w:themeColor="text1"/>
                <w:sz w:val="18"/>
                <w:szCs w:val="18"/>
              </w:rPr>
              <w:t>]</w:t>
            </w:r>
          </w:p>
        </w:tc>
      </w:tr>
      <w:tr w:rsidR="004F180B" w:rsidRPr="00120A12" w14:paraId="59CCCB99" w14:textId="77777777" w:rsidTr="008370C3">
        <w:tc>
          <w:tcPr>
            <w:tcW w:w="553" w:type="pct"/>
            <w:shd w:val="clear" w:color="auto" w:fill="auto"/>
            <w:vAlign w:val="center"/>
          </w:tcPr>
          <w:p w14:paraId="650D7008"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F8FC6DC"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47CFD272" w14:textId="77777777" w:rsidTr="008370C3">
        <w:tc>
          <w:tcPr>
            <w:tcW w:w="553" w:type="pct"/>
            <w:shd w:val="clear" w:color="auto" w:fill="auto"/>
            <w:vAlign w:val="center"/>
          </w:tcPr>
          <w:p w14:paraId="20AB9915"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721C6EB4"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EC6DD82" w14:textId="77777777" w:rsidTr="008370C3">
        <w:tc>
          <w:tcPr>
            <w:tcW w:w="553" w:type="pct"/>
            <w:shd w:val="clear" w:color="auto" w:fill="auto"/>
            <w:vAlign w:val="center"/>
          </w:tcPr>
          <w:p w14:paraId="0AC93E5A" w14:textId="5EE7179B"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569BB7D"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244A9E7A"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lastRenderedPageBreak/>
              <w:t xml:space="preserve">(i) phototherapy (UVB or PUVA) for 3 treatments per week for at least 6 weeks; </w:t>
            </w:r>
          </w:p>
          <w:p w14:paraId="5DAE6FA8"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 methotrexate at a dose of at least 10 mg weekly for at least 6 weeks; </w:t>
            </w:r>
          </w:p>
          <w:p w14:paraId="07FE68DC"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(iii) cyclosporin at a dose of at least 2 mg per kg per day for at least 6 weeks; </w:t>
            </w:r>
          </w:p>
          <w:p w14:paraId="460977D1"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(iv) acitretin at a dose of at least 0.4 mg per kg per day for at least 6 weeks, </w:t>
            </w:r>
          </w:p>
          <w:p w14:paraId="74467A18" w14:textId="77777777" w:rsidR="004F180B" w:rsidRPr="00C06063" w:rsidRDefault="004F180B" w:rsidP="008370C3">
            <w:pPr>
              <w:rPr>
                <w:rFonts w:ascii="Arial Narrow" w:eastAsia="Calibri" w:hAnsi="Arial Narrow" w:cs="Calibri"/>
                <w:i/>
                <w:iCs/>
                <w:color w:val="000000" w:themeColor="text1"/>
                <w:sz w:val="18"/>
                <w:szCs w:val="18"/>
              </w:rPr>
            </w:pPr>
            <w:r w:rsidRPr="00111AD8">
              <w:rPr>
                <w:rFonts w:ascii="Arial Narrow" w:eastAsia="Calibri" w:hAnsi="Arial Narrow" w:cs="Calibri"/>
                <w:color w:val="000000" w:themeColor="text1"/>
                <w:sz w:val="18"/>
                <w:szCs w:val="18"/>
              </w:rPr>
              <w:t>(v) apremilast at a dose of 30 mg twice a day for at least 6 weeks</w:t>
            </w:r>
          </w:p>
        </w:tc>
      </w:tr>
      <w:tr w:rsidR="004F180B" w:rsidRPr="00120A12" w14:paraId="29C01DEA" w14:textId="77777777" w:rsidTr="008370C3">
        <w:tc>
          <w:tcPr>
            <w:tcW w:w="553" w:type="pct"/>
            <w:shd w:val="clear" w:color="auto" w:fill="auto"/>
            <w:vAlign w:val="center"/>
          </w:tcPr>
          <w:p w14:paraId="3E2CA88E"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524B31BE"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09395DA6" w14:textId="77777777" w:rsidTr="008370C3">
        <w:tc>
          <w:tcPr>
            <w:tcW w:w="553" w:type="pct"/>
            <w:shd w:val="clear" w:color="auto" w:fill="auto"/>
            <w:vAlign w:val="center"/>
          </w:tcPr>
          <w:p w14:paraId="4A487652"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58EFF93C"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032F30D1" w14:textId="77777777" w:rsidTr="008370C3">
        <w:tc>
          <w:tcPr>
            <w:tcW w:w="553" w:type="pct"/>
            <w:shd w:val="clear" w:color="auto" w:fill="auto"/>
            <w:vAlign w:val="center"/>
          </w:tcPr>
          <w:p w14:paraId="78CA5D87" w14:textId="62817FB5"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0672F50A" w14:textId="2A5C6275"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 xml:space="preserve">Patient must have </w:t>
            </w:r>
            <w:r w:rsidRPr="00111AD8">
              <w:rPr>
                <w:rFonts w:ascii="Arial Narrow" w:eastAsia="Calibri" w:hAnsi="Arial Narrow" w:cs="Calibri"/>
                <w:color w:val="000000" w:themeColor="text1"/>
                <w:sz w:val="18"/>
                <w:szCs w:val="18"/>
              </w:rPr>
              <w:t>a documented</w:t>
            </w:r>
            <w:r w:rsidRPr="00C06063">
              <w:rPr>
                <w:rFonts w:ascii="Arial Narrow" w:eastAsia="Calibri" w:hAnsi="Arial Narrow" w:cs="Calibri"/>
                <w:i/>
                <w:iCs/>
                <w:color w:val="000000" w:themeColor="text1"/>
                <w:sz w:val="18"/>
                <w:szCs w:val="18"/>
              </w:rPr>
              <w:t xml:space="preserve"> </w:t>
            </w:r>
            <w:r w:rsidRPr="00C06063">
              <w:rPr>
                <w:rFonts w:ascii="Arial Narrow" w:eastAsia="Calibri" w:hAnsi="Arial Narrow" w:cs="Calibri"/>
                <w:color w:val="000000" w:themeColor="text1"/>
                <w:sz w:val="18"/>
                <w:szCs w:val="18"/>
              </w:rPr>
              <w:t xml:space="preserve">Psoriasis Area and Severity Index (PASI) score of greater than 15 prior to commencing </w:t>
            </w:r>
            <w:r w:rsidRPr="00111AD8">
              <w:rPr>
                <w:rFonts w:ascii="Arial Narrow" w:eastAsia="Calibri" w:hAnsi="Arial Narrow" w:cs="Calibri"/>
                <w:color w:val="000000" w:themeColor="text1"/>
                <w:sz w:val="18"/>
                <w:szCs w:val="18"/>
              </w:rPr>
              <w:t>non-PBS subsidised treatment</w:t>
            </w:r>
            <w:r w:rsidRPr="00C06063">
              <w:rPr>
                <w:rFonts w:ascii="Arial Narrow" w:eastAsia="Calibri" w:hAnsi="Arial Narrow" w:cs="Calibri"/>
                <w:color w:val="000000" w:themeColor="text1"/>
                <w:sz w:val="18"/>
                <w:szCs w:val="18"/>
              </w:rPr>
              <w:t xml:space="preserve"> with this drug for this condition</w:t>
            </w:r>
          </w:p>
        </w:tc>
      </w:tr>
      <w:tr w:rsidR="004F180B" w:rsidRPr="00120A12" w14:paraId="78C56E3A" w14:textId="77777777" w:rsidTr="008370C3">
        <w:tc>
          <w:tcPr>
            <w:tcW w:w="553" w:type="pct"/>
            <w:shd w:val="clear" w:color="auto" w:fill="auto"/>
            <w:vAlign w:val="center"/>
          </w:tcPr>
          <w:p w14:paraId="44706D89"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2826EFAC"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054AC62E" w14:textId="77777777" w:rsidTr="008370C3">
        <w:tc>
          <w:tcPr>
            <w:tcW w:w="553" w:type="pct"/>
            <w:shd w:val="clear" w:color="auto" w:fill="auto"/>
            <w:vAlign w:val="center"/>
          </w:tcPr>
          <w:p w14:paraId="4922919E" w14:textId="1D0D255D"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E393FA0"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EAC5F96" w14:textId="77777777" w:rsidTr="008370C3">
        <w:tc>
          <w:tcPr>
            <w:tcW w:w="553" w:type="pct"/>
            <w:shd w:val="clear" w:color="auto" w:fill="auto"/>
            <w:vAlign w:val="center"/>
          </w:tcPr>
          <w:p w14:paraId="20A17927" w14:textId="1C5F15C3"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DB1879C"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The treatment must be as systemic monotherapy (other than methotrexate)</w:t>
            </w:r>
          </w:p>
        </w:tc>
      </w:tr>
      <w:tr w:rsidR="004F180B" w:rsidRPr="00120A12" w14:paraId="4ED55F9D" w14:textId="77777777" w:rsidTr="008370C3">
        <w:tc>
          <w:tcPr>
            <w:tcW w:w="553" w:type="pct"/>
            <w:shd w:val="clear" w:color="auto" w:fill="auto"/>
            <w:vAlign w:val="center"/>
          </w:tcPr>
          <w:p w14:paraId="45DBD755"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1DE0A98E"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6CCABAB2" w14:textId="77777777" w:rsidTr="008370C3">
        <w:tc>
          <w:tcPr>
            <w:tcW w:w="553" w:type="pct"/>
            <w:shd w:val="clear" w:color="auto" w:fill="auto"/>
            <w:vAlign w:val="center"/>
          </w:tcPr>
          <w:p w14:paraId="6AC1D842" w14:textId="06D29D6E"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29924E18"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028CC8C2" w14:textId="77777777" w:rsidTr="008370C3">
        <w:tc>
          <w:tcPr>
            <w:tcW w:w="553" w:type="pct"/>
            <w:shd w:val="clear" w:color="auto" w:fill="auto"/>
            <w:vAlign w:val="center"/>
          </w:tcPr>
          <w:p w14:paraId="38691F8C" w14:textId="58EE324B"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33EC1274"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eastAsia="Calibri" w:hAnsi="Arial Narrow" w:cstheme="minorHAnsi"/>
                <w:color w:val="000000" w:themeColor="text1"/>
                <w:sz w:val="18"/>
                <w:szCs w:val="18"/>
              </w:rPr>
              <w:t>Patient must not receive more than 24 weeks of treatment under this restriction</w:t>
            </w:r>
          </w:p>
        </w:tc>
      </w:tr>
      <w:tr w:rsidR="004F180B" w:rsidRPr="00120A12" w14:paraId="4981E015" w14:textId="77777777" w:rsidTr="008370C3">
        <w:tc>
          <w:tcPr>
            <w:tcW w:w="553" w:type="pct"/>
            <w:shd w:val="clear" w:color="auto" w:fill="auto"/>
            <w:vAlign w:val="center"/>
          </w:tcPr>
          <w:p w14:paraId="6DFE5B11"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51F89BE7"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6DA591EC" w14:textId="77777777" w:rsidTr="008370C3">
        <w:tc>
          <w:tcPr>
            <w:tcW w:w="553" w:type="pct"/>
            <w:shd w:val="clear" w:color="auto" w:fill="auto"/>
            <w:vAlign w:val="center"/>
          </w:tcPr>
          <w:p w14:paraId="167E6670" w14:textId="450C3CF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0A2CA43E"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Population criteria:</w:t>
            </w:r>
          </w:p>
        </w:tc>
      </w:tr>
      <w:tr w:rsidR="004F180B" w:rsidRPr="00120A12" w14:paraId="272FA545" w14:textId="77777777" w:rsidTr="008370C3">
        <w:tc>
          <w:tcPr>
            <w:tcW w:w="553" w:type="pct"/>
            <w:shd w:val="clear" w:color="auto" w:fill="auto"/>
            <w:vAlign w:val="center"/>
          </w:tcPr>
          <w:p w14:paraId="03DBFBCE" w14:textId="018BA1C8"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2957C50F"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eastAsia="Calibri" w:hAnsi="Arial Narrow" w:cstheme="minorHAnsi"/>
                <w:color w:val="000000" w:themeColor="text1"/>
                <w:sz w:val="18"/>
                <w:szCs w:val="18"/>
              </w:rPr>
              <w:t>Patient must be aged 18 years or older</w:t>
            </w:r>
          </w:p>
        </w:tc>
      </w:tr>
      <w:tr w:rsidR="004F180B" w:rsidRPr="00120A12" w14:paraId="51BC79C2" w14:textId="77777777" w:rsidTr="008370C3">
        <w:tc>
          <w:tcPr>
            <w:tcW w:w="553" w:type="pct"/>
            <w:shd w:val="clear" w:color="auto" w:fill="auto"/>
            <w:vAlign w:val="center"/>
          </w:tcPr>
          <w:p w14:paraId="69E41338"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DC22C4C" w14:textId="77777777" w:rsidR="004F180B" w:rsidRPr="00C06063" w:rsidRDefault="004F180B" w:rsidP="008370C3">
            <w:pPr>
              <w:rPr>
                <w:rFonts w:ascii="Arial Narrow" w:hAnsi="Arial Narrow"/>
                <w:bCs/>
                <w:color w:val="000000" w:themeColor="text1"/>
                <w:sz w:val="18"/>
                <w:szCs w:val="18"/>
              </w:rPr>
            </w:pPr>
            <w:r w:rsidRPr="00C06063">
              <w:rPr>
                <w:rFonts w:ascii="Arial Narrow" w:hAnsi="Arial Narrow"/>
                <w:b/>
                <w:bCs/>
                <w:color w:val="000000" w:themeColor="text1"/>
                <w:sz w:val="18"/>
                <w:szCs w:val="18"/>
              </w:rPr>
              <w:t xml:space="preserve">Prescribing Instructions: </w:t>
            </w:r>
          </w:p>
          <w:p w14:paraId="4D2A6176"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Items 24057, 26389, 26394 should apply.</w:t>
            </w:r>
          </w:p>
          <w:p w14:paraId="6DE9BD76" w14:textId="77777777" w:rsidR="004F180B" w:rsidRPr="00C06063" w:rsidRDefault="004F180B" w:rsidP="008370C3">
            <w:pPr>
              <w:rPr>
                <w:rFonts w:ascii="Arial Narrow" w:hAnsi="Arial Narrow"/>
                <w:b/>
                <w:bCs/>
                <w:color w:val="000000" w:themeColor="text1"/>
                <w:sz w:val="18"/>
                <w:szCs w:val="18"/>
              </w:rPr>
            </w:pPr>
          </w:p>
          <w:p w14:paraId="3B1650A7"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Insert also:</w:t>
            </w:r>
          </w:p>
          <w:p w14:paraId="6220E903"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The most recent PASI assessment must be no more than 1 month old at the time of application.</w:t>
            </w:r>
          </w:p>
          <w:p w14:paraId="239809D5" w14:textId="77777777" w:rsidR="004F180B" w:rsidRPr="00C06063" w:rsidRDefault="004F180B" w:rsidP="008370C3">
            <w:pPr>
              <w:rPr>
                <w:rFonts w:ascii="Arial Narrow" w:hAnsi="Arial Narrow"/>
                <w:color w:val="000000" w:themeColor="text1"/>
                <w:sz w:val="18"/>
                <w:szCs w:val="18"/>
              </w:rPr>
            </w:pPr>
          </w:p>
          <w:p w14:paraId="1ABDFFE1"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A Grandfather patient may qualify for PBS-subsidised treatment under this restriction once only.</w:t>
            </w:r>
          </w:p>
          <w:p w14:paraId="060E29DE" w14:textId="77777777" w:rsidR="004F180B" w:rsidRPr="00C06063" w:rsidRDefault="004F180B" w:rsidP="008370C3">
            <w:pPr>
              <w:rPr>
                <w:rFonts w:ascii="Arial Narrow" w:hAnsi="Arial Narrow"/>
                <w:color w:val="000000" w:themeColor="text1"/>
                <w:sz w:val="18"/>
                <w:szCs w:val="18"/>
              </w:rPr>
            </w:pPr>
          </w:p>
          <w:p w14:paraId="6868D5EE"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For continuing PBS-subsidised treatment, a Grandfathered patient must qualify under the Continuing treatment criteria.</w:t>
            </w:r>
          </w:p>
          <w:p w14:paraId="18E3F2B7" w14:textId="77777777" w:rsidR="004F180B" w:rsidRPr="00C06063" w:rsidRDefault="004F180B" w:rsidP="008370C3">
            <w:pPr>
              <w:rPr>
                <w:rFonts w:ascii="Arial Narrow" w:hAnsi="Arial Narrow"/>
                <w:color w:val="000000" w:themeColor="text1"/>
                <w:sz w:val="18"/>
                <w:szCs w:val="18"/>
              </w:rPr>
            </w:pPr>
          </w:p>
          <w:p w14:paraId="7BE3157E" w14:textId="77777777" w:rsidR="004F180B" w:rsidRPr="00111AD8" w:rsidRDefault="004F180B" w:rsidP="008370C3">
            <w:pPr>
              <w:rPr>
                <w:rFonts w:ascii="Arial Narrow" w:hAnsi="Arial Narrow"/>
                <w:color w:val="000000" w:themeColor="text1"/>
                <w:sz w:val="18"/>
                <w:szCs w:val="18"/>
              </w:rPr>
            </w:pPr>
            <w:r w:rsidRPr="00111AD8">
              <w:rPr>
                <w:rFonts w:ascii="Arial Narrow" w:hAnsi="Arial Narrow"/>
                <w:color w:val="000000" w:themeColor="text1"/>
                <w:sz w:val="18"/>
                <w:szCs w:val="18"/>
              </w:rPr>
              <w:t>This restriction is only valid for 12 months following [list date].</w:t>
            </w:r>
          </w:p>
        </w:tc>
      </w:tr>
      <w:tr w:rsidR="004F180B" w:rsidRPr="00120A12" w14:paraId="50E6586A" w14:textId="77777777" w:rsidTr="008370C3">
        <w:tc>
          <w:tcPr>
            <w:tcW w:w="553" w:type="pct"/>
            <w:shd w:val="clear" w:color="auto" w:fill="auto"/>
            <w:vAlign w:val="center"/>
          </w:tcPr>
          <w:p w14:paraId="4697F266"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E3B149C" w14:textId="77777777" w:rsidR="004F180B" w:rsidRPr="00C06063" w:rsidRDefault="004F180B" w:rsidP="008370C3">
            <w:pPr>
              <w:rPr>
                <w:rFonts w:ascii="Arial Narrow" w:hAnsi="Arial Narrow"/>
                <w:bCs/>
                <w:color w:val="000000" w:themeColor="text1"/>
                <w:sz w:val="18"/>
                <w:szCs w:val="18"/>
              </w:rPr>
            </w:pPr>
            <w:r w:rsidRPr="00C06063">
              <w:rPr>
                <w:rFonts w:ascii="Arial Narrow" w:hAnsi="Arial Narrow"/>
                <w:b/>
                <w:bCs/>
                <w:color w:val="000000" w:themeColor="text1"/>
                <w:sz w:val="18"/>
                <w:szCs w:val="18"/>
              </w:rPr>
              <w:t>Administrative Advice:</w:t>
            </w:r>
            <w:r w:rsidRPr="00C06063">
              <w:rPr>
                <w:rFonts w:ascii="Arial Narrow" w:hAnsi="Arial Narrow"/>
                <w:bCs/>
                <w:color w:val="000000" w:themeColor="text1"/>
                <w:sz w:val="18"/>
                <w:szCs w:val="18"/>
              </w:rPr>
              <w:t xml:space="preserve"> </w:t>
            </w:r>
          </w:p>
          <w:p w14:paraId="4B92918B"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color w:val="000000" w:themeColor="text1"/>
                <w:sz w:val="18"/>
                <w:szCs w:val="18"/>
              </w:rPr>
              <w:t>25744 should apply.</w:t>
            </w:r>
          </w:p>
        </w:tc>
      </w:tr>
      <w:tr w:rsidR="004F180B" w:rsidRPr="00120A12" w14:paraId="3149FC60" w14:textId="77777777" w:rsidTr="008370C3">
        <w:tc>
          <w:tcPr>
            <w:tcW w:w="553" w:type="pct"/>
            <w:shd w:val="clear" w:color="auto" w:fill="BFBFBF" w:themeFill="background1" w:themeFillShade="BF"/>
            <w:vAlign w:val="center"/>
          </w:tcPr>
          <w:p w14:paraId="2FDAA8F6"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BFBFBF" w:themeFill="background1" w:themeFillShade="BF"/>
            <w:vAlign w:val="center"/>
          </w:tcPr>
          <w:p w14:paraId="72909FA9"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Same as RS 10737/ToC 10889 </w:t>
            </w:r>
          </w:p>
        </w:tc>
      </w:tr>
      <w:tr w:rsidR="004F180B" w:rsidRPr="00120A12" w14:paraId="6652F782" w14:textId="77777777" w:rsidTr="008370C3">
        <w:tc>
          <w:tcPr>
            <w:tcW w:w="553" w:type="pct"/>
            <w:shd w:val="clear" w:color="auto" w:fill="auto"/>
            <w:vAlign w:val="center"/>
          </w:tcPr>
          <w:p w14:paraId="7E63AA97"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50945A2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Treatment Phase:</w:t>
            </w:r>
            <w:r w:rsidRPr="00C06063">
              <w:rPr>
                <w:color w:val="000000" w:themeColor="text1"/>
              </w:rPr>
              <w:t xml:space="preserve"> </w:t>
            </w:r>
            <w:r w:rsidRPr="00C06063">
              <w:rPr>
                <w:rFonts w:ascii="Arial Narrow" w:hAnsi="Arial Narrow"/>
                <w:color w:val="000000" w:themeColor="text1"/>
                <w:sz w:val="18"/>
                <w:szCs w:val="18"/>
              </w:rPr>
              <w:t xml:space="preserve">Initial treatment, </w:t>
            </w:r>
            <w:r w:rsidRPr="006E6B9C">
              <w:rPr>
                <w:rFonts w:ascii="Arial Narrow" w:hAnsi="Arial Narrow"/>
                <w:iCs/>
                <w:sz w:val="18"/>
                <w:szCs w:val="18"/>
              </w:rPr>
              <w:t>Face, hand, foot</w:t>
            </w:r>
            <w:r w:rsidRPr="006E6B9C">
              <w:rPr>
                <w:rFonts w:ascii="Arial Narrow" w:hAnsi="Arial Narrow"/>
                <w:i/>
                <w:iCs/>
                <w:sz w:val="18"/>
                <w:szCs w:val="18"/>
              </w:rPr>
              <w:t xml:space="preserve"> </w:t>
            </w:r>
            <w:r w:rsidRPr="006E6B9C">
              <w:rPr>
                <w:rFonts w:ascii="Arial Narrow" w:hAnsi="Arial Narrow"/>
                <w:sz w:val="18"/>
                <w:szCs w:val="18"/>
              </w:rPr>
              <w:t xml:space="preserve"> </w:t>
            </w:r>
            <w:r w:rsidRPr="00C06063">
              <w:rPr>
                <w:rFonts w:ascii="Arial Narrow" w:hAnsi="Arial Narrow"/>
                <w:color w:val="000000" w:themeColor="text1"/>
                <w:sz w:val="18"/>
                <w:szCs w:val="18"/>
              </w:rPr>
              <w:t>– Grandfather patients</w:t>
            </w:r>
          </w:p>
        </w:tc>
      </w:tr>
      <w:tr w:rsidR="004F180B" w:rsidRPr="00120A12" w14:paraId="59F01A08" w14:textId="77777777" w:rsidTr="008370C3">
        <w:tc>
          <w:tcPr>
            <w:tcW w:w="553" w:type="pct"/>
            <w:shd w:val="clear" w:color="auto" w:fill="auto"/>
            <w:vAlign w:val="center"/>
          </w:tcPr>
          <w:p w14:paraId="17EE2DAA"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275A9AC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AE48CF0" w14:textId="77777777" w:rsidTr="008370C3">
        <w:tc>
          <w:tcPr>
            <w:tcW w:w="553" w:type="pct"/>
            <w:shd w:val="clear" w:color="auto" w:fill="auto"/>
            <w:vAlign w:val="center"/>
          </w:tcPr>
          <w:p w14:paraId="6B239406" w14:textId="64CA2529"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4EF29254" w14:textId="541F78FD" w:rsidR="004F180B" w:rsidRPr="00C06063" w:rsidRDefault="004F180B" w:rsidP="008370C3">
            <w:pPr>
              <w:rPr>
                <w:rFonts w:ascii="Arial Narrow" w:hAnsi="Arial Narrow"/>
                <w:b/>
                <w:bCs/>
                <w:color w:val="000000" w:themeColor="text1"/>
                <w:sz w:val="18"/>
                <w:szCs w:val="18"/>
              </w:rPr>
            </w:pPr>
            <w:r w:rsidRPr="00C06063">
              <w:rPr>
                <w:rFonts w:ascii="Arial Narrow" w:eastAsia="Calibri" w:hAnsi="Arial Narrow" w:cstheme="minorHAnsi"/>
                <w:color w:val="000000" w:themeColor="text1"/>
                <w:sz w:val="18"/>
                <w:szCs w:val="18"/>
              </w:rPr>
              <w:t>Patient must have </w:t>
            </w:r>
            <w:r w:rsidRPr="00111AD8">
              <w:rPr>
                <w:rFonts w:ascii="Arial Narrow" w:eastAsia="Calibri" w:hAnsi="Arial Narrow" w:cstheme="minorHAnsi"/>
                <w:color w:val="000000" w:themeColor="text1"/>
                <w:sz w:val="18"/>
                <w:szCs w:val="18"/>
              </w:rPr>
              <w:t>a documented severe chronic plaque psoriasis of the face, or palm of a hand or sole of a foot where lesions have been present for at least 6 months prior to commencing non-PBS-subsidised treatment with this drug for this condition</w:t>
            </w:r>
          </w:p>
        </w:tc>
      </w:tr>
      <w:tr w:rsidR="004F180B" w:rsidRPr="00120A12" w14:paraId="1B2969AB" w14:textId="77777777" w:rsidTr="008370C3">
        <w:tc>
          <w:tcPr>
            <w:tcW w:w="553" w:type="pct"/>
            <w:shd w:val="clear" w:color="auto" w:fill="auto"/>
            <w:vAlign w:val="center"/>
          </w:tcPr>
          <w:p w14:paraId="3CFFA6A8"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36A96235"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70EE116F" w14:textId="77777777" w:rsidTr="008370C3">
        <w:tc>
          <w:tcPr>
            <w:tcW w:w="553" w:type="pct"/>
            <w:shd w:val="clear" w:color="auto" w:fill="auto"/>
            <w:vAlign w:val="center"/>
          </w:tcPr>
          <w:p w14:paraId="1EC77381"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64A6E00C"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6E6B3115" w14:textId="77777777" w:rsidTr="008370C3">
        <w:tc>
          <w:tcPr>
            <w:tcW w:w="553" w:type="pct"/>
            <w:shd w:val="clear" w:color="auto" w:fill="auto"/>
            <w:vAlign w:val="center"/>
          </w:tcPr>
          <w:p w14:paraId="781FD0CC"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779A1D83" w14:textId="77777777" w:rsidR="004F180B" w:rsidRPr="009F10CD" w:rsidRDefault="004F180B" w:rsidP="008370C3">
            <w:pPr>
              <w:rPr>
                <w:rFonts w:ascii="Arial Narrow" w:hAnsi="Arial Narrow"/>
                <w:b/>
                <w:bCs/>
                <w:color w:val="333333"/>
                <w:sz w:val="18"/>
                <w:szCs w:val="18"/>
              </w:rPr>
            </w:pPr>
            <w:r w:rsidRPr="00585DBC">
              <w:rPr>
                <w:rFonts w:ascii="Arial Narrow" w:eastAsia="Calibri" w:hAnsi="Arial Narrow" w:cs="Calibri"/>
                <w:sz w:val="18"/>
                <w:szCs w:val="18"/>
              </w:rPr>
              <w:t>Patient must have received non-PBS subsidised therapy with this drug for this condition prior to</w:t>
            </w:r>
            <w:r w:rsidRPr="009F10CD">
              <w:rPr>
                <w:rFonts w:ascii="Arial Narrow" w:eastAsia="Calibri" w:hAnsi="Arial Narrow" w:cs="Calibri"/>
                <w:sz w:val="18"/>
                <w:szCs w:val="18"/>
              </w:rPr>
              <w:t xml:space="preserve"> [</w:t>
            </w:r>
            <w:r w:rsidRPr="009F10CD">
              <w:rPr>
                <w:rFonts w:ascii="Arial Narrow" w:eastAsia="Calibri" w:hAnsi="Arial Narrow" w:cs="Calibri"/>
                <w:i/>
                <w:iCs/>
                <w:sz w:val="18"/>
                <w:szCs w:val="18"/>
              </w:rPr>
              <w:t>list date</w:t>
            </w:r>
            <w:r w:rsidRPr="009F10CD">
              <w:rPr>
                <w:rFonts w:ascii="Arial Narrow" w:eastAsia="Calibri" w:hAnsi="Arial Narrow" w:cs="Calibri"/>
                <w:sz w:val="18"/>
                <w:szCs w:val="18"/>
              </w:rPr>
              <w:t>]</w:t>
            </w:r>
          </w:p>
        </w:tc>
      </w:tr>
      <w:tr w:rsidR="004F180B" w:rsidRPr="00120A12" w14:paraId="0458445D" w14:textId="77777777" w:rsidTr="008370C3">
        <w:tc>
          <w:tcPr>
            <w:tcW w:w="553" w:type="pct"/>
            <w:shd w:val="clear" w:color="auto" w:fill="auto"/>
            <w:vAlign w:val="center"/>
          </w:tcPr>
          <w:p w14:paraId="2146F4A2"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3A23A406" w14:textId="77777777" w:rsidR="004F180B" w:rsidRPr="00585DBC"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385C4D52" w14:textId="77777777" w:rsidTr="008370C3">
        <w:tc>
          <w:tcPr>
            <w:tcW w:w="553" w:type="pct"/>
            <w:shd w:val="clear" w:color="auto" w:fill="auto"/>
            <w:vAlign w:val="center"/>
          </w:tcPr>
          <w:p w14:paraId="49435084"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3674C2A7"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1E5E378C" w14:textId="77777777" w:rsidTr="008370C3">
        <w:tc>
          <w:tcPr>
            <w:tcW w:w="553" w:type="pct"/>
            <w:shd w:val="clear" w:color="auto" w:fill="auto"/>
            <w:vAlign w:val="center"/>
          </w:tcPr>
          <w:p w14:paraId="480F15A9" w14:textId="3A0075E1" w:rsidR="004F180B" w:rsidRPr="00C06063" w:rsidRDefault="004F180B" w:rsidP="008370C3">
            <w:pPr>
              <w:jc w:val="center"/>
              <w:rPr>
                <w:rFonts w:ascii="Arial Narrow" w:hAnsi="Arial Narrow"/>
                <w:color w:val="000000" w:themeColor="text1"/>
                <w:sz w:val="18"/>
                <w:szCs w:val="18"/>
              </w:rPr>
            </w:pPr>
          </w:p>
        </w:tc>
        <w:tc>
          <w:tcPr>
            <w:tcW w:w="4447" w:type="pct"/>
            <w:shd w:val="clear" w:color="auto" w:fill="auto"/>
            <w:vAlign w:val="center"/>
          </w:tcPr>
          <w:p w14:paraId="05BECA31"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035F6C75"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 phototherapy (UVB or PUVA) for 3 treatments per week for at least 6 weeks; </w:t>
            </w:r>
          </w:p>
          <w:p w14:paraId="7ED06FE2"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 methotrexate at a dose of at least 10 mg weekly for at least 6 weeks; </w:t>
            </w:r>
          </w:p>
          <w:p w14:paraId="1D6137D3"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(iii) cyclosporin at a dose of at least 2 mg per kg per day for at least 6 weeks; </w:t>
            </w:r>
          </w:p>
          <w:p w14:paraId="35A763E8"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(iv) acitretin at a dose of at least 0.4 mg per kg per day for at least 6 weeks, </w:t>
            </w:r>
          </w:p>
          <w:p w14:paraId="71B09558" w14:textId="77777777" w:rsidR="004F180B" w:rsidRPr="00C06063" w:rsidRDefault="004F180B" w:rsidP="008370C3">
            <w:pPr>
              <w:rPr>
                <w:rFonts w:ascii="Arial Narrow" w:hAnsi="Arial Narrow"/>
                <w:b/>
                <w:bCs/>
                <w:color w:val="000000" w:themeColor="text1"/>
                <w:sz w:val="18"/>
                <w:szCs w:val="18"/>
              </w:rPr>
            </w:pPr>
            <w:r w:rsidRPr="00111AD8">
              <w:rPr>
                <w:rFonts w:ascii="Arial Narrow" w:eastAsia="Calibri" w:hAnsi="Arial Narrow" w:cs="Calibri"/>
                <w:color w:val="000000" w:themeColor="text1"/>
                <w:sz w:val="18"/>
                <w:szCs w:val="18"/>
              </w:rPr>
              <w:t>(v) apremilast at a dose of 30 mg twice a day for at least 6 weeks</w:t>
            </w:r>
          </w:p>
        </w:tc>
      </w:tr>
      <w:tr w:rsidR="004F180B" w:rsidRPr="00120A12" w14:paraId="1B067602" w14:textId="77777777" w:rsidTr="008370C3">
        <w:tc>
          <w:tcPr>
            <w:tcW w:w="553" w:type="pct"/>
            <w:shd w:val="clear" w:color="auto" w:fill="auto"/>
            <w:vAlign w:val="center"/>
          </w:tcPr>
          <w:p w14:paraId="1F85C2F7"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69952DAF" w14:textId="77777777" w:rsidR="004F180B" w:rsidRPr="00FF64F2"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5B8643A0" w14:textId="77777777" w:rsidTr="008370C3">
        <w:tc>
          <w:tcPr>
            <w:tcW w:w="553" w:type="pct"/>
            <w:shd w:val="clear" w:color="auto" w:fill="auto"/>
            <w:vAlign w:val="center"/>
          </w:tcPr>
          <w:p w14:paraId="61E9DFA0" w14:textId="3EB711D4"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6434E01A"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5CFBD25E" w14:textId="77777777" w:rsidTr="008370C3">
        <w:tc>
          <w:tcPr>
            <w:tcW w:w="553" w:type="pct"/>
            <w:shd w:val="clear" w:color="auto" w:fill="auto"/>
            <w:vAlign w:val="center"/>
          </w:tcPr>
          <w:p w14:paraId="48DD2678" w14:textId="1033CABC"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67199F29"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Calibri"/>
                <w:sz w:val="18"/>
                <w:szCs w:val="18"/>
              </w:rPr>
              <w:t>The treatment must be as systemic monotherapy (other than methotrexate)</w:t>
            </w:r>
          </w:p>
        </w:tc>
      </w:tr>
      <w:tr w:rsidR="004F180B" w:rsidRPr="00120A12" w14:paraId="3094714A" w14:textId="77777777" w:rsidTr="008370C3">
        <w:tc>
          <w:tcPr>
            <w:tcW w:w="553" w:type="pct"/>
            <w:shd w:val="clear" w:color="auto" w:fill="auto"/>
            <w:vAlign w:val="center"/>
          </w:tcPr>
          <w:p w14:paraId="43C23E42"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0DDB4937" w14:textId="77777777" w:rsidR="004F180B" w:rsidRPr="009F10CD"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007C55E6" w14:textId="77777777" w:rsidTr="008370C3">
        <w:tc>
          <w:tcPr>
            <w:tcW w:w="553" w:type="pct"/>
            <w:shd w:val="clear" w:color="auto" w:fill="auto"/>
            <w:vAlign w:val="center"/>
          </w:tcPr>
          <w:p w14:paraId="49CAE119" w14:textId="2DF5442C"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072A6549"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24C2EA7B" w14:textId="77777777" w:rsidTr="008370C3">
        <w:tc>
          <w:tcPr>
            <w:tcW w:w="553" w:type="pct"/>
            <w:shd w:val="clear" w:color="auto" w:fill="auto"/>
            <w:vAlign w:val="center"/>
          </w:tcPr>
          <w:p w14:paraId="3CF80AC2" w14:textId="354516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12C182C8"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theme="minorHAnsi"/>
                <w:sz w:val="18"/>
                <w:szCs w:val="18"/>
              </w:rPr>
              <w:t>Patient must not receive more than 24 weeks of treatment under this restriction</w:t>
            </w:r>
          </w:p>
        </w:tc>
      </w:tr>
      <w:tr w:rsidR="004F180B" w:rsidRPr="00120A12" w14:paraId="57167606" w14:textId="77777777" w:rsidTr="008370C3">
        <w:tc>
          <w:tcPr>
            <w:tcW w:w="553" w:type="pct"/>
            <w:shd w:val="clear" w:color="auto" w:fill="auto"/>
            <w:vAlign w:val="center"/>
          </w:tcPr>
          <w:p w14:paraId="64AA3085" w14:textId="77777777"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7014553A" w14:textId="77777777" w:rsidR="004F180B" w:rsidRPr="009F10CD" w:rsidRDefault="004F180B" w:rsidP="008370C3">
            <w:pPr>
              <w:rPr>
                <w:rFonts w:ascii="Arial Narrow" w:eastAsia="Calibri" w:hAnsi="Arial Narrow" w:cstheme="minorHAnsi"/>
                <w:sz w:val="18"/>
                <w:szCs w:val="18"/>
              </w:rPr>
            </w:pPr>
            <w:r w:rsidRPr="009F10CD">
              <w:rPr>
                <w:rFonts w:ascii="Arial Narrow" w:hAnsi="Arial Narrow"/>
                <w:b/>
                <w:bCs/>
                <w:color w:val="333333"/>
                <w:sz w:val="18"/>
                <w:szCs w:val="18"/>
              </w:rPr>
              <w:t>AND</w:t>
            </w:r>
          </w:p>
        </w:tc>
      </w:tr>
      <w:tr w:rsidR="004F180B" w:rsidRPr="00120A12" w14:paraId="04C17E4F" w14:textId="77777777" w:rsidTr="008370C3">
        <w:tc>
          <w:tcPr>
            <w:tcW w:w="553" w:type="pct"/>
            <w:shd w:val="clear" w:color="auto" w:fill="auto"/>
            <w:vAlign w:val="center"/>
          </w:tcPr>
          <w:p w14:paraId="13BAAA03" w14:textId="367B9BD6"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7B18E2CB"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Population criteria:</w:t>
            </w:r>
          </w:p>
        </w:tc>
      </w:tr>
      <w:tr w:rsidR="004F180B" w:rsidRPr="00120A12" w14:paraId="07C2268F" w14:textId="77777777" w:rsidTr="008370C3">
        <w:tc>
          <w:tcPr>
            <w:tcW w:w="553" w:type="pct"/>
            <w:shd w:val="clear" w:color="auto" w:fill="auto"/>
            <w:vAlign w:val="center"/>
          </w:tcPr>
          <w:p w14:paraId="0E175A38" w14:textId="3F163AF5" w:rsidR="004F180B" w:rsidRPr="009F10CD" w:rsidRDefault="004F180B" w:rsidP="008370C3">
            <w:pPr>
              <w:jc w:val="center"/>
              <w:rPr>
                <w:rFonts w:ascii="Arial Narrow" w:hAnsi="Arial Narrow"/>
                <w:color w:val="333333"/>
                <w:sz w:val="18"/>
                <w:szCs w:val="18"/>
              </w:rPr>
            </w:pPr>
          </w:p>
        </w:tc>
        <w:tc>
          <w:tcPr>
            <w:tcW w:w="4447" w:type="pct"/>
            <w:shd w:val="clear" w:color="auto" w:fill="auto"/>
            <w:vAlign w:val="center"/>
          </w:tcPr>
          <w:p w14:paraId="30ECCEB1"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theme="minorHAnsi"/>
                <w:sz w:val="18"/>
                <w:szCs w:val="18"/>
              </w:rPr>
              <w:t>Patient must be aged 18 years or older</w:t>
            </w:r>
          </w:p>
        </w:tc>
      </w:tr>
      <w:tr w:rsidR="004F180B" w14:paraId="5F18E983"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E4DEFA6"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4EEF99E2" w14:textId="77777777" w:rsidR="004F180B" w:rsidRPr="00370FB7" w:rsidRDefault="004F180B" w:rsidP="008370C3">
            <w:pPr>
              <w:rPr>
                <w:rFonts w:ascii="Arial Narrow" w:eastAsia="Calibri" w:hAnsi="Arial Narrow" w:cstheme="minorHAnsi"/>
                <w:b/>
                <w:bCs/>
                <w:sz w:val="18"/>
                <w:szCs w:val="18"/>
              </w:rPr>
            </w:pPr>
            <w:r w:rsidRPr="00370FB7">
              <w:rPr>
                <w:rFonts w:ascii="Arial Narrow" w:eastAsia="Calibri" w:hAnsi="Arial Narrow" w:cstheme="minorHAnsi"/>
                <w:b/>
                <w:bCs/>
                <w:sz w:val="18"/>
                <w:szCs w:val="18"/>
              </w:rPr>
              <w:t xml:space="preserve">Prescribing Instructions: </w:t>
            </w:r>
          </w:p>
          <w:p w14:paraId="58EF4020" w14:textId="77777777" w:rsidR="004F180B" w:rsidRDefault="004F180B" w:rsidP="008370C3">
            <w:pPr>
              <w:rPr>
                <w:rFonts w:ascii="Arial Narrow" w:eastAsia="Calibri" w:hAnsi="Arial Narrow" w:cstheme="minorHAnsi"/>
                <w:sz w:val="18"/>
                <w:szCs w:val="18"/>
              </w:rPr>
            </w:pPr>
            <w:r w:rsidRPr="00370FB7">
              <w:rPr>
                <w:rFonts w:ascii="Arial Narrow" w:eastAsia="Calibri" w:hAnsi="Arial Narrow" w:cstheme="minorHAnsi"/>
                <w:sz w:val="18"/>
                <w:szCs w:val="18"/>
              </w:rPr>
              <w:t xml:space="preserve">Items </w:t>
            </w:r>
            <w:r>
              <w:rPr>
                <w:rFonts w:ascii="Arial Narrow" w:hAnsi="Arial Narrow"/>
                <w:color w:val="333333"/>
                <w:sz w:val="18"/>
                <w:szCs w:val="18"/>
              </w:rPr>
              <w:t xml:space="preserve">24057, 26389, 26394 </w:t>
            </w:r>
            <w:r w:rsidRPr="00370FB7">
              <w:rPr>
                <w:rFonts w:ascii="Arial Narrow" w:eastAsia="Calibri" w:hAnsi="Arial Narrow" w:cstheme="minorHAnsi"/>
                <w:sz w:val="18"/>
                <w:szCs w:val="18"/>
              </w:rPr>
              <w:t>should apply</w:t>
            </w:r>
          </w:p>
          <w:p w14:paraId="6D7C0156" w14:textId="77777777" w:rsidR="004F180B" w:rsidRDefault="004F180B" w:rsidP="008370C3">
            <w:pPr>
              <w:rPr>
                <w:rFonts w:ascii="Arial Narrow" w:eastAsia="Calibri" w:hAnsi="Arial Narrow" w:cstheme="minorHAnsi"/>
                <w:sz w:val="18"/>
                <w:szCs w:val="18"/>
              </w:rPr>
            </w:pPr>
          </w:p>
          <w:p w14:paraId="494C27CB"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The most recent PASI assessment must be no more than 1 month old at the time of application.</w:t>
            </w:r>
          </w:p>
          <w:p w14:paraId="099F71CA" w14:textId="77777777" w:rsidR="004F180B" w:rsidRPr="009F10CD" w:rsidRDefault="004F180B" w:rsidP="008370C3">
            <w:pPr>
              <w:rPr>
                <w:rFonts w:ascii="Arial Narrow" w:hAnsi="Arial Narrow"/>
                <w:color w:val="333333"/>
                <w:sz w:val="18"/>
                <w:szCs w:val="18"/>
              </w:rPr>
            </w:pPr>
          </w:p>
          <w:p w14:paraId="44DCFA18"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A Grandfather patient may qualify for PBS-subsidised treatment under this restriction once only.</w:t>
            </w:r>
          </w:p>
          <w:p w14:paraId="6C734EE5" w14:textId="77777777" w:rsidR="004F180B" w:rsidRPr="009F10CD" w:rsidRDefault="004F180B" w:rsidP="008370C3">
            <w:pPr>
              <w:rPr>
                <w:rFonts w:ascii="Arial Narrow" w:hAnsi="Arial Narrow"/>
                <w:color w:val="333333"/>
                <w:sz w:val="18"/>
                <w:szCs w:val="18"/>
              </w:rPr>
            </w:pPr>
          </w:p>
          <w:p w14:paraId="1EA6A1C7"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For continuing PBS-subsidised treatment, a Grandfathered patient must qualify under the Continuing treatment criteria.</w:t>
            </w:r>
          </w:p>
          <w:p w14:paraId="7999090F" w14:textId="77777777" w:rsidR="004F180B" w:rsidRPr="00111AD8" w:rsidRDefault="004F180B" w:rsidP="008370C3">
            <w:pPr>
              <w:rPr>
                <w:rFonts w:ascii="Arial Narrow" w:hAnsi="Arial Narrow"/>
                <w:color w:val="333333"/>
                <w:sz w:val="18"/>
                <w:szCs w:val="18"/>
              </w:rPr>
            </w:pPr>
          </w:p>
          <w:p w14:paraId="7EFD865F" w14:textId="77777777" w:rsidR="004F180B" w:rsidRPr="00370FB7" w:rsidRDefault="004F180B" w:rsidP="008370C3">
            <w:pPr>
              <w:rPr>
                <w:rFonts w:ascii="Arial Narrow" w:eastAsia="Calibri" w:hAnsi="Arial Narrow" w:cstheme="minorHAnsi"/>
                <w:sz w:val="18"/>
                <w:szCs w:val="18"/>
              </w:rPr>
            </w:pPr>
            <w:r w:rsidRPr="00111AD8">
              <w:rPr>
                <w:rFonts w:ascii="Arial Narrow" w:hAnsi="Arial Narrow"/>
                <w:color w:val="333333"/>
                <w:sz w:val="18"/>
                <w:szCs w:val="18"/>
              </w:rPr>
              <w:t>This restriction is only valid for 12 months following [list date].</w:t>
            </w:r>
          </w:p>
        </w:tc>
      </w:tr>
      <w:tr w:rsidR="004F180B" w14:paraId="3DBA6966" w14:textId="77777777" w:rsidTr="008370C3">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9C3424C"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shd w:val="clear" w:color="auto" w:fill="auto"/>
            <w:vAlign w:val="center"/>
          </w:tcPr>
          <w:p w14:paraId="32D3332E" w14:textId="77777777" w:rsidR="004F180B" w:rsidRPr="00370FB7" w:rsidRDefault="004F180B" w:rsidP="008370C3">
            <w:pPr>
              <w:rPr>
                <w:rFonts w:ascii="Arial Narrow" w:eastAsia="Calibri" w:hAnsi="Arial Narrow" w:cstheme="minorHAnsi"/>
                <w:b/>
                <w:bCs/>
                <w:sz w:val="18"/>
                <w:szCs w:val="18"/>
              </w:rPr>
            </w:pPr>
            <w:r w:rsidRPr="00370FB7">
              <w:rPr>
                <w:rFonts w:ascii="Arial Narrow" w:eastAsia="Calibri" w:hAnsi="Arial Narrow" w:cstheme="minorHAnsi"/>
                <w:b/>
                <w:bCs/>
                <w:sz w:val="18"/>
                <w:szCs w:val="18"/>
              </w:rPr>
              <w:t xml:space="preserve">Administrative Advice: </w:t>
            </w:r>
          </w:p>
          <w:p w14:paraId="6B5F2FD2" w14:textId="77777777" w:rsidR="004F180B" w:rsidRPr="00370FB7" w:rsidRDefault="004F180B" w:rsidP="008370C3">
            <w:pPr>
              <w:rPr>
                <w:rFonts w:ascii="Arial Narrow" w:eastAsia="Calibri" w:hAnsi="Arial Narrow" w:cstheme="minorHAnsi"/>
                <w:sz w:val="18"/>
                <w:szCs w:val="18"/>
              </w:rPr>
            </w:pPr>
            <w:r w:rsidRPr="00370FB7">
              <w:rPr>
                <w:rFonts w:ascii="Arial Narrow" w:eastAsia="Calibri" w:hAnsi="Arial Narrow" w:cstheme="minorHAnsi"/>
                <w:sz w:val="18"/>
                <w:szCs w:val="18"/>
              </w:rPr>
              <w:t>Items 25744 should apply.</w:t>
            </w:r>
          </w:p>
        </w:tc>
      </w:tr>
    </w:tbl>
    <w:p w14:paraId="336A4D4A" w14:textId="77777777" w:rsidR="004F180B" w:rsidRDefault="004F180B" w:rsidP="004F180B"/>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40"/>
      </w:tblGrid>
      <w:tr w:rsidR="004F180B" w:rsidRPr="00120A12" w14:paraId="019B8879" w14:textId="77777777" w:rsidTr="008370C3">
        <w:tc>
          <w:tcPr>
            <w:tcW w:w="553" w:type="pct"/>
            <w:vAlign w:val="center"/>
            <w:hideMark/>
          </w:tcPr>
          <w:p w14:paraId="1023E48E" w14:textId="52E09727" w:rsidR="004F180B" w:rsidRPr="00120A12" w:rsidRDefault="004F180B" w:rsidP="008370C3">
            <w:pPr>
              <w:jc w:val="center"/>
              <w:rPr>
                <w:rFonts w:ascii="Arial Narrow" w:hAnsi="Arial Narrow"/>
                <w:color w:val="333333"/>
                <w:sz w:val="18"/>
                <w:szCs w:val="18"/>
              </w:rPr>
            </w:pPr>
            <w:r>
              <w:rPr>
                <w:rFonts w:ascii="Arial Narrow" w:hAnsi="Arial Narrow"/>
                <w:color w:val="333333"/>
                <w:sz w:val="18"/>
                <w:szCs w:val="18"/>
              </w:rPr>
              <w:t>.</w:t>
            </w:r>
          </w:p>
        </w:tc>
        <w:tc>
          <w:tcPr>
            <w:tcW w:w="4447" w:type="pct"/>
            <w:vAlign w:val="center"/>
            <w:hideMark/>
          </w:tcPr>
          <w:p w14:paraId="4C03D8CD" w14:textId="77777777" w:rsidR="004F180B" w:rsidRDefault="004F180B" w:rsidP="008370C3">
            <w:pPr>
              <w:rPr>
                <w:rFonts w:ascii="Arial Narrow" w:hAnsi="Arial Narrow"/>
                <w:color w:val="333333"/>
                <w:sz w:val="18"/>
                <w:szCs w:val="18"/>
              </w:rPr>
            </w:pPr>
            <w:r>
              <w:rPr>
                <w:rFonts w:ascii="Arial Narrow" w:hAnsi="Arial Narrow"/>
                <w:b/>
                <w:bCs/>
                <w:color w:val="333333"/>
                <w:sz w:val="18"/>
                <w:szCs w:val="18"/>
              </w:rPr>
              <w:t>Amend the following paragraphs as outlined</w:t>
            </w:r>
            <w:r>
              <w:rPr>
                <w:rFonts w:ascii="Arial Narrow" w:hAnsi="Arial Narrow"/>
                <w:color w:val="333333"/>
                <w:sz w:val="18"/>
                <w:szCs w:val="18"/>
              </w:rPr>
              <w:t>:</w:t>
            </w:r>
          </w:p>
          <w:p w14:paraId="4AA119AC" w14:textId="77777777" w:rsidR="004F180B" w:rsidRDefault="004F180B" w:rsidP="008370C3">
            <w:pPr>
              <w:rPr>
                <w:rFonts w:ascii="Arial Narrow" w:hAnsi="Arial Narrow"/>
                <w:color w:val="333333"/>
                <w:sz w:val="18"/>
                <w:szCs w:val="18"/>
              </w:rPr>
            </w:pPr>
          </w:p>
          <w:p w14:paraId="2162B63A" w14:textId="77777777" w:rsidR="004F180B" w:rsidRDefault="004F180B" w:rsidP="008370C3">
            <w:pPr>
              <w:rPr>
                <w:rFonts w:ascii="Arial Narrow" w:hAnsi="Arial Narrow"/>
                <w:color w:val="333333"/>
                <w:sz w:val="18"/>
                <w:szCs w:val="18"/>
              </w:rPr>
            </w:pPr>
            <w:r>
              <w:rPr>
                <w:rFonts w:ascii="Arial Narrow" w:hAnsi="Arial Narrow"/>
                <w:color w:val="333333"/>
                <w:sz w:val="18"/>
                <w:szCs w:val="18"/>
              </w:rPr>
              <w:t xml:space="preserve">[Paragraph 1]: </w:t>
            </w:r>
            <w:r w:rsidRPr="002657E1">
              <w:rPr>
                <w:rFonts w:ascii="Arial Narrow" w:hAnsi="Arial Narrow"/>
                <w:color w:val="333333"/>
                <w:sz w:val="18"/>
                <w:szCs w:val="18"/>
              </w:rPr>
              <w:t>The following information applies to the prescribing under the Pharmaceutical Benefits Scheme (PBS) of the biological medicines adalimumab,</w:t>
            </w:r>
            <w:r>
              <w:rPr>
                <w:rFonts w:ascii="Arial Narrow" w:hAnsi="Arial Narrow"/>
                <w:color w:val="333333"/>
                <w:sz w:val="18"/>
                <w:szCs w:val="18"/>
              </w:rPr>
              <w:t xml:space="preserve"> </w:t>
            </w:r>
            <w:r>
              <w:rPr>
                <w:rFonts w:ascii="Arial Narrow" w:hAnsi="Arial Narrow"/>
                <w:i/>
                <w:iCs/>
                <w:color w:val="333333"/>
                <w:sz w:val="18"/>
                <w:szCs w:val="18"/>
              </w:rPr>
              <w:t>bimekizumab,</w:t>
            </w:r>
            <w:r w:rsidRPr="002657E1">
              <w:rPr>
                <w:rFonts w:ascii="Arial Narrow" w:hAnsi="Arial Narrow"/>
                <w:color w:val="333333"/>
                <w:sz w:val="18"/>
                <w:szCs w:val="18"/>
              </w:rPr>
              <w:t xml:space="preserve"> etanercept, guselkumab, infliximab, ixekizumab, risankizumab, secukinumab, tildrakizumab and ustekinumab for adult patients with severe chronic plaque psoriasis. Therefore, where the term 'biological medicines' appears in notes and restrictions, it refers to adalimumab,</w:t>
            </w:r>
            <w:r>
              <w:rPr>
                <w:rFonts w:ascii="Arial Narrow" w:hAnsi="Arial Narrow"/>
                <w:color w:val="333333"/>
                <w:sz w:val="18"/>
                <w:szCs w:val="18"/>
              </w:rPr>
              <w:t xml:space="preserve"> bimekizumab,</w:t>
            </w:r>
            <w:r w:rsidRPr="002657E1">
              <w:rPr>
                <w:rFonts w:ascii="Arial Narrow" w:hAnsi="Arial Narrow"/>
                <w:color w:val="333333"/>
                <w:sz w:val="18"/>
                <w:szCs w:val="18"/>
              </w:rPr>
              <w:t xml:space="preserve"> etanercept, guselkumab, infliximab, ixekizumab, risankizumab, secukinumab, tildrakizumab, and ustekinumab only.</w:t>
            </w:r>
          </w:p>
          <w:p w14:paraId="62F58145" w14:textId="77777777" w:rsidR="004F180B" w:rsidRDefault="004F180B" w:rsidP="008370C3">
            <w:pPr>
              <w:rPr>
                <w:rFonts w:ascii="Arial Narrow" w:hAnsi="Arial Narrow"/>
                <w:color w:val="333333"/>
                <w:sz w:val="18"/>
                <w:szCs w:val="18"/>
              </w:rPr>
            </w:pPr>
          </w:p>
          <w:p w14:paraId="7F6D28BA" w14:textId="77777777" w:rsidR="004F180B" w:rsidRDefault="004F180B" w:rsidP="008370C3">
            <w:pPr>
              <w:rPr>
                <w:rFonts w:ascii="Arial Narrow" w:hAnsi="Arial Narrow"/>
                <w:color w:val="333333"/>
                <w:sz w:val="18"/>
                <w:szCs w:val="18"/>
              </w:rPr>
            </w:pPr>
            <w:r>
              <w:rPr>
                <w:rFonts w:ascii="Arial Narrow" w:hAnsi="Arial Narrow"/>
                <w:color w:val="333333"/>
                <w:sz w:val="18"/>
                <w:szCs w:val="18"/>
              </w:rPr>
              <w:t xml:space="preserve">[Paragraph 3]: </w:t>
            </w:r>
            <w:r w:rsidRPr="002657E1">
              <w:rPr>
                <w:rFonts w:ascii="Arial Narrow" w:hAnsi="Arial Narrow"/>
                <w:color w:val="333333"/>
                <w:sz w:val="18"/>
                <w:szCs w:val="18"/>
              </w:rPr>
              <w:t xml:space="preserve">A patient who received PBS-subsidised adalimumab, etanercept, guselkumab, infliximab, ixekizumab, </w:t>
            </w:r>
            <w:r w:rsidRPr="00700956">
              <w:rPr>
                <w:rFonts w:ascii="Arial Narrow" w:hAnsi="Arial Narrow"/>
                <w:color w:val="333333"/>
                <w:sz w:val="18"/>
                <w:szCs w:val="18"/>
              </w:rPr>
              <w:t>risankizumab, secukinumab, tildrakizumab, and ustekinumab treatment prior to 1 February 2019 is considered to start their first cycle as of 1 February 2019.</w:t>
            </w:r>
          </w:p>
          <w:p w14:paraId="19C060A8" w14:textId="77777777" w:rsidR="004F180B" w:rsidRDefault="004F180B" w:rsidP="008370C3">
            <w:pPr>
              <w:rPr>
                <w:rFonts w:ascii="Arial Narrow" w:hAnsi="Arial Narrow"/>
                <w:color w:val="333333"/>
                <w:sz w:val="18"/>
                <w:szCs w:val="18"/>
              </w:rPr>
            </w:pPr>
          </w:p>
          <w:p w14:paraId="0448D4E4" w14:textId="77777777" w:rsidR="004F180B" w:rsidRPr="00111AD8" w:rsidRDefault="004F180B" w:rsidP="008370C3">
            <w:pPr>
              <w:rPr>
                <w:rFonts w:ascii="Arial Narrow" w:hAnsi="Arial Narrow"/>
                <w:color w:val="333333"/>
                <w:sz w:val="18"/>
                <w:szCs w:val="18"/>
              </w:rPr>
            </w:pPr>
            <w:r>
              <w:rPr>
                <w:rFonts w:ascii="Arial Narrow" w:hAnsi="Arial Narrow"/>
                <w:color w:val="333333"/>
                <w:sz w:val="18"/>
                <w:szCs w:val="18"/>
              </w:rPr>
              <w:t xml:space="preserve">[Paragraph 16]: </w:t>
            </w:r>
            <w:r w:rsidRPr="002657E1">
              <w:rPr>
                <w:rFonts w:ascii="Arial Narrow" w:hAnsi="Arial Narrow"/>
                <w:color w:val="333333"/>
                <w:sz w:val="18"/>
                <w:szCs w:val="18"/>
              </w:rPr>
              <w:t>An application for initial treatment will be limited to provide for a maximum of 16 weeks of therapy for adalimumab, etanercept, ixekizumab, and secukinumab, 20 weeks of therapy for guselkumab, 22 weeks of therapy for infliximab</w:t>
            </w:r>
            <w:r w:rsidRPr="00111AD8">
              <w:rPr>
                <w:rFonts w:ascii="Arial Narrow" w:hAnsi="Arial Narrow"/>
                <w:color w:val="333333"/>
                <w:sz w:val="18"/>
                <w:szCs w:val="18"/>
              </w:rPr>
              <w:t xml:space="preserve">, </w:t>
            </w:r>
            <w:r w:rsidRPr="0006033C">
              <w:rPr>
                <w:rFonts w:ascii="Arial Narrow" w:hAnsi="Arial Narrow"/>
                <w:i/>
                <w:iCs/>
                <w:color w:val="333333"/>
                <w:sz w:val="18"/>
                <w:szCs w:val="18"/>
              </w:rPr>
              <w:t>24 weeks for bimekizumab</w:t>
            </w:r>
            <w:r w:rsidRPr="00111AD8">
              <w:rPr>
                <w:rFonts w:ascii="Arial Narrow" w:hAnsi="Arial Narrow"/>
                <w:color w:val="333333"/>
                <w:sz w:val="18"/>
                <w:szCs w:val="18"/>
              </w:rPr>
              <w:t xml:space="preserve"> and 28 weeks of therapy for risankizumab, tildrakizumab and ustekinumab.</w:t>
            </w:r>
          </w:p>
          <w:p w14:paraId="791BE9B8" w14:textId="77777777" w:rsidR="004F180B" w:rsidRPr="00111AD8" w:rsidRDefault="004F180B" w:rsidP="008370C3">
            <w:pPr>
              <w:rPr>
                <w:rFonts w:ascii="Arial Narrow" w:hAnsi="Arial Narrow"/>
                <w:color w:val="333333"/>
                <w:sz w:val="18"/>
                <w:szCs w:val="18"/>
              </w:rPr>
            </w:pPr>
          </w:p>
          <w:p w14:paraId="3EE22F34" w14:textId="77777777" w:rsidR="004F180B" w:rsidRPr="00111AD8" w:rsidRDefault="004F180B" w:rsidP="008370C3">
            <w:pPr>
              <w:rPr>
                <w:sz w:val="18"/>
                <w:szCs w:val="18"/>
              </w:rPr>
            </w:pPr>
            <w:r w:rsidRPr="00111AD8">
              <w:rPr>
                <w:sz w:val="18"/>
                <w:szCs w:val="18"/>
              </w:rPr>
              <w:t>[</w:t>
            </w:r>
            <w:r w:rsidRPr="00111AD8">
              <w:rPr>
                <w:rFonts w:ascii="Arial Narrow" w:hAnsi="Arial Narrow"/>
                <w:sz w:val="18"/>
                <w:szCs w:val="18"/>
              </w:rPr>
              <w:t>Paragraph 17]: It is recommended that a patient is reviewed for response following a minimum of 12 weeks of therapy;</w:t>
            </w:r>
            <w:r w:rsidRPr="00111AD8">
              <w:rPr>
                <w:rFonts w:ascii="Arial Narrow" w:hAnsi="Arial Narrow"/>
                <w:color w:val="FF0000"/>
                <w:sz w:val="18"/>
                <w:szCs w:val="18"/>
              </w:rPr>
              <w:t xml:space="preserve"> </w:t>
            </w:r>
            <w:r w:rsidRPr="00111AD8">
              <w:rPr>
                <w:rFonts w:ascii="Arial Narrow" w:hAnsi="Arial Narrow"/>
                <w:sz w:val="18"/>
                <w:szCs w:val="18"/>
              </w:rPr>
              <w:t>or a minimum of 16 weeks for bimekizumab</w:t>
            </w:r>
            <w:r w:rsidRPr="00111AD8">
              <w:rPr>
                <w:sz w:val="18"/>
                <w:szCs w:val="18"/>
              </w:rPr>
              <w:t>.</w:t>
            </w:r>
          </w:p>
          <w:p w14:paraId="0639C55F" w14:textId="77777777" w:rsidR="004F180B" w:rsidRDefault="004F180B" w:rsidP="008370C3">
            <w:pPr>
              <w:rPr>
                <w:i/>
                <w:iCs/>
                <w:sz w:val="18"/>
                <w:szCs w:val="18"/>
              </w:rPr>
            </w:pPr>
          </w:p>
          <w:p w14:paraId="1839EF3C" w14:textId="14828E17" w:rsidR="004F180B" w:rsidRPr="004C3BD1" w:rsidRDefault="004F180B" w:rsidP="008370C3">
            <w:pPr>
              <w:rPr>
                <w:rFonts w:ascii="Arial Narrow" w:hAnsi="Arial Narrow"/>
                <w:sz w:val="18"/>
                <w:szCs w:val="18"/>
              </w:rPr>
            </w:pPr>
            <w:r w:rsidRPr="006E6B9C">
              <w:rPr>
                <w:rFonts w:ascii="Arial Narrow" w:hAnsi="Arial Narrow"/>
                <w:sz w:val="18"/>
                <w:szCs w:val="18"/>
              </w:rPr>
              <w:t xml:space="preserve">(4) Swapping therapy., Once initial treatment with the first PBS-subsidised biological medicine is approved, a patient may swap to an alternate biological medicine without having to requalify with respect to the indices of disease severity (i.e. a PASI score of greater than 15), or the prior non-biological therapy requirements, except if the patient has had a break in therapy of more than 5 years who would need to requalify with respect to the indices of disease severity. A patient who is not able to complete a minimum of 12 weeks, </w:t>
            </w:r>
            <w:r w:rsidRPr="0006033C">
              <w:rPr>
                <w:rFonts w:ascii="Arial Narrow" w:hAnsi="Arial Narrow"/>
                <w:i/>
                <w:sz w:val="18"/>
                <w:szCs w:val="18"/>
              </w:rPr>
              <w:t>or a minimum of 16 weeks for bimekizumab</w:t>
            </w:r>
            <w:r w:rsidRPr="00111AD8">
              <w:rPr>
                <w:rFonts w:ascii="Arial Narrow" w:hAnsi="Arial Narrow"/>
                <w:iCs/>
                <w:sz w:val="18"/>
                <w:szCs w:val="18"/>
              </w:rPr>
              <w:t>,</w:t>
            </w:r>
            <w:r w:rsidRPr="006E6B9C">
              <w:rPr>
                <w:rFonts w:ascii="Arial Narrow" w:hAnsi="Arial Narrow"/>
                <w:sz w:val="18"/>
                <w:szCs w:val="18"/>
              </w:rPr>
              <w:t xml:space="preserve"> of an initial treatment course will be deemed to have failed treatment with that biological medicine unless the patient has experienced a serious adverse reaction of a severity resulting in the necessity for permanent withdrawal of treatment…</w:t>
            </w:r>
          </w:p>
        </w:tc>
      </w:tr>
    </w:tbl>
    <w:p w14:paraId="46CF3BDC" w14:textId="77777777" w:rsidR="004F180B" w:rsidRPr="0037448D" w:rsidRDefault="004F180B" w:rsidP="004F180B"/>
    <w:p w14:paraId="28396759" w14:textId="0D139E52" w:rsidR="007332DE" w:rsidRPr="00D63605" w:rsidRDefault="004F180B" w:rsidP="00D63605">
      <w:pPr>
        <w:tabs>
          <w:tab w:val="left" w:pos="5501"/>
        </w:tabs>
        <w:spacing w:after="120"/>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bookmarkStart w:id="53" w:name="_Hlk76377978"/>
    </w:p>
    <w:bookmarkEnd w:id="53"/>
    <w:p w14:paraId="4B464207" w14:textId="77777777" w:rsidR="00D63605" w:rsidRPr="00936A7A" w:rsidRDefault="00D63605" w:rsidP="00D63605">
      <w:pPr>
        <w:pStyle w:val="2-SectionHeading"/>
      </w:pPr>
      <w:r w:rsidRPr="00936A7A">
        <w:t>Context for Decision</w:t>
      </w:r>
    </w:p>
    <w:p w14:paraId="615FE8FF" w14:textId="44AD5986" w:rsidR="00D63605" w:rsidRDefault="00D63605" w:rsidP="00D63605">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bCs/>
          <w:lang w:val="en-GB"/>
        </w:rPr>
        <w:lastRenderedPageBreak/>
        <w:t>through the PBS. The PBAC welcomes applications containing new information at any time.</w:t>
      </w:r>
    </w:p>
    <w:p w14:paraId="377A7267" w14:textId="77777777" w:rsidR="00D63605" w:rsidRPr="00936A7A" w:rsidRDefault="00D63605" w:rsidP="00D63605">
      <w:pPr>
        <w:pStyle w:val="2-SectionHeading"/>
      </w:pPr>
      <w:r w:rsidRPr="00936A7A">
        <w:t>Sponsor’s Comment</w:t>
      </w:r>
    </w:p>
    <w:p w14:paraId="286734D6" w14:textId="77777777" w:rsidR="00D63605" w:rsidRPr="001179AC" w:rsidRDefault="00D63605" w:rsidP="00D63605">
      <w:pPr>
        <w:spacing w:after="120"/>
        <w:ind w:left="426" w:firstLine="294"/>
        <w:rPr>
          <w:rFonts w:asciiTheme="minorHAnsi" w:hAnsiTheme="minorHAnsi"/>
          <w:bCs/>
        </w:rPr>
      </w:pPr>
      <w:r w:rsidRPr="00C07617">
        <w:rPr>
          <w:rFonts w:asciiTheme="minorHAnsi" w:hAnsiTheme="minorHAnsi"/>
          <w:bCs/>
        </w:rPr>
        <w:t>The sponsor had no comment.</w:t>
      </w:r>
    </w:p>
    <w:sectPr w:rsidR="00D63605" w:rsidRPr="001179AC"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9130" w14:textId="77777777" w:rsidR="00C277A2" w:rsidRDefault="00C277A2" w:rsidP="00124A51">
      <w:r>
        <w:separator/>
      </w:r>
    </w:p>
    <w:p w14:paraId="37C1C491" w14:textId="77777777" w:rsidR="00C277A2" w:rsidRDefault="00C277A2"/>
  </w:endnote>
  <w:endnote w:type="continuationSeparator" w:id="0">
    <w:p w14:paraId="27125D90" w14:textId="77777777" w:rsidR="00C277A2" w:rsidRDefault="00C277A2" w:rsidP="00124A51">
      <w:r>
        <w:continuationSeparator/>
      </w:r>
    </w:p>
    <w:p w14:paraId="069C1823" w14:textId="77777777" w:rsidR="00C277A2" w:rsidRDefault="00C27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A230" w14:textId="77777777" w:rsidR="004E39DC" w:rsidRDefault="004E3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8A377D" w:rsidRDefault="008A377D" w:rsidP="00753B29">
    <w:pPr>
      <w:pStyle w:val="Footer"/>
      <w:jc w:val="center"/>
    </w:pPr>
  </w:p>
  <w:p w14:paraId="37484CD3" w14:textId="572EE9EB" w:rsidR="008A377D" w:rsidRPr="002C52A0" w:rsidRDefault="008A377D" w:rsidP="00753B29">
    <w:pPr>
      <w:pStyle w:val="Footer"/>
      <w:jc w:val="center"/>
      <w:rPr>
        <w:b/>
        <w:bCs/>
      </w:rPr>
    </w:pPr>
    <w:r w:rsidRPr="002C52A0">
      <w:rPr>
        <w:b/>
        <w:bCs/>
      </w:rPr>
      <w:fldChar w:fldCharType="begin"/>
    </w:r>
    <w:r w:rsidRPr="002C52A0">
      <w:rPr>
        <w:b/>
        <w:bCs/>
      </w:rPr>
      <w:instrText xml:space="preserve"> PAGE   \* MERGEFORMAT </w:instrText>
    </w:r>
    <w:r w:rsidRPr="002C52A0">
      <w:rPr>
        <w:b/>
        <w:bCs/>
      </w:rPr>
      <w:fldChar w:fldCharType="separate"/>
    </w:r>
    <w:r w:rsidR="00CF509B" w:rsidRPr="002C52A0">
      <w:rPr>
        <w:b/>
        <w:bCs/>
        <w:noProof/>
      </w:rPr>
      <w:t>34</w:t>
    </w:r>
    <w:r w:rsidRPr="002C52A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F2D6" w14:textId="77777777" w:rsidR="004E39DC" w:rsidRDefault="004E3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4601" w14:textId="77777777" w:rsidR="00C277A2" w:rsidRDefault="00C277A2" w:rsidP="00124A51">
      <w:r>
        <w:separator/>
      </w:r>
    </w:p>
    <w:p w14:paraId="7539734B" w14:textId="77777777" w:rsidR="00C277A2" w:rsidRDefault="00C277A2"/>
  </w:footnote>
  <w:footnote w:type="continuationSeparator" w:id="0">
    <w:p w14:paraId="4DC8986B" w14:textId="77777777" w:rsidR="00C277A2" w:rsidRDefault="00C277A2" w:rsidP="00124A51">
      <w:r>
        <w:continuationSeparator/>
      </w:r>
    </w:p>
    <w:p w14:paraId="238C1026" w14:textId="77777777" w:rsidR="00C277A2" w:rsidRDefault="00C277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1500" w14:textId="77777777" w:rsidR="004E39DC" w:rsidRDefault="004E3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3F43034" w:rsidR="008A377D" w:rsidRPr="00195452" w:rsidRDefault="002C52A0" w:rsidP="004F7860">
    <w:pPr>
      <w:pStyle w:val="Header"/>
      <w:rPr>
        <w:rFonts w:asciiTheme="minorHAnsi" w:hAnsiTheme="minorHAnsi"/>
        <w:i/>
        <w:color w:val="808080"/>
      </w:rPr>
    </w:pPr>
    <w:r>
      <w:rPr>
        <w:rFonts w:asciiTheme="minorHAnsi" w:hAnsiTheme="minorHAnsi"/>
        <w:i/>
        <w:color w:val="808080"/>
      </w:rPr>
      <w:t>Public Summary Document</w:t>
    </w:r>
    <w:r w:rsidR="000B64BD">
      <w:rPr>
        <w:rFonts w:asciiTheme="minorHAnsi" w:hAnsiTheme="minorHAnsi"/>
        <w:i/>
        <w:color w:val="808080"/>
      </w:rPr>
      <w:t xml:space="preserve"> - </w:t>
    </w:r>
    <w:r w:rsidR="008A377D">
      <w:rPr>
        <w:rFonts w:asciiTheme="minorHAnsi" w:hAnsiTheme="minorHAnsi"/>
        <w:i/>
        <w:color w:val="808080"/>
      </w:rPr>
      <w:t>M</w:t>
    </w:r>
    <w:r w:rsidR="00E62DFE">
      <w:rPr>
        <w:rFonts w:asciiTheme="minorHAnsi" w:hAnsiTheme="minorHAnsi"/>
        <w:i/>
        <w:color w:val="808080"/>
      </w:rPr>
      <w:t>arch</w:t>
    </w:r>
    <w:r w:rsidR="008A377D">
      <w:rPr>
        <w:rFonts w:asciiTheme="minorHAnsi" w:hAnsiTheme="minorHAnsi"/>
        <w:i/>
        <w:color w:val="808080"/>
      </w:rPr>
      <w:t xml:space="preserve"> 2023 </w:t>
    </w:r>
    <w:r w:rsidR="008A377D" w:rsidRPr="00195452">
      <w:rPr>
        <w:rFonts w:asciiTheme="minorHAnsi" w:hAnsiTheme="minorHAnsi"/>
        <w:i/>
        <w:color w:val="808080"/>
      </w:rPr>
      <w:t>PBAC Meeting</w:t>
    </w:r>
  </w:p>
  <w:p w14:paraId="03AF943B" w14:textId="77777777" w:rsidR="008A377D" w:rsidRPr="008C7ECB" w:rsidRDefault="008A3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8D94" w14:textId="77777777" w:rsidR="004E39DC" w:rsidRDefault="004E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B84A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4042B"/>
    <w:multiLevelType w:val="hybridMultilevel"/>
    <w:tmpl w:val="2CC629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202BBF"/>
    <w:multiLevelType w:val="hybridMultilevel"/>
    <w:tmpl w:val="E7147D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33D00"/>
    <w:multiLevelType w:val="hybridMultilevel"/>
    <w:tmpl w:val="F1CA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D6A94"/>
    <w:multiLevelType w:val="hybridMultilevel"/>
    <w:tmpl w:val="4A8C43F0"/>
    <w:lvl w:ilvl="0" w:tplc="CD04CBE6">
      <w:start w:val="1"/>
      <w:numFmt w:val="lowerRoman"/>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E1458B"/>
    <w:multiLevelType w:val="hybridMultilevel"/>
    <w:tmpl w:val="9080FFF0"/>
    <w:lvl w:ilvl="0" w:tplc="98268A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5099C"/>
    <w:multiLevelType w:val="hybridMultilevel"/>
    <w:tmpl w:val="B4FE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060BA"/>
    <w:multiLevelType w:val="hybridMultilevel"/>
    <w:tmpl w:val="85A8D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F57C7"/>
    <w:multiLevelType w:val="hybridMultilevel"/>
    <w:tmpl w:val="473C1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2787E"/>
    <w:multiLevelType w:val="multilevel"/>
    <w:tmpl w:val="79D42EC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5430D"/>
    <w:multiLevelType w:val="hybridMultilevel"/>
    <w:tmpl w:val="09FE9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33ED2"/>
    <w:multiLevelType w:val="hybridMultilevel"/>
    <w:tmpl w:val="6EB2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C7B56"/>
    <w:multiLevelType w:val="hybridMultilevel"/>
    <w:tmpl w:val="D9FAC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C34E2"/>
    <w:multiLevelType w:val="hybridMultilevel"/>
    <w:tmpl w:val="81260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5240D"/>
    <w:multiLevelType w:val="hybridMultilevel"/>
    <w:tmpl w:val="7A3A8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381077"/>
    <w:multiLevelType w:val="hybridMultilevel"/>
    <w:tmpl w:val="A41AF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80753"/>
    <w:multiLevelType w:val="hybridMultilevel"/>
    <w:tmpl w:val="7B0E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B1A5FDB"/>
    <w:multiLevelType w:val="hybridMultilevel"/>
    <w:tmpl w:val="48C03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6413162"/>
    <w:multiLevelType w:val="hybridMultilevel"/>
    <w:tmpl w:val="A9F6C1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8310B9"/>
    <w:multiLevelType w:val="hybridMultilevel"/>
    <w:tmpl w:val="8414734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5CF56954"/>
    <w:multiLevelType w:val="multilevel"/>
    <w:tmpl w:val="46BE3F54"/>
    <w:lvl w:ilvl="0">
      <w:start w:val="10"/>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67DBB"/>
    <w:multiLevelType w:val="hybridMultilevel"/>
    <w:tmpl w:val="660C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FE2AAF"/>
    <w:multiLevelType w:val="multilevel"/>
    <w:tmpl w:val="EFF4F85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A0255"/>
    <w:multiLevelType w:val="hybridMultilevel"/>
    <w:tmpl w:val="5E008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6550782"/>
    <w:multiLevelType w:val="hybridMultilevel"/>
    <w:tmpl w:val="91AA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F4F05"/>
    <w:multiLevelType w:val="hybridMultilevel"/>
    <w:tmpl w:val="8F0EA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0700AB"/>
    <w:multiLevelType w:val="hybridMultilevel"/>
    <w:tmpl w:val="A294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7D2FE5"/>
    <w:multiLevelType w:val="hybridMultilevel"/>
    <w:tmpl w:val="336E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C272B"/>
    <w:multiLevelType w:val="hybridMultilevel"/>
    <w:tmpl w:val="530EAAB6"/>
    <w:lvl w:ilvl="0" w:tplc="2B4096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093DF9"/>
    <w:multiLevelType w:val="hybridMultilevel"/>
    <w:tmpl w:val="D9C4ECCA"/>
    <w:lvl w:ilvl="0" w:tplc="FF2E40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18"/>
  </w:num>
  <w:num w:numId="3">
    <w:abstractNumId w:val="19"/>
  </w:num>
  <w:num w:numId="4">
    <w:abstractNumId w:val="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0"/>
  </w:num>
  <w:num w:numId="8">
    <w:abstractNumId w:val="8"/>
  </w:num>
  <w:num w:numId="9">
    <w:abstractNumId w:val="12"/>
  </w:num>
  <w:num w:numId="10">
    <w:abstractNumId w:val="15"/>
  </w:num>
  <w:num w:numId="11">
    <w:abstractNumId w:val="11"/>
  </w:num>
  <w:num w:numId="12">
    <w:abstractNumId w:val="34"/>
  </w:num>
  <w:num w:numId="13">
    <w:abstractNumId w:val="31"/>
  </w:num>
  <w:num w:numId="14">
    <w:abstractNumId w:val="17"/>
  </w:num>
  <w:num w:numId="15">
    <w:abstractNumId w:val="3"/>
  </w:num>
  <w:num w:numId="16">
    <w:abstractNumId w:val="38"/>
  </w:num>
  <w:num w:numId="17">
    <w:abstractNumId w:val="28"/>
  </w:num>
  <w:num w:numId="18">
    <w:abstractNumId w:val="4"/>
  </w:num>
  <w:num w:numId="19">
    <w:abstractNumId w:val="10"/>
  </w:num>
  <w:num w:numId="20">
    <w:abstractNumId w:val="25"/>
  </w:num>
  <w:num w:numId="21">
    <w:abstractNumId w:val="29"/>
  </w:num>
  <w:num w:numId="22">
    <w:abstractNumId w:val="2"/>
  </w:num>
  <w:num w:numId="23">
    <w:abstractNumId w:val="24"/>
  </w:num>
  <w:num w:numId="24">
    <w:abstractNumId w:val="14"/>
  </w:num>
  <w:num w:numId="25">
    <w:abstractNumId w:val="35"/>
  </w:num>
  <w:num w:numId="26">
    <w:abstractNumId w:val="6"/>
  </w:num>
  <w:num w:numId="27">
    <w:abstractNumId w:val="27"/>
  </w:num>
  <w:num w:numId="28">
    <w:abstractNumId w:val="9"/>
  </w:num>
  <w:num w:numId="29">
    <w:abstractNumId w:val="13"/>
  </w:num>
  <w:num w:numId="30">
    <w:abstractNumId w:val="5"/>
  </w:num>
  <w:num w:numId="31">
    <w:abstractNumId w:val="22"/>
  </w:num>
  <w:num w:numId="32">
    <w:abstractNumId w:val="32"/>
  </w:num>
  <w:num w:numId="33">
    <w:abstractNumId w:val="20"/>
  </w:num>
  <w:num w:numId="34">
    <w:abstractNumId w:val="36"/>
  </w:num>
  <w:num w:numId="35">
    <w:abstractNumId w:val="7"/>
  </w:num>
  <w:num w:numId="36">
    <w:abstractNumId w:val="16"/>
  </w:num>
  <w:num w:numId="37">
    <w:abstractNumId w:val="21"/>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
  </w:num>
  <w:num w:numId="42">
    <w:abstractNumId w:val="19"/>
  </w:num>
  <w:num w:numId="43">
    <w:abstractNumId w:val="19"/>
  </w:num>
  <w:num w:numId="44">
    <w:abstractNumId w:val="19"/>
  </w:num>
  <w:num w:numId="4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0FDD"/>
    <w:rsid w:val="0000110B"/>
    <w:rsid w:val="00001261"/>
    <w:rsid w:val="000018A5"/>
    <w:rsid w:val="00003499"/>
    <w:rsid w:val="000039B7"/>
    <w:rsid w:val="000056B9"/>
    <w:rsid w:val="00006029"/>
    <w:rsid w:val="00006084"/>
    <w:rsid w:val="000060F5"/>
    <w:rsid w:val="0000639A"/>
    <w:rsid w:val="00006573"/>
    <w:rsid w:val="00007C84"/>
    <w:rsid w:val="000102D7"/>
    <w:rsid w:val="0001192A"/>
    <w:rsid w:val="00011DAD"/>
    <w:rsid w:val="0001205D"/>
    <w:rsid w:val="000123BF"/>
    <w:rsid w:val="00012F61"/>
    <w:rsid w:val="00013247"/>
    <w:rsid w:val="00014FD4"/>
    <w:rsid w:val="00015886"/>
    <w:rsid w:val="000162EF"/>
    <w:rsid w:val="000207C9"/>
    <w:rsid w:val="00020C19"/>
    <w:rsid w:val="0002225F"/>
    <w:rsid w:val="00022745"/>
    <w:rsid w:val="000232B8"/>
    <w:rsid w:val="00023763"/>
    <w:rsid w:val="00023E34"/>
    <w:rsid w:val="00024CAE"/>
    <w:rsid w:val="00024EB5"/>
    <w:rsid w:val="0002506E"/>
    <w:rsid w:val="00025593"/>
    <w:rsid w:val="0002685D"/>
    <w:rsid w:val="000274B8"/>
    <w:rsid w:val="00030CF6"/>
    <w:rsid w:val="00033863"/>
    <w:rsid w:val="00035DC0"/>
    <w:rsid w:val="00036829"/>
    <w:rsid w:val="00040407"/>
    <w:rsid w:val="00040895"/>
    <w:rsid w:val="000410A0"/>
    <w:rsid w:val="00042621"/>
    <w:rsid w:val="000435EE"/>
    <w:rsid w:val="00043AB5"/>
    <w:rsid w:val="00043C37"/>
    <w:rsid w:val="00043C5C"/>
    <w:rsid w:val="00044E63"/>
    <w:rsid w:val="00045017"/>
    <w:rsid w:val="00045A2B"/>
    <w:rsid w:val="0004698F"/>
    <w:rsid w:val="00046D64"/>
    <w:rsid w:val="000508C2"/>
    <w:rsid w:val="00050DFF"/>
    <w:rsid w:val="00052353"/>
    <w:rsid w:val="000539D0"/>
    <w:rsid w:val="00054621"/>
    <w:rsid w:val="000546D7"/>
    <w:rsid w:val="00054A8D"/>
    <w:rsid w:val="00055304"/>
    <w:rsid w:val="00055D88"/>
    <w:rsid w:val="00056326"/>
    <w:rsid w:val="00056ECF"/>
    <w:rsid w:val="00057889"/>
    <w:rsid w:val="0006033C"/>
    <w:rsid w:val="000604DF"/>
    <w:rsid w:val="00061520"/>
    <w:rsid w:val="00065317"/>
    <w:rsid w:val="000653B5"/>
    <w:rsid w:val="00066360"/>
    <w:rsid w:val="00066AF8"/>
    <w:rsid w:val="0006744D"/>
    <w:rsid w:val="00070789"/>
    <w:rsid w:val="00070857"/>
    <w:rsid w:val="00070C41"/>
    <w:rsid w:val="00071248"/>
    <w:rsid w:val="000720B9"/>
    <w:rsid w:val="000737F7"/>
    <w:rsid w:val="00074644"/>
    <w:rsid w:val="000748B7"/>
    <w:rsid w:val="00075ACB"/>
    <w:rsid w:val="000764F3"/>
    <w:rsid w:val="0007672F"/>
    <w:rsid w:val="00076B54"/>
    <w:rsid w:val="000774F0"/>
    <w:rsid w:val="00080909"/>
    <w:rsid w:val="000812CA"/>
    <w:rsid w:val="00081E63"/>
    <w:rsid w:val="000822AB"/>
    <w:rsid w:val="0008258D"/>
    <w:rsid w:val="00083E99"/>
    <w:rsid w:val="00084FA8"/>
    <w:rsid w:val="000856C5"/>
    <w:rsid w:val="00085C31"/>
    <w:rsid w:val="000861EB"/>
    <w:rsid w:val="000863A2"/>
    <w:rsid w:val="00086A94"/>
    <w:rsid w:val="000902D9"/>
    <w:rsid w:val="00090C7E"/>
    <w:rsid w:val="000911AC"/>
    <w:rsid w:val="000916E4"/>
    <w:rsid w:val="00091F85"/>
    <w:rsid w:val="00092600"/>
    <w:rsid w:val="0009262B"/>
    <w:rsid w:val="00093310"/>
    <w:rsid w:val="0009354C"/>
    <w:rsid w:val="00093E39"/>
    <w:rsid w:val="0009445C"/>
    <w:rsid w:val="00095200"/>
    <w:rsid w:val="00095AD0"/>
    <w:rsid w:val="00095FE5"/>
    <w:rsid w:val="00096284"/>
    <w:rsid w:val="000A01C2"/>
    <w:rsid w:val="000A02B9"/>
    <w:rsid w:val="000A1BC0"/>
    <w:rsid w:val="000A2F9E"/>
    <w:rsid w:val="000A3E47"/>
    <w:rsid w:val="000A4A48"/>
    <w:rsid w:val="000A522B"/>
    <w:rsid w:val="000A5536"/>
    <w:rsid w:val="000A6039"/>
    <w:rsid w:val="000A613A"/>
    <w:rsid w:val="000A6486"/>
    <w:rsid w:val="000A7453"/>
    <w:rsid w:val="000A7D08"/>
    <w:rsid w:val="000B0121"/>
    <w:rsid w:val="000B0670"/>
    <w:rsid w:val="000B0E75"/>
    <w:rsid w:val="000B196A"/>
    <w:rsid w:val="000B2BB0"/>
    <w:rsid w:val="000B2DCB"/>
    <w:rsid w:val="000B38BF"/>
    <w:rsid w:val="000B43CE"/>
    <w:rsid w:val="000B4863"/>
    <w:rsid w:val="000B54B6"/>
    <w:rsid w:val="000B5682"/>
    <w:rsid w:val="000B56FD"/>
    <w:rsid w:val="000B5CE0"/>
    <w:rsid w:val="000B6461"/>
    <w:rsid w:val="000B64BD"/>
    <w:rsid w:val="000B650F"/>
    <w:rsid w:val="000B6CAC"/>
    <w:rsid w:val="000B70FD"/>
    <w:rsid w:val="000B7612"/>
    <w:rsid w:val="000B78AE"/>
    <w:rsid w:val="000B7AE0"/>
    <w:rsid w:val="000C1DD8"/>
    <w:rsid w:val="000C377E"/>
    <w:rsid w:val="000C3DF9"/>
    <w:rsid w:val="000C476D"/>
    <w:rsid w:val="000C488B"/>
    <w:rsid w:val="000C4BE8"/>
    <w:rsid w:val="000C4CF2"/>
    <w:rsid w:val="000C6713"/>
    <w:rsid w:val="000C69E2"/>
    <w:rsid w:val="000C6B8C"/>
    <w:rsid w:val="000C7819"/>
    <w:rsid w:val="000D0F66"/>
    <w:rsid w:val="000D1307"/>
    <w:rsid w:val="000D1BFC"/>
    <w:rsid w:val="000D1D5D"/>
    <w:rsid w:val="000D27CC"/>
    <w:rsid w:val="000D281A"/>
    <w:rsid w:val="000D2848"/>
    <w:rsid w:val="000D326A"/>
    <w:rsid w:val="000D39B8"/>
    <w:rsid w:val="000D3B25"/>
    <w:rsid w:val="000D3BFF"/>
    <w:rsid w:val="000D4833"/>
    <w:rsid w:val="000D51FB"/>
    <w:rsid w:val="000D64B7"/>
    <w:rsid w:val="000E0640"/>
    <w:rsid w:val="000E135D"/>
    <w:rsid w:val="000E2743"/>
    <w:rsid w:val="000E5940"/>
    <w:rsid w:val="000E6C53"/>
    <w:rsid w:val="000F00BA"/>
    <w:rsid w:val="000F1277"/>
    <w:rsid w:val="000F1EE1"/>
    <w:rsid w:val="000F316A"/>
    <w:rsid w:val="000F3C74"/>
    <w:rsid w:val="000F4558"/>
    <w:rsid w:val="000F47A5"/>
    <w:rsid w:val="000F4BB8"/>
    <w:rsid w:val="000F4FA9"/>
    <w:rsid w:val="000F53FB"/>
    <w:rsid w:val="000F572A"/>
    <w:rsid w:val="000F6F73"/>
    <w:rsid w:val="000F7127"/>
    <w:rsid w:val="000F7695"/>
    <w:rsid w:val="000F7B54"/>
    <w:rsid w:val="001000B3"/>
    <w:rsid w:val="00100F8A"/>
    <w:rsid w:val="0010295C"/>
    <w:rsid w:val="00103AFF"/>
    <w:rsid w:val="00103D3A"/>
    <w:rsid w:val="0010452E"/>
    <w:rsid w:val="00104821"/>
    <w:rsid w:val="00104D5E"/>
    <w:rsid w:val="00105AE2"/>
    <w:rsid w:val="001060C6"/>
    <w:rsid w:val="00106B80"/>
    <w:rsid w:val="001102F5"/>
    <w:rsid w:val="0011032E"/>
    <w:rsid w:val="00111AD8"/>
    <w:rsid w:val="00112408"/>
    <w:rsid w:val="0011348B"/>
    <w:rsid w:val="00115982"/>
    <w:rsid w:val="00115B4B"/>
    <w:rsid w:val="00115C6D"/>
    <w:rsid w:val="00116164"/>
    <w:rsid w:val="0011637E"/>
    <w:rsid w:val="00116405"/>
    <w:rsid w:val="00116C53"/>
    <w:rsid w:val="00116C84"/>
    <w:rsid w:val="0011767C"/>
    <w:rsid w:val="00121799"/>
    <w:rsid w:val="001222FC"/>
    <w:rsid w:val="00122832"/>
    <w:rsid w:val="00123902"/>
    <w:rsid w:val="001243A7"/>
    <w:rsid w:val="00124A51"/>
    <w:rsid w:val="00126621"/>
    <w:rsid w:val="00126910"/>
    <w:rsid w:val="00126B1D"/>
    <w:rsid w:val="00127D39"/>
    <w:rsid w:val="001301E9"/>
    <w:rsid w:val="00131007"/>
    <w:rsid w:val="001316D0"/>
    <w:rsid w:val="00131743"/>
    <w:rsid w:val="00131D82"/>
    <w:rsid w:val="00132449"/>
    <w:rsid w:val="00132B22"/>
    <w:rsid w:val="00133D36"/>
    <w:rsid w:val="001341D2"/>
    <w:rsid w:val="00134E78"/>
    <w:rsid w:val="00135A1C"/>
    <w:rsid w:val="001371D3"/>
    <w:rsid w:val="00137645"/>
    <w:rsid w:val="0014015A"/>
    <w:rsid w:val="00140E99"/>
    <w:rsid w:val="00141AF3"/>
    <w:rsid w:val="0014274F"/>
    <w:rsid w:val="00142974"/>
    <w:rsid w:val="00143F67"/>
    <w:rsid w:val="00145234"/>
    <w:rsid w:val="00145540"/>
    <w:rsid w:val="001456B0"/>
    <w:rsid w:val="00146190"/>
    <w:rsid w:val="0015113B"/>
    <w:rsid w:val="00151617"/>
    <w:rsid w:val="00153130"/>
    <w:rsid w:val="001547AB"/>
    <w:rsid w:val="00156F8F"/>
    <w:rsid w:val="00157130"/>
    <w:rsid w:val="001576B1"/>
    <w:rsid w:val="00157E9C"/>
    <w:rsid w:val="0016047B"/>
    <w:rsid w:val="00160A4C"/>
    <w:rsid w:val="0016126D"/>
    <w:rsid w:val="001624DA"/>
    <w:rsid w:val="00162913"/>
    <w:rsid w:val="00163EFF"/>
    <w:rsid w:val="00163F66"/>
    <w:rsid w:val="0016478E"/>
    <w:rsid w:val="00164EE6"/>
    <w:rsid w:val="00165837"/>
    <w:rsid w:val="00165EC4"/>
    <w:rsid w:val="001661FB"/>
    <w:rsid w:val="001671A0"/>
    <w:rsid w:val="0016767F"/>
    <w:rsid w:val="00167D49"/>
    <w:rsid w:val="001701B9"/>
    <w:rsid w:val="001705D9"/>
    <w:rsid w:val="0017184A"/>
    <w:rsid w:val="00172B91"/>
    <w:rsid w:val="00173565"/>
    <w:rsid w:val="00173B07"/>
    <w:rsid w:val="001751FA"/>
    <w:rsid w:val="00176F19"/>
    <w:rsid w:val="00177D31"/>
    <w:rsid w:val="00181C10"/>
    <w:rsid w:val="00181D9C"/>
    <w:rsid w:val="001823F3"/>
    <w:rsid w:val="001837FF"/>
    <w:rsid w:val="00184B0E"/>
    <w:rsid w:val="00186291"/>
    <w:rsid w:val="0018717B"/>
    <w:rsid w:val="0018732A"/>
    <w:rsid w:val="0018752F"/>
    <w:rsid w:val="001935B3"/>
    <w:rsid w:val="00193838"/>
    <w:rsid w:val="001943FC"/>
    <w:rsid w:val="00194AD8"/>
    <w:rsid w:val="00195222"/>
    <w:rsid w:val="00195452"/>
    <w:rsid w:val="00196DF0"/>
    <w:rsid w:val="001975D8"/>
    <w:rsid w:val="00197A95"/>
    <w:rsid w:val="001A0693"/>
    <w:rsid w:val="001A1235"/>
    <w:rsid w:val="001A178E"/>
    <w:rsid w:val="001A2F44"/>
    <w:rsid w:val="001A43FA"/>
    <w:rsid w:val="001A47C5"/>
    <w:rsid w:val="001A59FB"/>
    <w:rsid w:val="001A5E9E"/>
    <w:rsid w:val="001A6354"/>
    <w:rsid w:val="001A6366"/>
    <w:rsid w:val="001A6B07"/>
    <w:rsid w:val="001A7AE8"/>
    <w:rsid w:val="001B191E"/>
    <w:rsid w:val="001B1D78"/>
    <w:rsid w:val="001B1F9C"/>
    <w:rsid w:val="001B204E"/>
    <w:rsid w:val="001B2372"/>
    <w:rsid w:val="001B3443"/>
    <w:rsid w:val="001B3FCD"/>
    <w:rsid w:val="001B49FC"/>
    <w:rsid w:val="001B4D20"/>
    <w:rsid w:val="001B5D0A"/>
    <w:rsid w:val="001B615D"/>
    <w:rsid w:val="001B7BC2"/>
    <w:rsid w:val="001B7F84"/>
    <w:rsid w:val="001C14DA"/>
    <w:rsid w:val="001C200F"/>
    <w:rsid w:val="001C2A9B"/>
    <w:rsid w:val="001C3DD6"/>
    <w:rsid w:val="001C4299"/>
    <w:rsid w:val="001C4874"/>
    <w:rsid w:val="001C5F94"/>
    <w:rsid w:val="001C6E66"/>
    <w:rsid w:val="001D03C9"/>
    <w:rsid w:val="001D09A4"/>
    <w:rsid w:val="001D1100"/>
    <w:rsid w:val="001D1391"/>
    <w:rsid w:val="001D25D7"/>
    <w:rsid w:val="001D3508"/>
    <w:rsid w:val="001D3616"/>
    <w:rsid w:val="001D445B"/>
    <w:rsid w:val="001D4462"/>
    <w:rsid w:val="001D50B2"/>
    <w:rsid w:val="001D65D4"/>
    <w:rsid w:val="001D6DCC"/>
    <w:rsid w:val="001D71F4"/>
    <w:rsid w:val="001D7645"/>
    <w:rsid w:val="001E1E86"/>
    <w:rsid w:val="001E238E"/>
    <w:rsid w:val="001E2483"/>
    <w:rsid w:val="001E2B1E"/>
    <w:rsid w:val="001E2CFF"/>
    <w:rsid w:val="001E2F24"/>
    <w:rsid w:val="001E30D4"/>
    <w:rsid w:val="001E33BB"/>
    <w:rsid w:val="001E3430"/>
    <w:rsid w:val="001E34DF"/>
    <w:rsid w:val="001E52EB"/>
    <w:rsid w:val="001E5AF9"/>
    <w:rsid w:val="001E61D2"/>
    <w:rsid w:val="001E740C"/>
    <w:rsid w:val="001E7D50"/>
    <w:rsid w:val="001F0440"/>
    <w:rsid w:val="001F0A1B"/>
    <w:rsid w:val="001F1235"/>
    <w:rsid w:val="001F1CB3"/>
    <w:rsid w:val="001F1EDF"/>
    <w:rsid w:val="001F38B5"/>
    <w:rsid w:val="001F4081"/>
    <w:rsid w:val="001F488E"/>
    <w:rsid w:val="001F4D78"/>
    <w:rsid w:val="001F62E7"/>
    <w:rsid w:val="001F6B95"/>
    <w:rsid w:val="001F7361"/>
    <w:rsid w:val="002011B0"/>
    <w:rsid w:val="00203181"/>
    <w:rsid w:val="00203783"/>
    <w:rsid w:val="0020385F"/>
    <w:rsid w:val="002054CA"/>
    <w:rsid w:val="00205BAF"/>
    <w:rsid w:val="002068A0"/>
    <w:rsid w:val="00207021"/>
    <w:rsid w:val="0020732F"/>
    <w:rsid w:val="00207D00"/>
    <w:rsid w:val="002105C1"/>
    <w:rsid w:val="00210B2C"/>
    <w:rsid w:val="00210C44"/>
    <w:rsid w:val="002116FD"/>
    <w:rsid w:val="00212ADF"/>
    <w:rsid w:val="0021347A"/>
    <w:rsid w:val="00213DE1"/>
    <w:rsid w:val="00213EF5"/>
    <w:rsid w:val="00214218"/>
    <w:rsid w:val="00216BF5"/>
    <w:rsid w:val="002226BC"/>
    <w:rsid w:val="00223174"/>
    <w:rsid w:val="00223B49"/>
    <w:rsid w:val="00223D5A"/>
    <w:rsid w:val="00224AB1"/>
    <w:rsid w:val="00224DD4"/>
    <w:rsid w:val="0022553A"/>
    <w:rsid w:val="00226953"/>
    <w:rsid w:val="00226D55"/>
    <w:rsid w:val="00226E21"/>
    <w:rsid w:val="002278A0"/>
    <w:rsid w:val="002309CC"/>
    <w:rsid w:val="002317BE"/>
    <w:rsid w:val="00231BA9"/>
    <w:rsid w:val="0023209F"/>
    <w:rsid w:val="00233535"/>
    <w:rsid w:val="00233C01"/>
    <w:rsid w:val="00233EFB"/>
    <w:rsid w:val="0023413C"/>
    <w:rsid w:val="002346F0"/>
    <w:rsid w:val="00234BC3"/>
    <w:rsid w:val="00235A47"/>
    <w:rsid w:val="0023629D"/>
    <w:rsid w:val="00237255"/>
    <w:rsid w:val="00241DD5"/>
    <w:rsid w:val="002424AF"/>
    <w:rsid w:val="002426D0"/>
    <w:rsid w:val="00242D00"/>
    <w:rsid w:val="00243457"/>
    <w:rsid w:val="002439DC"/>
    <w:rsid w:val="002441D2"/>
    <w:rsid w:val="00244272"/>
    <w:rsid w:val="00244A0A"/>
    <w:rsid w:val="00244DC8"/>
    <w:rsid w:val="002458BA"/>
    <w:rsid w:val="00245CE9"/>
    <w:rsid w:val="0024636C"/>
    <w:rsid w:val="002467E4"/>
    <w:rsid w:val="00247925"/>
    <w:rsid w:val="00251006"/>
    <w:rsid w:val="002524D5"/>
    <w:rsid w:val="002527F8"/>
    <w:rsid w:val="00252826"/>
    <w:rsid w:val="002533D0"/>
    <w:rsid w:val="00253B1D"/>
    <w:rsid w:val="00254555"/>
    <w:rsid w:val="00254DCF"/>
    <w:rsid w:val="0025534B"/>
    <w:rsid w:val="002558F1"/>
    <w:rsid w:val="00255BB7"/>
    <w:rsid w:val="002560B0"/>
    <w:rsid w:val="00257541"/>
    <w:rsid w:val="00257A39"/>
    <w:rsid w:val="00257AC4"/>
    <w:rsid w:val="00257BBE"/>
    <w:rsid w:val="00260D11"/>
    <w:rsid w:val="00261902"/>
    <w:rsid w:val="00261EEF"/>
    <w:rsid w:val="00262367"/>
    <w:rsid w:val="00262522"/>
    <w:rsid w:val="00262A1A"/>
    <w:rsid w:val="00262A87"/>
    <w:rsid w:val="00263955"/>
    <w:rsid w:val="00264D26"/>
    <w:rsid w:val="00266F0D"/>
    <w:rsid w:val="00267131"/>
    <w:rsid w:val="00267642"/>
    <w:rsid w:val="00267AEA"/>
    <w:rsid w:val="00267C9B"/>
    <w:rsid w:val="002700E6"/>
    <w:rsid w:val="002702F8"/>
    <w:rsid w:val="0027294B"/>
    <w:rsid w:val="00272D47"/>
    <w:rsid w:val="00273EB4"/>
    <w:rsid w:val="00274682"/>
    <w:rsid w:val="00275158"/>
    <w:rsid w:val="00275C5A"/>
    <w:rsid w:val="0027716D"/>
    <w:rsid w:val="0027723E"/>
    <w:rsid w:val="00277B40"/>
    <w:rsid w:val="002809EA"/>
    <w:rsid w:val="00281014"/>
    <w:rsid w:val="00281F36"/>
    <w:rsid w:val="00285BCE"/>
    <w:rsid w:val="0028665D"/>
    <w:rsid w:val="00287363"/>
    <w:rsid w:val="0029010C"/>
    <w:rsid w:val="00293669"/>
    <w:rsid w:val="00294BCC"/>
    <w:rsid w:val="0029674D"/>
    <w:rsid w:val="002A14AB"/>
    <w:rsid w:val="002A2ADE"/>
    <w:rsid w:val="002A2D16"/>
    <w:rsid w:val="002A2F50"/>
    <w:rsid w:val="002A3865"/>
    <w:rsid w:val="002A3CC5"/>
    <w:rsid w:val="002A4286"/>
    <w:rsid w:val="002A7943"/>
    <w:rsid w:val="002B05A1"/>
    <w:rsid w:val="002B09A4"/>
    <w:rsid w:val="002B1C1F"/>
    <w:rsid w:val="002B35AC"/>
    <w:rsid w:val="002B432F"/>
    <w:rsid w:val="002B4BDC"/>
    <w:rsid w:val="002B4E3C"/>
    <w:rsid w:val="002B62B3"/>
    <w:rsid w:val="002B6754"/>
    <w:rsid w:val="002B6CCE"/>
    <w:rsid w:val="002C0553"/>
    <w:rsid w:val="002C0810"/>
    <w:rsid w:val="002C0816"/>
    <w:rsid w:val="002C14F6"/>
    <w:rsid w:val="002C1621"/>
    <w:rsid w:val="002C2510"/>
    <w:rsid w:val="002C2775"/>
    <w:rsid w:val="002C27C1"/>
    <w:rsid w:val="002C3262"/>
    <w:rsid w:val="002C36E3"/>
    <w:rsid w:val="002C3D7F"/>
    <w:rsid w:val="002C5099"/>
    <w:rsid w:val="002C52A0"/>
    <w:rsid w:val="002C535A"/>
    <w:rsid w:val="002C5889"/>
    <w:rsid w:val="002C5D9E"/>
    <w:rsid w:val="002C71CE"/>
    <w:rsid w:val="002D0018"/>
    <w:rsid w:val="002D08F8"/>
    <w:rsid w:val="002D0BB6"/>
    <w:rsid w:val="002D2DBB"/>
    <w:rsid w:val="002D318E"/>
    <w:rsid w:val="002D395D"/>
    <w:rsid w:val="002D577C"/>
    <w:rsid w:val="002D770B"/>
    <w:rsid w:val="002D7832"/>
    <w:rsid w:val="002E0675"/>
    <w:rsid w:val="002E1071"/>
    <w:rsid w:val="002E15B9"/>
    <w:rsid w:val="002E16DF"/>
    <w:rsid w:val="002E2158"/>
    <w:rsid w:val="002E3296"/>
    <w:rsid w:val="002E3406"/>
    <w:rsid w:val="002E35C3"/>
    <w:rsid w:val="002E3606"/>
    <w:rsid w:val="002E4F02"/>
    <w:rsid w:val="002E53E2"/>
    <w:rsid w:val="002E583B"/>
    <w:rsid w:val="002E5BE1"/>
    <w:rsid w:val="002E6A0F"/>
    <w:rsid w:val="002E7722"/>
    <w:rsid w:val="002F002B"/>
    <w:rsid w:val="002F07BA"/>
    <w:rsid w:val="002F0DA9"/>
    <w:rsid w:val="002F1014"/>
    <w:rsid w:val="002F1E3B"/>
    <w:rsid w:val="002F3C1E"/>
    <w:rsid w:val="002F405A"/>
    <w:rsid w:val="002F5D9C"/>
    <w:rsid w:val="002F643C"/>
    <w:rsid w:val="002F659C"/>
    <w:rsid w:val="002F71C0"/>
    <w:rsid w:val="002F74F1"/>
    <w:rsid w:val="002F7B2B"/>
    <w:rsid w:val="003006D7"/>
    <w:rsid w:val="00301017"/>
    <w:rsid w:val="0030155F"/>
    <w:rsid w:val="00301EBA"/>
    <w:rsid w:val="003034E0"/>
    <w:rsid w:val="00303C25"/>
    <w:rsid w:val="0030587B"/>
    <w:rsid w:val="00306D98"/>
    <w:rsid w:val="00306E46"/>
    <w:rsid w:val="0030786C"/>
    <w:rsid w:val="0031031A"/>
    <w:rsid w:val="00310981"/>
    <w:rsid w:val="00311D9B"/>
    <w:rsid w:val="00312317"/>
    <w:rsid w:val="003124D9"/>
    <w:rsid w:val="00312594"/>
    <w:rsid w:val="00312CDC"/>
    <w:rsid w:val="003133C1"/>
    <w:rsid w:val="00313526"/>
    <w:rsid w:val="00315498"/>
    <w:rsid w:val="003160F5"/>
    <w:rsid w:val="0031634F"/>
    <w:rsid w:val="00316474"/>
    <w:rsid w:val="0031682F"/>
    <w:rsid w:val="00322107"/>
    <w:rsid w:val="00322355"/>
    <w:rsid w:val="00322846"/>
    <w:rsid w:val="00324FB8"/>
    <w:rsid w:val="00326678"/>
    <w:rsid w:val="00326DA7"/>
    <w:rsid w:val="00326EAF"/>
    <w:rsid w:val="003270E4"/>
    <w:rsid w:val="00327B92"/>
    <w:rsid w:val="00330DAA"/>
    <w:rsid w:val="00330F5C"/>
    <w:rsid w:val="00331269"/>
    <w:rsid w:val="003322E3"/>
    <w:rsid w:val="00332B7E"/>
    <w:rsid w:val="00332D1D"/>
    <w:rsid w:val="0033348A"/>
    <w:rsid w:val="003337AE"/>
    <w:rsid w:val="00335CA3"/>
    <w:rsid w:val="003360B0"/>
    <w:rsid w:val="003366C9"/>
    <w:rsid w:val="003371B0"/>
    <w:rsid w:val="003373DF"/>
    <w:rsid w:val="003374AB"/>
    <w:rsid w:val="00340DF1"/>
    <w:rsid w:val="00344859"/>
    <w:rsid w:val="00344F8F"/>
    <w:rsid w:val="003465E4"/>
    <w:rsid w:val="00347936"/>
    <w:rsid w:val="00347F42"/>
    <w:rsid w:val="003517F9"/>
    <w:rsid w:val="00351AC9"/>
    <w:rsid w:val="00351BA9"/>
    <w:rsid w:val="00354F64"/>
    <w:rsid w:val="0035620E"/>
    <w:rsid w:val="003575BE"/>
    <w:rsid w:val="0035773A"/>
    <w:rsid w:val="00360345"/>
    <w:rsid w:val="00361A05"/>
    <w:rsid w:val="003624C4"/>
    <w:rsid w:val="00362FEC"/>
    <w:rsid w:val="00363B00"/>
    <w:rsid w:val="003645BC"/>
    <w:rsid w:val="00364EDC"/>
    <w:rsid w:val="003654AC"/>
    <w:rsid w:val="00365729"/>
    <w:rsid w:val="00366200"/>
    <w:rsid w:val="003710CF"/>
    <w:rsid w:val="0037114C"/>
    <w:rsid w:val="003714AE"/>
    <w:rsid w:val="00371E20"/>
    <w:rsid w:val="0037358A"/>
    <w:rsid w:val="003748F9"/>
    <w:rsid w:val="003750F6"/>
    <w:rsid w:val="003760FC"/>
    <w:rsid w:val="0037735E"/>
    <w:rsid w:val="00381007"/>
    <w:rsid w:val="0038190E"/>
    <w:rsid w:val="003825DA"/>
    <w:rsid w:val="003828CB"/>
    <w:rsid w:val="0038365C"/>
    <w:rsid w:val="0038369B"/>
    <w:rsid w:val="00383B78"/>
    <w:rsid w:val="00385A9D"/>
    <w:rsid w:val="00385FA7"/>
    <w:rsid w:val="00385FDE"/>
    <w:rsid w:val="00386B37"/>
    <w:rsid w:val="00386FE9"/>
    <w:rsid w:val="00387121"/>
    <w:rsid w:val="003902B1"/>
    <w:rsid w:val="00390576"/>
    <w:rsid w:val="00390D4E"/>
    <w:rsid w:val="0039179C"/>
    <w:rsid w:val="00393CE5"/>
    <w:rsid w:val="00396896"/>
    <w:rsid w:val="00396B59"/>
    <w:rsid w:val="00396FD0"/>
    <w:rsid w:val="00397375"/>
    <w:rsid w:val="003A1A2D"/>
    <w:rsid w:val="003A1A7A"/>
    <w:rsid w:val="003A1AB3"/>
    <w:rsid w:val="003A2392"/>
    <w:rsid w:val="003A25AE"/>
    <w:rsid w:val="003A2831"/>
    <w:rsid w:val="003A3CB6"/>
    <w:rsid w:val="003A3ED1"/>
    <w:rsid w:val="003A44DB"/>
    <w:rsid w:val="003A4C14"/>
    <w:rsid w:val="003A6A3D"/>
    <w:rsid w:val="003A7562"/>
    <w:rsid w:val="003A786D"/>
    <w:rsid w:val="003B02DF"/>
    <w:rsid w:val="003B039B"/>
    <w:rsid w:val="003B1FFC"/>
    <w:rsid w:val="003B3971"/>
    <w:rsid w:val="003B55D1"/>
    <w:rsid w:val="003B5B61"/>
    <w:rsid w:val="003B6719"/>
    <w:rsid w:val="003B6A5C"/>
    <w:rsid w:val="003B6B2F"/>
    <w:rsid w:val="003B6F53"/>
    <w:rsid w:val="003C0AF4"/>
    <w:rsid w:val="003C1654"/>
    <w:rsid w:val="003C36F2"/>
    <w:rsid w:val="003C3CE4"/>
    <w:rsid w:val="003C4FD4"/>
    <w:rsid w:val="003C5542"/>
    <w:rsid w:val="003C65CB"/>
    <w:rsid w:val="003C6794"/>
    <w:rsid w:val="003C7266"/>
    <w:rsid w:val="003C7C15"/>
    <w:rsid w:val="003C7D19"/>
    <w:rsid w:val="003C7D2F"/>
    <w:rsid w:val="003D0C5A"/>
    <w:rsid w:val="003D1828"/>
    <w:rsid w:val="003D1DA9"/>
    <w:rsid w:val="003D1DE4"/>
    <w:rsid w:val="003D1E9A"/>
    <w:rsid w:val="003D2422"/>
    <w:rsid w:val="003D27A7"/>
    <w:rsid w:val="003D3565"/>
    <w:rsid w:val="003D39A1"/>
    <w:rsid w:val="003D3FBF"/>
    <w:rsid w:val="003D4A30"/>
    <w:rsid w:val="003D54F2"/>
    <w:rsid w:val="003D6E9D"/>
    <w:rsid w:val="003D71D0"/>
    <w:rsid w:val="003D7452"/>
    <w:rsid w:val="003D77EE"/>
    <w:rsid w:val="003D79BB"/>
    <w:rsid w:val="003D7C98"/>
    <w:rsid w:val="003D7D26"/>
    <w:rsid w:val="003D7D9D"/>
    <w:rsid w:val="003E0543"/>
    <w:rsid w:val="003E2BFE"/>
    <w:rsid w:val="003E2F9D"/>
    <w:rsid w:val="003E338B"/>
    <w:rsid w:val="003E5603"/>
    <w:rsid w:val="003E6E17"/>
    <w:rsid w:val="003E732A"/>
    <w:rsid w:val="003E749E"/>
    <w:rsid w:val="003E7C70"/>
    <w:rsid w:val="003F0D28"/>
    <w:rsid w:val="003F10AD"/>
    <w:rsid w:val="003F1656"/>
    <w:rsid w:val="003F1ED3"/>
    <w:rsid w:val="003F4156"/>
    <w:rsid w:val="003F53CA"/>
    <w:rsid w:val="003F5ADF"/>
    <w:rsid w:val="003F5F40"/>
    <w:rsid w:val="00400B29"/>
    <w:rsid w:val="00402264"/>
    <w:rsid w:val="00402812"/>
    <w:rsid w:val="00402B89"/>
    <w:rsid w:val="0040504B"/>
    <w:rsid w:val="004059F4"/>
    <w:rsid w:val="00406E92"/>
    <w:rsid w:val="00407FE5"/>
    <w:rsid w:val="004101B0"/>
    <w:rsid w:val="00410326"/>
    <w:rsid w:val="00410708"/>
    <w:rsid w:val="00410EC7"/>
    <w:rsid w:val="00411B39"/>
    <w:rsid w:val="004127A7"/>
    <w:rsid w:val="00413155"/>
    <w:rsid w:val="00413A1E"/>
    <w:rsid w:val="00414476"/>
    <w:rsid w:val="00414C2E"/>
    <w:rsid w:val="00414CB0"/>
    <w:rsid w:val="004151CF"/>
    <w:rsid w:val="00415815"/>
    <w:rsid w:val="00416364"/>
    <w:rsid w:val="004163AE"/>
    <w:rsid w:val="0042047F"/>
    <w:rsid w:val="00420787"/>
    <w:rsid w:val="00420AA6"/>
    <w:rsid w:val="00420B9F"/>
    <w:rsid w:val="0042192C"/>
    <w:rsid w:val="00421EB0"/>
    <w:rsid w:val="00422260"/>
    <w:rsid w:val="0042413F"/>
    <w:rsid w:val="00424E39"/>
    <w:rsid w:val="004262E3"/>
    <w:rsid w:val="004305C1"/>
    <w:rsid w:val="004319F8"/>
    <w:rsid w:val="00431E55"/>
    <w:rsid w:val="004321F6"/>
    <w:rsid w:val="004329A1"/>
    <w:rsid w:val="00433044"/>
    <w:rsid w:val="00434088"/>
    <w:rsid w:val="00434610"/>
    <w:rsid w:val="004359E7"/>
    <w:rsid w:val="00436716"/>
    <w:rsid w:val="004375B9"/>
    <w:rsid w:val="00442866"/>
    <w:rsid w:val="004428D0"/>
    <w:rsid w:val="00444185"/>
    <w:rsid w:val="004443A7"/>
    <w:rsid w:val="0044442C"/>
    <w:rsid w:val="00445941"/>
    <w:rsid w:val="00445E05"/>
    <w:rsid w:val="00445EF2"/>
    <w:rsid w:val="004464EB"/>
    <w:rsid w:val="00447D26"/>
    <w:rsid w:val="00447DFC"/>
    <w:rsid w:val="00450372"/>
    <w:rsid w:val="00450AA5"/>
    <w:rsid w:val="004528D2"/>
    <w:rsid w:val="00454748"/>
    <w:rsid w:val="00454EC6"/>
    <w:rsid w:val="004551E8"/>
    <w:rsid w:val="00455D45"/>
    <w:rsid w:val="004578B7"/>
    <w:rsid w:val="00460131"/>
    <w:rsid w:val="00460540"/>
    <w:rsid w:val="004607CB"/>
    <w:rsid w:val="00461834"/>
    <w:rsid w:val="00464595"/>
    <w:rsid w:val="004658B5"/>
    <w:rsid w:val="00465ECE"/>
    <w:rsid w:val="00471467"/>
    <w:rsid w:val="00471EA5"/>
    <w:rsid w:val="004720B5"/>
    <w:rsid w:val="00472A53"/>
    <w:rsid w:val="00472A79"/>
    <w:rsid w:val="00472AC2"/>
    <w:rsid w:val="00473F19"/>
    <w:rsid w:val="00475264"/>
    <w:rsid w:val="00475E22"/>
    <w:rsid w:val="0048088A"/>
    <w:rsid w:val="0048088E"/>
    <w:rsid w:val="00480906"/>
    <w:rsid w:val="00480F2B"/>
    <w:rsid w:val="0048117C"/>
    <w:rsid w:val="00481E26"/>
    <w:rsid w:val="00482720"/>
    <w:rsid w:val="004835E7"/>
    <w:rsid w:val="004859E1"/>
    <w:rsid w:val="004867E2"/>
    <w:rsid w:val="004868A7"/>
    <w:rsid w:val="00490696"/>
    <w:rsid w:val="00490B17"/>
    <w:rsid w:val="0049157B"/>
    <w:rsid w:val="00491B3A"/>
    <w:rsid w:val="00492475"/>
    <w:rsid w:val="00492CFD"/>
    <w:rsid w:val="004932D7"/>
    <w:rsid w:val="0049372E"/>
    <w:rsid w:val="00493E32"/>
    <w:rsid w:val="00494207"/>
    <w:rsid w:val="00494764"/>
    <w:rsid w:val="00494DD5"/>
    <w:rsid w:val="004962D2"/>
    <w:rsid w:val="00496818"/>
    <w:rsid w:val="00497049"/>
    <w:rsid w:val="004978FE"/>
    <w:rsid w:val="004A0DA1"/>
    <w:rsid w:val="004A13D6"/>
    <w:rsid w:val="004A18A7"/>
    <w:rsid w:val="004A2148"/>
    <w:rsid w:val="004A257B"/>
    <w:rsid w:val="004A3915"/>
    <w:rsid w:val="004A4AC0"/>
    <w:rsid w:val="004A52E9"/>
    <w:rsid w:val="004A6040"/>
    <w:rsid w:val="004A6597"/>
    <w:rsid w:val="004A7848"/>
    <w:rsid w:val="004A793B"/>
    <w:rsid w:val="004B0519"/>
    <w:rsid w:val="004B0A50"/>
    <w:rsid w:val="004B15C2"/>
    <w:rsid w:val="004B1CB4"/>
    <w:rsid w:val="004B26F7"/>
    <w:rsid w:val="004B2F18"/>
    <w:rsid w:val="004B3DDB"/>
    <w:rsid w:val="004B44FD"/>
    <w:rsid w:val="004B5CFC"/>
    <w:rsid w:val="004B60D7"/>
    <w:rsid w:val="004B6F79"/>
    <w:rsid w:val="004B774D"/>
    <w:rsid w:val="004C2AC2"/>
    <w:rsid w:val="004C3BD1"/>
    <w:rsid w:val="004C4043"/>
    <w:rsid w:val="004C4AED"/>
    <w:rsid w:val="004D0225"/>
    <w:rsid w:val="004D0E65"/>
    <w:rsid w:val="004D2456"/>
    <w:rsid w:val="004D2C2D"/>
    <w:rsid w:val="004D2C74"/>
    <w:rsid w:val="004D554E"/>
    <w:rsid w:val="004D69B5"/>
    <w:rsid w:val="004D7227"/>
    <w:rsid w:val="004D7B5E"/>
    <w:rsid w:val="004E095D"/>
    <w:rsid w:val="004E0E7F"/>
    <w:rsid w:val="004E0EB8"/>
    <w:rsid w:val="004E139D"/>
    <w:rsid w:val="004E178F"/>
    <w:rsid w:val="004E18E9"/>
    <w:rsid w:val="004E28D0"/>
    <w:rsid w:val="004E292B"/>
    <w:rsid w:val="004E2ADC"/>
    <w:rsid w:val="004E39DC"/>
    <w:rsid w:val="004E43B2"/>
    <w:rsid w:val="004E69C0"/>
    <w:rsid w:val="004E6F96"/>
    <w:rsid w:val="004F042A"/>
    <w:rsid w:val="004F180B"/>
    <w:rsid w:val="004F1D02"/>
    <w:rsid w:val="004F2679"/>
    <w:rsid w:val="004F2BA5"/>
    <w:rsid w:val="004F2F21"/>
    <w:rsid w:val="004F3DE5"/>
    <w:rsid w:val="004F46F8"/>
    <w:rsid w:val="004F6301"/>
    <w:rsid w:val="004F6913"/>
    <w:rsid w:val="004F6B98"/>
    <w:rsid w:val="004F7860"/>
    <w:rsid w:val="004F7865"/>
    <w:rsid w:val="0050174E"/>
    <w:rsid w:val="00501854"/>
    <w:rsid w:val="0050219B"/>
    <w:rsid w:val="00502632"/>
    <w:rsid w:val="00503F17"/>
    <w:rsid w:val="00503F3A"/>
    <w:rsid w:val="00504A6D"/>
    <w:rsid w:val="0050572D"/>
    <w:rsid w:val="00506477"/>
    <w:rsid w:val="005064D8"/>
    <w:rsid w:val="00506510"/>
    <w:rsid w:val="00506928"/>
    <w:rsid w:val="005077EF"/>
    <w:rsid w:val="00507C4A"/>
    <w:rsid w:val="00510C04"/>
    <w:rsid w:val="00511AD5"/>
    <w:rsid w:val="00511DC7"/>
    <w:rsid w:val="00512436"/>
    <w:rsid w:val="00512D97"/>
    <w:rsid w:val="00513A55"/>
    <w:rsid w:val="005142C5"/>
    <w:rsid w:val="0051501B"/>
    <w:rsid w:val="005152B5"/>
    <w:rsid w:val="00515886"/>
    <w:rsid w:val="00515D3F"/>
    <w:rsid w:val="00515D50"/>
    <w:rsid w:val="00515E76"/>
    <w:rsid w:val="00517D6D"/>
    <w:rsid w:val="00520870"/>
    <w:rsid w:val="00520DA5"/>
    <w:rsid w:val="0052123C"/>
    <w:rsid w:val="00521319"/>
    <w:rsid w:val="00521C39"/>
    <w:rsid w:val="00522BC8"/>
    <w:rsid w:val="00523C28"/>
    <w:rsid w:val="005255DD"/>
    <w:rsid w:val="00527616"/>
    <w:rsid w:val="00527841"/>
    <w:rsid w:val="0053176B"/>
    <w:rsid w:val="005323EE"/>
    <w:rsid w:val="005328CF"/>
    <w:rsid w:val="00532B81"/>
    <w:rsid w:val="00532E2A"/>
    <w:rsid w:val="005341B3"/>
    <w:rsid w:val="00534310"/>
    <w:rsid w:val="00535779"/>
    <w:rsid w:val="00535A95"/>
    <w:rsid w:val="00535C49"/>
    <w:rsid w:val="00536F42"/>
    <w:rsid w:val="00537182"/>
    <w:rsid w:val="0054009F"/>
    <w:rsid w:val="00541EDD"/>
    <w:rsid w:val="00542743"/>
    <w:rsid w:val="00542C2D"/>
    <w:rsid w:val="00543BE6"/>
    <w:rsid w:val="0054455F"/>
    <w:rsid w:val="005467CD"/>
    <w:rsid w:val="005477BD"/>
    <w:rsid w:val="005478BD"/>
    <w:rsid w:val="005479E3"/>
    <w:rsid w:val="00551336"/>
    <w:rsid w:val="00551985"/>
    <w:rsid w:val="00552B4F"/>
    <w:rsid w:val="00552BD3"/>
    <w:rsid w:val="005532A0"/>
    <w:rsid w:val="005545F3"/>
    <w:rsid w:val="00554C92"/>
    <w:rsid w:val="00555109"/>
    <w:rsid w:val="0055624C"/>
    <w:rsid w:val="00556B35"/>
    <w:rsid w:val="0055741A"/>
    <w:rsid w:val="00557AC0"/>
    <w:rsid w:val="005611B7"/>
    <w:rsid w:val="005618D4"/>
    <w:rsid w:val="00564673"/>
    <w:rsid w:val="0056475D"/>
    <w:rsid w:val="00564867"/>
    <w:rsid w:val="005648B1"/>
    <w:rsid w:val="00565C79"/>
    <w:rsid w:val="00565DF0"/>
    <w:rsid w:val="0056696F"/>
    <w:rsid w:val="00567A1A"/>
    <w:rsid w:val="00572269"/>
    <w:rsid w:val="0057244A"/>
    <w:rsid w:val="00572552"/>
    <w:rsid w:val="005727F3"/>
    <w:rsid w:val="00572F26"/>
    <w:rsid w:val="005750C5"/>
    <w:rsid w:val="005752DE"/>
    <w:rsid w:val="00575D60"/>
    <w:rsid w:val="00575D8D"/>
    <w:rsid w:val="00576972"/>
    <w:rsid w:val="00577248"/>
    <w:rsid w:val="00580259"/>
    <w:rsid w:val="00580A43"/>
    <w:rsid w:val="005824F0"/>
    <w:rsid w:val="00583699"/>
    <w:rsid w:val="00585CDD"/>
    <w:rsid w:val="00587058"/>
    <w:rsid w:val="00587994"/>
    <w:rsid w:val="00587DC5"/>
    <w:rsid w:val="00590A91"/>
    <w:rsid w:val="00590D82"/>
    <w:rsid w:val="00590E06"/>
    <w:rsid w:val="00591737"/>
    <w:rsid w:val="00591957"/>
    <w:rsid w:val="00592564"/>
    <w:rsid w:val="005925F6"/>
    <w:rsid w:val="00594087"/>
    <w:rsid w:val="00594407"/>
    <w:rsid w:val="00597BF9"/>
    <w:rsid w:val="00597E7F"/>
    <w:rsid w:val="005A07BB"/>
    <w:rsid w:val="005A0C11"/>
    <w:rsid w:val="005A2A28"/>
    <w:rsid w:val="005A309A"/>
    <w:rsid w:val="005A3408"/>
    <w:rsid w:val="005A373D"/>
    <w:rsid w:val="005A3A90"/>
    <w:rsid w:val="005A4274"/>
    <w:rsid w:val="005A7302"/>
    <w:rsid w:val="005A737B"/>
    <w:rsid w:val="005A7E97"/>
    <w:rsid w:val="005B0B58"/>
    <w:rsid w:val="005B4A65"/>
    <w:rsid w:val="005B4E53"/>
    <w:rsid w:val="005B5857"/>
    <w:rsid w:val="005C0003"/>
    <w:rsid w:val="005C19C4"/>
    <w:rsid w:val="005C1B83"/>
    <w:rsid w:val="005C25FF"/>
    <w:rsid w:val="005C28C1"/>
    <w:rsid w:val="005C2A84"/>
    <w:rsid w:val="005C2C57"/>
    <w:rsid w:val="005C2D55"/>
    <w:rsid w:val="005C346B"/>
    <w:rsid w:val="005C595A"/>
    <w:rsid w:val="005C5ABC"/>
    <w:rsid w:val="005C75CD"/>
    <w:rsid w:val="005D044D"/>
    <w:rsid w:val="005D05E7"/>
    <w:rsid w:val="005D0708"/>
    <w:rsid w:val="005D07A3"/>
    <w:rsid w:val="005D0ABD"/>
    <w:rsid w:val="005D18AD"/>
    <w:rsid w:val="005D26B4"/>
    <w:rsid w:val="005E1561"/>
    <w:rsid w:val="005E1995"/>
    <w:rsid w:val="005E1F01"/>
    <w:rsid w:val="005E3428"/>
    <w:rsid w:val="005E3FD6"/>
    <w:rsid w:val="005E5EA7"/>
    <w:rsid w:val="005E6C4D"/>
    <w:rsid w:val="005E6CBC"/>
    <w:rsid w:val="005E71AD"/>
    <w:rsid w:val="005E72FF"/>
    <w:rsid w:val="005E73C0"/>
    <w:rsid w:val="005F07ED"/>
    <w:rsid w:val="005F22DD"/>
    <w:rsid w:val="005F2706"/>
    <w:rsid w:val="005F5036"/>
    <w:rsid w:val="005F6A8F"/>
    <w:rsid w:val="005F6BB7"/>
    <w:rsid w:val="005F6E20"/>
    <w:rsid w:val="005F7588"/>
    <w:rsid w:val="005F79B3"/>
    <w:rsid w:val="0060265B"/>
    <w:rsid w:val="00603DB9"/>
    <w:rsid w:val="00604448"/>
    <w:rsid w:val="00604970"/>
    <w:rsid w:val="006054BB"/>
    <w:rsid w:val="006054D0"/>
    <w:rsid w:val="00606FBA"/>
    <w:rsid w:val="00607669"/>
    <w:rsid w:val="006076F4"/>
    <w:rsid w:val="00607AFD"/>
    <w:rsid w:val="00607E48"/>
    <w:rsid w:val="006103D5"/>
    <w:rsid w:val="00611B12"/>
    <w:rsid w:val="00611BDC"/>
    <w:rsid w:val="0061217E"/>
    <w:rsid w:val="00612F97"/>
    <w:rsid w:val="00613034"/>
    <w:rsid w:val="0061345D"/>
    <w:rsid w:val="00613783"/>
    <w:rsid w:val="0061549B"/>
    <w:rsid w:val="006166B8"/>
    <w:rsid w:val="006166EE"/>
    <w:rsid w:val="00616802"/>
    <w:rsid w:val="00617E12"/>
    <w:rsid w:val="00620C25"/>
    <w:rsid w:val="00621477"/>
    <w:rsid w:val="00621920"/>
    <w:rsid w:val="00621ADA"/>
    <w:rsid w:val="00621E4C"/>
    <w:rsid w:val="00623F7B"/>
    <w:rsid w:val="00624BD4"/>
    <w:rsid w:val="0062595A"/>
    <w:rsid w:val="00630176"/>
    <w:rsid w:val="0063158F"/>
    <w:rsid w:val="00631D6B"/>
    <w:rsid w:val="00632183"/>
    <w:rsid w:val="00632532"/>
    <w:rsid w:val="00632C95"/>
    <w:rsid w:val="006330A1"/>
    <w:rsid w:val="0063479F"/>
    <w:rsid w:val="006353F0"/>
    <w:rsid w:val="006357B5"/>
    <w:rsid w:val="00635FC4"/>
    <w:rsid w:val="006364A1"/>
    <w:rsid w:val="0063678E"/>
    <w:rsid w:val="00637BFD"/>
    <w:rsid w:val="00637C5C"/>
    <w:rsid w:val="00641C4E"/>
    <w:rsid w:val="00641FB3"/>
    <w:rsid w:val="006422C1"/>
    <w:rsid w:val="0064282B"/>
    <w:rsid w:val="006430FE"/>
    <w:rsid w:val="006439F6"/>
    <w:rsid w:val="00643A2F"/>
    <w:rsid w:val="00643D38"/>
    <w:rsid w:val="0064434C"/>
    <w:rsid w:val="0064565B"/>
    <w:rsid w:val="00646D6A"/>
    <w:rsid w:val="00646F1E"/>
    <w:rsid w:val="006471CC"/>
    <w:rsid w:val="006472FE"/>
    <w:rsid w:val="00647651"/>
    <w:rsid w:val="00647A29"/>
    <w:rsid w:val="00647D87"/>
    <w:rsid w:val="0065079F"/>
    <w:rsid w:val="00651A3E"/>
    <w:rsid w:val="00652A28"/>
    <w:rsid w:val="0065379F"/>
    <w:rsid w:val="00653E0D"/>
    <w:rsid w:val="00656188"/>
    <w:rsid w:val="0065715A"/>
    <w:rsid w:val="00657330"/>
    <w:rsid w:val="00657894"/>
    <w:rsid w:val="006610F1"/>
    <w:rsid w:val="006613EF"/>
    <w:rsid w:val="00661C6B"/>
    <w:rsid w:val="00662D3E"/>
    <w:rsid w:val="00667BE3"/>
    <w:rsid w:val="00667F97"/>
    <w:rsid w:val="006705E8"/>
    <w:rsid w:val="00671004"/>
    <w:rsid w:val="00672646"/>
    <w:rsid w:val="00673740"/>
    <w:rsid w:val="00674E42"/>
    <w:rsid w:val="00676563"/>
    <w:rsid w:val="00680EB3"/>
    <w:rsid w:val="006813F8"/>
    <w:rsid w:val="00681915"/>
    <w:rsid w:val="00682112"/>
    <w:rsid w:val="006825C7"/>
    <w:rsid w:val="006825CB"/>
    <w:rsid w:val="00682BA6"/>
    <w:rsid w:val="00683D6B"/>
    <w:rsid w:val="00686957"/>
    <w:rsid w:val="00686FAF"/>
    <w:rsid w:val="006872BA"/>
    <w:rsid w:val="00690795"/>
    <w:rsid w:val="00691648"/>
    <w:rsid w:val="006917D7"/>
    <w:rsid w:val="0069220D"/>
    <w:rsid w:val="00693823"/>
    <w:rsid w:val="0069434C"/>
    <w:rsid w:val="00694555"/>
    <w:rsid w:val="00694ED1"/>
    <w:rsid w:val="00694F44"/>
    <w:rsid w:val="0069568B"/>
    <w:rsid w:val="00695A95"/>
    <w:rsid w:val="00696DEF"/>
    <w:rsid w:val="00696EF9"/>
    <w:rsid w:val="00696F51"/>
    <w:rsid w:val="006979A5"/>
    <w:rsid w:val="006A016F"/>
    <w:rsid w:val="006A0DF7"/>
    <w:rsid w:val="006A4321"/>
    <w:rsid w:val="006A43D9"/>
    <w:rsid w:val="006A4A7C"/>
    <w:rsid w:val="006A4E80"/>
    <w:rsid w:val="006A5F86"/>
    <w:rsid w:val="006A6ADF"/>
    <w:rsid w:val="006A6B81"/>
    <w:rsid w:val="006A6B99"/>
    <w:rsid w:val="006A7E5F"/>
    <w:rsid w:val="006B261B"/>
    <w:rsid w:val="006B2C90"/>
    <w:rsid w:val="006B35E6"/>
    <w:rsid w:val="006B465A"/>
    <w:rsid w:val="006B468C"/>
    <w:rsid w:val="006B496C"/>
    <w:rsid w:val="006B649B"/>
    <w:rsid w:val="006B692A"/>
    <w:rsid w:val="006B6DD0"/>
    <w:rsid w:val="006B765C"/>
    <w:rsid w:val="006C0399"/>
    <w:rsid w:val="006C03BB"/>
    <w:rsid w:val="006C080D"/>
    <w:rsid w:val="006C0C23"/>
    <w:rsid w:val="006C2A8E"/>
    <w:rsid w:val="006C2C6E"/>
    <w:rsid w:val="006C2D13"/>
    <w:rsid w:val="006C3255"/>
    <w:rsid w:val="006C3DE7"/>
    <w:rsid w:val="006C3F26"/>
    <w:rsid w:val="006C4AF5"/>
    <w:rsid w:val="006C5F8F"/>
    <w:rsid w:val="006D0D17"/>
    <w:rsid w:val="006D1448"/>
    <w:rsid w:val="006D3C7D"/>
    <w:rsid w:val="006D3E07"/>
    <w:rsid w:val="006D4659"/>
    <w:rsid w:val="006D48F3"/>
    <w:rsid w:val="006D5D5F"/>
    <w:rsid w:val="006D60EF"/>
    <w:rsid w:val="006D68FB"/>
    <w:rsid w:val="006D6AFC"/>
    <w:rsid w:val="006E2868"/>
    <w:rsid w:val="006E2AC0"/>
    <w:rsid w:val="006E30FF"/>
    <w:rsid w:val="006E46EB"/>
    <w:rsid w:val="006E75C0"/>
    <w:rsid w:val="006F0978"/>
    <w:rsid w:val="006F1EED"/>
    <w:rsid w:val="006F306C"/>
    <w:rsid w:val="006F34D4"/>
    <w:rsid w:val="006F384B"/>
    <w:rsid w:val="006F4B07"/>
    <w:rsid w:val="006F63A5"/>
    <w:rsid w:val="006F68A5"/>
    <w:rsid w:val="006F777F"/>
    <w:rsid w:val="006F7909"/>
    <w:rsid w:val="007009BF"/>
    <w:rsid w:val="00700A9B"/>
    <w:rsid w:val="00701402"/>
    <w:rsid w:val="0070142B"/>
    <w:rsid w:val="00702357"/>
    <w:rsid w:val="0070276E"/>
    <w:rsid w:val="00702F8F"/>
    <w:rsid w:val="00705A5C"/>
    <w:rsid w:val="00705CF3"/>
    <w:rsid w:val="0070645A"/>
    <w:rsid w:val="0070692C"/>
    <w:rsid w:val="007079FC"/>
    <w:rsid w:val="00707F37"/>
    <w:rsid w:val="00710A9D"/>
    <w:rsid w:val="00711A36"/>
    <w:rsid w:val="007122F5"/>
    <w:rsid w:val="007125D3"/>
    <w:rsid w:val="0071342E"/>
    <w:rsid w:val="00713AEF"/>
    <w:rsid w:val="0071472E"/>
    <w:rsid w:val="00714C26"/>
    <w:rsid w:val="0071529C"/>
    <w:rsid w:val="00716A34"/>
    <w:rsid w:val="007170DA"/>
    <w:rsid w:val="007172AD"/>
    <w:rsid w:val="00717546"/>
    <w:rsid w:val="00720801"/>
    <w:rsid w:val="00721440"/>
    <w:rsid w:val="00722B1B"/>
    <w:rsid w:val="00722FEA"/>
    <w:rsid w:val="007231BE"/>
    <w:rsid w:val="0072416F"/>
    <w:rsid w:val="007243B9"/>
    <w:rsid w:val="00724B4E"/>
    <w:rsid w:val="00725096"/>
    <w:rsid w:val="007273E7"/>
    <w:rsid w:val="00727946"/>
    <w:rsid w:val="00727C94"/>
    <w:rsid w:val="007303A7"/>
    <w:rsid w:val="007317CE"/>
    <w:rsid w:val="00731B0A"/>
    <w:rsid w:val="00731EAE"/>
    <w:rsid w:val="00733073"/>
    <w:rsid w:val="007332DE"/>
    <w:rsid w:val="00734535"/>
    <w:rsid w:val="00734EC4"/>
    <w:rsid w:val="00735033"/>
    <w:rsid w:val="00735328"/>
    <w:rsid w:val="00736252"/>
    <w:rsid w:val="00736712"/>
    <w:rsid w:val="0073685B"/>
    <w:rsid w:val="00743873"/>
    <w:rsid w:val="007449BF"/>
    <w:rsid w:val="00745499"/>
    <w:rsid w:val="007463FE"/>
    <w:rsid w:val="00746BC0"/>
    <w:rsid w:val="00747CCF"/>
    <w:rsid w:val="0075054B"/>
    <w:rsid w:val="007510B4"/>
    <w:rsid w:val="00752142"/>
    <w:rsid w:val="007523F9"/>
    <w:rsid w:val="00752B49"/>
    <w:rsid w:val="0075357E"/>
    <w:rsid w:val="00753B29"/>
    <w:rsid w:val="00754442"/>
    <w:rsid w:val="007547FD"/>
    <w:rsid w:val="00756AB6"/>
    <w:rsid w:val="007573E8"/>
    <w:rsid w:val="007574A7"/>
    <w:rsid w:val="00760C4E"/>
    <w:rsid w:val="00760F9E"/>
    <w:rsid w:val="007616E6"/>
    <w:rsid w:val="007627BE"/>
    <w:rsid w:val="00764BB4"/>
    <w:rsid w:val="00764F03"/>
    <w:rsid w:val="00765587"/>
    <w:rsid w:val="00765B1A"/>
    <w:rsid w:val="00765DC1"/>
    <w:rsid w:val="00767570"/>
    <w:rsid w:val="00770791"/>
    <w:rsid w:val="00770912"/>
    <w:rsid w:val="0077371F"/>
    <w:rsid w:val="0077394C"/>
    <w:rsid w:val="00774154"/>
    <w:rsid w:val="0077482F"/>
    <w:rsid w:val="00775016"/>
    <w:rsid w:val="00776B3B"/>
    <w:rsid w:val="00776C83"/>
    <w:rsid w:val="00777335"/>
    <w:rsid w:val="007819D4"/>
    <w:rsid w:val="007843F2"/>
    <w:rsid w:val="007846FA"/>
    <w:rsid w:val="00784741"/>
    <w:rsid w:val="00785A9F"/>
    <w:rsid w:val="0079259F"/>
    <w:rsid w:val="007925DF"/>
    <w:rsid w:val="00792D8E"/>
    <w:rsid w:val="00792E15"/>
    <w:rsid w:val="0079436F"/>
    <w:rsid w:val="0079448A"/>
    <w:rsid w:val="00795045"/>
    <w:rsid w:val="00795BAB"/>
    <w:rsid w:val="007A0230"/>
    <w:rsid w:val="007A072A"/>
    <w:rsid w:val="007A08AA"/>
    <w:rsid w:val="007A0A12"/>
    <w:rsid w:val="007A132D"/>
    <w:rsid w:val="007A1345"/>
    <w:rsid w:val="007A24C3"/>
    <w:rsid w:val="007A2DDB"/>
    <w:rsid w:val="007A366F"/>
    <w:rsid w:val="007A40E7"/>
    <w:rsid w:val="007A444D"/>
    <w:rsid w:val="007A49E0"/>
    <w:rsid w:val="007A5AFA"/>
    <w:rsid w:val="007A659F"/>
    <w:rsid w:val="007A70BA"/>
    <w:rsid w:val="007A7446"/>
    <w:rsid w:val="007A79BE"/>
    <w:rsid w:val="007A7D91"/>
    <w:rsid w:val="007B01EA"/>
    <w:rsid w:val="007B02A4"/>
    <w:rsid w:val="007B0D68"/>
    <w:rsid w:val="007B17AB"/>
    <w:rsid w:val="007B184A"/>
    <w:rsid w:val="007B24D3"/>
    <w:rsid w:val="007B251D"/>
    <w:rsid w:val="007B2BA7"/>
    <w:rsid w:val="007B2BB0"/>
    <w:rsid w:val="007B3533"/>
    <w:rsid w:val="007B4F58"/>
    <w:rsid w:val="007B528D"/>
    <w:rsid w:val="007B63CA"/>
    <w:rsid w:val="007B77D1"/>
    <w:rsid w:val="007B7BB4"/>
    <w:rsid w:val="007C07C7"/>
    <w:rsid w:val="007C1CD9"/>
    <w:rsid w:val="007C26CD"/>
    <w:rsid w:val="007C274E"/>
    <w:rsid w:val="007C30BC"/>
    <w:rsid w:val="007C32EF"/>
    <w:rsid w:val="007C361D"/>
    <w:rsid w:val="007C41D8"/>
    <w:rsid w:val="007C4B84"/>
    <w:rsid w:val="007C574D"/>
    <w:rsid w:val="007C6EA3"/>
    <w:rsid w:val="007C70FF"/>
    <w:rsid w:val="007C7C25"/>
    <w:rsid w:val="007D004F"/>
    <w:rsid w:val="007D035F"/>
    <w:rsid w:val="007D06B2"/>
    <w:rsid w:val="007D0B38"/>
    <w:rsid w:val="007D1CD9"/>
    <w:rsid w:val="007D2B86"/>
    <w:rsid w:val="007D3DF8"/>
    <w:rsid w:val="007D5440"/>
    <w:rsid w:val="007D69EB"/>
    <w:rsid w:val="007D721E"/>
    <w:rsid w:val="007E1156"/>
    <w:rsid w:val="007E128F"/>
    <w:rsid w:val="007E4379"/>
    <w:rsid w:val="007E630A"/>
    <w:rsid w:val="007E71A1"/>
    <w:rsid w:val="007F1017"/>
    <w:rsid w:val="007F125F"/>
    <w:rsid w:val="007F4A3F"/>
    <w:rsid w:val="007F4A44"/>
    <w:rsid w:val="007F4A61"/>
    <w:rsid w:val="007F50CC"/>
    <w:rsid w:val="007F5255"/>
    <w:rsid w:val="007F56CC"/>
    <w:rsid w:val="007F5E78"/>
    <w:rsid w:val="007F61C2"/>
    <w:rsid w:val="007F7D4E"/>
    <w:rsid w:val="00803886"/>
    <w:rsid w:val="00803EC3"/>
    <w:rsid w:val="00805142"/>
    <w:rsid w:val="00805FCE"/>
    <w:rsid w:val="00807A8B"/>
    <w:rsid w:val="00810148"/>
    <w:rsid w:val="00811383"/>
    <w:rsid w:val="0081160E"/>
    <w:rsid w:val="00811DED"/>
    <w:rsid w:val="00812149"/>
    <w:rsid w:val="00812A42"/>
    <w:rsid w:val="00812CAC"/>
    <w:rsid w:val="00812F61"/>
    <w:rsid w:val="008136CE"/>
    <w:rsid w:val="00813789"/>
    <w:rsid w:val="00816361"/>
    <w:rsid w:val="008166EF"/>
    <w:rsid w:val="00816781"/>
    <w:rsid w:val="00816FEF"/>
    <w:rsid w:val="008205DC"/>
    <w:rsid w:val="0082075E"/>
    <w:rsid w:val="008207B6"/>
    <w:rsid w:val="00820A8C"/>
    <w:rsid w:val="008215FB"/>
    <w:rsid w:val="008220CC"/>
    <w:rsid w:val="00823174"/>
    <w:rsid w:val="00825751"/>
    <w:rsid w:val="008262DC"/>
    <w:rsid w:val="008264EB"/>
    <w:rsid w:val="008268CE"/>
    <w:rsid w:val="008276A5"/>
    <w:rsid w:val="00827C23"/>
    <w:rsid w:val="00830DE1"/>
    <w:rsid w:val="008324BE"/>
    <w:rsid w:val="0083251E"/>
    <w:rsid w:val="008325D3"/>
    <w:rsid w:val="00832751"/>
    <w:rsid w:val="008336D2"/>
    <w:rsid w:val="00833B05"/>
    <w:rsid w:val="00835DEA"/>
    <w:rsid w:val="00835F8E"/>
    <w:rsid w:val="008362B4"/>
    <w:rsid w:val="00836662"/>
    <w:rsid w:val="00840CA2"/>
    <w:rsid w:val="0084374F"/>
    <w:rsid w:val="00844A22"/>
    <w:rsid w:val="00847703"/>
    <w:rsid w:val="00847DF5"/>
    <w:rsid w:val="0085309D"/>
    <w:rsid w:val="00854CAE"/>
    <w:rsid w:val="00854DA6"/>
    <w:rsid w:val="00856002"/>
    <w:rsid w:val="00856323"/>
    <w:rsid w:val="00856897"/>
    <w:rsid w:val="00856E9A"/>
    <w:rsid w:val="0085718A"/>
    <w:rsid w:val="008600A7"/>
    <w:rsid w:val="0086075D"/>
    <w:rsid w:val="00862502"/>
    <w:rsid w:val="00862CC1"/>
    <w:rsid w:val="00863EF3"/>
    <w:rsid w:val="008642A7"/>
    <w:rsid w:val="00864732"/>
    <w:rsid w:val="008660D4"/>
    <w:rsid w:val="008668A4"/>
    <w:rsid w:val="00871736"/>
    <w:rsid w:val="00871EE1"/>
    <w:rsid w:val="00871FA9"/>
    <w:rsid w:val="008728E9"/>
    <w:rsid w:val="00872EFE"/>
    <w:rsid w:val="008751EB"/>
    <w:rsid w:val="0087759A"/>
    <w:rsid w:val="00882874"/>
    <w:rsid w:val="00882E3C"/>
    <w:rsid w:val="0088308A"/>
    <w:rsid w:val="00883787"/>
    <w:rsid w:val="008853B5"/>
    <w:rsid w:val="008855E4"/>
    <w:rsid w:val="00886877"/>
    <w:rsid w:val="00886CD2"/>
    <w:rsid w:val="008874BE"/>
    <w:rsid w:val="00891E6F"/>
    <w:rsid w:val="00892757"/>
    <w:rsid w:val="0089275D"/>
    <w:rsid w:val="00892A36"/>
    <w:rsid w:val="00893239"/>
    <w:rsid w:val="00894489"/>
    <w:rsid w:val="00894CD6"/>
    <w:rsid w:val="00894E14"/>
    <w:rsid w:val="008963A5"/>
    <w:rsid w:val="008966B1"/>
    <w:rsid w:val="00896D5D"/>
    <w:rsid w:val="008972EB"/>
    <w:rsid w:val="008A08A0"/>
    <w:rsid w:val="008A11BC"/>
    <w:rsid w:val="008A1B32"/>
    <w:rsid w:val="008A3158"/>
    <w:rsid w:val="008A3363"/>
    <w:rsid w:val="008A3371"/>
    <w:rsid w:val="008A34B5"/>
    <w:rsid w:val="008A362A"/>
    <w:rsid w:val="008A377D"/>
    <w:rsid w:val="008A3C3E"/>
    <w:rsid w:val="008A4679"/>
    <w:rsid w:val="008A6820"/>
    <w:rsid w:val="008A6EB1"/>
    <w:rsid w:val="008A79DE"/>
    <w:rsid w:val="008B0C9B"/>
    <w:rsid w:val="008B1757"/>
    <w:rsid w:val="008B1C33"/>
    <w:rsid w:val="008B4B6F"/>
    <w:rsid w:val="008B67E1"/>
    <w:rsid w:val="008B68B2"/>
    <w:rsid w:val="008B6E84"/>
    <w:rsid w:val="008B7992"/>
    <w:rsid w:val="008B7D7E"/>
    <w:rsid w:val="008C0A47"/>
    <w:rsid w:val="008C29BA"/>
    <w:rsid w:val="008C318C"/>
    <w:rsid w:val="008C4225"/>
    <w:rsid w:val="008C5610"/>
    <w:rsid w:val="008C5739"/>
    <w:rsid w:val="008C582A"/>
    <w:rsid w:val="008C626F"/>
    <w:rsid w:val="008C7282"/>
    <w:rsid w:val="008C78EB"/>
    <w:rsid w:val="008C7ECB"/>
    <w:rsid w:val="008D02DC"/>
    <w:rsid w:val="008D2802"/>
    <w:rsid w:val="008D29E8"/>
    <w:rsid w:val="008D3B86"/>
    <w:rsid w:val="008D4063"/>
    <w:rsid w:val="008D43FD"/>
    <w:rsid w:val="008D4755"/>
    <w:rsid w:val="008D4C3D"/>
    <w:rsid w:val="008D5565"/>
    <w:rsid w:val="008D70BC"/>
    <w:rsid w:val="008D743C"/>
    <w:rsid w:val="008E02BD"/>
    <w:rsid w:val="008E0439"/>
    <w:rsid w:val="008E0D3C"/>
    <w:rsid w:val="008E1B9E"/>
    <w:rsid w:val="008E1D4D"/>
    <w:rsid w:val="008E2283"/>
    <w:rsid w:val="008E55AB"/>
    <w:rsid w:val="008F0801"/>
    <w:rsid w:val="008F120A"/>
    <w:rsid w:val="008F27E0"/>
    <w:rsid w:val="008F3A01"/>
    <w:rsid w:val="008F48EB"/>
    <w:rsid w:val="008F4F0B"/>
    <w:rsid w:val="00900876"/>
    <w:rsid w:val="00901198"/>
    <w:rsid w:val="00901A04"/>
    <w:rsid w:val="0090347D"/>
    <w:rsid w:val="009046C4"/>
    <w:rsid w:val="00905AC6"/>
    <w:rsid w:val="00905F15"/>
    <w:rsid w:val="009062A5"/>
    <w:rsid w:val="00907699"/>
    <w:rsid w:val="009079EA"/>
    <w:rsid w:val="00907A29"/>
    <w:rsid w:val="00910FA7"/>
    <w:rsid w:val="00911272"/>
    <w:rsid w:val="00911339"/>
    <w:rsid w:val="00911794"/>
    <w:rsid w:val="009135D6"/>
    <w:rsid w:val="00913F13"/>
    <w:rsid w:val="00914729"/>
    <w:rsid w:val="00914C77"/>
    <w:rsid w:val="00917AF1"/>
    <w:rsid w:val="009203ED"/>
    <w:rsid w:val="009205F5"/>
    <w:rsid w:val="00920B6D"/>
    <w:rsid w:val="0092135A"/>
    <w:rsid w:val="00921ACB"/>
    <w:rsid w:val="00922F47"/>
    <w:rsid w:val="0092369B"/>
    <w:rsid w:val="00924212"/>
    <w:rsid w:val="009256C4"/>
    <w:rsid w:val="00926CBD"/>
    <w:rsid w:val="009271AB"/>
    <w:rsid w:val="00932676"/>
    <w:rsid w:val="00933F4B"/>
    <w:rsid w:val="00934988"/>
    <w:rsid w:val="00936BA4"/>
    <w:rsid w:val="00937089"/>
    <w:rsid w:val="00940AEA"/>
    <w:rsid w:val="009411A8"/>
    <w:rsid w:val="00942D0B"/>
    <w:rsid w:val="0094492A"/>
    <w:rsid w:val="00944B67"/>
    <w:rsid w:val="00944F8A"/>
    <w:rsid w:val="00945FAE"/>
    <w:rsid w:val="00947B2C"/>
    <w:rsid w:val="00947F85"/>
    <w:rsid w:val="009510A2"/>
    <w:rsid w:val="00952AEE"/>
    <w:rsid w:val="00953257"/>
    <w:rsid w:val="0095474C"/>
    <w:rsid w:val="00955DD6"/>
    <w:rsid w:val="00956EC5"/>
    <w:rsid w:val="0095777C"/>
    <w:rsid w:val="00957D92"/>
    <w:rsid w:val="00962CB9"/>
    <w:rsid w:val="00964312"/>
    <w:rsid w:val="00964F94"/>
    <w:rsid w:val="009655BA"/>
    <w:rsid w:val="00965B8A"/>
    <w:rsid w:val="0097071F"/>
    <w:rsid w:val="009717AC"/>
    <w:rsid w:val="00971A8B"/>
    <w:rsid w:val="00971EAF"/>
    <w:rsid w:val="00972406"/>
    <w:rsid w:val="00974DDA"/>
    <w:rsid w:val="009751A7"/>
    <w:rsid w:val="009751C1"/>
    <w:rsid w:val="00976086"/>
    <w:rsid w:val="00977072"/>
    <w:rsid w:val="009811F1"/>
    <w:rsid w:val="009814E3"/>
    <w:rsid w:val="0098210D"/>
    <w:rsid w:val="00982DA7"/>
    <w:rsid w:val="00983377"/>
    <w:rsid w:val="00983E57"/>
    <w:rsid w:val="009849E7"/>
    <w:rsid w:val="00984E9E"/>
    <w:rsid w:val="00985DE2"/>
    <w:rsid w:val="0098675D"/>
    <w:rsid w:val="00987BA4"/>
    <w:rsid w:val="009926E0"/>
    <w:rsid w:val="0099451E"/>
    <w:rsid w:val="0099525D"/>
    <w:rsid w:val="009960F7"/>
    <w:rsid w:val="0099654B"/>
    <w:rsid w:val="00996B1A"/>
    <w:rsid w:val="009A0332"/>
    <w:rsid w:val="009A18F6"/>
    <w:rsid w:val="009A2DCC"/>
    <w:rsid w:val="009A2ED2"/>
    <w:rsid w:val="009A4F30"/>
    <w:rsid w:val="009A5ABC"/>
    <w:rsid w:val="009A641F"/>
    <w:rsid w:val="009A7F10"/>
    <w:rsid w:val="009A7F9A"/>
    <w:rsid w:val="009B0576"/>
    <w:rsid w:val="009B2087"/>
    <w:rsid w:val="009B3079"/>
    <w:rsid w:val="009B3E26"/>
    <w:rsid w:val="009B436A"/>
    <w:rsid w:val="009B4B02"/>
    <w:rsid w:val="009B5974"/>
    <w:rsid w:val="009B63AE"/>
    <w:rsid w:val="009C1203"/>
    <w:rsid w:val="009C1271"/>
    <w:rsid w:val="009C2570"/>
    <w:rsid w:val="009C3706"/>
    <w:rsid w:val="009C3A3A"/>
    <w:rsid w:val="009C504D"/>
    <w:rsid w:val="009C6A21"/>
    <w:rsid w:val="009C6CEA"/>
    <w:rsid w:val="009C6F91"/>
    <w:rsid w:val="009C7B85"/>
    <w:rsid w:val="009C7C73"/>
    <w:rsid w:val="009D0254"/>
    <w:rsid w:val="009D03E6"/>
    <w:rsid w:val="009D0633"/>
    <w:rsid w:val="009D1A64"/>
    <w:rsid w:val="009D2D99"/>
    <w:rsid w:val="009D30E4"/>
    <w:rsid w:val="009D585F"/>
    <w:rsid w:val="009D5B91"/>
    <w:rsid w:val="009D64DB"/>
    <w:rsid w:val="009D792E"/>
    <w:rsid w:val="009D7BF1"/>
    <w:rsid w:val="009E03F0"/>
    <w:rsid w:val="009E0DFE"/>
    <w:rsid w:val="009E31F6"/>
    <w:rsid w:val="009E42CC"/>
    <w:rsid w:val="009E4C07"/>
    <w:rsid w:val="009E777F"/>
    <w:rsid w:val="009F15D4"/>
    <w:rsid w:val="009F1AFF"/>
    <w:rsid w:val="009F6120"/>
    <w:rsid w:val="009F65B5"/>
    <w:rsid w:val="009F7AE4"/>
    <w:rsid w:val="009F7D18"/>
    <w:rsid w:val="00A00D76"/>
    <w:rsid w:val="00A01184"/>
    <w:rsid w:val="00A01449"/>
    <w:rsid w:val="00A037C2"/>
    <w:rsid w:val="00A03D43"/>
    <w:rsid w:val="00A04380"/>
    <w:rsid w:val="00A04786"/>
    <w:rsid w:val="00A04D61"/>
    <w:rsid w:val="00A04EE7"/>
    <w:rsid w:val="00A05472"/>
    <w:rsid w:val="00A05C32"/>
    <w:rsid w:val="00A06247"/>
    <w:rsid w:val="00A0653F"/>
    <w:rsid w:val="00A06DEF"/>
    <w:rsid w:val="00A10A02"/>
    <w:rsid w:val="00A1174E"/>
    <w:rsid w:val="00A11CD0"/>
    <w:rsid w:val="00A126A5"/>
    <w:rsid w:val="00A13948"/>
    <w:rsid w:val="00A14393"/>
    <w:rsid w:val="00A1555B"/>
    <w:rsid w:val="00A155C5"/>
    <w:rsid w:val="00A156B4"/>
    <w:rsid w:val="00A1572B"/>
    <w:rsid w:val="00A15C25"/>
    <w:rsid w:val="00A15F4F"/>
    <w:rsid w:val="00A16AD8"/>
    <w:rsid w:val="00A17749"/>
    <w:rsid w:val="00A2021E"/>
    <w:rsid w:val="00A20D0B"/>
    <w:rsid w:val="00A21C95"/>
    <w:rsid w:val="00A21CF3"/>
    <w:rsid w:val="00A22B8E"/>
    <w:rsid w:val="00A24813"/>
    <w:rsid w:val="00A24AFC"/>
    <w:rsid w:val="00A2646F"/>
    <w:rsid w:val="00A267ED"/>
    <w:rsid w:val="00A27160"/>
    <w:rsid w:val="00A271BB"/>
    <w:rsid w:val="00A27604"/>
    <w:rsid w:val="00A278B7"/>
    <w:rsid w:val="00A27AEC"/>
    <w:rsid w:val="00A320DB"/>
    <w:rsid w:val="00A3271B"/>
    <w:rsid w:val="00A3281B"/>
    <w:rsid w:val="00A32ACE"/>
    <w:rsid w:val="00A35D16"/>
    <w:rsid w:val="00A36550"/>
    <w:rsid w:val="00A3735A"/>
    <w:rsid w:val="00A37BCD"/>
    <w:rsid w:val="00A41689"/>
    <w:rsid w:val="00A42592"/>
    <w:rsid w:val="00A4370F"/>
    <w:rsid w:val="00A43C59"/>
    <w:rsid w:val="00A43DE0"/>
    <w:rsid w:val="00A441F0"/>
    <w:rsid w:val="00A44D63"/>
    <w:rsid w:val="00A45AA7"/>
    <w:rsid w:val="00A47B2B"/>
    <w:rsid w:val="00A50598"/>
    <w:rsid w:val="00A50ECD"/>
    <w:rsid w:val="00A50FA6"/>
    <w:rsid w:val="00A515DC"/>
    <w:rsid w:val="00A518F3"/>
    <w:rsid w:val="00A523D0"/>
    <w:rsid w:val="00A52729"/>
    <w:rsid w:val="00A53675"/>
    <w:rsid w:val="00A54CF6"/>
    <w:rsid w:val="00A564D7"/>
    <w:rsid w:val="00A568FD"/>
    <w:rsid w:val="00A56B6A"/>
    <w:rsid w:val="00A573D4"/>
    <w:rsid w:val="00A578DC"/>
    <w:rsid w:val="00A635D0"/>
    <w:rsid w:val="00A6377F"/>
    <w:rsid w:val="00A63928"/>
    <w:rsid w:val="00A640E2"/>
    <w:rsid w:val="00A64472"/>
    <w:rsid w:val="00A64D65"/>
    <w:rsid w:val="00A6725B"/>
    <w:rsid w:val="00A70605"/>
    <w:rsid w:val="00A70E83"/>
    <w:rsid w:val="00A73134"/>
    <w:rsid w:val="00A7365A"/>
    <w:rsid w:val="00A748F9"/>
    <w:rsid w:val="00A750CB"/>
    <w:rsid w:val="00A76001"/>
    <w:rsid w:val="00A777B2"/>
    <w:rsid w:val="00A80FDE"/>
    <w:rsid w:val="00A825D4"/>
    <w:rsid w:val="00A828F6"/>
    <w:rsid w:val="00A82B73"/>
    <w:rsid w:val="00A83E71"/>
    <w:rsid w:val="00A85E8E"/>
    <w:rsid w:val="00A8684F"/>
    <w:rsid w:val="00A86E8B"/>
    <w:rsid w:val="00A86ED8"/>
    <w:rsid w:val="00A87164"/>
    <w:rsid w:val="00A87546"/>
    <w:rsid w:val="00A91B82"/>
    <w:rsid w:val="00A9267A"/>
    <w:rsid w:val="00A93072"/>
    <w:rsid w:val="00A931AA"/>
    <w:rsid w:val="00A938BD"/>
    <w:rsid w:val="00A93953"/>
    <w:rsid w:val="00A944B3"/>
    <w:rsid w:val="00A94751"/>
    <w:rsid w:val="00A959D8"/>
    <w:rsid w:val="00A9744A"/>
    <w:rsid w:val="00AA0632"/>
    <w:rsid w:val="00AA113D"/>
    <w:rsid w:val="00AA3E55"/>
    <w:rsid w:val="00AA559B"/>
    <w:rsid w:val="00AA5ADC"/>
    <w:rsid w:val="00AA6BD5"/>
    <w:rsid w:val="00AA6BD8"/>
    <w:rsid w:val="00AA6C7D"/>
    <w:rsid w:val="00AA7422"/>
    <w:rsid w:val="00AA7FD6"/>
    <w:rsid w:val="00AB042A"/>
    <w:rsid w:val="00AB11AD"/>
    <w:rsid w:val="00AB187F"/>
    <w:rsid w:val="00AB19EF"/>
    <w:rsid w:val="00AB2495"/>
    <w:rsid w:val="00AB2D34"/>
    <w:rsid w:val="00AB3430"/>
    <w:rsid w:val="00AB37B9"/>
    <w:rsid w:val="00AB4AD1"/>
    <w:rsid w:val="00AB5288"/>
    <w:rsid w:val="00AB5E07"/>
    <w:rsid w:val="00AB6E58"/>
    <w:rsid w:val="00AB7CFA"/>
    <w:rsid w:val="00AC4E51"/>
    <w:rsid w:val="00AC5B42"/>
    <w:rsid w:val="00AC5B48"/>
    <w:rsid w:val="00AC6983"/>
    <w:rsid w:val="00AC6AED"/>
    <w:rsid w:val="00AD0555"/>
    <w:rsid w:val="00AD1450"/>
    <w:rsid w:val="00AD155E"/>
    <w:rsid w:val="00AD15E8"/>
    <w:rsid w:val="00AD356D"/>
    <w:rsid w:val="00AD3FDC"/>
    <w:rsid w:val="00AD50D5"/>
    <w:rsid w:val="00AD53AF"/>
    <w:rsid w:val="00AD5CC5"/>
    <w:rsid w:val="00AD644C"/>
    <w:rsid w:val="00AD6502"/>
    <w:rsid w:val="00AD6774"/>
    <w:rsid w:val="00AD6D56"/>
    <w:rsid w:val="00AD76B5"/>
    <w:rsid w:val="00AE0198"/>
    <w:rsid w:val="00AE054E"/>
    <w:rsid w:val="00AE0695"/>
    <w:rsid w:val="00AE1142"/>
    <w:rsid w:val="00AE12FD"/>
    <w:rsid w:val="00AE19A7"/>
    <w:rsid w:val="00AE359A"/>
    <w:rsid w:val="00AE3E7E"/>
    <w:rsid w:val="00AE6151"/>
    <w:rsid w:val="00AE6436"/>
    <w:rsid w:val="00AE7E53"/>
    <w:rsid w:val="00AF018A"/>
    <w:rsid w:val="00AF1315"/>
    <w:rsid w:val="00AF142D"/>
    <w:rsid w:val="00AF19BF"/>
    <w:rsid w:val="00AF1A88"/>
    <w:rsid w:val="00AF1EC0"/>
    <w:rsid w:val="00AF294D"/>
    <w:rsid w:val="00AF2DC3"/>
    <w:rsid w:val="00AF3619"/>
    <w:rsid w:val="00AF4C7E"/>
    <w:rsid w:val="00AF64F8"/>
    <w:rsid w:val="00AF74B4"/>
    <w:rsid w:val="00B0013E"/>
    <w:rsid w:val="00B01FA4"/>
    <w:rsid w:val="00B0200E"/>
    <w:rsid w:val="00B0243A"/>
    <w:rsid w:val="00B0251F"/>
    <w:rsid w:val="00B033E5"/>
    <w:rsid w:val="00B03A63"/>
    <w:rsid w:val="00B04DC0"/>
    <w:rsid w:val="00B06A91"/>
    <w:rsid w:val="00B07613"/>
    <w:rsid w:val="00B12488"/>
    <w:rsid w:val="00B126CB"/>
    <w:rsid w:val="00B129A4"/>
    <w:rsid w:val="00B1476F"/>
    <w:rsid w:val="00B1706D"/>
    <w:rsid w:val="00B17256"/>
    <w:rsid w:val="00B201A4"/>
    <w:rsid w:val="00B201D1"/>
    <w:rsid w:val="00B20BFD"/>
    <w:rsid w:val="00B213A6"/>
    <w:rsid w:val="00B21D50"/>
    <w:rsid w:val="00B235B0"/>
    <w:rsid w:val="00B23F60"/>
    <w:rsid w:val="00B2451C"/>
    <w:rsid w:val="00B24DF6"/>
    <w:rsid w:val="00B24E1E"/>
    <w:rsid w:val="00B25783"/>
    <w:rsid w:val="00B269C5"/>
    <w:rsid w:val="00B27A61"/>
    <w:rsid w:val="00B27D7F"/>
    <w:rsid w:val="00B27FA0"/>
    <w:rsid w:val="00B32363"/>
    <w:rsid w:val="00B33341"/>
    <w:rsid w:val="00B34284"/>
    <w:rsid w:val="00B34FE2"/>
    <w:rsid w:val="00B35166"/>
    <w:rsid w:val="00B357D8"/>
    <w:rsid w:val="00B360F4"/>
    <w:rsid w:val="00B368F7"/>
    <w:rsid w:val="00B36A00"/>
    <w:rsid w:val="00B3792B"/>
    <w:rsid w:val="00B37BFC"/>
    <w:rsid w:val="00B40358"/>
    <w:rsid w:val="00B40CDE"/>
    <w:rsid w:val="00B41614"/>
    <w:rsid w:val="00B42851"/>
    <w:rsid w:val="00B4286E"/>
    <w:rsid w:val="00B42F80"/>
    <w:rsid w:val="00B435CB"/>
    <w:rsid w:val="00B44513"/>
    <w:rsid w:val="00B45019"/>
    <w:rsid w:val="00B452FD"/>
    <w:rsid w:val="00B465EC"/>
    <w:rsid w:val="00B5045A"/>
    <w:rsid w:val="00B505C8"/>
    <w:rsid w:val="00B50DB8"/>
    <w:rsid w:val="00B53654"/>
    <w:rsid w:val="00B53905"/>
    <w:rsid w:val="00B546DB"/>
    <w:rsid w:val="00B54B5B"/>
    <w:rsid w:val="00B5562E"/>
    <w:rsid w:val="00B55862"/>
    <w:rsid w:val="00B55D65"/>
    <w:rsid w:val="00B56305"/>
    <w:rsid w:val="00B57000"/>
    <w:rsid w:val="00B601A3"/>
    <w:rsid w:val="00B604AF"/>
    <w:rsid w:val="00B60939"/>
    <w:rsid w:val="00B60AFD"/>
    <w:rsid w:val="00B62715"/>
    <w:rsid w:val="00B63FFF"/>
    <w:rsid w:val="00B64871"/>
    <w:rsid w:val="00B65611"/>
    <w:rsid w:val="00B657F8"/>
    <w:rsid w:val="00B70BC6"/>
    <w:rsid w:val="00B70E8E"/>
    <w:rsid w:val="00B71212"/>
    <w:rsid w:val="00B71F5A"/>
    <w:rsid w:val="00B73C05"/>
    <w:rsid w:val="00B742A7"/>
    <w:rsid w:val="00B75660"/>
    <w:rsid w:val="00B75ACB"/>
    <w:rsid w:val="00B76C92"/>
    <w:rsid w:val="00B80762"/>
    <w:rsid w:val="00B80EFD"/>
    <w:rsid w:val="00B818A4"/>
    <w:rsid w:val="00B833C4"/>
    <w:rsid w:val="00B83739"/>
    <w:rsid w:val="00B8383C"/>
    <w:rsid w:val="00B839CB"/>
    <w:rsid w:val="00B84117"/>
    <w:rsid w:val="00B844F7"/>
    <w:rsid w:val="00B858F0"/>
    <w:rsid w:val="00B85AA2"/>
    <w:rsid w:val="00B8649C"/>
    <w:rsid w:val="00B8695D"/>
    <w:rsid w:val="00B86AE4"/>
    <w:rsid w:val="00B87DD4"/>
    <w:rsid w:val="00B87F0A"/>
    <w:rsid w:val="00B9103E"/>
    <w:rsid w:val="00B92D0B"/>
    <w:rsid w:val="00B9351C"/>
    <w:rsid w:val="00B937ED"/>
    <w:rsid w:val="00B940C2"/>
    <w:rsid w:val="00B94945"/>
    <w:rsid w:val="00B94B4D"/>
    <w:rsid w:val="00B94DD6"/>
    <w:rsid w:val="00B95989"/>
    <w:rsid w:val="00B974E1"/>
    <w:rsid w:val="00BA0069"/>
    <w:rsid w:val="00BA322D"/>
    <w:rsid w:val="00BA4024"/>
    <w:rsid w:val="00BA42D2"/>
    <w:rsid w:val="00BA5132"/>
    <w:rsid w:val="00BA541B"/>
    <w:rsid w:val="00BA5805"/>
    <w:rsid w:val="00BA5E3A"/>
    <w:rsid w:val="00BA63FA"/>
    <w:rsid w:val="00BA6C51"/>
    <w:rsid w:val="00BA7041"/>
    <w:rsid w:val="00BA74E7"/>
    <w:rsid w:val="00BA7683"/>
    <w:rsid w:val="00BA7E82"/>
    <w:rsid w:val="00BB00B3"/>
    <w:rsid w:val="00BB043F"/>
    <w:rsid w:val="00BB0BDD"/>
    <w:rsid w:val="00BB176C"/>
    <w:rsid w:val="00BB1A21"/>
    <w:rsid w:val="00BB273C"/>
    <w:rsid w:val="00BB2A73"/>
    <w:rsid w:val="00BB3A45"/>
    <w:rsid w:val="00BB4ACC"/>
    <w:rsid w:val="00BB4B93"/>
    <w:rsid w:val="00BB703E"/>
    <w:rsid w:val="00BB72B6"/>
    <w:rsid w:val="00BB732D"/>
    <w:rsid w:val="00BB7405"/>
    <w:rsid w:val="00BC02CD"/>
    <w:rsid w:val="00BC3457"/>
    <w:rsid w:val="00BC3631"/>
    <w:rsid w:val="00BC425E"/>
    <w:rsid w:val="00BC591F"/>
    <w:rsid w:val="00BC5E51"/>
    <w:rsid w:val="00BC6F52"/>
    <w:rsid w:val="00BC7D6D"/>
    <w:rsid w:val="00BD2108"/>
    <w:rsid w:val="00BD28E7"/>
    <w:rsid w:val="00BD29F0"/>
    <w:rsid w:val="00BD2E66"/>
    <w:rsid w:val="00BD59B1"/>
    <w:rsid w:val="00BD5B30"/>
    <w:rsid w:val="00BD6235"/>
    <w:rsid w:val="00BD68A3"/>
    <w:rsid w:val="00BD6938"/>
    <w:rsid w:val="00BD6CF3"/>
    <w:rsid w:val="00BD77D0"/>
    <w:rsid w:val="00BD7F72"/>
    <w:rsid w:val="00BE0923"/>
    <w:rsid w:val="00BE0925"/>
    <w:rsid w:val="00BE0A28"/>
    <w:rsid w:val="00BE0ECA"/>
    <w:rsid w:val="00BE13FA"/>
    <w:rsid w:val="00BE2180"/>
    <w:rsid w:val="00BE21F2"/>
    <w:rsid w:val="00BE27E9"/>
    <w:rsid w:val="00BE2EF4"/>
    <w:rsid w:val="00BE4275"/>
    <w:rsid w:val="00BE58B7"/>
    <w:rsid w:val="00BE5EC8"/>
    <w:rsid w:val="00BE6724"/>
    <w:rsid w:val="00BE7CB0"/>
    <w:rsid w:val="00BF06AE"/>
    <w:rsid w:val="00BF0F95"/>
    <w:rsid w:val="00BF1284"/>
    <w:rsid w:val="00BF2433"/>
    <w:rsid w:val="00BF2655"/>
    <w:rsid w:val="00BF2E6E"/>
    <w:rsid w:val="00BF38D5"/>
    <w:rsid w:val="00BF463A"/>
    <w:rsid w:val="00BF61C9"/>
    <w:rsid w:val="00BF6C94"/>
    <w:rsid w:val="00BF7AA4"/>
    <w:rsid w:val="00C00424"/>
    <w:rsid w:val="00C00437"/>
    <w:rsid w:val="00C00BB0"/>
    <w:rsid w:val="00C01147"/>
    <w:rsid w:val="00C0473E"/>
    <w:rsid w:val="00C055A4"/>
    <w:rsid w:val="00C1028F"/>
    <w:rsid w:val="00C1179F"/>
    <w:rsid w:val="00C11AB8"/>
    <w:rsid w:val="00C1240F"/>
    <w:rsid w:val="00C127B9"/>
    <w:rsid w:val="00C12832"/>
    <w:rsid w:val="00C128FA"/>
    <w:rsid w:val="00C12C14"/>
    <w:rsid w:val="00C13DA0"/>
    <w:rsid w:val="00C14092"/>
    <w:rsid w:val="00C15F04"/>
    <w:rsid w:val="00C164CC"/>
    <w:rsid w:val="00C16E6F"/>
    <w:rsid w:val="00C179B3"/>
    <w:rsid w:val="00C17E3F"/>
    <w:rsid w:val="00C200AA"/>
    <w:rsid w:val="00C20CA7"/>
    <w:rsid w:val="00C21277"/>
    <w:rsid w:val="00C237ED"/>
    <w:rsid w:val="00C24632"/>
    <w:rsid w:val="00C24C3E"/>
    <w:rsid w:val="00C24C40"/>
    <w:rsid w:val="00C24EF3"/>
    <w:rsid w:val="00C25418"/>
    <w:rsid w:val="00C25D9C"/>
    <w:rsid w:val="00C26C3C"/>
    <w:rsid w:val="00C26C69"/>
    <w:rsid w:val="00C2778B"/>
    <w:rsid w:val="00C277A2"/>
    <w:rsid w:val="00C30857"/>
    <w:rsid w:val="00C31649"/>
    <w:rsid w:val="00C33448"/>
    <w:rsid w:val="00C3434C"/>
    <w:rsid w:val="00C34CA3"/>
    <w:rsid w:val="00C34E8E"/>
    <w:rsid w:val="00C35F6F"/>
    <w:rsid w:val="00C36606"/>
    <w:rsid w:val="00C374B2"/>
    <w:rsid w:val="00C37582"/>
    <w:rsid w:val="00C3770E"/>
    <w:rsid w:val="00C37B0C"/>
    <w:rsid w:val="00C4014B"/>
    <w:rsid w:val="00C40385"/>
    <w:rsid w:val="00C41768"/>
    <w:rsid w:val="00C427B3"/>
    <w:rsid w:val="00C42E97"/>
    <w:rsid w:val="00C44527"/>
    <w:rsid w:val="00C475AA"/>
    <w:rsid w:val="00C516BB"/>
    <w:rsid w:val="00C51BD3"/>
    <w:rsid w:val="00C521FB"/>
    <w:rsid w:val="00C527C7"/>
    <w:rsid w:val="00C53634"/>
    <w:rsid w:val="00C536EB"/>
    <w:rsid w:val="00C53C98"/>
    <w:rsid w:val="00C56408"/>
    <w:rsid w:val="00C56FCF"/>
    <w:rsid w:val="00C57B6C"/>
    <w:rsid w:val="00C60436"/>
    <w:rsid w:val="00C61A15"/>
    <w:rsid w:val="00C61A59"/>
    <w:rsid w:val="00C628A6"/>
    <w:rsid w:val="00C62BBB"/>
    <w:rsid w:val="00C63026"/>
    <w:rsid w:val="00C6320D"/>
    <w:rsid w:val="00C6349E"/>
    <w:rsid w:val="00C6357A"/>
    <w:rsid w:val="00C64344"/>
    <w:rsid w:val="00C65108"/>
    <w:rsid w:val="00C65576"/>
    <w:rsid w:val="00C66165"/>
    <w:rsid w:val="00C6651F"/>
    <w:rsid w:val="00C66C26"/>
    <w:rsid w:val="00C6753F"/>
    <w:rsid w:val="00C7060A"/>
    <w:rsid w:val="00C7151A"/>
    <w:rsid w:val="00C717E3"/>
    <w:rsid w:val="00C71F60"/>
    <w:rsid w:val="00C72241"/>
    <w:rsid w:val="00C7375B"/>
    <w:rsid w:val="00C750C8"/>
    <w:rsid w:val="00C7560F"/>
    <w:rsid w:val="00C75D20"/>
    <w:rsid w:val="00C80A0E"/>
    <w:rsid w:val="00C80E26"/>
    <w:rsid w:val="00C81E3D"/>
    <w:rsid w:val="00C8213F"/>
    <w:rsid w:val="00C82E7A"/>
    <w:rsid w:val="00C82F9B"/>
    <w:rsid w:val="00C8303F"/>
    <w:rsid w:val="00C83A50"/>
    <w:rsid w:val="00C842E3"/>
    <w:rsid w:val="00C84536"/>
    <w:rsid w:val="00C85154"/>
    <w:rsid w:val="00C85A70"/>
    <w:rsid w:val="00C865A7"/>
    <w:rsid w:val="00C8797A"/>
    <w:rsid w:val="00C87DF4"/>
    <w:rsid w:val="00C900B8"/>
    <w:rsid w:val="00C90197"/>
    <w:rsid w:val="00C90C71"/>
    <w:rsid w:val="00C91FD1"/>
    <w:rsid w:val="00C923DA"/>
    <w:rsid w:val="00C92590"/>
    <w:rsid w:val="00C931CF"/>
    <w:rsid w:val="00C938CF"/>
    <w:rsid w:val="00C94053"/>
    <w:rsid w:val="00C961A0"/>
    <w:rsid w:val="00C9624D"/>
    <w:rsid w:val="00C967B6"/>
    <w:rsid w:val="00C9693C"/>
    <w:rsid w:val="00C969DA"/>
    <w:rsid w:val="00C97867"/>
    <w:rsid w:val="00CA0E26"/>
    <w:rsid w:val="00CA2C77"/>
    <w:rsid w:val="00CA2DB7"/>
    <w:rsid w:val="00CA3A1E"/>
    <w:rsid w:val="00CA3A3D"/>
    <w:rsid w:val="00CA3B05"/>
    <w:rsid w:val="00CA444F"/>
    <w:rsid w:val="00CA5245"/>
    <w:rsid w:val="00CA71F4"/>
    <w:rsid w:val="00CA734F"/>
    <w:rsid w:val="00CA7B09"/>
    <w:rsid w:val="00CB0F7C"/>
    <w:rsid w:val="00CB12A5"/>
    <w:rsid w:val="00CB1CAC"/>
    <w:rsid w:val="00CB2F2A"/>
    <w:rsid w:val="00CB3967"/>
    <w:rsid w:val="00CB488F"/>
    <w:rsid w:val="00CB4FE4"/>
    <w:rsid w:val="00CB5B1A"/>
    <w:rsid w:val="00CB6B22"/>
    <w:rsid w:val="00CB7F5F"/>
    <w:rsid w:val="00CC0784"/>
    <w:rsid w:val="00CC18C7"/>
    <w:rsid w:val="00CC1B39"/>
    <w:rsid w:val="00CC1BFA"/>
    <w:rsid w:val="00CC2401"/>
    <w:rsid w:val="00CC2E9F"/>
    <w:rsid w:val="00CC35EA"/>
    <w:rsid w:val="00CC3848"/>
    <w:rsid w:val="00CC3E15"/>
    <w:rsid w:val="00CC58F7"/>
    <w:rsid w:val="00CC6D5E"/>
    <w:rsid w:val="00CC7AC2"/>
    <w:rsid w:val="00CD0200"/>
    <w:rsid w:val="00CD0E2F"/>
    <w:rsid w:val="00CD2C3A"/>
    <w:rsid w:val="00CD3F77"/>
    <w:rsid w:val="00CD51D2"/>
    <w:rsid w:val="00CD540C"/>
    <w:rsid w:val="00CD5510"/>
    <w:rsid w:val="00CD5BCC"/>
    <w:rsid w:val="00CD6ADC"/>
    <w:rsid w:val="00CD7193"/>
    <w:rsid w:val="00CD7238"/>
    <w:rsid w:val="00CD73D2"/>
    <w:rsid w:val="00CE10E6"/>
    <w:rsid w:val="00CE12EE"/>
    <w:rsid w:val="00CE1E15"/>
    <w:rsid w:val="00CE38C8"/>
    <w:rsid w:val="00CE3D10"/>
    <w:rsid w:val="00CE4864"/>
    <w:rsid w:val="00CE4EBF"/>
    <w:rsid w:val="00CE524F"/>
    <w:rsid w:val="00CE58CC"/>
    <w:rsid w:val="00CE59A0"/>
    <w:rsid w:val="00CE6274"/>
    <w:rsid w:val="00CE77B6"/>
    <w:rsid w:val="00CF0CCE"/>
    <w:rsid w:val="00CF2B8D"/>
    <w:rsid w:val="00CF3A1B"/>
    <w:rsid w:val="00CF456B"/>
    <w:rsid w:val="00CF4770"/>
    <w:rsid w:val="00CF4AA4"/>
    <w:rsid w:val="00CF509B"/>
    <w:rsid w:val="00CF5A22"/>
    <w:rsid w:val="00CF798E"/>
    <w:rsid w:val="00D0251E"/>
    <w:rsid w:val="00D0262E"/>
    <w:rsid w:val="00D02C0B"/>
    <w:rsid w:val="00D03679"/>
    <w:rsid w:val="00D05E3D"/>
    <w:rsid w:val="00D06139"/>
    <w:rsid w:val="00D110BD"/>
    <w:rsid w:val="00D113AA"/>
    <w:rsid w:val="00D12447"/>
    <w:rsid w:val="00D12C06"/>
    <w:rsid w:val="00D131D8"/>
    <w:rsid w:val="00D13675"/>
    <w:rsid w:val="00D141E1"/>
    <w:rsid w:val="00D1481A"/>
    <w:rsid w:val="00D1530E"/>
    <w:rsid w:val="00D15314"/>
    <w:rsid w:val="00D15B2C"/>
    <w:rsid w:val="00D15B48"/>
    <w:rsid w:val="00D17D6C"/>
    <w:rsid w:val="00D20BFF"/>
    <w:rsid w:val="00D2112F"/>
    <w:rsid w:val="00D2155B"/>
    <w:rsid w:val="00D21F39"/>
    <w:rsid w:val="00D23C9B"/>
    <w:rsid w:val="00D23D11"/>
    <w:rsid w:val="00D244B6"/>
    <w:rsid w:val="00D244CA"/>
    <w:rsid w:val="00D24E40"/>
    <w:rsid w:val="00D257CB"/>
    <w:rsid w:val="00D2754D"/>
    <w:rsid w:val="00D27B27"/>
    <w:rsid w:val="00D30B8D"/>
    <w:rsid w:val="00D30D5B"/>
    <w:rsid w:val="00D31A1C"/>
    <w:rsid w:val="00D338F3"/>
    <w:rsid w:val="00D33BE9"/>
    <w:rsid w:val="00D33F93"/>
    <w:rsid w:val="00D3404D"/>
    <w:rsid w:val="00D357FF"/>
    <w:rsid w:val="00D424C7"/>
    <w:rsid w:val="00D4314D"/>
    <w:rsid w:val="00D43960"/>
    <w:rsid w:val="00D439C2"/>
    <w:rsid w:val="00D43B2A"/>
    <w:rsid w:val="00D43CF1"/>
    <w:rsid w:val="00D43D83"/>
    <w:rsid w:val="00D4481C"/>
    <w:rsid w:val="00D44DBE"/>
    <w:rsid w:val="00D454B5"/>
    <w:rsid w:val="00D45C04"/>
    <w:rsid w:val="00D46B15"/>
    <w:rsid w:val="00D46F06"/>
    <w:rsid w:val="00D47575"/>
    <w:rsid w:val="00D50911"/>
    <w:rsid w:val="00D50D24"/>
    <w:rsid w:val="00D5243B"/>
    <w:rsid w:val="00D52B97"/>
    <w:rsid w:val="00D533EC"/>
    <w:rsid w:val="00D54F46"/>
    <w:rsid w:val="00D569D2"/>
    <w:rsid w:val="00D56A95"/>
    <w:rsid w:val="00D56DE1"/>
    <w:rsid w:val="00D6076E"/>
    <w:rsid w:val="00D60EE4"/>
    <w:rsid w:val="00D622A4"/>
    <w:rsid w:val="00D625BB"/>
    <w:rsid w:val="00D63605"/>
    <w:rsid w:val="00D6675A"/>
    <w:rsid w:val="00D66C7C"/>
    <w:rsid w:val="00D671F2"/>
    <w:rsid w:val="00D7039A"/>
    <w:rsid w:val="00D70F16"/>
    <w:rsid w:val="00D716DA"/>
    <w:rsid w:val="00D72617"/>
    <w:rsid w:val="00D72CEE"/>
    <w:rsid w:val="00D72F57"/>
    <w:rsid w:val="00D73B27"/>
    <w:rsid w:val="00D7439E"/>
    <w:rsid w:val="00D76A44"/>
    <w:rsid w:val="00D770C9"/>
    <w:rsid w:val="00D77433"/>
    <w:rsid w:val="00D779E6"/>
    <w:rsid w:val="00D807DF"/>
    <w:rsid w:val="00D815EF"/>
    <w:rsid w:val="00D81949"/>
    <w:rsid w:val="00D81F26"/>
    <w:rsid w:val="00D82115"/>
    <w:rsid w:val="00D822E2"/>
    <w:rsid w:val="00D83DED"/>
    <w:rsid w:val="00D843F2"/>
    <w:rsid w:val="00D84B06"/>
    <w:rsid w:val="00D86231"/>
    <w:rsid w:val="00D909B2"/>
    <w:rsid w:val="00D912AB"/>
    <w:rsid w:val="00D91923"/>
    <w:rsid w:val="00D93753"/>
    <w:rsid w:val="00D96D8A"/>
    <w:rsid w:val="00D97FE9"/>
    <w:rsid w:val="00DA0B33"/>
    <w:rsid w:val="00DA3167"/>
    <w:rsid w:val="00DA3ED0"/>
    <w:rsid w:val="00DA4622"/>
    <w:rsid w:val="00DA4DC3"/>
    <w:rsid w:val="00DA77A5"/>
    <w:rsid w:val="00DB00A9"/>
    <w:rsid w:val="00DB0E36"/>
    <w:rsid w:val="00DB3C0E"/>
    <w:rsid w:val="00DB3DBF"/>
    <w:rsid w:val="00DB484F"/>
    <w:rsid w:val="00DB6668"/>
    <w:rsid w:val="00DB73C5"/>
    <w:rsid w:val="00DC04F6"/>
    <w:rsid w:val="00DC0690"/>
    <w:rsid w:val="00DC0C5C"/>
    <w:rsid w:val="00DC1CD9"/>
    <w:rsid w:val="00DC1D65"/>
    <w:rsid w:val="00DC1E95"/>
    <w:rsid w:val="00DC2F37"/>
    <w:rsid w:val="00DC38EA"/>
    <w:rsid w:val="00DC3C57"/>
    <w:rsid w:val="00DC47D3"/>
    <w:rsid w:val="00DC5501"/>
    <w:rsid w:val="00DC5DE4"/>
    <w:rsid w:val="00DC7154"/>
    <w:rsid w:val="00DC7E8A"/>
    <w:rsid w:val="00DD02A1"/>
    <w:rsid w:val="00DD0F4B"/>
    <w:rsid w:val="00DD0F78"/>
    <w:rsid w:val="00DD1493"/>
    <w:rsid w:val="00DD26F9"/>
    <w:rsid w:val="00DD273C"/>
    <w:rsid w:val="00DD2766"/>
    <w:rsid w:val="00DD2ADA"/>
    <w:rsid w:val="00DD2CD2"/>
    <w:rsid w:val="00DD3F28"/>
    <w:rsid w:val="00DD4446"/>
    <w:rsid w:val="00DD4537"/>
    <w:rsid w:val="00DD4E15"/>
    <w:rsid w:val="00DD50BD"/>
    <w:rsid w:val="00DD5540"/>
    <w:rsid w:val="00DD6134"/>
    <w:rsid w:val="00DE10F3"/>
    <w:rsid w:val="00DE16BF"/>
    <w:rsid w:val="00DE2304"/>
    <w:rsid w:val="00DE3138"/>
    <w:rsid w:val="00DE37F8"/>
    <w:rsid w:val="00DE3B89"/>
    <w:rsid w:val="00DE4273"/>
    <w:rsid w:val="00DE4D9A"/>
    <w:rsid w:val="00DE4FCB"/>
    <w:rsid w:val="00DE5D07"/>
    <w:rsid w:val="00DE6E51"/>
    <w:rsid w:val="00DE72A7"/>
    <w:rsid w:val="00DE7832"/>
    <w:rsid w:val="00DE7AAD"/>
    <w:rsid w:val="00DE7B32"/>
    <w:rsid w:val="00DE7B62"/>
    <w:rsid w:val="00DF0BB4"/>
    <w:rsid w:val="00DF18FC"/>
    <w:rsid w:val="00DF302F"/>
    <w:rsid w:val="00DF3B49"/>
    <w:rsid w:val="00DF5D2B"/>
    <w:rsid w:val="00DF6341"/>
    <w:rsid w:val="00E00E8E"/>
    <w:rsid w:val="00E05630"/>
    <w:rsid w:val="00E05D6B"/>
    <w:rsid w:val="00E06DBB"/>
    <w:rsid w:val="00E100D5"/>
    <w:rsid w:val="00E10149"/>
    <w:rsid w:val="00E10F37"/>
    <w:rsid w:val="00E11267"/>
    <w:rsid w:val="00E11340"/>
    <w:rsid w:val="00E122A1"/>
    <w:rsid w:val="00E1287B"/>
    <w:rsid w:val="00E15F22"/>
    <w:rsid w:val="00E16372"/>
    <w:rsid w:val="00E16AD8"/>
    <w:rsid w:val="00E177F8"/>
    <w:rsid w:val="00E17FFA"/>
    <w:rsid w:val="00E20055"/>
    <w:rsid w:val="00E20794"/>
    <w:rsid w:val="00E20E4D"/>
    <w:rsid w:val="00E20ED6"/>
    <w:rsid w:val="00E210B7"/>
    <w:rsid w:val="00E21358"/>
    <w:rsid w:val="00E2210E"/>
    <w:rsid w:val="00E2249B"/>
    <w:rsid w:val="00E22A0D"/>
    <w:rsid w:val="00E244F6"/>
    <w:rsid w:val="00E248CA"/>
    <w:rsid w:val="00E249B1"/>
    <w:rsid w:val="00E2514C"/>
    <w:rsid w:val="00E258DB"/>
    <w:rsid w:val="00E2686B"/>
    <w:rsid w:val="00E2771E"/>
    <w:rsid w:val="00E311EF"/>
    <w:rsid w:val="00E31617"/>
    <w:rsid w:val="00E317CC"/>
    <w:rsid w:val="00E32168"/>
    <w:rsid w:val="00E32180"/>
    <w:rsid w:val="00E32760"/>
    <w:rsid w:val="00E33853"/>
    <w:rsid w:val="00E34948"/>
    <w:rsid w:val="00E35DFC"/>
    <w:rsid w:val="00E37569"/>
    <w:rsid w:val="00E37FA8"/>
    <w:rsid w:val="00E401B2"/>
    <w:rsid w:val="00E41E30"/>
    <w:rsid w:val="00E42AD6"/>
    <w:rsid w:val="00E42F73"/>
    <w:rsid w:val="00E43CE9"/>
    <w:rsid w:val="00E43D70"/>
    <w:rsid w:val="00E466F3"/>
    <w:rsid w:val="00E46920"/>
    <w:rsid w:val="00E477A3"/>
    <w:rsid w:val="00E47B2C"/>
    <w:rsid w:val="00E47E4A"/>
    <w:rsid w:val="00E504EE"/>
    <w:rsid w:val="00E505F3"/>
    <w:rsid w:val="00E51560"/>
    <w:rsid w:val="00E51821"/>
    <w:rsid w:val="00E51BF8"/>
    <w:rsid w:val="00E51E4D"/>
    <w:rsid w:val="00E523BF"/>
    <w:rsid w:val="00E53FC8"/>
    <w:rsid w:val="00E5405F"/>
    <w:rsid w:val="00E541AE"/>
    <w:rsid w:val="00E54347"/>
    <w:rsid w:val="00E551D3"/>
    <w:rsid w:val="00E55424"/>
    <w:rsid w:val="00E55915"/>
    <w:rsid w:val="00E55BB5"/>
    <w:rsid w:val="00E55F5C"/>
    <w:rsid w:val="00E56022"/>
    <w:rsid w:val="00E611DF"/>
    <w:rsid w:val="00E618E7"/>
    <w:rsid w:val="00E62613"/>
    <w:rsid w:val="00E62DFE"/>
    <w:rsid w:val="00E63355"/>
    <w:rsid w:val="00E64B22"/>
    <w:rsid w:val="00E65E79"/>
    <w:rsid w:val="00E66BA2"/>
    <w:rsid w:val="00E66E3D"/>
    <w:rsid w:val="00E67416"/>
    <w:rsid w:val="00E718B6"/>
    <w:rsid w:val="00E723BA"/>
    <w:rsid w:val="00E727B9"/>
    <w:rsid w:val="00E73581"/>
    <w:rsid w:val="00E73C0E"/>
    <w:rsid w:val="00E7471C"/>
    <w:rsid w:val="00E74E03"/>
    <w:rsid w:val="00E82BB9"/>
    <w:rsid w:val="00E82C63"/>
    <w:rsid w:val="00E833F7"/>
    <w:rsid w:val="00E8341E"/>
    <w:rsid w:val="00E83BDF"/>
    <w:rsid w:val="00E85997"/>
    <w:rsid w:val="00E8621A"/>
    <w:rsid w:val="00E86AF8"/>
    <w:rsid w:val="00E86FCC"/>
    <w:rsid w:val="00E87A1D"/>
    <w:rsid w:val="00E90193"/>
    <w:rsid w:val="00E9026A"/>
    <w:rsid w:val="00E90390"/>
    <w:rsid w:val="00E9044B"/>
    <w:rsid w:val="00E9094A"/>
    <w:rsid w:val="00E91D35"/>
    <w:rsid w:val="00E925CB"/>
    <w:rsid w:val="00E926A5"/>
    <w:rsid w:val="00E93FD0"/>
    <w:rsid w:val="00E94927"/>
    <w:rsid w:val="00E94CDA"/>
    <w:rsid w:val="00E95069"/>
    <w:rsid w:val="00E95D56"/>
    <w:rsid w:val="00E962CC"/>
    <w:rsid w:val="00E96606"/>
    <w:rsid w:val="00EA0A59"/>
    <w:rsid w:val="00EA17C3"/>
    <w:rsid w:val="00EA22CD"/>
    <w:rsid w:val="00EA2CAA"/>
    <w:rsid w:val="00EA3864"/>
    <w:rsid w:val="00EA48D9"/>
    <w:rsid w:val="00EA613B"/>
    <w:rsid w:val="00EA7F1C"/>
    <w:rsid w:val="00EB15B6"/>
    <w:rsid w:val="00EB2823"/>
    <w:rsid w:val="00EB2C30"/>
    <w:rsid w:val="00EB3D06"/>
    <w:rsid w:val="00EB3FBD"/>
    <w:rsid w:val="00EB4916"/>
    <w:rsid w:val="00EB6455"/>
    <w:rsid w:val="00EB683C"/>
    <w:rsid w:val="00EB6BBF"/>
    <w:rsid w:val="00EB7AD3"/>
    <w:rsid w:val="00EC00C9"/>
    <w:rsid w:val="00EC034D"/>
    <w:rsid w:val="00EC0DD9"/>
    <w:rsid w:val="00EC1D69"/>
    <w:rsid w:val="00EC2649"/>
    <w:rsid w:val="00EC31ED"/>
    <w:rsid w:val="00EC5836"/>
    <w:rsid w:val="00EC5871"/>
    <w:rsid w:val="00EC5DBE"/>
    <w:rsid w:val="00EC688C"/>
    <w:rsid w:val="00EC72AE"/>
    <w:rsid w:val="00ED00B3"/>
    <w:rsid w:val="00ED12E3"/>
    <w:rsid w:val="00ED1699"/>
    <w:rsid w:val="00ED2875"/>
    <w:rsid w:val="00ED3250"/>
    <w:rsid w:val="00ED3566"/>
    <w:rsid w:val="00ED3DB0"/>
    <w:rsid w:val="00ED4B04"/>
    <w:rsid w:val="00ED57EA"/>
    <w:rsid w:val="00ED5BD4"/>
    <w:rsid w:val="00ED60AB"/>
    <w:rsid w:val="00EE03E1"/>
    <w:rsid w:val="00EE07D3"/>
    <w:rsid w:val="00EE1996"/>
    <w:rsid w:val="00EE1A22"/>
    <w:rsid w:val="00EE1B96"/>
    <w:rsid w:val="00EE1C01"/>
    <w:rsid w:val="00EE22AF"/>
    <w:rsid w:val="00EE25EE"/>
    <w:rsid w:val="00EE34BA"/>
    <w:rsid w:val="00EE5832"/>
    <w:rsid w:val="00EE6380"/>
    <w:rsid w:val="00EF0171"/>
    <w:rsid w:val="00EF1481"/>
    <w:rsid w:val="00EF1732"/>
    <w:rsid w:val="00EF1B25"/>
    <w:rsid w:val="00EF1DA0"/>
    <w:rsid w:val="00EF4747"/>
    <w:rsid w:val="00EF4BF8"/>
    <w:rsid w:val="00EF4E37"/>
    <w:rsid w:val="00EF6B11"/>
    <w:rsid w:val="00EF7167"/>
    <w:rsid w:val="00EF771E"/>
    <w:rsid w:val="00F02253"/>
    <w:rsid w:val="00F032E6"/>
    <w:rsid w:val="00F03C2E"/>
    <w:rsid w:val="00F04A66"/>
    <w:rsid w:val="00F04B4B"/>
    <w:rsid w:val="00F0516C"/>
    <w:rsid w:val="00F05D56"/>
    <w:rsid w:val="00F067A2"/>
    <w:rsid w:val="00F06F5C"/>
    <w:rsid w:val="00F072FA"/>
    <w:rsid w:val="00F07353"/>
    <w:rsid w:val="00F07721"/>
    <w:rsid w:val="00F07B9E"/>
    <w:rsid w:val="00F07D6E"/>
    <w:rsid w:val="00F07F49"/>
    <w:rsid w:val="00F1116F"/>
    <w:rsid w:val="00F11ABB"/>
    <w:rsid w:val="00F11EE8"/>
    <w:rsid w:val="00F1263A"/>
    <w:rsid w:val="00F135E7"/>
    <w:rsid w:val="00F139C5"/>
    <w:rsid w:val="00F15775"/>
    <w:rsid w:val="00F15B77"/>
    <w:rsid w:val="00F21236"/>
    <w:rsid w:val="00F214EE"/>
    <w:rsid w:val="00F24047"/>
    <w:rsid w:val="00F24837"/>
    <w:rsid w:val="00F2575F"/>
    <w:rsid w:val="00F2752B"/>
    <w:rsid w:val="00F27565"/>
    <w:rsid w:val="00F310D4"/>
    <w:rsid w:val="00F318FE"/>
    <w:rsid w:val="00F31D5A"/>
    <w:rsid w:val="00F33464"/>
    <w:rsid w:val="00F33975"/>
    <w:rsid w:val="00F33DE9"/>
    <w:rsid w:val="00F34AF5"/>
    <w:rsid w:val="00F34DAE"/>
    <w:rsid w:val="00F35E6D"/>
    <w:rsid w:val="00F35E73"/>
    <w:rsid w:val="00F35EF4"/>
    <w:rsid w:val="00F3619A"/>
    <w:rsid w:val="00F368F8"/>
    <w:rsid w:val="00F36A87"/>
    <w:rsid w:val="00F402B5"/>
    <w:rsid w:val="00F40AAA"/>
    <w:rsid w:val="00F40BA7"/>
    <w:rsid w:val="00F40F03"/>
    <w:rsid w:val="00F40F9D"/>
    <w:rsid w:val="00F4128F"/>
    <w:rsid w:val="00F41ACD"/>
    <w:rsid w:val="00F41B93"/>
    <w:rsid w:val="00F41DA5"/>
    <w:rsid w:val="00F424FC"/>
    <w:rsid w:val="00F43A46"/>
    <w:rsid w:val="00F43B42"/>
    <w:rsid w:val="00F454F5"/>
    <w:rsid w:val="00F4570A"/>
    <w:rsid w:val="00F45F5A"/>
    <w:rsid w:val="00F4644B"/>
    <w:rsid w:val="00F46CB6"/>
    <w:rsid w:val="00F46E59"/>
    <w:rsid w:val="00F47239"/>
    <w:rsid w:val="00F47518"/>
    <w:rsid w:val="00F4756D"/>
    <w:rsid w:val="00F47A7A"/>
    <w:rsid w:val="00F47DE8"/>
    <w:rsid w:val="00F51A29"/>
    <w:rsid w:val="00F52D45"/>
    <w:rsid w:val="00F542C1"/>
    <w:rsid w:val="00F54413"/>
    <w:rsid w:val="00F54711"/>
    <w:rsid w:val="00F550E3"/>
    <w:rsid w:val="00F55E73"/>
    <w:rsid w:val="00F55EDA"/>
    <w:rsid w:val="00F56C80"/>
    <w:rsid w:val="00F60092"/>
    <w:rsid w:val="00F6030D"/>
    <w:rsid w:val="00F60DB6"/>
    <w:rsid w:val="00F61348"/>
    <w:rsid w:val="00F615C8"/>
    <w:rsid w:val="00F61793"/>
    <w:rsid w:val="00F61C18"/>
    <w:rsid w:val="00F6222B"/>
    <w:rsid w:val="00F627A9"/>
    <w:rsid w:val="00F647B2"/>
    <w:rsid w:val="00F65F4B"/>
    <w:rsid w:val="00F67A69"/>
    <w:rsid w:val="00F70BFF"/>
    <w:rsid w:val="00F70C9D"/>
    <w:rsid w:val="00F728FE"/>
    <w:rsid w:val="00F73744"/>
    <w:rsid w:val="00F73C3F"/>
    <w:rsid w:val="00F73E08"/>
    <w:rsid w:val="00F74CD9"/>
    <w:rsid w:val="00F74EB8"/>
    <w:rsid w:val="00F74FE1"/>
    <w:rsid w:val="00F75E1A"/>
    <w:rsid w:val="00F76C6B"/>
    <w:rsid w:val="00F80A7B"/>
    <w:rsid w:val="00F80E5D"/>
    <w:rsid w:val="00F81E78"/>
    <w:rsid w:val="00F823DE"/>
    <w:rsid w:val="00F82556"/>
    <w:rsid w:val="00F8255E"/>
    <w:rsid w:val="00F83916"/>
    <w:rsid w:val="00F851CE"/>
    <w:rsid w:val="00F8567C"/>
    <w:rsid w:val="00F85BFD"/>
    <w:rsid w:val="00F85F85"/>
    <w:rsid w:val="00F8704E"/>
    <w:rsid w:val="00F87BB9"/>
    <w:rsid w:val="00F91219"/>
    <w:rsid w:val="00F91D8A"/>
    <w:rsid w:val="00F92444"/>
    <w:rsid w:val="00F9393E"/>
    <w:rsid w:val="00F93DD5"/>
    <w:rsid w:val="00F952E1"/>
    <w:rsid w:val="00F96FD0"/>
    <w:rsid w:val="00F977F5"/>
    <w:rsid w:val="00F97A78"/>
    <w:rsid w:val="00FA0673"/>
    <w:rsid w:val="00FA0705"/>
    <w:rsid w:val="00FA0B20"/>
    <w:rsid w:val="00FA24E7"/>
    <w:rsid w:val="00FA3F99"/>
    <w:rsid w:val="00FA59DE"/>
    <w:rsid w:val="00FA5EE6"/>
    <w:rsid w:val="00FA70FF"/>
    <w:rsid w:val="00FA77A6"/>
    <w:rsid w:val="00FA7956"/>
    <w:rsid w:val="00FB036E"/>
    <w:rsid w:val="00FB0824"/>
    <w:rsid w:val="00FB1191"/>
    <w:rsid w:val="00FB1F01"/>
    <w:rsid w:val="00FB2639"/>
    <w:rsid w:val="00FB2FCB"/>
    <w:rsid w:val="00FB4C9C"/>
    <w:rsid w:val="00FB534A"/>
    <w:rsid w:val="00FB5913"/>
    <w:rsid w:val="00FB6F6F"/>
    <w:rsid w:val="00FB7C55"/>
    <w:rsid w:val="00FB7CB4"/>
    <w:rsid w:val="00FC0B4E"/>
    <w:rsid w:val="00FC0EBC"/>
    <w:rsid w:val="00FC1074"/>
    <w:rsid w:val="00FC1884"/>
    <w:rsid w:val="00FC20CA"/>
    <w:rsid w:val="00FC371D"/>
    <w:rsid w:val="00FC4685"/>
    <w:rsid w:val="00FC4802"/>
    <w:rsid w:val="00FC5F0B"/>
    <w:rsid w:val="00FD148F"/>
    <w:rsid w:val="00FD2100"/>
    <w:rsid w:val="00FD33C9"/>
    <w:rsid w:val="00FD436C"/>
    <w:rsid w:val="00FD446D"/>
    <w:rsid w:val="00FD4589"/>
    <w:rsid w:val="00FD4F2C"/>
    <w:rsid w:val="00FD6394"/>
    <w:rsid w:val="00FD6C2F"/>
    <w:rsid w:val="00FD70CB"/>
    <w:rsid w:val="00FE0E6C"/>
    <w:rsid w:val="00FE1CDC"/>
    <w:rsid w:val="00FE52CA"/>
    <w:rsid w:val="00FE70C3"/>
    <w:rsid w:val="00FF0E09"/>
    <w:rsid w:val="00FF1A87"/>
    <w:rsid w:val="00FF1A8B"/>
    <w:rsid w:val="00FF2AD9"/>
    <w:rsid w:val="00FF359F"/>
    <w:rsid w:val="00FF3BD3"/>
    <w:rsid w:val="00FF3DCF"/>
    <w:rsid w:val="00FF492C"/>
    <w:rsid w:val="00FF4A21"/>
    <w:rsid w:val="00FF4FDB"/>
    <w:rsid w:val="00FF5AA3"/>
    <w:rsid w:val="00FF5AD8"/>
    <w:rsid w:val="00FF6A19"/>
    <w:rsid w:val="00FF7995"/>
    <w:rsid w:val="00FF7D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character" w:styleId="FootnoteReference">
    <w:name w:val="footnote reference"/>
    <w:basedOn w:val="DefaultParagraphFont"/>
    <w:uiPriority w:val="99"/>
    <w:unhideWhenUsed/>
    <w:rsid w:val="00B04DC0"/>
    <w:rPr>
      <w:vertAlign w:val="superscript"/>
    </w:rPr>
  </w:style>
  <w:style w:type="table" w:customStyle="1" w:styleId="CMATableTemplate1">
    <w:name w:val="CMA Table Template1"/>
    <w:basedOn w:val="TableNormal"/>
    <w:next w:val="TableGrid"/>
    <w:uiPriority w:val="39"/>
    <w:rsid w:val="00E1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FootnoteChar">
    <w:name w:val="Caption Footnote Char"/>
    <w:basedOn w:val="DefaultParagraphFont"/>
    <w:link w:val="CaptionFootnote"/>
    <w:rsid w:val="00F46E59"/>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F46E59"/>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3160F5"/>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3160F5"/>
    <w:rPr>
      <w:rFonts w:ascii="Calibri" w:eastAsiaTheme="majorEastAsia" w:hAnsi="Calibri" w:cstheme="majorBidi"/>
      <w:sz w:val="18"/>
      <w:szCs w:val="22"/>
      <w:lang w:eastAsia="en-US" w:bidi="en-US"/>
    </w:rPr>
  </w:style>
  <w:style w:type="table" w:customStyle="1" w:styleId="Eviera-2018">
    <w:name w:val="Eviera - 2018"/>
    <w:basedOn w:val="TableNormal"/>
    <w:uiPriority w:val="99"/>
    <w:qFormat/>
    <w:rsid w:val="003160F5"/>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table" w:customStyle="1" w:styleId="CMATableTemplate4">
    <w:name w:val="CMA Table Template4"/>
    <w:basedOn w:val="TableNormal"/>
    <w:next w:val="TableGrid"/>
    <w:uiPriority w:val="39"/>
    <w:rsid w:val="0007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B25783"/>
    <w:pPr>
      <w:keepNext/>
      <w:spacing w:after="60"/>
      <w:jc w:val="left"/>
    </w:pPr>
    <w:rPr>
      <w:rFonts w:ascii="Arial Narrow" w:eastAsiaTheme="minorHAnsi" w:hAnsi="Arial Narrow" w:cstheme="minorBidi"/>
      <w:b/>
      <w:sz w:val="20"/>
      <w:szCs w:val="22"/>
      <w:lang w:eastAsia="en-US"/>
    </w:rPr>
  </w:style>
  <w:style w:type="paragraph" w:styleId="FootnoteText">
    <w:name w:val="footnote text"/>
    <w:basedOn w:val="Normal"/>
    <w:link w:val="FootnoteTextChar"/>
    <w:unhideWhenUsed/>
    <w:rsid w:val="008B68B2"/>
    <w:rPr>
      <w:sz w:val="20"/>
      <w:szCs w:val="20"/>
    </w:rPr>
  </w:style>
  <w:style w:type="character" w:customStyle="1" w:styleId="FootnoteTextChar">
    <w:name w:val="Footnote Text Char"/>
    <w:basedOn w:val="DefaultParagraphFont"/>
    <w:link w:val="FootnoteText"/>
    <w:rsid w:val="008B68B2"/>
    <w:rPr>
      <w:rFonts w:ascii="Calibri" w:hAnsi="Calibri" w:cs="Arial"/>
    </w:rPr>
  </w:style>
  <w:style w:type="paragraph" w:customStyle="1" w:styleId="pf0">
    <w:name w:val="pf0"/>
    <w:basedOn w:val="Normal"/>
    <w:rsid w:val="009B3079"/>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B307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7507138">
      <w:bodyDiv w:val="1"/>
      <w:marLeft w:val="0"/>
      <w:marRight w:val="0"/>
      <w:marTop w:val="0"/>
      <w:marBottom w:val="0"/>
      <w:divBdr>
        <w:top w:val="none" w:sz="0" w:space="0" w:color="auto"/>
        <w:left w:val="none" w:sz="0" w:space="0" w:color="auto"/>
        <w:bottom w:val="none" w:sz="0" w:space="0" w:color="auto"/>
        <w:right w:val="none" w:sz="0" w:space="0" w:color="auto"/>
      </w:divBdr>
    </w:div>
    <w:div w:id="572810750">
      <w:bodyDiv w:val="1"/>
      <w:marLeft w:val="0"/>
      <w:marRight w:val="0"/>
      <w:marTop w:val="0"/>
      <w:marBottom w:val="0"/>
      <w:divBdr>
        <w:top w:val="none" w:sz="0" w:space="0" w:color="auto"/>
        <w:left w:val="none" w:sz="0" w:space="0" w:color="auto"/>
        <w:bottom w:val="none" w:sz="0" w:space="0" w:color="auto"/>
        <w:right w:val="none" w:sz="0" w:space="0" w:color="auto"/>
      </w:divBdr>
      <w:divsChild>
        <w:div w:id="1489399492">
          <w:marLeft w:val="446"/>
          <w:marRight w:val="0"/>
          <w:marTop w:val="240"/>
          <w:marBottom w:val="0"/>
          <w:divBdr>
            <w:top w:val="none" w:sz="0" w:space="0" w:color="auto"/>
            <w:left w:val="none" w:sz="0" w:space="0" w:color="auto"/>
            <w:bottom w:val="none" w:sz="0" w:space="0" w:color="auto"/>
            <w:right w:val="none" w:sz="0" w:space="0" w:color="auto"/>
          </w:divBdr>
        </w:div>
        <w:div w:id="385570627">
          <w:marLeft w:val="446"/>
          <w:marRight w:val="0"/>
          <w:marTop w:val="240"/>
          <w:marBottom w:val="0"/>
          <w:divBdr>
            <w:top w:val="none" w:sz="0" w:space="0" w:color="auto"/>
            <w:left w:val="none" w:sz="0" w:space="0" w:color="auto"/>
            <w:bottom w:val="none" w:sz="0" w:space="0" w:color="auto"/>
            <w:right w:val="none" w:sz="0" w:space="0" w:color="auto"/>
          </w:divBdr>
        </w:div>
        <w:div w:id="1206674094">
          <w:marLeft w:val="446"/>
          <w:marRight w:val="0"/>
          <w:marTop w:val="240"/>
          <w:marBottom w:val="0"/>
          <w:divBdr>
            <w:top w:val="none" w:sz="0" w:space="0" w:color="auto"/>
            <w:left w:val="none" w:sz="0" w:space="0" w:color="auto"/>
            <w:bottom w:val="none" w:sz="0" w:space="0" w:color="auto"/>
            <w:right w:val="none" w:sz="0" w:space="0" w:color="auto"/>
          </w:divBdr>
        </w:div>
        <w:div w:id="816604942">
          <w:marLeft w:val="446"/>
          <w:marRight w:val="0"/>
          <w:marTop w:val="240"/>
          <w:marBottom w:val="0"/>
          <w:divBdr>
            <w:top w:val="none" w:sz="0" w:space="0" w:color="auto"/>
            <w:left w:val="none" w:sz="0" w:space="0" w:color="auto"/>
            <w:bottom w:val="none" w:sz="0" w:space="0" w:color="auto"/>
            <w:right w:val="none" w:sz="0" w:space="0" w:color="auto"/>
          </w:divBdr>
        </w:div>
        <w:div w:id="801385329">
          <w:marLeft w:val="446"/>
          <w:marRight w:val="0"/>
          <w:marTop w:val="24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04209595">
      <w:bodyDiv w:val="1"/>
      <w:marLeft w:val="0"/>
      <w:marRight w:val="0"/>
      <w:marTop w:val="0"/>
      <w:marBottom w:val="0"/>
      <w:divBdr>
        <w:top w:val="none" w:sz="0" w:space="0" w:color="auto"/>
        <w:left w:val="none" w:sz="0" w:space="0" w:color="auto"/>
        <w:bottom w:val="none" w:sz="0" w:space="0" w:color="auto"/>
        <w:right w:val="none" w:sz="0" w:space="0" w:color="auto"/>
      </w:divBdr>
    </w:div>
    <w:div w:id="11252713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50848116">
      <w:bodyDiv w:val="1"/>
      <w:marLeft w:val="0"/>
      <w:marRight w:val="0"/>
      <w:marTop w:val="0"/>
      <w:marBottom w:val="0"/>
      <w:divBdr>
        <w:top w:val="none" w:sz="0" w:space="0" w:color="auto"/>
        <w:left w:val="none" w:sz="0" w:space="0" w:color="auto"/>
        <w:bottom w:val="none" w:sz="0" w:space="0" w:color="auto"/>
        <w:right w:val="none" w:sz="0" w:space="0" w:color="auto"/>
      </w:divBdr>
      <w:divsChild>
        <w:div w:id="2079866188">
          <w:marLeft w:val="446"/>
          <w:marRight w:val="0"/>
          <w:marTop w:val="240"/>
          <w:marBottom w:val="0"/>
          <w:divBdr>
            <w:top w:val="none" w:sz="0" w:space="0" w:color="auto"/>
            <w:left w:val="none" w:sz="0" w:space="0" w:color="auto"/>
            <w:bottom w:val="none" w:sz="0" w:space="0" w:color="auto"/>
            <w:right w:val="none" w:sz="0" w:space="0" w:color="auto"/>
          </w:divBdr>
        </w:div>
        <w:div w:id="603807205">
          <w:marLeft w:val="446"/>
          <w:marRight w:val="0"/>
          <w:marTop w:val="240"/>
          <w:marBottom w:val="0"/>
          <w:divBdr>
            <w:top w:val="none" w:sz="0" w:space="0" w:color="auto"/>
            <w:left w:val="none" w:sz="0" w:space="0" w:color="auto"/>
            <w:bottom w:val="none" w:sz="0" w:space="0" w:color="auto"/>
            <w:right w:val="none" w:sz="0" w:space="0" w:color="auto"/>
          </w:divBdr>
        </w:div>
        <w:div w:id="234585049">
          <w:marLeft w:val="446"/>
          <w:marRight w:val="0"/>
          <w:marTop w:val="240"/>
          <w:marBottom w:val="0"/>
          <w:divBdr>
            <w:top w:val="none" w:sz="0" w:space="0" w:color="auto"/>
            <w:left w:val="none" w:sz="0" w:space="0" w:color="auto"/>
            <w:bottom w:val="none" w:sz="0" w:space="0" w:color="auto"/>
            <w:right w:val="none" w:sz="0" w:space="0" w:color="auto"/>
          </w:divBdr>
        </w:div>
        <w:div w:id="178936207">
          <w:marLeft w:val="446"/>
          <w:marRight w:val="0"/>
          <w:marTop w:val="240"/>
          <w:marBottom w:val="0"/>
          <w:divBdr>
            <w:top w:val="none" w:sz="0" w:space="0" w:color="auto"/>
            <w:left w:val="none" w:sz="0" w:space="0" w:color="auto"/>
            <w:bottom w:val="none" w:sz="0" w:space="0" w:color="auto"/>
            <w:right w:val="none" w:sz="0" w:space="0" w:color="auto"/>
          </w:divBdr>
        </w:div>
        <w:div w:id="57169725">
          <w:marLeft w:val="446"/>
          <w:marRight w:val="0"/>
          <w:marTop w:val="240"/>
          <w:marBottom w:val="0"/>
          <w:divBdr>
            <w:top w:val="none" w:sz="0" w:space="0" w:color="auto"/>
            <w:left w:val="none" w:sz="0" w:space="0" w:color="auto"/>
            <w:bottom w:val="none" w:sz="0" w:space="0" w:color="auto"/>
            <w:right w:val="none" w:sz="0" w:space="0" w:color="auto"/>
          </w:divBdr>
        </w:div>
      </w:divsChild>
    </w:div>
    <w:div w:id="1623919900">
      <w:bodyDiv w:val="1"/>
      <w:marLeft w:val="0"/>
      <w:marRight w:val="0"/>
      <w:marTop w:val="0"/>
      <w:marBottom w:val="0"/>
      <w:divBdr>
        <w:top w:val="none" w:sz="0" w:space="0" w:color="auto"/>
        <w:left w:val="none" w:sz="0" w:space="0" w:color="auto"/>
        <w:bottom w:val="none" w:sz="0" w:space="0" w:color="auto"/>
        <w:right w:val="none" w:sz="0" w:space="0" w:color="auto"/>
      </w:divBdr>
    </w:div>
    <w:div w:id="1705131624">
      <w:bodyDiv w:val="1"/>
      <w:marLeft w:val="0"/>
      <w:marRight w:val="0"/>
      <w:marTop w:val="0"/>
      <w:marBottom w:val="0"/>
      <w:divBdr>
        <w:top w:val="none" w:sz="0" w:space="0" w:color="auto"/>
        <w:left w:val="none" w:sz="0" w:space="0" w:color="auto"/>
        <w:bottom w:val="none" w:sz="0" w:space="0" w:color="auto"/>
        <w:right w:val="none" w:sz="0" w:space="0" w:color="auto"/>
      </w:divBdr>
    </w:div>
    <w:div w:id="18945826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UCB22</b:Tag>
    <b:SourceType>JournalArticle</b:SourceType>
    <b:Guid>{37F305CA-7028-4016-8ABC-56745F99BE69}</b:Guid>
    <b:Author>
      <b:Author>
        <b:Corporate>UCB</b:Corporate>
      </b:Author>
    </b:Author>
    <b:Title>Super-responder narrative response for Australia Resubmission</b:Title>
    <b:Year>2022</b:Year>
    <b:RefOrder>16</b:RefOrder>
  </b:Source>
  <b:Source>
    <b:Tag>Placeholder7</b:Tag>
    <b:SourceType>JournalArticle</b:SourceType>
    <b:Guid>{150F72C3-1DA7-44F5-80C2-BB019B693BD0}</b:Guid>
    <b:Title>Association Between Patient- and Physician-Reported Outcomes in Patients with Moderate-To-Severe Plaque Psoriasis Treated with Biologics in Real Life (PSO-BIO-REAL).</b:Title>
    <b:JournalName>Dermatol Ther (Heidelb)</b:JournalName>
    <b:Year>2020</b:Year>
    <b:Pages>1099–1109</b:Pages>
    <b:Author>
      <b:Author>
        <b:NameList>
          <b:Person>
            <b:Last>Lacour</b:Last>
            <b:First>JP.</b:First>
          </b:Person>
          <b:Person>
            <b:Last>Bewley</b:Last>
            <b:First>A.</b:First>
          </b:Person>
          <b:Person>
            <b:Last>Hansen</b:Last>
            <b:First>JB.</b:First>
          </b:Person>
          <b:Person>
            <b:Last>Horne</b:Last>
            <b:First>L.</b:First>
          </b:Person>
          <b:Person>
            <b:Last>Paul</b:Last>
            <b:First>C.</b:First>
          </b:Person>
          <b:Person>
            <b:Last>Reich</b:Last>
            <b:First>K.</b:First>
          </b:Person>
          <b:Person>
            <b:Last>Seneschal</b:Last>
            <b:First>J.</b:First>
          </b:Person>
          <b:Person>
            <b:Last>DeSimone</b:Last>
            <b:First>C.</b:First>
          </b:Person>
          <b:Person>
            <b:Last>Sohrt</b:Last>
            <b:First>A.</b:First>
          </b:Person>
          <b:Person>
            <b:Last>Augustin</b:Last>
            <b:First>M.</b:First>
          </b:Person>
          <b:Person>
            <b:Last>Pellacani</b:Last>
            <b:First>G.</b:First>
          </b:Person>
        </b:NameList>
      </b:Author>
    </b:Author>
    <b:Volume>10</b:Volume>
    <b:RefOrder>17</b:RefOrder>
  </b:Source>
  <b:Source>
    <b:Tag>Arm22</b:Tag>
    <b:SourceType>JournalArticle</b:SourceType>
    <b:Guid>{A9F18785-2F66-46A7-ACA9-B3BB4D1A97B6}</b:Guid>
    <b:Author>
      <b:Author>
        <b:NameList>
          <b:Person>
            <b:Last>Armstrong</b:Last>
            <b:First>A.</b:First>
          </b:Person>
          <b:Person>
            <b:Last>Fahrbach</b:Last>
            <b:First>K.</b:First>
          </b:Person>
          <b:Person>
            <b:Last>Leonardi</b:Last>
            <b:First>C.</b:First>
          </b:Person>
          <b:Person>
            <b:Last>Augustin</b:Last>
            <b:First>M.</b:First>
          </b:Person>
          <b:Person>
            <b:Last>Neupane</b:Last>
            <b:First>B.</b:First>
          </b:Person>
          <b:Person>
            <b:Last>Kazmierska</b:Last>
            <b:First>P.</b:First>
          </b:Person>
          <b:Person>
            <b:Last>Betts</b:Last>
            <b:First>M.</b:First>
          </b:Person>
          <b:Person>
            <b:Last>Freitag</b:Last>
            <b:First>A.</b:First>
          </b:Person>
          <b:Person>
            <b:Last>Kiri</b:Last>
            <b:First>S.</b:First>
          </b:Person>
          <b:Person>
            <b:Last>Taieb</b:Last>
            <b:First>V.</b:First>
          </b:Person>
          <b:Person>
            <b:Last>Slim</b:Last>
            <b:First>M.</b:First>
          </b:Person>
          <b:Person>
            <b:Last>Nunez Gomez</b:Last>
            <b:First>N.</b:First>
          </b:Person>
          <b:Person>
            <b:Last>Warren</b:Last>
            <b:First>RB.</b:First>
          </b:Person>
        </b:NameList>
      </b:Author>
    </b:Author>
    <b:Title>Efficacy of Bimekizumab and Other Biologics in Moderate to Severe Plaque Psoriasis: A Systematic Literature Review and a Network Meta-Analysis</b:Title>
    <b:JournalName>Dermatol Ther (Heidelb)</b:JournalName>
    <b:Year>2022</b:Year>
    <b:Pages>1777-1792</b:Pages>
    <b:Volume>12</b:Volume>
    <b:RefOrder>3</b:RefOrder>
  </b:Source>
  <b:Source>
    <b:Tag>Elb222</b:Tag>
    <b:SourceType>JournalArticle</b:SourceType>
    <b:Guid>{8F903956-1384-4475-9E5F-018BDCD6AB98}</b:Guid>
    <b:Author>
      <b:Author>
        <b:Corporate>Elbow.</b:Corporate>
      </b:Author>
    </b:Author>
    <b:Title>Engage Psoriasis</b:Title>
    <b:Year>2022</b:Year>
    <b:RefOrder>1</b:RefOrder>
  </b:Source>
</b:Sources>
</file>

<file path=customXml/itemProps1.xml><?xml version="1.0" encoding="utf-8"?>
<ds:datastoreItem xmlns:ds="http://schemas.openxmlformats.org/officeDocument/2006/customXml" ds:itemID="{CAB44CC1-F35E-4E03-BAB9-09168D17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16115</Words>
  <Characters>86089</Characters>
  <Application>Microsoft Office Word</Application>
  <DocSecurity>0</DocSecurity>
  <Lines>717</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2023-06-22T23:59:00Z</dcterms:created>
  <dcterms:modified xsi:type="dcterms:W3CDTF">2023-06-23T04:58:00Z</dcterms:modified>
</cp:coreProperties>
</file>